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17" w:name="_GoBack"/>
      <w:bookmarkEnd w:id="17"/>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西安市机关事务服务中心2026年度小额零星维修项目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XCZX2026-0003</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2026年2月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1F9EBE30">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"_Toc219706207" </w:instrText>
      </w:r>
      <w:r>
        <w:fldChar w:fldCharType="separate"/>
      </w:r>
      <w:r>
        <w:rPr>
          <w:rStyle w:val="31"/>
          <w:rFonts w:hint="eastAsia"/>
        </w:rPr>
        <w:t>第一章　磋商邀请函</w:t>
      </w:r>
      <w:r>
        <w:tab/>
      </w:r>
      <w:r>
        <w:fldChar w:fldCharType="begin"/>
      </w:r>
      <w:r>
        <w:instrText xml:space="preserve"> PAGEREF _Toc219706207 \h </w:instrText>
      </w:r>
      <w:r>
        <w:fldChar w:fldCharType="separate"/>
      </w:r>
      <w:r>
        <w:t>1</w:t>
      </w:r>
      <w:r>
        <w:fldChar w:fldCharType="end"/>
      </w:r>
      <w:r>
        <w:fldChar w:fldCharType="end"/>
      </w:r>
    </w:p>
    <w:p w14:paraId="27F2F63B">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"_Toc219706208" </w:instrText>
      </w:r>
      <w:r>
        <w:fldChar w:fldCharType="separate"/>
      </w:r>
      <w:r>
        <w:rPr>
          <w:rStyle w:val="31"/>
          <w:rFonts w:hint="eastAsia"/>
        </w:rPr>
        <w:t>第二章　供应商须知</w:t>
      </w:r>
      <w:r>
        <w:tab/>
      </w:r>
      <w:r>
        <w:fldChar w:fldCharType="begin"/>
      </w:r>
      <w:r>
        <w:instrText xml:space="preserve"> PAGEREF _Toc219706208 \h </w:instrText>
      </w:r>
      <w:r>
        <w:fldChar w:fldCharType="separate"/>
      </w:r>
      <w:r>
        <w:t>4</w:t>
      </w:r>
      <w:r>
        <w:fldChar w:fldCharType="end"/>
      </w:r>
      <w:r>
        <w:fldChar w:fldCharType="end"/>
      </w:r>
    </w:p>
    <w:p w14:paraId="2EDCF127">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"_Toc219706209" </w:instrText>
      </w:r>
      <w:r>
        <w:fldChar w:fldCharType="separate"/>
      </w:r>
      <w:r>
        <w:rPr>
          <w:rStyle w:val="31"/>
          <w:rFonts w:hint="eastAsia"/>
        </w:rPr>
        <w:t>第三章　磋商内容及要求</w:t>
      </w:r>
      <w:r>
        <w:tab/>
      </w:r>
      <w:r>
        <w:fldChar w:fldCharType="begin"/>
      </w:r>
      <w:r>
        <w:instrText xml:space="preserve"> PAGEREF _Toc219706209 \h </w:instrText>
      </w:r>
      <w:r>
        <w:fldChar w:fldCharType="separate"/>
      </w:r>
      <w:r>
        <w:t>33</w:t>
      </w:r>
      <w:r>
        <w:fldChar w:fldCharType="end"/>
      </w:r>
      <w:r>
        <w:fldChar w:fldCharType="end"/>
      </w:r>
    </w:p>
    <w:p w14:paraId="6D1C3617">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"_Toc219706210" </w:instrText>
      </w:r>
      <w:r>
        <w:fldChar w:fldCharType="separate"/>
      </w:r>
      <w:r>
        <w:rPr>
          <w:rStyle w:val="31"/>
          <w:rFonts w:hint="eastAsia"/>
        </w:rPr>
        <w:t>第四章　合同草案条款</w:t>
      </w:r>
      <w:r>
        <w:tab/>
      </w:r>
      <w:r>
        <w:fldChar w:fldCharType="begin"/>
      </w:r>
      <w:r>
        <w:instrText xml:space="preserve"> PAGEREF _Toc219706210 \h </w:instrText>
      </w:r>
      <w:r>
        <w:fldChar w:fldCharType="separate"/>
      </w:r>
      <w:r>
        <w:t>36</w:t>
      </w:r>
      <w:r>
        <w:fldChar w:fldCharType="end"/>
      </w:r>
      <w:r>
        <w:fldChar w:fldCharType="end"/>
      </w:r>
    </w:p>
    <w:p w14:paraId="6E53F0C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"_Toc219706211" </w:instrText>
      </w:r>
      <w:r>
        <w:fldChar w:fldCharType="separate"/>
      </w:r>
      <w:r>
        <w:rPr>
          <w:rStyle w:val="31"/>
          <w:rFonts w:hint="eastAsia"/>
        </w:rPr>
        <w:t>第五章　响应文件构成及格式</w:t>
      </w:r>
      <w:r>
        <w:tab/>
      </w:r>
      <w:r>
        <w:fldChar w:fldCharType="begin"/>
      </w:r>
      <w:r>
        <w:instrText xml:space="preserve"> PAGEREF _Toc219706211 \h </w:instrText>
      </w:r>
      <w:r>
        <w:fldChar w:fldCharType="separate"/>
      </w:r>
      <w:r>
        <w:t>43</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9706207"/>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西安市机关事务服务中心</w:t>
      </w:r>
      <w:r>
        <w:rPr>
          <w:rFonts w:hint="eastAsia"/>
        </w:rPr>
        <w:t>的委托，经政府采购监管部门批准，按照政府采购程序，对</w:t>
      </w:r>
      <w:r>
        <w:rPr>
          <w:rFonts w:hint="eastAsia"/>
          <w:color w:val="C00000"/>
        </w:rPr>
        <w:t>西安市机关事务服务中心2026年度小额零星维修项目</w:t>
      </w:r>
      <w:r>
        <w:rPr>
          <w:rFonts w:hint="eastAsia"/>
        </w:rPr>
        <w:t>进行竞争性磋商，欢迎符合资格条件的、有能力提供本项目所需货物、服务或</w:t>
      </w:r>
      <w:r>
        <w:t>工程</w:t>
      </w:r>
      <w:r>
        <w:rPr>
          <w:rFonts w:hint="eastAsia"/>
        </w:rPr>
        <w:t>的供应商参加磋商。</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西安市机关事务服务中心2026年度小额零星维修项目</w:t>
      </w:r>
    </w:p>
    <w:p w14:paraId="62B33849">
      <w:pPr>
        <w:widowControl w:val="0"/>
        <w:topLinePunct/>
        <w:ind w:firstLine="480" w:firstLineChars="200"/>
        <w:jc w:val="both"/>
      </w:pPr>
      <w:r>
        <w:rPr>
          <w:rFonts w:hint="eastAsia"/>
        </w:rPr>
        <w:t>项目编号：</w:t>
      </w:r>
      <w:r>
        <w:rPr>
          <w:rFonts w:hint="eastAsia"/>
          <w:color w:val="C00000"/>
        </w:rPr>
        <w:t>XCZX2026-0003</w:t>
      </w:r>
    </w:p>
    <w:p w14:paraId="3201ECCD">
      <w:pPr>
        <w:widowControl w:val="0"/>
        <w:topLinePunct/>
        <w:ind w:firstLine="480" w:firstLineChars="200"/>
        <w:jc w:val="both"/>
        <w:rPr>
          <w:color w:val="C00000"/>
        </w:rPr>
      </w:pPr>
      <w:r>
        <w:t>备案编号：</w:t>
      </w:r>
      <w:r>
        <w:rPr>
          <w:rFonts w:hint="eastAsia"/>
          <w:color w:val="C00000"/>
        </w:rPr>
        <w:t>ZCBN-西安市-2026-00002</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color w:val="C00000"/>
        </w:rPr>
        <w:t>150.00</w:t>
      </w:r>
      <w:r>
        <w:rPr>
          <w:rFonts w:hint="eastAsia"/>
          <w:color w:val="C00000"/>
        </w:rPr>
        <w:t>万</w:t>
      </w:r>
      <w:r>
        <w:rPr>
          <w:color w:val="C00000"/>
        </w:rPr>
        <w:t>元</w:t>
      </w:r>
      <w:r>
        <w:rPr>
          <w:rFonts w:hint="eastAsia"/>
          <w:color w:val="C00000"/>
        </w:rPr>
        <w:t>（最高限价</w:t>
      </w:r>
      <w:r>
        <w:rPr>
          <w:color w:val="C00000"/>
        </w:rPr>
        <w:t>150.00</w:t>
      </w:r>
      <w:r>
        <w:rPr>
          <w:rFonts w:hint="eastAsia"/>
          <w:color w:val="C00000"/>
        </w:rPr>
        <w:t>万</w:t>
      </w:r>
      <w:r>
        <w:rPr>
          <w:color w:val="C00000"/>
        </w:rPr>
        <w:t>元</w:t>
      </w:r>
      <w:r>
        <w:rPr>
          <w:rFonts w:hint="eastAsia"/>
          <w:color w:val="C00000"/>
        </w:rPr>
        <w:t>）</w:t>
      </w:r>
    </w:p>
    <w:p w14:paraId="22CDC1C3">
      <w:pPr>
        <w:widowControl w:val="0"/>
        <w:topLinePunct/>
        <w:ind w:firstLine="480" w:firstLineChars="200"/>
        <w:jc w:val="both"/>
        <w:rPr>
          <w:b/>
        </w:rPr>
      </w:pPr>
      <w:r>
        <w:rPr>
          <w:b/>
        </w:rPr>
        <w:t>四、采购</w:t>
      </w:r>
      <w:r>
        <w:rPr>
          <w:rFonts w:hint="eastAsia"/>
          <w:b/>
        </w:rPr>
        <w:t>内容和要求：</w:t>
      </w:r>
    </w:p>
    <w:p w14:paraId="6E855971">
      <w:pPr>
        <w:widowControl w:val="0"/>
        <w:topLinePunct/>
        <w:ind w:firstLine="480" w:firstLineChars="200"/>
        <w:jc w:val="both"/>
        <w:rPr>
          <w:color w:val="C00000"/>
        </w:rPr>
      </w:pPr>
      <w:r>
        <w:rPr>
          <w:rFonts w:hint="eastAsia"/>
          <w:color w:val="C00000"/>
        </w:rPr>
        <w:t>采购包一</w:t>
      </w:r>
      <w:r>
        <w:rPr>
          <w:color w:val="C00000"/>
        </w:rPr>
        <w:t>：100.00</w:t>
      </w:r>
      <w:r>
        <w:rPr>
          <w:rFonts w:hint="eastAsia"/>
          <w:color w:val="C00000"/>
        </w:rPr>
        <w:t>万元</w:t>
      </w:r>
      <w:r>
        <w:rPr>
          <w:color w:val="C00000"/>
        </w:rPr>
        <w:t>（</w:t>
      </w:r>
      <w:r>
        <w:rPr>
          <w:rFonts w:hint="eastAsia"/>
          <w:color w:val="C00000"/>
        </w:rPr>
        <w:t>最高限价</w:t>
      </w:r>
      <w:r>
        <w:rPr>
          <w:color w:val="C00000"/>
        </w:rPr>
        <w:t>100.00</w:t>
      </w:r>
      <w:r>
        <w:rPr>
          <w:rFonts w:hint="eastAsia"/>
          <w:color w:val="C00000"/>
        </w:rPr>
        <w:t>万元</w:t>
      </w:r>
      <w:r>
        <w:rPr>
          <w:color w:val="C00000"/>
        </w:rPr>
        <w:t>），</w:t>
      </w:r>
      <w:r>
        <w:rPr>
          <w:rFonts w:hint="eastAsia"/>
          <w:color w:val="C00000"/>
        </w:rPr>
        <w:t>市政府办公区</w:t>
      </w:r>
      <w:r>
        <w:rPr>
          <w:color w:val="C00000"/>
        </w:rPr>
        <w:t>房屋、道路等修缮。</w:t>
      </w:r>
    </w:p>
    <w:p w14:paraId="0CC523F6">
      <w:pPr>
        <w:widowControl w:val="0"/>
        <w:topLinePunct/>
        <w:ind w:firstLine="480" w:firstLineChars="200"/>
        <w:jc w:val="both"/>
        <w:rPr>
          <w:color w:val="C00000"/>
        </w:rPr>
      </w:pPr>
      <w:r>
        <w:rPr>
          <w:rFonts w:hint="eastAsia"/>
          <w:color w:val="C00000"/>
        </w:rPr>
        <w:t>采购包二</w:t>
      </w:r>
      <w:r>
        <w:rPr>
          <w:color w:val="C00000"/>
        </w:rPr>
        <w:t>：50.00</w:t>
      </w:r>
      <w:r>
        <w:rPr>
          <w:rFonts w:hint="eastAsia"/>
          <w:color w:val="C00000"/>
        </w:rPr>
        <w:t>万元</w:t>
      </w:r>
      <w:r>
        <w:rPr>
          <w:color w:val="C00000"/>
        </w:rPr>
        <w:t>（</w:t>
      </w:r>
      <w:r>
        <w:rPr>
          <w:rFonts w:hint="eastAsia"/>
          <w:color w:val="C00000"/>
        </w:rPr>
        <w:t>最高限价</w:t>
      </w:r>
      <w:r>
        <w:rPr>
          <w:color w:val="C00000"/>
        </w:rPr>
        <w:t>50.00</w:t>
      </w:r>
      <w:r>
        <w:rPr>
          <w:rFonts w:hint="eastAsia"/>
          <w:color w:val="C00000"/>
        </w:rPr>
        <w:t>万元</w:t>
      </w:r>
      <w:r>
        <w:rPr>
          <w:color w:val="C00000"/>
        </w:rPr>
        <w:t>），</w:t>
      </w:r>
      <w:r>
        <w:rPr>
          <w:rFonts w:hint="eastAsia"/>
          <w:color w:val="C00000"/>
        </w:rPr>
        <w:t>干部住宅</w:t>
      </w:r>
      <w:r>
        <w:rPr>
          <w:color w:val="C00000"/>
        </w:rPr>
        <w:t>管理所房屋、道路等修缮。</w:t>
      </w:r>
    </w:p>
    <w:p w14:paraId="090DDA09">
      <w:pPr>
        <w:ind w:firstLine="480" w:firstLineChars="200"/>
        <w:jc w:val="both"/>
      </w:pPr>
      <w:r>
        <w:rPr>
          <w:rFonts w:hint="eastAsia"/>
        </w:rPr>
        <w:t>本次项目</w:t>
      </w:r>
      <w:r>
        <w:t>，</w:t>
      </w:r>
      <w:r>
        <w:rPr>
          <w:rFonts w:hint="eastAsia"/>
        </w:rPr>
        <w:t>供应商可同时参与两个标段投标，但只能成交一个标段。</w:t>
      </w:r>
    </w:p>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026</w:t>
      </w:r>
      <w:r>
        <w:rPr>
          <w:rFonts w:hint="eastAsia"/>
        </w:rPr>
        <w:t>年</w:t>
      </w:r>
      <w:r>
        <w:rPr>
          <w:u w:val="single"/>
        </w:rPr>
        <w:t>1</w:t>
      </w:r>
      <w:r>
        <w:rPr>
          <w:rFonts w:hint="eastAsia"/>
        </w:rPr>
        <w:t>月</w:t>
      </w:r>
      <w:r>
        <w:rPr>
          <w:u w:val="single"/>
        </w:rPr>
        <w:t>30</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026</w:t>
      </w:r>
      <w:r>
        <w:rPr>
          <w:rFonts w:hint="eastAsia"/>
        </w:rPr>
        <w:t>年</w:t>
      </w:r>
      <w:r>
        <w:rPr>
          <w:u w:val="single"/>
        </w:rPr>
        <w:t>1</w:t>
      </w:r>
      <w:r>
        <w:rPr>
          <w:rFonts w:hint="eastAsia"/>
        </w:rPr>
        <w:t>月</w:t>
      </w:r>
      <w:r>
        <w:rPr>
          <w:u w:val="single"/>
        </w:rPr>
        <w:t>30</w:t>
      </w:r>
      <w:r>
        <w:rPr>
          <w:rFonts w:hint="eastAsia"/>
        </w:rPr>
        <w:t>日10:3</w:t>
      </w:r>
      <w:r>
        <w:t>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4</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1．采购人：西安市机关事务服务中心</w:t>
      </w:r>
    </w:p>
    <w:p w14:paraId="07A194B0">
      <w:pPr>
        <w:widowControl w:val="0"/>
        <w:topLinePunct/>
        <w:ind w:firstLine="480" w:firstLineChars="200"/>
        <w:jc w:val="both"/>
      </w:pPr>
      <w:r>
        <w:rPr>
          <w:rFonts w:hint="eastAsia"/>
        </w:rPr>
        <w:t>地址：西安市未央区凤城八路109号</w:t>
      </w:r>
    </w:p>
    <w:p w14:paraId="5CD1CE1F">
      <w:pPr>
        <w:widowControl w:val="0"/>
        <w:topLinePunct/>
        <w:ind w:firstLine="480" w:firstLineChars="200"/>
        <w:jc w:val="both"/>
      </w:pPr>
      <w:r>
        <w:rPr>
          <w:rFonts w:hint="eastAsia"/>
        </w:rPr>
        <w:t>联系人：王老师</w:t>
      </w:r>
    </w:p>
    <w:p w14:paraId="7C403659">
      <w:pPr>
        <w:widowControl w:val="0"/>
        <w:topLinePunct/>
        <w:ind w:firstLine="480" w:firstLineChars="200"/>
        <w:jc w:val="both"/>
      </w:pPr>
      <w:r>
        <w:rPr>
          <w:rFonts w:hint="eastAsia"/>
        </w:rPr>
        <w:t>联系电话：15389291808</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标书联系人及分机号：王老师（</w:t>
      </w:r>
      <w:r>
        <w:t>80848</w:t>
      </w:r>
      <w:r>
        <w:rPr>
          <w:rFonts w:hint="eastAsia"/>
        </w:rPr>
        <w:t>）</w:t>
      </w:r>
    </w:p>
    <w:p w14:paraId="6F1334A2">
      <w:pPr>
        <w:widowControl w:val="0"/>
        <w:topLinePunct/>
        <w:ind w:firstLine="480" w:firstLineChars="200"/>
        <w:jc w:val="both"/>
      </w:pPr>
      <w:r>
        <w:rPr>
          <w:rFonts w:hint="eastAsia"/>
        </w:rPr>
        <w:t>开标联系人及分机号：朱老师（</w:t>
      </w:r>
      <w:r>
        <w:t>80805</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445407251"/>
      <w:bookmarkStart w:id="2" w:name="_Toc533363235"/>
      <w:bookmarkStart w:id="3" w:name="_Toc534656409"/>
      <w:bookmarkStart w:id="4" w:name="_Toc97563329"/>
      <w:bookmarkStart w:id="5" w:name="_Toc498349068"/>
      <w:bookmarkStart w:id="6" w:name="_Toc534656414"/>
      <w:bookmarkStart w:id="7" w:name="_Toc219706208"/>
      <w:bookmarkStart w:id="8" w:name="_Toc533363262"/>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西安市机关事务服务中心2026年度小额零星维修项目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XCZX2026-0003</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ascii="Calibri" w:hAnsi="宋体" w:eastAsia="宋体" w:cstheme="minorHAnsi"/>
                <w:sz w:val="21"/>
              </w:rPr>
              <w:t>150.00</w:t>
            </w:r>
            <w:r>
              <w:rPr>
                <w:rFonts w:hint="eastAsia" w:ascii="Calibri" w:hAnsi="宋体" w:eastAsia="宋体" w:cstheme="minorHAnsi"/>
                <w:sz w:val="21"/>
              </w:rPr>
              <w:t>万</w:t>
            </w:r>
            <w:r>
              <w:rPr>
                <w:rFonts w:ascii="Calibri" w:hAnsi="宋体" w:eastAsia="宋体" w:cstheme="minorHAnsi"/>
                <w:sz w:val="21"/>
              </w:rPr>
              <w:t>元</w:t>
            </w:r>
            <w:r>
              <w:rPr>
                <w:rFonts w:hint="eastAsia" w:ascii="Calibri" w:hAnsi="宋体" w:eastAsia="宋体" w:cstheme="minorHAnsi"/>
                <w:sz w:val="21"/>
              </w:rPr>
              <w:t>（最高限价</w:t>
            </w:r>
            <w:r>
              <w:rPr>
                <w:rFonts w:ascii="Calibri" w:hAnsi="宋体" w:eastAsia="宋体" w:cstheme="minorHAnsi"/>
                <w:sz w:val="21"/>
              </w:rPr>
              <w:t>150.00</w:t>
            </w:r>
            <w:r>
              <w:rPr>
                <w:rFonts w:hint="eastAsia" w:ascii="Calibri" w:hAnsi="宋体" w:eastAsia="宋体" w:cstheme="minorHAnsi"/>
                <w:sz w:val="21"/>
              </w:rPr>
              <w:t>万元）</w:t>
            </w:r>
          </w:p>
        </w:tc>
      </w:tr>
      <w:tr w14:paraId="57A48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73D04E91">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62FE00">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采购包一预算</w:t>
            </w:r>
          </w:p>
        </w:tc>
        <w:tc>
          <w:tcPr>
            <w:tcW w:w="5766" w:type="dxa"/>
            <w:shd w:val="clear" w:color="auto" w:fill="auto"/>
            <w:vAlign w:val="center"/>
          </w:tcPr>
          <w:p w14:paraId="05B6FA14">
            <w:pPr>
              <w:spacing w:line="320" w:lineRule="exact"/>
              <w:jc w:val="both"/>
              <w:rPr>
                <w:color w:val="C00000"/>
                <w:sz w:val="21"/>
                <w:szCs w:val="21"/>
              </w:rPr>
            </w:pPr>
            <w:r>
              <w:rPr>
                <w:rFonts w:ascii="Calibri" w:hAnsi="宋体" w:eastAsia="宋体" w:cstheme="minorHAnsi"/>
                <w:color w:val="C00000"/>
                <w:sz w:val="21"/>
                <w:u w:val="single"/>
              </w:rPr>
              <w:t>100.00</w:t>
            </w:r>
            <w:r>
              <w:rPr>
                <w:rFonts w:hint="eastAsia" w:ascii="Calibri" w:hAnsi="宋体" w:eastAsia="宋体" w:cstheme="minorHAnsi"/>
                <w:color w:val="C00000"/>
                <w:sz w:val="21"/>
                <w:u w:val="single"/>
              </w:rPr>
              <w:t>万</w:t>
            </w:r>
            <w:r>
              <w:rPr>
                <w:rFonts w:ascii="Calibri" w:hAnsi="宋体" w:eastAsia="宋体" w:cstheme="minorHAnsi"/>
                <w:color w:val="C00000"/>
                <w:sz w:val="21"/>
              </w:rPr>
              <w:t>元</w:t>
            </w:r>
            <w:r>
              <w:rPr>
                <w:rFonts w:hint="eastAsia" w:ascii="Calibri" w:hAnsi="宋体" w:eastAsia="宋体" w:cstheme="minorHAnsi"/>
                <w:color w:val="C00000"/>
                <w:sz w:val="21"/>
              </w:rPr>
              <w:t>；</w:t>
            </w:r>
            <w:r>
              <w:rPr>
                <w:rFonts w:hint="eastAsia" w:ascii="Calibri" w:hAnsi="宋体" w:eastAsia="宋体" w:cstheme="minorHAnsi"/>
                <w:sz w:val="21"/>
              </w:rPr>
              <w:t>（最高限价</w:t>
            </w:r>
            <w:r>
              <w:rPr>
                <w:rFonts w:ascii="Calibri" w:hAnsi="宋体" w:eastAsia="宋体" w:cstheme="minorHAnsi"/>
                <w:color w:val="C00000"/>
                <w:sz w:val="21"/>
                <w:u w:val="single"/>
              </w:rPr>
              <w:t>100.00</w:t>
            </w:r>
            <w:r>
              <w:rPr>
                <w:rFonts w:hint="eastAsia" w:ascii="Calibri" w:hAnsi="宋体" w:eastAsia="宋体" w:cstheme="minorHAnsi"/>
                <w:color w:val="C00000"/>
                <w:sz w:val="21"/>
                <w:u w:val="single"/>
              </w:rPr>
              <w:t>万</w:t>
            </w:r>
            <w:r>
              <w:rPr>
                <w:rFonts w:hint="eastAsia" w:ascii="Calibri" w:hAnsi="宋体" w:eastAsia="宋体" w:cstheme="minorHAnsi"/>
                <w:sz w:val="21"/>
              </w:rPr>
              <w:t>元）</w:t>
            </w:r>
          </w:p>
        </w:tc>
      </w:tr>
      <w:tr w14:paraId="3E480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7DD51D2">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098B58A">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采购包二预算</w:t>
            </w:r>
          </w:p>
        </w:tc>
        <w:tc>
          <w:tcPr>
            <w:tcW w:w="5766" w:type="dxa"/>
            <w:shd w:val="clear" w:color="auto" w:fill="auto"/>
            <w:vAlign w:val="center"/>
          </w:tcPr>
          <w:p w14:paraId="4D793737">
            <w:pPr>
              <w:spacing w:line="320" w:lineRule="exact"/>
              <w:jc w:val="both"/>
              <w:rPr>
                <w:color w:val="C00000"/>
                <w:sz w:val="21"/>
                <w:szCs w:val="21"/>
              </w:rPr>
            </w:pPr>
            <w:r>
              <w:rPr>
                <w:rFonts w:ascii="Calibri" w:hAnsi="宋体" w:eastAsia="宋体" w:cstheme="minorHAnsi"/>
                <w:color w:val="C00000"/>
                <w:sz w:val="21"/>
                <w:u w:val="single"/>
              </w:rPr>
              <w:t>50.00</w:t>
            </w:r>
            <w:r>
              <w:rPr>
                <w:rFonts w:hint="eastAsia" w:ascii="Calibri" w:hAnsi="宋体" w:eastAsia="宋体" w:cstheme="minorHAnsi"/>
                <w:color w:val="C00000"/>
                <w:sz w:val="21"/>
                <w:u w:val="single"/>
              </w:rPr>
              <w:t>万</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color w:val="C00000"/>
                <w:sz w:val="21"/>
                <w:u w:val="single"/>
              </w:rPr>
              <w:t>50.00</w:t>
            </w:r>
            <w:r>
              <w:rPr>
                <w:rFonts w:hint="eastAsia" w:ascii="Calibri" w:hAnsi="宋体" w:eastAsia="宋体" w:cstheme="minorHAnsi"/>
                <w:color w:val="C00000"/>
                <w:sz w:val="21"/>
                <w:u w:val="single"/>
              </w:rPr>
              <w:t>万</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w:t>
            </w:r>
            <w:r>
              <w:rPr>
                <w:rFonts w:ascii="Calibri" w:hAnsi="宋体" w:eastAsia="宋体" w:cstheme="minorHAnsi"/>
                <w:sz w:val="21"/>
                <w:u w:val="single"/>
              </w:rPr>
              <w:t>2</w:t>
            </w:r>
            <w:r>
              <w:rPr>
                <w:rFonts w:hint="eastAsia" w:ascii="Calibri" w:hAnsi="宋体" w:eastAsia="宋体" w:cstheme="minorHAnsi"/>
                <w:sz w:val="21"/>
              </w:rPr>
              <w:t>%，由西安市公共资源交易中心代收代退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建筑业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07719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1B7BC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467CE32">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3D5E0C49">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5C0A283B">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0CB645D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47A2EE60">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509FB07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1941AC09">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3DC0236E"/>
    <w:p w14:paraId="44152FC5">
      <w:pPr>
        <w:rPr>
          <w:rFonts w:ascii="Calibri" w:hAnsi="Calibri" w:eastAsia="黑体" w:cstheme="majorBidi"/>
          <w:bCs/>
          <w:iCs/>
          <w:kern w:val="32"/>
          <w:sz w:val="28"/>
          <w:szCs w:val="28"/>
        </w:rPr>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磋商活动的所有文件、资料、函电文字均使用简体中文，确需提交用其他语言形成的资料，必须翻译成简体中文，如有差异，以简体中文为准。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1AFAE165">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1"/>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1"/>
        <w:ind w:firstLine="480"/>
      </w:pPr>
      <w:r>
        <w:rPr>
          <w:rFonts w:hint="eastAsia"/>
        </w:rPr>
        <w:t>1．不同供应商的响应文件由同一单位或者个人编制的；</w:t>
      </w:r>
    </w:p>
    <w:p w14:paraId="680072CC">
      <w:pPr>
        <w:pStyle w:val="81"/>
        <w:ind w:firstLine="480"/>
      </w:pPr>
      <w:r>
        <w:rPr>
          <w:rFonts w:hint="eastAsia"/>
        </w:rPr>
        <w:t>2．不同供应商委托同一单位或者个人办理磋商事宜的；</w:t>
      </w:r>
    </w:p>
    <w:p w14:paraId="7440E1B6">
      <w:pPr>
        <w:pStyle w:val="81"/>
        <w:ind w:firstLine="480"/>
      </w:pPr>
      <w:r>
        <w:rPr>
          <w:rFonts w:hint="eastAsia"/>
        </w:rPr>
        <w:t>3．不同供应商的响应文件载明的项目管理成员或者联系人员为同一人的；</w:t>
      </w:r>
    </w:p>
    <w:p w14:paraId="781FE8A4">
      <w:pPr>
        <w:pStyle w:val="81"/>
        <w:ind w:firstLine="480"/>
      </w:pPr>
      <w:r>
        <w:rPr>
          <w:rFonts w:hint="eastAsia"/>
        </w:rPr>
        <w:t>4．不同供应商的响应文件异常一致或者报价呈规律性差异的；</w:t>
      </w:r>
    </w:p>
    <w:p w14:paraId="3D0E3CF0">
      <w:pPr>
        <w:pStyle w:val="81"/>
        <w:ind w:firstLine="480"/>
      </w:pPr>
      <w:r>
        <w:rPr>
          <w:rFonts w:hint="eastAsia"/>
        </w:rPr>
        <w:t>5．不同供应商的响应文件相互混编或混装的。</w:t>
      </w:r>
    </w:p>
    <w:p w14:paraId="147CE1F7">
      <w:pPr>
        <w:pStyle w:val="3"/>
      </w:pPr>
      <w:r>
        <w:rPr>
          <w:rFonts w:hint="eastAsia"/>
        </w:rPr>
        <w:t>五</w:t>
      </w:r>
      <w:r>
        <w:t>、开启</w:t>
      </w:r>
    </w:p>
    <w:p w14:paraId="7E9B778B">
      <w:pPr>
        <w:pStyle w:val="81"/>
        <w:ind w:firstLine="480"/>
      </w:pPr>
      <w:r>
        <w:rPr>
          <w:rFonts w:hint="eastAsia"/>
        </w:rPr>
        <w:t>开启工作由采购代理机构组织实施，整个过程受同级政府采购监管部门的监督、管理。</w:t>
      </w:r>
    </w:p>
    <w:p w14:paraId="5994D3AC">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554DB15D">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1"/>
        <w:ind w:firstLine="480"/>
        <w:rPr>
          <w:color w:val="auto"/>
        </w:rPr>
      </w:pPr>
      <w:r>
        <w:rPr>
          <w:rFonts w:hint="eastAsia"/>
          <w:color w:val="auto"/>
        </w:rPr>
        <w:t>（3）上传</w:t>
      </w:r>
      <w:r>
        <w:rPr>
          <w:color w:val="auto"/>
        </w:rPr>
        <w:t>的电子响应文件无法正常打开的；</w:t>
      </w:r>
    </w:p>
    <w:p w14:paraId="5875F9E0">
      <w:pPr>
        <w:pStyle w:val="81"/>
        <w:ind w:firstLine="480"/>
        <w:rPr>
          <w:color w:val="auto"/>
        </w:rPr>
      </w:pPr>
      <w:r>
        <w:rPr>
          <w:rFonts w:hint="eastAsia"/>
          <w:color w:val="auto"/>
        </w:rPr>
        <w:t>（4）</w:t>
      </w:r>
      <w:r>
        <w:rPr>
          <w:color w:val="auto"/>
        </w:rPr>
        <w:t>政府采购法律法规规定的其他无效情形。</w:t>
      </w:r>
    </w:p>
    <w:p w14:paraId="76C6C5F6">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1"/>
        <w:ind w:firstLine="480"/>
      </w:pPr>
      <w:r>
        <w:rPr>
          <w:rFonts w:hint="eastAsia"/>
        </w:rPr>
        <w:t>磋商文件经确认后，磋商小组对响应文件中的供应商资格证明文件进行审查（其中供应商信用记录审查由采购人进行）。</w:t>
      </w:r>
    </w:p>
    <w:p w14:paraId="415E7DA6">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1"/>
        <w:ind w:firstLine="480"/>
      </w:pPr>
      <w:r>
        <w:rPr>
          <w:rFonts w:hint="eastAsia"/>
        </w:rPr>
        <w:t>（1）不具备磋商文件中规定的资格要求的；</w:t>
      </w:r>
    </w:p>
    <w:p w14:paraId="679D2DFA">
      <w:pPr>
        <w:pStyle w:val="81"/>
        <w:ind w:firstLine="480"/>
      </w:pPr>
      <w:r>
        <w:rPr>
          <w:rFonts w:hint="eastAsia"/>
        </w:rPr>
        <w:t>（2）未按磋商文件要求提供资格证明文件，或资格证明文件未按磋商文件要求签字、盖章的；</w:t>
      </w:r>
    </w:p>
    <w:p w14:paraId="13F9BBCC">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1"/>
        <w:ind w:firstLine="480"/>
      </w:pPr>
      <w:r>
        <w:rPr>
          <w:rFonts w:hint="eastAsia"/>
        </w:rPr>
        <w:t>（4）法律法规规定的其他无效情形。</w:t>
      </w:r>
    </w:p>
    <w:p w14:paraId="17B8864D">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或2025年度经审计的财务会计报告（成立时间至提交响应文件截止时间不足一年的可提供成立后任意时段的资产负债表）；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8389" w:type="dxa"/>
            <w:gridSpan w:val="2"/>
            <w:vAlign w:val="center"/>
          </w:tcPr>
          <w:p w14:paraId="6A597C76">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1、供应商需</w:t>
            </w:r>
            <w:r>
              <w:rPr>
                <w:rFonts w:ascii="Calibri" w:hAnsi="宋体" w:eastAsia="宋体" w:cstheme="minorHAnsi"/>
                <w:bCs/>
                <w:color w:val="C00000"/>
                <w:sz w:val="21"/>
              </w:rPr>
              <w:t>具备有效的</w:t>
            </w:r>
            <w:r>
              <w:rPr>
                <w:rFonts w:hint="eastAsia" w:ascii="Calibri" w:hAnsi="宋体" w:eastAsia="宋体" w:cstheme="minorHAnsi"/>
                <w:bCs/>
                <w:color w:val="C00000"/>
                <w:sz w:val="21"/>
              </w:rPr>
              <w:t>建设行政主管部门颁发的建筑工程施工总承包三级及以上资质同时具备有效的《安全生产许可证》，</w:t>
            </w:r>
            <w:r>
              <w:rPr>
                <w:rFonts w:ascii="Calibri" w:hAnsi="宋体" w:eastAsia="宋体" w:cstheme="minorHAnsi"/>
                <w:bCs/>
                <w:color w:val="C00000"/>
                <w:sz w:val="21"/>
              </w:rPr>
              <w:t>提供扫描件并加盖公章。</w:t>
            </w:r>
          </w:p>
          <w:p w14:paraId="185812BF">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2、</w:t>
            </w:r>
            <w:r>
              <w:rPr>
                <w:rFonts w:hint="eastAsia" w:ascii="Calibri" w:hAnsi="宋体" w:eastAsia="宋体" w:cstheme="minorHAnsi"/>
                <w:bCs/>
                <w:color w:val="C00000"/>
                <w:sz w:val="21"/>
              </w:rPr>
              <w:t>拟派项目经理具有二级及以上建造师注册证书和有效的B类安全生产考核合格证书，提供本单位缴纳的202</w:t>
            </w:r>
            <w:r>
              <w:rPr>
                <w:rFonts w:ascii="Calibri" w:hAnsi="宋体" w:eastAsia="宋体" w:cstheme="minorHAnsi"/>
                <w:bCs/>
                <w:color w:val="C00000"/>
                <w:sz w:val="21"/>
              </w:rPr>
              <w:t>4</w:t>
            </w:r>
            <w:r>
              <w:rPr>
                <w:rFonts w:hint="eastAsia" w:ascii="Calibri" w:hAnsi="宋体" w:eastAsia="宋体" w:cstheme="minorHAnsi"/>
                <w:bCs/>
                <w:color w:val="C00000"/>
                <w:sz w:val="21"/>
              </w:rPr>
              <w:t>年6月至今不少于6个月的社保证明及有效证书扫描件并加盖公章，并提供</w:t>
            </w:r>
            <w:r>
              <w:rPr>
                <w:rFonts w:ascii="Calibri" w:hAnsi="宋体" w:eastAsia="宋体" w:cstheme="minorHAnsi"/>
                <w:bCs/>
                <w:color w:val="C00000"/>
                <w:sz w:val="21"/>
              </w:rPr>
              <w:t>项目经理</w:t>
            </w:r>
            <w:r>
              <w:rPr>
                <w:rFonts w:hint="eastAsia" w:ascii="Calibri" w:hAnsi="宋体" w:eastAsia="宋体" w:cstheme="minorHAnsi"/>
                <w:bCs/>
                <w:color w:val="C00000"/>
                <w:sz w:val="21"/>
              </w:rPr>
              <w:t>无</w:t>
            </w:r>
            <w:r>
              <w:rPr>
                <w:rFonts w:ascii="Calibri" w:hAnsi="宋体" w:eastAsia="宋体" w:cstheme="minorHAnsi"/>
                <w:bCs/>
                <w:color w:val="C00000"/>
                <w:sz w:val="21"/>
              </w:rPr>
              <w:t>在建项目</w:t>
            </w:r>
            <w:r>
              <w:rPr>
                <w:rFonts w:hint="eastAsia" w:ascii="Calibri" w:hAnsi="宋体" w:eastAsia="宋体" w:cstheme="minorHAnsi"/>
                <w:bCs/>
                <w:color w:val="C00000"/>
                <w:sz w:val="21"/>
              </w:rPr>
              <w:t>承诺书</w:t>
            </w:r>
            <w:r>
              <w:rPr>
                <w:rFonts w:ascii="Calibri" w:hAnsi="宋体" w:eastAsia="宋体" w:cstheme="minorHAnsi"/>
                <w:bCs/>
                <w:color w:val="C00000"/>
                <w:sz w:val="21"/>
              </w:rPr>
              <w:t>并加盖公章</w:t>
            </w:r>
            <w:r>
              <w:rPr>
                <w:rFonts w:hint="eastAsia" w:ascii="Calibri" w:hAnsi="宋体" w:eastAsia="宋体" w:cstheme="minorHAnsi"/>
                <w:bCs/>
                <w:color w:val="C00000"/>
                <w:sz w:val="21"/>
              </w:rPr>
              <w:t>。</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270D6FB0">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5CC9CFE5">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14:paraId="115807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tcBorders>
              <w:top w:val="single" w:color="auto" w:sz="12" w:space="0"/>
              <w:bottom w:val="single" w:color="auto" w:sz="2" w:space="0"/>
            </w:tcBorders>
            <w:shd w:val="clear" w:color="auto" w:fill="F1F1F1" w:themeFill="background1" w:themeFillShade="F2"/>
            <w:vAlign w:val="center"/>
          </w:tcPr>
          <w:p w14:paraId="426DE3D8">
            <w:pPr>
              <w:spacing w:line="320" w:lineRule="exact"/>
              <w:jc w:val="center"/>
              <w:rPr>
                <w:rFonts w:cstheme="minorHAnsi"/>
                <w:b/>
                <w:bCs/>
                <w:sz w:val="21"/>
                <w:szCs w:val="21"/>
              </w:rPr>
            </w:pPr>
            <w:r>
              <w:rPr>
                <w:rFonts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0CCAB1DC">
            <w:pPr>
              <w:spacing w:line="320" w:lineRule="exact"/>
              <w:jc w:val="center"/>
              <w:rPr>
                <w:rFonts w:cstheme="minorHAnsi"/>
                <w:b/>
                <w:bCs/>
                <w:sz w:val="21"/>
                <w:szCs w:val="21"/>
              </w:rPr>
            </w:pPr>
            <w:r>
              <w:rPr>
                <w:rFonts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14:paraId="5715F6F9">
            <w:pPr>
              <w:spacing w:line="320" w:lineRule="exact"/>
              <w:ind w:firstLine="422"/>
              <w:jc w:val="center"/>
              <w:rPr>
                <w:rFonts w:cstheme="minorHAnsi"/>
                <w:b/>
                <w:bCs/>
                <w:sz w:val="21"/>
                <w:szCs w:val="21"/>
              </w:rPr>
            </w:pPr>
            <w:r>
              <w:rPr>
                <w:rFonts w:cstheme="minorHAnsi"/>
                <w:b/>
                <w:bCs/>
                <w:sz w:val="21"/>
                <w:szCs w:val="21"/>
              </w:rPr>
              <w:t>评审要素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00B09530">
            <w:pPr>
              <w:spacing w:line="320" w:lineRule="exact"/>
              <w:jc w:val="center"/>
              <w:rPr>
                <w:rFonts w:cstheme="minorHAnsi"/>
                <w:b/>
                <w:bCs/>
                <w:sz w:val="21"/>
                <w:szCs w:val="21"/>
              </w:rPr>
            </w:pPr>
            <w:r>
              <w:rPr>
                <w:rFonts w:cstheme="minorHAnsi"/>
                <w:b/>
                <w:bCs/>
                <w:sz w:val="21"/>
                <w:szCs w:val="21"/>
              </w:rPr>
              <w:t>备注</w:t>
            </w:r>
          </w:p>
        </w:tc>
      </w:tr>
      <w:tr w14:paraId="5E2009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tcBorders>
              <w:top w:val="single" w:color="auto" w:sz="2" w:space="0"/>
              <w:bottom w:val="single" w:color="auto" w:sz="2" w:space="0"/>
            </w:tcBorders>
            <w:shd w:val="clear" w:color="auto" w:fill="F1F1F1" w:themeFill="background1" w:themeFillShade="F2"/>
            <w:vAlign w:val="center"/>
          </w:tcPr>
          <w:p w14:paraId="7912D1BD">
            <w:pPr>
              <w:spacing w:line="320" w:lineRule="exact"/>
              <w:jc w:val="center"/>
              <w:rPr>
                <w:rFonts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62053376">
            <w:pPr>
              <w:spacing w:line="320" w:lineRule="exact"/>
              <w:jc w:val="center"/>
              <w:rPr>
                <w:rFonts w:cstheme="minorHAnsi"/>
                <w:b/>
                <w:bCs/>
                <w:sz w:val="21"/>
                <w:szCs w:val="21"/>
              </w:rPr>
            </w:pPr>
            <w:r>
              <w:rPr>
                <w:rFonts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C941865">
            <w:pPr>
              <w:spacing w:line="320" w:lineRule="exact"/>
              <w:jc w:val="center"/>
              <w:rPr>
                <w:rFonts w:cstheme="minorHAnsi"/>
                <w:b/>
                <w:bCs/>
                <w:sz w:val="21"/>
                <w:szCs w:val="21"/>
              </w:rPr>
            </w:pPr>
            <w:r>
              <w:rPr>
                <w:rFonts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14:paraId="5878D56C">
            <w:pPr>
              <w:spacing w:line="320" w:lineRule="exact"/>
              <w:ind w:firstLine="420"/>
              <w:jc w:val="center"/>
              <w:rPr>
                <w:rFonts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2EA07E75">
            <w:pPr>
              <w:spacing w:line="320" w:lineRule="exact"/>
              <w:jc w:val="center"/>
              <w:rPr>
                <w:rFonts w:cstheme="minorHAnsi"/>
                <w:bCs/>
                <w:sz w:val="21"/>
                <w:szCs w:val="21"/>
              </w:rPr>
            </w:pPr>
          </w:p>
        </w:tc>
      </w:tr>
      <w:tr w14:paraId="02FC79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tcBorders>
              <w:top w:val="single" w:color="auto" w:sz="2" w:space="0"/>
            </w:tcBorders>
            <w:shd w:val="clear" w:color="auto" w:fill="auto"/>
            <w:vAlign w:val="center"/>
          </w:tcPr>
          <w:p w14:paraId="0E155F0E">
            <w:pPr>
              <w:spacing w:line="320" w:lineRule="exact"/>
              <w:jc w:val="center"/>
              <w:rPr>
                <w:rFonts w:cs="宋体"/>
                <w:bCs/>
                <w:sz w:val="21"/>
                <w:szCs w:val="21"/>
              </w:rPr>
            </w:pPr>
            <w:r>
              <w:rPr>
                <w:rFonts w:cs="宋体"/>
                <w:b/>
                <w:sz w:val="21"/>
                <w:szCs w:val="21"/>
              </w:rPr>
              <w:t>价格</w:t>
            </w:r>
          </w:p>
        </w:tc>
        <w:tc>
          <w:tcPr>
            <w:tcW w:w="640" w:type="dxa"/>
            <w:tcBorders>
              <w:top w:val="single" w:color="auto" w:sz="2" w:space="0"/>
            </w:tcBorders>
            <w:shd w:val="clear" w:color="auto" w:fill="auto"/>
            <w:vAlign w:val="center"/>
          </w:tcPr>
          <w:p w14:paraId="64EC5D1F">
            <w:pPr>
              <w:spacing w:line="320" w:lineRule="exact"/>
              <w:jc w:val="center"/>
              <w:rPr>
                <w:rFonts w:cs="宋体"/>
                <w:bCs/>
                <w:sz w:val="21"/>
                <w:szCs w:val="21"/>
              </w:rPr>
            </w:pPr>
            <w:r>
              <w:rPr>
                <w:rFonts w:cs="宋体"/>
                <w:bCs/>
                <w:sz w:val="21"/>
                <w:szCs w:val="21"/>
              </w:rPr>
              <w:t>30</w:t>
            </w:r>
          </w:p>
        </w:tc>
        <w:tc>
          <w:tcPr>
            <w:tcW w:w="860" w:type="dxa"/>
            <w:shd w:val="clear" w:color="auto" w:fill="auto"/>
            <w:vAlign w:val="center"/>
          </w:tcPr>
          <w:p w14:paraId="5ABD6193">
            <w:pPr>
              <w:spacing w:line="320" w:lineRule="exact"/>
              <w:jc w:val="center"/>
              <w:rPr>
                <w:rFonts w:cs="宋体"/>
                <w:bCs/>
                <w:sz w:val="21"/>
                <w:szCs w:val="21"/>
              </w:rPr>
            </w:pPr>
            <w:r>
              <w:rPr>
                <w:rFonts w:cs="宋体"/>
                <w:bCs/>
                <w:sz w:val="21"/>
                <w:szCs w:val="21"/>
              </w:rPr>
              <w:t>30</w:t>
            </w:r>
          </w:p>
        </w:tc>
        <w:tc>
          <w:tcPr>
            <w:tcW w:w="5809" w:type="dxa"/>
            <w:tcBorders>
              <w:top w:val="single" w:color="auto" w:sz="2" w:space="0"/>
            </w:tcBorders>
            <w:shd w:val="clear" w:color="auto" w:fill="auto"/>
            <w:vAlign w:val="center"/>
          </w:tcPr>
          <w:p w14:paraId="2E553326">
            <w:pPr>
              <w:tabs>
                <w:tab w:val="left" w:pos="547"/>
              </w:tabs>
              <w:spacing w:line="320" w:lineRule="exact"/>
              <w:ind w:firstLine="420"/>
              <w:jc w:val="both"/>
              <w:rPr>
                <w:rFonts w:cs="宋体"/>
                <w:sz w:val="21"/>
                <w:szCs w:val="21"/>
              </w:rPr>
            </w:pPr>
            <w:r>
              <w:rPr>
                <w:rFonts w:hint="eastAsia" w:ascii="Calibri" w:hAnsi="宋体" w:eastAsia="宋体" w:cs="宋体"/>
                <w:sz w:val="21"/>
                <w:szCs w:val="21"/>
              </w:rPr>
              <w:t>满足磋商文件要求且最后报价最低的供应商的价格为磋商基准价得</w:t>
            </w:r>
            <w:r>
              <w:rPr>
                <w:rFonts w:ascii="Calibri" w:hAnsi="宋体" w:eastAsia="宋体" w:cs="宋体"/>
                <w:sz w:val="21"/>
                <w:szCs w:val="21"/>
              </w:rPr>
              <w:t>3</w:t>
            </w:r>
            <w:r>
              <w:rPr>
                <w:rFonts w:hint="eastAsia" w:ascii="Calibri" w:hAnsi="宋体" w:eastAsia="宋体" w:cs="宋体"/>
                <w:sz w:val="21"/>
                <w:szCs w:val="21"/>
              </w:rPr>
              <w:t>0分，其他各供应商的最后报价得分按下列公式计算：（磋商基准价/最后磋商报价）×</w:t>
            </w:r>
            <w:r>
              <w:rPr>
                <w:rFonts w:ascii="Calibri" w:hAnsi="宋体" w:eastAsia="宋体" w:cs="宋体"/>
                <w:sz w:val="21"/>
                <w:szCs w:val="21"/>
              </w:rPr>
              <w:t>3</w:t>
            </w:r>
            <w:r>
              <w:rPr>
                <w:rFonts w:hint="eastAsia" w:ascii="Calibri" w:hAnsi="宋体" w:eastAsia="宋体" w:cs="宋体"/>
                <w:sz w:val="21"/>
                <w:szCs w:val="21"/>
              </w:rPr>
              <w:t>0％×100。</w:t>
            </w:r>
          </w:p>
        </w:tc>
        <w:tc>
          <w:tcPr>
            <w:tcW w:w="1418" w:type="dxa"/>
            <w:tcBorders>
              <w:top w:val="single" w:color="auto" w:sz="2" w:space="0"/>
            </w:tcBorders>
            <w:shd w:val="clear" w:color="auto" w:fill="auto"/>
            <w:vAlign w:val="center"/>
          </w:tcPr>
          <w:p w14:paraId="1597FE1E">
            <w:pPr>
              <w:spacing w:line="320" w:lineRule="exact"/>
              <w:rPr>
                <w:rFonts w:cs="宋体"/>
                <w:bCs/>
                <w:color w:val="FF0000"/>
                <w:sz w:val="21"/>
                <w:szCs w:val="21"/>
              </w:rPr>
            </w:pPr>
          </w:p>
        </w:tc>
      </w:tr>
      <w:tr w14:paraId="49C3C4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14:paraId="2ABCAB62">
            <w:pPr>
              <w:spacing w:line="320" w:lineRule="exact"/>
              <w:jc w:val="center"/>
              <w:rPr>
                <w:rFonts w:cs="宋体"/>
                <w:bCs/>
                <w:sz w:val="21"/>
                <w:szCs w:val="21"/>
              </w:rPr>
            </w:pPr>
            <w:r>
              <w:rPr>
                <w:rFonts w:cs="宋体"/>
                <w:bCs/>
                <w:sz w:val="21"/>
                <w:szCs w:val="21"/>
              </w:rPr>
              <w:t>技术</w:t>
            </w:r>
          </w:p>
          <w:p w14:paraId="2307A945">
            <w:pPr>
              <w:spacing w:line="320" w:lineRule="exact"/>
              <w:jc w:val="center"/>
              <w:rPr>
                <w:rFonts w:cs="宋体"/>
                <w:b/>
                <w:sz w:val="21"/>
                <w:szCs w:val="21"/>
              </w:rPr>
            </w:pPr>
            <w:r>
              <w:rPr>
                <w:rFonts w:cs="宋体"/>
                <w:bCs/>
                <w:sz w:val="21"/>
                <w:szCs w:val="21"/>
              </w:rPr>
              <w:t>部分</w:t>
            </w:r>
          </w:p>
        </w:tc>
        <w:tc>
          <w:tcPr>
            <w:tcW w:w="640" w:type="dxa"/>
            <w:vMerge w:val="restart"/>
            <w:shd w:val="clear" w:color="auto" w:fill="auto"/>
            <w:vAlign w:val="center"/>
          </w:tcPr>
          <w:p w14:paraId="77F57E4D">
            <w:pPr>
              <w:spacing w:line="320" w:lineRule="exact"/>
              <w:jc w:val="center"/>
              <w:rPr>
                <w:rFonts w:cs="宋体"/>
                <w:bCs/>
                <w:sz w:val="21"/>
                <w:szCs w:val="21"/>
              </w:rPr>
            </w:pPr>
            <w:r>
              <w:rPr>
                <w:rFonts w:cs="宋体"/>
                <w:bCs/>
                <w:sz w:val="21"/>
                <w:szCs w:val="21"/>
              </w:rPr>
              <w:t>60</w:t>
            </w:r>
          </w:p>
        </w:tc>
        <w:tc>
          <w:tcPr>
            <w:tcW w:w="860" w:type="dxa"/>
            <w:shd w:val="clear" w:color="auto" w:fill="auto"/>
            <w:vAlign w:val="center"/>
          </w:tcPr>
          <w:p w14:paraId="1FFB3FB1">
            <w:pPr>
              <w:spacing w:line="320" w:lineRule="exact"/>
              <w:jc w:val="center"/>
              <w:rPr>
                <w:rFonts w:cs="宋体"/>
                <w:bCs/>
                <w:sz w:val="21"/>
                <w:szCs w:val="21"/>
              </w:rPr>
            </w:pPr>
            <w:r>
              <w:rPr>
                <w:rFonts w:cs="宋体"/>
                <w:bCs/>
                <w:sz w:val="21"/>
                <w:szCs w:val="21"/>
              </w:rPr>
              <w:t>18</w:t>
            </w:r>
          </w:p>
        </w:tc>
        <w:tc>
          <w:tcPr>
            <w:tcW w:w="5809" w:type="dxa"/>
            <w:tcBorders>
              <w:top w:val="single" w:color="auto" w:sz="2" w:space="0"/>
            </w:tcBorders>
            <w:shd w:val="clear" w:color="auto" w:fill="auto"/>
            <w:vAlign w:val="center"/>
          </w:tcPr>
          <w:p w14:paraId="04C73C8D">
            <w:pPr>
              <w:spacing w:line="320" w:lineRule="exact"/>
              <w:ind w:firstLine="420" w:firstLineChars="200"/>
              <w:rPr>
                <w:rFonts w:cs="Calibri"/>
                <w:b/>
                <w:color w:val="C00000"/>
                <w:kern w:val="2"/>
                <w:sz w:val="21"/>
                <w:szCs w:val="21"/>
              </w:rPr>
            </w:pPr>
            <w:r>
              <w:rPr>
                <w:rFonts w:ascii="宋体" w:hAnsi="宋体" w:eastAsia="宋体" w:cs="宋体"/>
                <w:b/>
                <w:bCs/>
                <w:color w:val="C00000"/>
                <w:sz w:val="21"/>
                <w:szCs w:val="21"/>
                <w:lang w:bidi="ar"/>
              </w:rPr>
              <w:t>施工方案及技术措施</w:t>
            </w:r>
            <w:r>
              <w:rPr>
                <w:rFonts w:cs="Calibri"/>
                <w:b/>
                <w:color w:val="C00000"/>
                <w:kern w:val="2"/>
                <w:sz w:val="21"/>
                <w:szCs w:val="21"/>
              </w:rPr>
              <w:t>：</w:t>
            </w:r>
          </w:p>
          <w:p w14:paraId="6A6A9921">
            <w:pPr>
              <w:tabs>
                <w:tab w:val="left" w:pos="547"/>
              </w:tabs>
              <w:autoSpaceDE w:val="0"/>
              <w:autoSpaceDN w:val="0"/>
              <w:adjustRightInd w:val="0"/>
              <w:spacing w:line="380" w:lineRule="exact"/>
              <w:rPr>
                <w:rFonts w:ascii="仿宋" w:hAnsi="仿宋" w:eastAsia="仿宋" w:cs="仿宋"/>
                <w:b/>
              </w:rPr>
            </w:pPr>
            <w:r>
              <w:rPr>
                <w:rFonts w:ascii="仿宋" w:hAnsi="仿宋" w:eastAsia="仿宋" w:cs="仿宋"/>
                <w:b/>
              </w:rPr>
              <w:t>一、</w:t>
            </w:r>
            <w:r>
              <w:rPr>
                <w:rFonts w:hint="eastAsia" w:ascii="仿宋" w:hAnsi="仿宋" w:eastAsia="仿宋" w:cs="仿宋"/>
                <w:b/>
              </w:rPr>
              <w:t>评审内容</w:t>
            </w:r>
          </w:p>
          <w:p w14:paraId="168171C4">
            <w:pPr>
              <w:tabs>
                <w:tab w:val="left" w:pos="547"/>
              </w:tabs>
              <w:autoSpaceDE w:val="0"/>
              <w:autoSpaceDN w:val="0"/>
              <w:adjustRightInd w:val="0"/>
              <w:spacing w:line="380" w:lineRule="exact"/>
              <w:ind w:firstLine="420" w:firstLineChars="200"/>
              <w:rPr>
                <w:rFonts w:ascii="宋体" w:hAnsi="宋体" w:eastAsia="宋体" w:cs="宋体"/>
                <w:color w:val="000000"/>
                <w:sz w:val="21"/>
                <w:szCs w:val="21"/>
                <w:lang w:bidi="ar"/>
              </w:rPr>
            </w:pPr>
            <w:r>
              <w:rPr>
                <w:rFonts w:ascii="宋体" w:hAnsi="宋体" w:eastAsia="宋体" w:cs="宋体"/>
                <w:color w:val="000000"/>
                <w:sz w:val="21"/>
                <w:szCs w:val="21"/>
                <w:lang w:bidi="ar"/>
              </w:rPr>
              <w:t>供应商提供本项目施工方案，包含：</w:t>
            </w:r>
            <w:r>
              <w:rPr>
                <w:rFonts w:hint="eastAsia" w:ascii="宋体" w:hAnsi="宋体" w:eastAsia="宋体" w:cs="宋体"/>
                <w:color w:val="000000"/>
                <w:sz w:val="21"/>
                <w:szCs w:val="21"/>
                <w:lang w:bidi="ar"/>
              </w:rPr>
              <w:t>①</w:t>
            </w:r>
            <w:r>
              <w:rPr>
                <w:rFonts w:ascii="宋体" w:hAnsi="宋体" w:eastAsia="宋体" w:cs="宋体"/>
                <w:color w:val="000000"/>
                <w:sz w:val="21"/>
                <w:szCs w:val="21"/>
                <w:lang w:bidi="ar"/>
              </w:rPr>
              <w:t>施工工艺；②施工方法；</w:t>
            </w:r>
            <w:r>
              <w:rPr>
                <w:rFonts w:hint="eastAsia" w:ascii="宋体" w:hAnsi="宋体" w:eastAsia="宋体" w:cs="宋体"/>
                <w:color w:val="000000"/>
                <w:sz w:val="21"/>
                <w:szCs w:val="21"/>
                <w:lang w:bidi="ar"/>
              </w:rPr>
              <w:t>③</w:t>
            </w:r>
            <w:r>
              <w:rPr>
                <w:rFonts w:ascii="宋体" w:hAnsi="宋体" w:eastAsia="宋体" w:cs="宋体"/>
                <w:color w:val="000000"/>
                <w:sz w:val="21"/>
                <w:szCs w:val="21"/>
                <w:lang w:bidi="ar"/>
              </w:rPr>
              <w:t>技术措施。</w:t>
            </w:r>
          </w:p>
          <w:p w14:paraId="7EF61975">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423B929E">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1、完整性：方案须全面，对评审内容中的要求有详细描述及说明；</w:t>
            </w:r>
          </w:p>
          <w:p w14:paraId="02748DA5">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2、可实施性：切合本项目实际情况，实施步骤清晰、合理；</w:t>
            </w:r>
          </w:p>
          <w:p w14:paraId="4C6AA90A">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3、针对性：方案能够紧扣项目实际情况，内容科学合理。</w:t>
            </w:r>
          </w:p>
          <w:p w14:paraId="32E3C405">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18</w:t>
            </w:r>
            <w:r>
              <w:rPr>
                <w:rFonts w:hint="eastAsia" w:ascii="仿宋" w:hAnsi="仿宋" w:eastAsia="仿宋" w:cs="仿宋"/>
                <w:b/>
              </w:rPr>
              <w:t>分）</w:t>
            </w:r>
          </w:p>
          <w:p w14:paraId="66E3C70F">
            <w:pPr>
              <w:tabs>
                <w:tab w:val="left" w:pos="547"/>
              </w:tabs>
              <w:autoSpaceDE w:val="0"/>
              <w:autoSpaceDN w:val="0"/>
              <w:adjustRightInd w:val="0"/>
              <w:spacing w:line="380" w:lineRule="exact"/>
              <w:ind w:firstLine="420" w:firstLineChars="200"/>
              <w:rPr>
                <w:rFonts w:ascii="宋体" w:hAnsi="宋体" w:eastAsia="宋体" w:cs="宋体"/>
                <w:color w:val="000000"/>
                <w:sz w:val="21"/>
                <w:szCs w:val="21"/>
                <w:lang w:bidi="ar"/>
              </w:rPr>
            </w:pPr>
            <w:r>
              <w:rPr>
                <w:rFonts w:hint="eastAsia" w:ascii="宋体" w:hAnsi="宋体" w:eastAsia="宋体" w:cs="宋体"/>
                <w:color w:val="000000"/>
                <w:sz w:val="21"/>
                <w:szCs w:val="21"/>
                <w:lang w:bidi="ar"/>
              </w:rPr>
              <w:t>①</w:t>
            </w:r>
            <w:r>
              <w:rPr>
                <w:rFonts w:ascii="宋体" w:hAnsi="宋体" w:eastAsia="宋体" w:cs="宋体"/>
                <w:color w:val="000000"/>
                <w:sz w:val="21"/>
                <w:szCs w:val="21"/>
                <w:lang w:bidi="ar"/>
              </w:rPr>
              <w:t>施工工艺：每满足一个评审标准得2分</w:t>
            </w:r>
            <w:r>
              <w:rPr>
                <w:rFonts w:hint="eastAsia" w:ascii="宋体" w:hAnsi="宋体" w:eastAsia="宋体" w:cs="宋体"/>
                <w:color w:val="000000"/>
                <w:sz w:val="21"/>
                <w:szCs w:val="21"/>
                <w:lang w:bidi="ar"/>
              </w:rPr>
              <w:t>，不满足得0分，满分</w:t>
            </w:r>
            <w:r>
              <w:rPr>
                <w:rFonts w:ascii="宋体" w:hAnsi="宋体" w:eastAsia="宋体" w:cs="宋体"/>
                <w:color w:val="000000"/>
                <w:sz w:val="21"/>
                <w:szCs w:val="21"/>
                <w:lang w:bidi="ar"/>
              </w:rPr>
              <w:t>6</w:t>
            </w:r>
            <w:r>
              <w:rPr>
                <w:rFonts w:hint="eastAsia" w:ascii="宋体" w:hAnsi="宋体" w:eastAsia="宋体" w:cs="宋体"/>
                <w:color w:val="000000"/>
                <w:sz w:val="21"/>
                <w:szCs w:val="21"/>
                <w:lang w:bidi="ar"/>
              </w:rPr>
              <w:t>分</w:t>
            </w:r>
            <w:r>
              <w:rPr>
                <w:rFonts w:ascii="宋体" w:hAnsi="宋体" w:eastAsia="宋体" w:cs="宋体"/>
                <w:color w:val="000000"/>
                <w:sz w:val="21"/>
                <w:szCs w:val="21"/>
                <w:lang w:bidi="ar"/>
              </w:rPr>
              <w:t>；</w:t>
            </w:r>
          </w:p>
          <w:p w14:paraId="4B588315">
            <w:pPr>
              <w:tabs>
                <w:tab w:val="left" w:pos="547"/>
              </w:tabs>
              <w:autoSpaceDE w:val="0"/>
              <w:autoSpaceDN w:val="0"/>
              <w:adjustRightInd w:val="0"/>
              <w:spacing w:line="380" w:lineRule="exact"/>
              <w:ind w:firstLine="420" w:firstLineChars="200"/>
              <w:rPr>
                <w:rFonts w:ascii="宋体" w:hAnsi="宋体" w:eastAsia="宋体" w:cs="宋体"/>
                <w:color w:val="000000"/>
                <w:sz w:val="21"/>
                <w:szCs w:val="21"/>
                <w:lang w:bidi="ar"/>
              </w:rPr>
            </w:pPr>
            <w:r>
              <w:rPr>
                <w:rFonts w:hint="eastAsia" w:ascii="宋体" w:hAnsi="宋体" w:eastAsia="宋体" w:cs="宋体"/>
                <w:color w:val="000000"/>
                <w:sz w:val="21"/>
                <w:szCs w:val="21"/>
                <w:lang w:bidi="ar"/>
              </w:rPr>
              <w:t>②</w:t>
            </w:r>
            <w:r>
              <w:rPr>
                <w:rFonts w:ascii="宋体" w:hAnsi="宋体" w:eastAsia="宋体" w:cs="宋体"/>
                <w:color w:val="000000"/>
                <w:sz w:val="21"/>
                <w:szCs w:val="21"/>
                <w:lang w:bidi="ar"/>
              </w:rPr>
              <w:t>施工方法</w:t>
            </w:r>
            <w:r>
              <w:rPr>
                <w:rFonts w:hint="eastAsia" w:ascii="宋体" w:hAnsi="宋体" w:eastAsia="宋体" w:cs="宋体"/>
                <w:color w:val="000000"/>
                <w:sz w:val="21"/>
                <w:szCs w:val="21"/>
                <w:lang w:bidi="ar"/>
              </w:rPr>
              <w:t>：</w:t>
            </w:r>
            <w:r>
              <w:rPr>
                <w:rFonts w:ascii="宋体" w:hAnsi="宋体" w:eastAsia="宋体" w:cs="宋体"/>
                <w:color w:val="000000"/>
                <w:sz w:val="21"/>
                <w:szCs w:val="21"/>
                <w:lang w:bidi="ar"/>
              </w:rPr>
              <w:t>每满足一个评审标准得2分</w:t>
            </w:r>
            <w:r>
              <w:rPr>
                <w:rFonts w:hint="eastAsia" w:ascii="宋体" w:hAnsi="宋体" w:eastAsia="宋体" w:cs="宋体"/>
                <w:color w:val="000000"/>
                <w:sz w:val="21"/>
                <w:szCs w:val="21"/>
                <w:lang w:bidi="ar"/>
              </w:rPr>
              <w:t>，不满足得0分，满分</w:t>
            </w:r>
            <w:r>
              <w:rPr>
                <w:rFonts w:ascii="宋体" w:hAnsi="宋体" w:eastAsia="宋体" w:cs="宋体"/>
                <w:color w:val="000000"/>
                <w:sz w:val="21"/>
                <w:szCs w:val="21"/>
                <w:lang w:bidi="ar"/>
              </w:rPr>
              <w:t>6</w:t>
            </w:r>
            <w:r>
              <w:rPr>
                <w:rFonts w:hint="eastAsia" w:ascii="宋体" w:hAnsi="宋体" w:eastAsia="宋体" w:cs="宋体"/>
                <w:color w:val="000000"/>
                <w:sz w:val="21"/>
                <w:szCs w:val="21"/>
                <w:lang w:bidi="ar"/>
              </w:rPr>
              <w:t>分</w:t>
            </w:r>
            <w:r>
              <w:rPr>
                <w:rFonts w:ascii="宋体" w:hAnsi="宋体" w:eastAsia="宋体" w:cs="宋体"/>
                <w:color w:val="000000"/>
                <w:sz w:val="21"/>
                <w:szCs w:val="21"/>
                <w:lang w:bidi="ar"/>
              </w:rPr>
              <w:t>；</w:t>
            </w:r>
          </w:p>
          <w:p w14:paraId="1DA9A767">
            <w:pPr>
              <w:tabs>
                <w:tab w:val="left" w:pos="547"/>
              </w:tabs>
              <w:autoSpaceDE w:val="0"/>
              <w:autoSpaceDN w:val="0"/>
              <w:adjustRightInd w:val="0"/>
              <w:spacing w:line="380" w:lineRule="exact"/>
              <w:ind w:firstLine="420" w:firstLineChars="200"/>
              <w:rPr>
                <w:rFonts w:cs="宋体"/>
                <w:sz w:val="21"/>
                <w:szCs w:val="21"/>
              </w:rPr>
            </w:pPr>
            <w:r>
              <w:rPr>
                <w:rFonts w:hint="eastAsia" w:ascii="宋体" w:hAnsi="宋体" w:eastAsia="宋体" w:cs="宋体"/>
                <w:color w:val="000000"/>
                <w:sz w:val="21"/>
                <w:szCs w:val="21"/>
                <w:lang w:bidi="ar"/>
              </w:rPr>
              <w:t>③</w:t>
            </w:r>
            <w:r>
              <w:rPr>
                <w:rFonts w:ascii="宋体" w:hAnsi="宋体" w:eastAsia="宋体" w:cs="宋体"/>
                <w:color w:val="000000"/>
                <w:sz w:val="21"/>
                <w:szCs w:val="21"/>
                <w:lang w:bidi="ar"/>
              </w:rPr>
              <w:t>技术措施</w:t>
            </w:r>
            <w:r>
              <w:rPr>
                <w:rFonts w:hint="eastAsia" w:ascii="宋体" w:hAnsi="宋体" w:eastAsia="宋体" w:cs="宋体"/>
                <w:color w:val="000000"/>
                <w:sz w:val="21"/>
                <w:szCs w:val="21"/>
                <w:lang w:bidi="ar"/>
              </w:rPr>
              <w:t>：</w:t>
            </w:r>
            <w:r>
              <w:rPr>
                <w:rFonts w:ascii="宋体" w:hAnsi="宋体" w:eastAsia="宋体" w:cs="宋体"/>
                <w:color w:val="000000"/>
                <w:sz w:val="21"/>
                <w:szCs w:val="21"/>
                <w:lang w:bidi="ar"/>
              </w:rPr>
              <w:t>每满足一个评审标准得2分</w:t>
            </w:r>
            <w:r>
              <w:rPr>
                <w:rFonts w:hint="eastAsia" w:ascii="宋体" w:hAnsi="宋体" w:eastAsia="宋体" w:cs="宋体"/>
                <w:color w:val="000000"/>
                <w:sz w:val="21"/>
                <w:szCs w:val="21"/>
                <w:lang w:bidi="ar"/>
              </w:rPr>
              <w:t>，不满足得0分，满分</w:t>
            </w:r>
            <w:r>
              <w:rPr>
                <w:rFonts w:ascii="宋体" w:hAnsi="宋体" w:eastAsia="宋体" w:cs="宋体"/>
                <w:color w:val="000000"/>
                <w:sz w:val="21"/>
                <w:szCs w:val="21"/>
                <w:lang w:bidi="ar"/>
              </w:rPr>
              <w:t>6</w:t>
            </w:r>
            <w:r>
              <w:rPr>
                <w:rFonts w:hint="eastAsia" w:ascii="宋体" w:hAnsi="宋体" w:eastAsia="宋体" w:cs="宋体"/>
                <w:color w:val="000000"/>
                <w:sz w:val="21"/>
                <w:szCs w:val="21"/>
                <w:lang w:bidi="ar"/>
              </w:rPr>
              <w:t>分</w:t>
            </w:r>
            <w:r>
              <w:rPr>
                <w:rFonts w:ascii="宋体" w:hAnsi="宋体" w:eastAsia="宋体" w:cs="宋体"/>
                <w:color w:val="000000"/>
                <w:sz w:val="21"/>
                <w:szCs w:val="21"/>
                <w:lang w:bidi="ar"/>
              </w:rPr>
              <w:t>。</w:t>
            </w:r>
          </w:p>
        </w:tc>
        <w:tc>
          <w:tcPr>
            <w:tcW w:w="1418" w:type="dxa"/>
            <w:vMerge w:val="restart"/>
            <w:shd w:val="clear" w:color="auto" w:fill="auto"/>
            <w:vAlign w:val="center"/>
          </w:tcPr>
          <w:p w14:paraId="1087EE0B">
            <w:pPr>
              <w:spacing w:line="320" w:lineRule="exact"/>
              <w:rPr>
                <w:rFonts w:cs="宋体"/>
                <w:bCs/>
                <w:color w:val="FF0000"/>
                <w:sz w:val="21"/>
                <w:szCs w:val="21"/>
              </w:rPr>
            </w:pPr>
          </w:p>
        </w:tc>
      </w:tr>
      <w:tr w14:paraId="04BD66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7651B9C4">
            <w:pPr>
              <w:spacing w:line="320" w:lineRule="exact"/>
              <w:jc w:val="center"/>
              <w:rPr>
                <w:rFonts w:cs="宋体"/>
                <w:bCs/>
                <w:sz w:val="21"/>
                <w:szCs w:val="21"/>
              </w:rPr>
            </w:pPr>
          </w:p>
        </w:tc>
        <w:tc>
          <w:tcPr>
            <w:tcW w:w="640" w:type="dxa"/>
            <w:vMerge w:val="continue"/>
            <w:shd w:val="clear" w:color="auto" w:fill="auto"/>
            <w:vAlign w:val="center"/>
          </w:tcPr>
          <w:p w14:paraId="3850900F">
            <w:pPr>
              <w:spacing w:line="320" w:lineRule="exact"/>
              <w:jc w:val="center"/>
              <w:rPr>
                <w:rFonts w:cs="宋体"/>
                <w:bCs/>
                <w:sz w:val="21"/>
                <w:szCs w:val="21"/>
              </w:rPr>
            </w:pPr>
          </w:p>
        </w:tc>
        <w:tc>
          <w:tcPr>
            <w:tcW w:w="860" w:type="dxa"/>
            <w:shd w:val="clear" w:color="auto" w:fill="auto"/>
            <w:vAlign w:val="center"/>
          </w:tcPr>
          <w:p w14:paraId="05B37308">
            <w:pPr>
              <w:spacing w:line="320" w:lineRule="exact"/>
              <w:jc w:val="center"/>
              <w:rPr>
                <w:rFonts w:cs="宋体"/>
                <w:bCs/>
                <w:sz w:val="21"/>
                <w:szCs w:val="21"/>
              </w:rPr>
            </w:pPr>
            <w:r>
              <w:rPr>
                <w:rFonts w:cs="宋体"/>
                <w:bCs/>
                <w:sz w:val="21"/>
                <w:szCs w:val="21"/>
              </w:rPr>
              <w:t>3</w:t>
            </w:r>
          </w:p>
        </w:tc>
        <w:tc>
          <w:tcPr>
            <w:tcW w:w="5809" w:type="dxa"/>
            <w:tcBorders>
              <w:top w:val="single" w:color="auto" w:sz="2" w:space="0"/>
            </w:tcBorders>
            <w:shd w:val="clear" w:color="auto" w:fill="auto"/>
            <w:vAlign w:val="center"/>
          </w:tcPr>
          <w:p w14:paraId="5050BCBE">
            <w:pPr>
              <w:spacing w:line="320" w:lineRule="exact"/>
              <w:ind w:firstLine="420" w:firstLineChars="200"/>
              <w:rPr>
                <w:rFonts w:cs="Calibri"/>
                <w:b/>
                <w:color w:val="C00000"/>
                <w:kern w:val="2"/>
                <w:sz w:val="21"/>
                <w:szCs w:val="21"/>
              </w:rPr>
            </w:pPr>
            <w:r>
              <w:rPr>
                <w:rFonts w:cs="Calibri"/>
                <w:b/>
                <w:color w:val="C00000"/>
                <w:kern w:val="2"/>
                <w:sz w:val="21"/>
                <w:szCs w:val="21"/>
              </w:rPr>
              <w:t>质量保证管理体系与措施</w:t>
            </w:r>
            <w:r>
              <w:rPr>
                <w:rFonts w:hint="eastAsia" w:cs="Calibri"/>
                <w:b/>
                <w:color w:val="C00000"/>
                <w:kern w:val="2"/>
                <w:sz w:val="21"/>
                <w:szCs w:val="21"/>
              </w:rPr>
              <w:t>：</w:t>
            </w:r>
          </w:p>
          <w:p w14:paraId="44659FC3">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09AED469">
            <w:pPr>
              <w:tabs>
                <w:tab w:val="left" w:pos="547"/>
              </w:tabs>
              <w:spacing w:line="320" w:lineRule="exact"/>
              <w:ind w:firstLine="420"/>
              <w:rPr>
                <w:rFonts w:cs="宋体"/>
                <w:sz w:val="21"/>
                <w:szCs w:val="21"/>
              </w:rPr>
            </w:pPr>
            <w:r>
              <w:rPr>
                <w:rFonts w:ascii="宋体" w:hAnsi="宋体" w:eastAsia="宋体" w:cs="宋体"/>
                <w:color w:val="000000"/>
                <w:sz w:val="21"/>
                <w:szCs w:val="21"/>
                <w:lang w:bidi="ar"/>
              </w:rPr>
              <w:t>供应商提供针对本项目的质量管理方案，包含：①质量管理体系；②质量保证措施。</w:t>
            </w:r>
          </w:p>
          <w:p w14:paraId="13176816">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0400C05B">
            <w:pPr>
              <w:tabs>
                <w:tab w:val="left" w:pos="547"/>
              </w:tabs>
              <w:spacing w:line="320" w:lineRule="exact"/>
              <w:ind w:firstLine="420"/>
              <w:rPr>
                <w:rFonts w:cs="宋体"/>
                <w:sz w:val="21"/>
                <w:szCs w:val="21"/>
              </w:rPr>
            </w:pPr>
            <w:r>
              <w:rPr>
                <w:rFonts w:hint="eastAsia" w:cs="宋体"/>
                <w:sz w:val="21"/>
                <w:szCs w:val="21"/>
              </w:rPr>
              <w:t>1.完整性：方案须全面，对评审内容中的各项要求有详细描述及说明；</w:t>
            </w:r>
          </w:p>
          <w:p w14:paraId="2BE0048E">
            <w:pPr>
              <w:tabs>
                <w:tab w:val="left" w:pos="547"/>
              </w:tabs>
              <w:spacing w:line="320" w:lineRule="exact"/>
              <w:ind w:firstLine="420"/>
              <w:rPr>
                <w:rFonts w:cs="宋体"/>
                <w:sz w:val="21"/>
                <w:szCs w:val="21"/>
              </w:rPr>
            </w:pPr>
            <w:r>
              <w:rPr>
                <w:rFonts w:hint="eastAsia" w:cs="宋体"/>
                <w:sz w:val="21"/>
                <w:szCs w:val="21"/>
              </w:rPr>
              <w:t>2.可实施性：切合本项目实际情况，实施步骤清晰、合理；</w:t>
            </w:r>
          </w:p>
          <w:p w14:paraId="4C1B767B">
            <w:pPr>
              <w:tabs>
                <w:tab w:val="left" w:pos="547"/>
              </w:tabs>
              <w:spacing w:line="320" w:lineRule="exact"/>
              <w:ind w:firstLine="420"/>
              <w:rPr>
                <w:rFonts w:cs="宋体"/>
                <w:sz w:val="21"/>
                <w:szCs w:val="21"/>
              </w:rPr>
            </w:pPr>
            <w:r>
              <w:rPr>
                <w:rFonts w:hint="eastAsia" w:cs="宋体"/>
                <w:sz w:val="21"/>
                <w:szCs w:val="21"/>
              </w:rPr>
              <w:t>3.针对性：方案能够紧扣项目实际情况，内容科学合理；</w:t>
            </w:r>
          </w:p>
          <w:p w14:paraId="549D1DAE">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3</w:t>
            </w:r>
            <w:r>
              <w:rPr>
                <w:rFonts w:hint="eastAsia" w:ascii="仿宋" w:hAnsi="仿宋" w:eastAsia="仿宋" w:cs="仿宋"/>
                <w:b/>
              </w:rPr>
              <w:t>分）</w:t>
            </w:r>
          </w:p>
          <w:p w14:paraId="2A88839D">
            <w:pPr>
              <w:tabs>
                <w:tab w:val="left" w:pos="547"/>
              </w:tabs>
              <w:autoSpaceDE w:val="0"/>
              <w:autoSpaceDN w:val="0"/>
              <w:adjustRightInd w:val="0"/>
              <w:spacing w:line="380" w:lineRule="exact"/>
              <w:ind w:firstLine="420" w:firstLineChars="200"/>
              <w:rPr>
                <w:rFonts w:ascii="宋体" w:hAnsi="宋体" w:eastAsia="宋体" w:cs="宋体"/>
                <w:color w:val="000000"/>
                <w:sz w:val="21"/>
                <w:szCs w:val="21"/>
                <w:lang w:bidi="ar"/>
              </w:rPr>
            </w:pPr>
            <w:r>
              <w:rPr>
                <w:rFonts w:hint="eastAsia" w:ascii="宋体" w:hAnsi="宋体" w:eastAsia="宋体" w:cs="宋体"/>
                <w:color w:val="000000"/>
                <w:sz w:val="21"/>
                <w:szCs w:val="21"/>
                <w:lang w:bidi="ar"/>
              </w:rPr>
              <w:t>①</w:t>
            </w:r>
            <w:r>
              <w:rPr>
                <w:rFonts w:ascii="宋体" w:hAnsi="宋体" w:eastAsia="宋体" w:cs="宋体"/>
                <w:color w:val="000000"/>
                <w:sz w:val="21"/>
                <w:szCs w:val="21"/>
                <w:lang w:bidi="ar"/>
              </w:rPr>
              <w:t>质量管理体系：每满足一个评审标准得0.5分</w:t>
            </w:r>
            <w:r>
              <w:rPr>
                <w:rFonts w:hint="eastAsia" w:ascii="宋体" w:hAnsi="宋体" w:eastAsia="宋体" w:cs="宋体"/>
                <w:color w:val="000000"/>
                <w:sz w:val="21"/>
                <w:szCs w:val="21"/>
                <w:lang w:bidi="ar"/>
              </w:rPr>
              <w:t>，不满足得0分，满分</w:t>
            </w:r>
            <w:r>
              <w:rPr>
                <w:rFonts w:ascii="宋体" w:hAnsi="宋体" w:eastAsia="宋体" w:cs="宋体"/>
                <w:color w:val="000000"/>
                <w:sz w:val="21"/>
                <w:szCs w:val="21"/>
                <w:lang w:bidi="ar"/>
              </w:rPr>
              <w:t>1.5</w:t>
            </w:r>
            <w:r>
              <w:rPr>
                <w:rFonts w:hint="eastAsia" w:ascii="宋体" w:hAnsi="宋体" w:eastAsia="宋体" w:cs="宋体"/>
                <w:color w:val="000000"/>
                <w:sz w:val="21"/>
                <w:szCs w:val="21"/>
                <w:lang w:bidi="ar"/>
              </w:rPr>
              <w:t>分</w:t>
            </w:r>
            <w:r>
              <w:rPr>
                <w:rFonts w:ascii="宋体" w:hAnsi="宋体" w:eastAsia="宋体" w:cs="宋体"/>
                <w:color w:val="000000"/>
                <w:sz w:val="21"/>
                <w:szCs w:val="21"/>
                <w:lang w:bidi="ar"/>
              </w:rPr>
              <w:t>；</w:t>
            </w:r>
          </w:p>
          <w:p w14:paraId="522DEAFC">
            <w:pPr>
              <w:tabs>
                <w:tab w:val="left" w:pos="547"/>
              </w:tabs>
              <w:autoSpaceDE w:val="0"/>
              <w:autoSpaceDN w:val="0"/>
              <w:adjustRightInd w:val="0"/>
              <w:spacing w:line="380" w:lineRule="exact"/>
              <w:ind w:firstLine="420" w:firstLineChars="200"/>
              <w:rPr>
                <w:rFonts w:cs="Calibri"/>
                <w:b/>
                <w:color w:val="C00000"/>
                <w:kern w:val="2"/>
                <w:sz w:val="21"/>
                <w:szCs w:val="21"/>
              </w:rPr>
            </w:pPr>
            <w:r>
              <w:rPr>
                <w:rFonts w:ascii="宋体" w:hAnsi="宋体" w:eastAsia="宋体" w:cs="宋体"/>
                <w:color w:val="000000"/>
                <w:sz w:val="21"/>
                <w:szCs w:val="21"/>
                <w:lang w:bidi="ar"/>
              </w:rPr>
              <w:t>②质量保证措施</w:t>
            </w:r>
            <w:r>
              <w:rPr>
                <w:rFonts w:hint="eastAsia" w:ascii="宋体" w:hAnsi="宋体" w:eastAsia="宋体" w:cs="宋体"/>
                <w:color w:val="000000"/>
                <w:sz w:val="21"/>
                <w:szCs w:val="21"/>
                <w:lang w:bidi="ar"/>
              </w:rPr>
              <w:t>：</w:t>
            </w:r>
            <w:r>
              <w:rPr>
                <w:rFonts w:ascii="宋体" w:hAnsi="宋体" w:eastAsia="宋体" w:cs="宋体"/>
                <w:color w:val="000000"/>
                <w:sz w:val="21"/>
                <w:szCs w:val="21"/>
                <w:lang w:bidi="ar"/>
              </w:rPr>
              <w:t>每满足一个评审标准得0.5分</w:t>
            </w:r>
            <w:r>
              <w:rPr>
                <w:rFonts w:hint="eastAsia" w:ascii="宋体" w:hAnsi="宋体" w:eastAsia="宋体" w:cs="宋体"/>
                <w:color w:val="000000"/>
                <w:sz w:val="21"/>
                <w:szCs w:val="21"/>
                <w:lang w:bidi="ar"/>
              </w:rPr>
              <w:t>，不满足得0分，满分</w:t>
            </w:r>
            <w:r>
              <w:rPr>
                <w:rFonts w:ascii="宋体" w:hAnsi="宋体" w:eastAsia="宋体" w:cs="宋体"/>
                <w:color w:val="000000"/>
                <w:sz w:val="21"/>
                <w:szCs w:val="21"/>
                <w:lang w:bidi="ar"/>
              </w:rPr>
              <w:t>1.5</w:t>
            </w:r>
            <w:r>
              <w:rPr>
                <w:rFonts w:hint="eastAsia" w:ascii="宋体" w:hAnsi="宋体" w:eastAsia="宋体" w:cs="宋体"/>
                <w:color w:val="000000"/>
                <w:sz w:val="21"/>
                <w:szCs w:val="21"/>
                <w:lang w:bidi="ar"/>
              </w:rPr>
              <w:t>分</w:t>
            </w:r>
            <w:r>
              <w:rPr>
                <w:rFonts w:ascii="宋体" w:hAnsi="宋体" w:eastAsia="宋体" w:cs="宋体"/>
                <w:color w:val="000000"/>
                <w:sz w:val="21"/>
                <w:szCs w:val="21"/>
                <w:lang w:bidi="ar"/>
              </w:rPr>
              <w:t>。</w:t>
            </w:r>
          </w:p>
        </w:tc>
        <w:tc>
          <w:tcPr>
            <w:tcW w:w="1418" w:type="dxa"/>
            <w:vMerge w:val="continue"/>
            <w:shd w:val="clear" w:color="auto" w:fill="auto"/>
            <w:vAlign w:val="center"/>
          </w:tcPr>
          <w:p w14:paraId="469CB44A">
            <w:pPr>
              <w:spacing w:line="320" w:lineRule="exact"/>
              <w:rPr>
                <w:rFonts w:cs="宋体"/>
                <w:bCs/>
                <w:color w:val="C00000"/>
                <w:sz w:val="21"/>
                <w:szCs w:val="21"/>
              </w:rPr>
            </w:pPr>
          </w:p>
        </w:tc>
      </w:tr>
      <w:tr w14:paraId="15DC2C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71143019">
            <w:pPr>
              <w:spacing w:line="320" w:lineRule="exact"/>
              <w:jc w:val="center"/>
              <w:rPr>
                <w:rFonts w:cs="宋体"/>
                <w:bCs/>
                <w:sz w:val="21"/>
                <w:szCs w:val="21"/>
              </w:rPr>
            </w:pPr>
          </w:p>
        </w:tc>
        <w:tc>
          <w:tcPr>
            <w:tcW w:w="640" w:type="dxa"/>
            <w:vMerge w:val="continue"/>
            <w:shd w:val="clear" w:color="auto" w:fill="auto"/>
            <w:vAlign w:val="center"/>
          </w:tcPr>
          <w:p w14:paraId="2E86191B">
            <w:pPr>
              <w:spacing w:line="320" w:lineRule="exact"/>
              <w:jc w:val="center"/>
              <w:rPr>
                <w:rFonts w:cs="宋体"/>
                <w:bCs/>
                <w:sz w:val="21"/>
                <w:szCs w:val="21"/>
              </w:rPr>
            </w:pPr>
          </w:p>
        </w:tc>
        <w:tc>
          <w:tcPr>
            <w:tcW w:w="860" w:type="dxa"/>
            <w:shd w:val="clear" w:color="auto" w:fill="auto"/>
            <w:vAlign w:val="center"/>
          </w:tcPr>
          <w:p w14:paraId="697DFB8B">
            <w:pPr>
              <w:spacing w:line="320" w:lineRule="exact"/>
              <w:jc w:val="center"/>
              <w:rPr>
                <w:rFonts w:cs="宋体"/>
                <w:bCs/>
                <w:sz w:val="21"/>
                <w:szCs w:val="21"/>
              </w:rPr>
            </w:pPr>
            <w:r>
              <w:rPr>
                <w:rFonts w:cs="宋体"/>
                <w:bCs/>
                <w:sz w:val="21"/>
                <w:szCs w:val="21"/>
              </w:rPr>
              <w:t>6</w:t>
            </w:r>
          </w:p>
        </w:tc>
        <w:tc>
          <w:tcPr>
            <w:tcW w:w="5809" w:type="dxa"/>
            <w:tcBorders>
              <w:top w:val="single" w:color="auto" w:sz="2" w:space="0"/>
            </w:tcBorders>
            <w:shd w:val="clear" w:color="auto" w:fill="auto"/>
            <w:vAlign w:val="center"/>
          </w:tcPr>
          <w:p w14:paraId="2128026D">
            <w:pPr>
              <w:spacing w:line="320" w:lineRule="exact"/>
              <w:ind w:firstLine="420" w:firstLineChars="200"/>
              <w:rPr>
                <w:rFonts w:cs="Calibri"/>
                <w:b/>
                <w:color w:val="C00000"/>
                <w:kern w:val="2"/>
                <w:sz w:val="21"/>
                <w:szCs w:val="21"/>
              </w:rPr>
            </w:pPr>
            <w:r>
              <w:rPr>
                <w:rFonts w:ascii="宋体" w:hAnsi="宋体" w:eastAsia="宋体" w:cs="宋体"/>
                <w:b/>
                <w:color w:val="C00000"/>
                <w:kern w:val="2"/>
                <w:sz w:val="21"/>
                <w:szCs w:val="21"/>
              </w:rPr>
              <w:t>施工进度保证措施</w:t>
            </w:r>
            <w:r>
              <w:rPr>
                <w:rFonts w:hint="eastAsia" w:cs="Calibri"/>
                <w:b/>
                <w:color w:val="C00000"/>
                <w:kern w:val="2"/>
                <w:sz w:val="21"/>
                <w:szCs w:val="21"/>
              </w:rPr>
              <w:t>：</w:t>
            </w:r>
          </w:p>
          <w:p w14:paraId="16F1DDE7">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57DA9346">
            <w:pPr>
              <w:spacing w:line="320" w:lineRule="exact"/>
              <w:ind w:firstLine="420" w:firstLineChars="200"/>
              <w:rPr>
                <w:rFonts w:cs="宋体"/>
                <w:sz w:val="21"/>
                <w:szCs w:val="21"/>
              </w:rPr>
            </w:pPr>
            <w:r>
              <w:rPr>
                <w:rFonts w:ascii="宋体" w:hAnsi="宋体" w:eastAsia="宋体" w:cs="宋体"/>
                <w:kern w:val="2"/>
                <w:sz w:val="21"/>
                <w:szCs w:val="21"/>
              </w:rPr>
              <w:t>供应商提供针对本项目施工进度保障措施。</w:t>
            </w:r>
          </w:p>
          <w:p w14:paraId="7750D2A5">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72AE0B8F">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14:paraId="19FE6476">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14:paraId="4F60D1EA">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14:paraId="5061F00C">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6</w:t>
            </w:r>
            <w:r>
              <w:rPr>
                <w:rFonts w:hint="eastAsia" w:ascii="仿宋" w:hAnsi="仿宋" w:eastAsia="仿宋" w:cs="仿宋"/>
                <w:b/>
              </w:rPr>
              <w:t>分）</w:t>
            </w:r>
          </w:p>
          <w:p w14:paraId="5842E7BB">
            <w:pPr>
              <w:spacing w:line="320" w:lineRule="exact"/>
              <w:ind w:firstLine="420" w:firstLineChars="200"/>
              <w:rPr>
                <w:rFonts w:cs="宋体"/>
                <w:sz w:val="21"/>
                <w:szCs w:val="21"/>
              </w:rPr>
            </w:pPr>
            <w:r>
              <w:rPr>
                <w:rFonts w:hint="eastAsia" w:cs="宋体"/>
                <w:sz w:val="21"/>
                <w:szCs w:val="21"/>
              </w:rPr>
              <w:t>每</w:t>
            </w:r>
            <w:r>
              <w:rPr>
                <w:rFonts w:cs="宋体"/>
                <w:sz w:val="21"/>
                <w:szCs w:val="21"/>
              </w:rPr>
              <w:t>完全满足</w:t>
            </w:r>
            <w:r>
              <w:rPr>
                <w:rFonts w:hint="eastAsia" w:cs="宋体"/>
                <w:sz w:val="21"/>
                <w:szCs w:val="21"/>
              </w:rPr>
              <w:t>一项</w:t>
            </w:r>
            <w:r>
              <w:rPr>
                <w:rFonts w:cs="宋体"/>
                <w:sz w:val="21"/>
                <w:szCs w:val="21"/>
              </w:rPr>
              <w:t>评审标准得2分，满分6分</w:t>
            </w:r>
            <w:r>
              <w:rPr>
                <w:rFonts w:hint="eastAsia" w:cs="宋体"/>
                <w:sz w:val="21"/>
                <w:szCs w:val="21"/>
              </w:rPr>
              <w:t>。</w:t>
            </w:r>
          </w:p>
        </w:tc>
        <w:tc>
          <w:tcPr>
            <w:tcW w:w="1418" w:type="dxa"/>
            <w:vMerge w:val="continue"/>
            <w:shd w:val="clear" w:color="auto" w:fill="auto"/>
            <w:vAlign w:val="center"/>
          </w:tcPr>
          <w:p w14:paraId="19C0D5F1">
            <w:pPr>
              <w:spacing w:line="320" w:lineRule="exact"/>
              <w:rPr>
                <w:rFonts w:cs="宋体"/>
                <w:bCs/>
                <w:color w:val="C00000"/>
                <w:sz w:val="21"/>
                <w:szCs w:val="21"/>
              </w:rPr>
            </w:pPr>
          </w:p>
        </w:tc>
      </w:tr>
      <w:tr w14:paraId="684D6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3A9D920B">
            <w:pPr>
              <w:spacing w:line="320" w:lineRule="exact"/>
              <w:jc w:val="center"/>
              <w:rPr>
                <w:rFonts w:cs="宋体"/>
                <w:bCs/>
                <w:sz w:val="21"/>
                <w:szCs w:val="21"/>
              </w:rPr>
            </w:pPr>
          </w:p>
        </w:tc>
        <w:tc>
          <w:tcPr>
            <w:tcW w:w="640" w:type="dxa"/>
            <w:vMerge w:val="continue"/>
            <w:shd w:val="clear" w:color="auto" w:fill="auto"/>
            <w:vAlign w:val="center"/>
          </w:tcPr>
          <w:p w14:paraId="49F88FAE">
            <w:pPr>
              <w:spacing w:line="320" w:lineRule="exact"/>
              <w:jc w:val="center"/>
              <w:rPr>
                <w:rFonts w:cs="宋体"/>
                <w:bCs/>
                <w:sz w:val="21"/>
                <w:szCs w:val="21"/>
              </w:rPr>
            </w:pPr>
          </w:p>
        </w:tc>
        <w:tc>
          <w:tcPr>
            <w:tcW w:w="860" w:type="dxa"/>
            <w:shd w:val="clear" w:color="auto" w:fill="auto"/>
            <w:vAlign w:val="center"/>
          </w:tcPr>
          <w:p w14:paraId="5FACDE53">
            <w:pPr>
              <w:spacing w:line="320" w:lineRule="exact"/>
              <w:jc w:val="center"/>
              <w:rPr>
                <w:rFonts w:cs="宋体"/>
                <w:bCs/>
                <w:sz w:val="21"/>
                <w:szCs w:val="21"/>
              </w:rPr>
            </w:pPr>
            <w:r>
              <w:rPr>
                <w:rFonts w:hint="eastAsia" w:cs="宋体"/>
                <w:bCs/>
                <w:sz w:val="21"/>
                <w:szCs w:val="21"/>
              </w:rPr>
              <w:t>9</w:t>
            </w:r>
          </w:p>
        </w:tc>
        <w:tc>
          <w:tcPr>
            <w:tcW w:w="5809" w:type="dxa"/>
            <w:tcBorders>
              <w:top w:val="single" w:color="auto" w:sz="2" w:space="0"/>
            </w:tcBorders>
            <w:shd w:val="clear" w:color="auto" w:fill="auto"/>
            <w:vAlign w:val="center"/>
          </w:tcPr>
          <w:p w14:paraId="05DA075F">
            <w:pPr>
              <w:spacing w:line="320" w:lineRule="exact"/>
              <w:ind w:firstLine="420" w:firstLineChars="200"/>
              <w:rPr>
                <w:rFonts w:ascii="宋体" w:hAnsi="宋体" w:eastAsia="宋体" w:cs="宋体"/>
                <w:color w:val="000000"/>
                <w:sz w:val="21"/>
                <w:szCs w:val="21"/>
                <w:lang w:bidi="ar"/>
              </w:rPr>
            </w:pPr>
            <w:r>
              <w:rPr>
                <w:rFonts w:ascii="宋体" w:hAnsi="宋体" w:eastAsia="宋体" w:cs="宋体"/>
                <w:b/>
                <w:color w:val="C00000"/>
                <w:kern w:val="2"/>
                <w:sz w:val="21"/>
                <w:szCs w:val="21"/>
              </w:rPr>
              <w:t>安全生产、文明施工管理体系与措施</w:t>
            </w:r>
            <w:r>
              <w:rPr>
                <w:rFonts w:hint="eastAsia" w:ascii="宋体" w:hAnsi="宋体" w:eastAsia="宋体" w:cs="宋体"/>
                <w:b/>
                <w:bCs/>
                <w:color w:val="C00000"/>
                <w:sz w:val="21"/>
                <w:szCs w:val="21"/>
                <w:lang w:bidi="ar"/>
              </w:rPr>
              <w:t>：</w:t>
            </w:r>
          </w:p>
          <w:p w14:paraId="18598C99">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3E738F31">
            <w:pPr>
              <w:spacing w:line="320" w:lineRule="exact"/>
              <w:ind w:firstLine="420" w:firstLineChars="200"/>
              <w:rPr>
                <w:rFonts w:cs="宋体"/>
                <w:sz w:val="21"/>
                <w:szCs w:val="21"/>
              </w:rPr>
            </w:pPr>
            <w:r>
              <w:rPr>
                <w:rFonts w:ascii="宋体" w:hAnsi="宋体" w:eastAsia="宋体" w:cs="宋体"/>
                <w:kern w:val="2"/>
                <w:sz w:val="21"/>
                <w:szCs w:val="21"/>
              </w:rPr>
              <w:t>供应商提供针对本项目的安全管理方案，包含：①安全管理体系与措施；②安全文明施工措施；③应急救援预案。</w:t>
            </w:r>
          </w:p>
          <w:p w14:paraId="72491AD2">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7996EA30">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14:paraId="2DA3360A">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14:paraId="695CE82F">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14:paraId="2C444903">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9</w:t>
            </w:r>
            <w:r>
              <w:rPr>
                <w:rFonts w:hint="eastAsia" w:ascii="仿宋" w:hAnsi="仿宋" w:eastAsia="仿宋" w:cs="仿宋"/>
                <w:b/>
              </w:rPr>
              <w:t>分）</w:t>
            </w:r>
          </w:p>
          <w:p w14:paraId="52B1CE2E">
            <w:pPr>
              <w:spacing w:line="320" w:lineRule="exact"/>
              <w:ind w:firstLine="420" w:firstLineChars="200"/>
              <w:rPr>
                <w:rFonts w:cs="宋体"/>
                <w:sz w:val="21"/>
                <w:szCs w:val="21"/>
              </w:rPr>
            </w:pPr>
            <w:r>
              <w:rPr>
                <w:rFonts w:cs="宋体"/>
                <w:sz w:val="21"/>
                <w:szCs w:val="21"/>
              </w:rPr>
              <w:t>①安全管理体系与措施：每满足一个评审标准得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r>
              <w:rPr>
                <w:rFonts w:cs="宋体"/>
                <w:sz w:val="21"/>
                <w:szCs w:val="21"/>
              </w:rPr>
              <w:t>；</w:t>
            </w:r>
          </w:p>
          <w:p w14:paraId="0A3FAF9A">
            <w:pPr>
              <w:spacing w:line="320" w:lineRule="exact"/>
              <w:ind w:firstLine="420" w:firstLineChars="200"/>
              <w:rPr>
                <w:rFonts w:cs="宋体"/>
                <w:sz w:val="21"/>
                <w:szCs w:val="21"/>
              </w:rPr>
            </w:pPr>
            <w:r>
              <w:rPr>
                <w:rFonts w:cs="宋体"/>
                <w:sz w:val="21"/>
                <w:szCs w:val="21"/>
              </w:rPr>
              <w:t>②安全文明施工措施：每满足一个评审标准得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r>
              <w:rPr>
                <w:rFonts w:cs="宋体"/>
                <w:sz w:val="21"/>
                <w:szCs w:val="21"/>
              </w:rPr>
              <w:t>；</w:t>
            </w:r>
          </w:p>
          <w:p w14:paraId="48406835">
            <w:pPr>
              <w:spacing w:line="320" w:lineRule="exact"/>
              <w:ind w:firstLine="420" w:firstLineChars="200"/>
              <w:rPr>
                <w:rFonts w:ascii="宋体" w:hAnsi="宋体" w:eastAsia="宋体" w:cs="宋体"/>
                <w:b/>
                <w:color w:val="C00000"/>
                <w:kern w:val="2"/>
                <w:sz w:val="21"/>
                <w:szCs w:val="21"/>
              </w:rPr>
            </w:pPr>
            <w:r>
              <w:rPr>
                <w:rFonts w:cs="宋体"/>
                <w:sz w:val="21"/>
                <w:szCs w:val="21"/>
              </w:rPr>
              <w:t>③应急救援预案：每满足一个评审标准得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r>
              <w:rPr>
                <w:rFonts w:cs="宋体"/>
                <w:sz w:val="21"/>
                <w:szCs w:val="21"/>
              </w:rPr>
              <w:t>。</w:t>
            </w:r>
          </w:p>
        </w:tc>
        <w:tc>
          <w:tcPr>
            <w:tcW w:w="1418" w:type="dxa"/>
            <w:vMerge w:val="continue"/>
            <w:shd w:val="clear" w:color="auto" w:fill="auto"/>
            <w:vAlign w:val="center"/>
          </w:tcPr>
          <w:p w14:paraId="69EA9B1C">
            <w:pPr>
              <w:spacing w:line="320" w:lineRule="exact"/>
              <w:rPr>
                <w:rFonts w:cs="宋体"/>
                <w:bCs/>
                <w:color w:val="C00000"/>
                <w:sz w:val="21"/>
                <w:szCs w:val="21"/>
              </w:rPr>
            </w:pPr>
          </w:p>
        </w:tc>
      </w:tr>
      <w:tr w14:paraId="72CC84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7BF10504">
            <w:pPr>
              <w:spacing w:line="320" w:lineRule="exact"/>
              <w:jc w:val="center"/>
              <w:rPr>
                <w:rFonts w:cs="宋体"/>
                <w:bCs/>
                <w:sz w:val="21"/>
                <w:szCs w:val="21"/>
              </w:rPr>
            </w:pPr>
          </w:p>
        </w:tc>
        <w:tc>
          <w:tcPr>
            <w:tcW w:w="640" w:type="dxa"/>
            <w:vMerge w:val="continue"/>
            <w:shd w:val="clear" w:color="auto" w:fill="auto"/>
            <w:vAlign w:val="center"/>
          </w:tcPr>
          <w:p w14:paraId="685A60C3">
            <w:pPr>
              <w:spacing w:line="320" w:lineRule="exact"/>
              <w:jc w:val="center"/>
              <w:rPr>
                <w:rFonts w:cs="宋体"/>
                <w:bCs/>
                <w:sz w:val="21"/>
                <w:szCs w:val="21"/>
              </w:rPr>
            </w:pPr>
          </w:p>
        </w:tc>
        <w:tc>
          <w:tcPr>
            <w:tcW w:w="860" w:type="dxa"/>
            <w:shd w:val="clear" w:color="auto" w:fill="auto"/>
            <w:vAlign w:val="center"/>
          </w:tcPr>
          <w:p w14:paraId="6E3F11D9">
            <w:pPr>
              <w:spacing w:line="320" w:lineRule="exact"/>
              <w:jc w:val="center"/>
              <w:rPr>
                <w:rFonts w:cs="宋体"/>
                <w:bCs/>
                <w:sz w:val="21"/>
                <w:szCs w:val="21"/>
              </w:rPr>
            </w:pPr>
            <w:r>
              <w:rPr>
                <w:rFonts w:cs="宋体"/>
                <w:bCs/>
                <w:sz w:val="21"/>
                <w:szCs w:val="21"/>
              </w:rPr>
              <w:t>3</w:t>
            </w:r>
          </w:p>
        </w:tc>
        <w:tc>
          <w:tcPr>
            <w:tcW w:w="5809" w:type="dxa"/>
            <w:tcBorders>
              <w:top w:val="single" w:color="auto" w:sz="2" w:space="0"/>
            </w:tcBorders>
            <w:shd w:val="clear" w:color="auto" w:fill="auto"/>
            <w:vAlign w:val="center"/>
          </w:tcPr>
          <w:p w14:paraId="049C9916">
            <w:pPr>
              <w:spacing w:line="320" w:lineRule="exact"/>
              <w:ind w:firstLine="420" w:firstLineChars="200"/>
              <w:rPr>
                <w:rFonts w:ascii="宋体" w:hAnsi="宋体" w:eastAsia="宋体" w:cs="宋体"/>
                <w:color w:val="000000"/>
                <w:sz w:val="21"/>
                <w:szCs w:val="21"/>
                <w:lang w:bidi="ar"/>
              </w:rPr>
            </w:pPr>
            <w:r>
              <w:rPr>
                <w:rFonts w:ascii="宋体" w:hAnsi="宋体" w:eastAsia="宋体" w:cs="宋体"/>
                <w:b/>
                <w:color w:val="C00000"/>
                <w:kern w:val="2"/>
                <w:sz w:val="21"/>
                <w:szCs w:val="21"/>
              </w:rPr>
              <w:t>项目部人员配置方案</w:t>
            </w:r>
            <w:r>
              <w:rPr>
                <w:rFonts w:hint="eastAsia" w:ascii="宋体" w:hAnsi="宋体" w:eastAsia="宋体" w:cs="宋体"/>
                <w:b/>
                <w:bCs/>
                <w:color w:val="C00000"/>
                <w:sz w:val="21"/>
                <w:szCs w:val="21"/>
                <w:lang w:bidi="ar"/>
              </w:rPr>
              <w:t>：</w:t>
            </w:r>
          </w:p>
          <w:p w14:paraId="06A9A029">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3471FD17">
            <w:pPr>
              <w:spacing w:line="320" w:lineRule="exact"/>
              <w:ind w:firstLine="420" w:firstLineChars="200"/>
              <w:rPr>
                <w:rFonts w:cs="宋体"/>
                <w:sz w:val="21"/>
                <w:szCs w:val="21"/>
              </w:rPr>
            </w:pPr>
            <w:r>
              <w:rPr>
                <w:rFonts w:ascii="宋体" w:hAnsi="宋体" w:eastAsia="宋体" w:cs="宋体"/>
                <w:kern w:val="2"/>
                <w:sz w:val="21"/>
                <w:szCs w:val="21"/>
              </w:rPr>
              <w:t>供应商提供针对本项目的人员配备方案，包含：项目部人员组成及架构。</w:t>
            </w:r>
          </w:p>
          <w:p w14:paraId="14073E0A">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74E3C193">
            <w:pPr>
              <w:tabs>
                <w:tab w:val="left" w:pos="547"/>
              </w:tabs>
              <w:spacing w:line="320" w:lineRule="exact"/>
              <w:ind w:firstLine="420" w:firstLineChars="200"/>
              <w:jc w:val="both"/>
              <w:rPr>
                <w:rFonts w:cs="宋体"/>
                <w:sz w:val="21"/>
                <w:szCs w:val="21"/>
              </w:rPr>
            </w:pPr>
            <w:r>
              <w:rPr>
                <w:rFonts w:hint="eastAsia" w:cs="宋体"/>
                <w:sz w:val="21"/>
                <w:szCs w:val="21"/>
              </w:rPr>
              <w:t>1、完整性：组织机构的运行配备完善、各岗位人员分工明确合理。</w:t>
            </w:r>
          </w:p>
          <w:p w14:paraId="60860A3A">
            <w:pPr>
              <w:tabs>
                <w:tab w:val="left" w:pos="547"/>
              </w:tabs>
              <w:spacing w:line="320" w:lineRule="exact"/>
              <w:ind w:firstLine="420" w:firstLineChars="200"/>
              <w:jc w:val="both"/>
              <w:rPr>
                <w:rFonts w:cs="宋体"/>
                <w:sz w:val="21"/>
                <w:szCs w:val="21"/>
              </w:rPr>
            </w:pPr>
            <w:r>
              <w:rPr>
                <w:rFonts w:hint="eastAsia" w:cs="宋体"/>
                <w:sz w:val="21"/>
                <w:szCs w:val="21"/>
              </w:rPr>
              <w:t>2、针对性：人员数量充足，人员资格/年龄等符合采购需求；</w:t>
            </w:r>
          </w:p>
          <w:p w14:paraId="11434D95">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3、专业性：人员相关岗位经验丰富，切合本项目实际情况。</w:t>
            </w:r>
          </w:p>
          <w:p w14:paraId="5E03FFEE">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3</w:t>
            </w:r>
            <w:r>
              <w:rPr>
                <w:rFonts w:hint="eastAsia" w:ascii="仿宋" w:hAnsi="仿宋" w:eastAsia="仿宋" w:cs="仿宋"/>
                <w:b/>
              </w:rPr>
              <w:t>分）</w:t>
            </w:r>
          </w:p>
          <w:p w14:paraId="5A7E2D25">
            <w:pPr>
              <w:spacing w:line="320" w:lineRule="exact"/>
              <w:ind w:firstLine="420" w:firstLineChars="200"/>
              <w:rPr>
                <w:rFonts w:cs="宋体"/>
                <w:sz w:val="21"/>
                <w:szCs w:val="21"/>
              </w:rPr>
            </w:pPr>
            <w:r>
              <w:rPr>
                <w:rFonts w:cs="宋体"/>
                <w:sz w:val="21"/>
                <w:szCs w:val="21"/>
              </w:rPr>
              <w:t>每满足一个评审标准得</w:t>
            </w:r>
            <w:r>
              <w:rPr>
                <w:rFonts w:hint="eastAsia" w:cs="宋体"/>
                <w:sz w:val="21"/>
                <w:szCs w:val="21"/>
              </w:rPr>
              <w:t>1</w:t>
            </w:r>
            <w:r>
              <w:rPr>
                <w:rFonts w:cs="宋体"/>
                <w:sz w:val="21"/>
                <w:szCs w:val="21"/>
              </w:rPr>
              <w:t>分</w:t>
            </w:r>
            <w:r>
              <w:rPr>
                <w:rFonts w:hint="eastAsia" w:cs="宋体"/>
                <w:sz w:val="21"/>
                <w:szCs w:val="21"/>
              </w:rPr>
              <w:t>，不满足得0分，满分3分</w:t>
            </w:r>
            <w:r>
              <w:rPr>
                <w:rFonts w:cs="宋体"/>
                <w:sz w:val="21"/>
                <w:szCs w:val="21"/>
              </w:rPr>
              <w:t>；</w:t>
            </w:r>
          </w:p>
        </w:tc>
        <w:tc>
          <w:tcPr>
            <w:tcW w:w="1418" w:type="dxa"/>
            <w:vMerge w:val="continue"/>
            <w:shd w:val="clear" w:color="auto" w:fill="auto"/>
            <w:vAlign w:val="center"/>
          </w:tcPr>
          <w:p w14:paraId="3596BC8F">
            <w:pPr>
              <w:spacing w:line="320" w:lineRule="exact"/>
              <w:rPr>
                <w:rFonts w:cs="宋体"/>
                <w:bCs/>
                <w:color w:val="C00000"/>
                <w:sz w:val="21"/>
                <w:szCs w:val="21"/>
              </w:rPr>
            </w:pPr>
          </w:p>
        </w:tc>
      </w:tr>
      <w:tr w14:paraId="77CBE4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2B0F97EC">
            <w:pPr>
              <w:spacing w:line="320" w:lineRule="exact"/>
              <w:jc w:val="center"/>
              <w:rPr>
                <w:rFonts w:cs="宋体"/>
                <w:bCs/>
                <w:sz w:val="21"/>
                <w:szCs w:val="21"/>
              </w:rPr>
            </w:pPr>
          </w:p>
        </w:tc>
        <w:tc>
          <w:tcPr>
            <w:tcW w:w="640" w:type="dxa"/>
            <w:vMerge w:val="continue"/>
            <w:shd w:val="clear" w:color="auto" w:fill="auto"/>
            <w:vAlign w:val="center"/>
          </w:tcPr>
          <w:p w14:paraId="1043FE7F">
            <w:pPr>
              <w:spacing w:line="320" w:lineRule="exact"/>
              <w:jc w:val="center"/>
              <w:rPr>
                <w:rFonts w:cs="宋体"/>
                <w:bCs/>
                <w:sz w:val="21"/>
                <w:szCs w:val="21"/>
              </w:rPr>
            </w:pPr>
          </w:p>
        </w:tc>
        <w:tc>
          <w:tcPr>
            <w:tcW w:w="860" w:type="dxa"/>
            <w:shd w:val="clear" w:color="auto" w:fill="auto"/>
            <w:vAlign w:val="center"/>
          </w:tcPr>
          <w:p w14:paraId="1B8705BC">
            <w:pPr>
              <w:spacing w:line="320" w:lineRule="exact"/>
              <w:jc w:val="center"/>
              <w:rPr>
                <w:rFonts w:cs="宋体"/>
                <w:bCs/>
                <w:sz w:val="21"/>
                <w:szCs w:val="21"/>
              </w:rPr>
            </w:pPr>
            <w:r>
              <w:rPr>
                <w:rFonts w:cs="宋体"/>
                <w:bCs/>
                <w:sz w:val="21"/>
                <w:szCs w:val="21"/>
              </w:rPr>
              <w:t>3</w:t>
            </w:r>
          </w:p>
        </w:tc>
        <w:tc>
          <w:tcPr>
            <w:tcW w:w="5809" w:type="dxa"/>
            <w:tcBorders>
              <w:top w:val="single" w:color="auto" w:sz="2" w:space="0"/>
            </w:tcBorders>
            <w:shd w:val="clear" w:color="auto" w:fill="auto"/>
            <w:vAlign w:val="center"/>
          </w:tcPr>
          <w:p w14:paraId="25F3CE99">
            <w:pPr>
              <w:spacing w:line="320" w:lineRule="exact"/>
              <w:ind w:firstLine="420" w:firstLineChars="200"/>
              <w:rPr>
                <w:rFonts w:ascii="宋体" w:hAnsi="宋体" w:eastAsia="宋体" w:cs="宋体"/>
                <w:color w:val="000000"/>
                <w:sz w:val="21"/>
                <w:szCs w:val="21"/>
                <w:lang w:bidi="ar"/>
              </w:rPr>
            </w:pPr>
            <w:r>
              <w:rPr>
                <w:rFonts w:ascii="宋体" w:hAnsi="宋体" w:eastAsia="宋体" w:cs="宋体"/>
                <w:b/>
                <w:color w:val="C00000"/>
                <w:kern w:val="2"/>
                <w:sz w:val="21"/>
                <w:szCs w:val="21"/>
              </w:rPr>
              <w:t>环境保护管理体系与措施</w:t>
            </w:r>
            <w:r>
              <w:rPr>
                <w:rFonts w:hint="eastAsia" w:ascii="宋体" w:hAnsi="宋体" w:eastAsia="宋体" w:cs="宋体"/>
                <w:b/>
                <w:bCs/>
                <w:color w:val="C00000"/>
                <w:sz w:val="21"/>
                <w:szCs w:val="21"/>
                <w:lang w:bidi="ar"/>
              </w:rPr>
              <w:t>：</w:t>
            </w:r>
          </w:p>
          <w:p w14:paraId="15497A22">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3EDF26D2">
            <w:pPr>
              <w:spacing w:line="320" w:lineRule="exact"/>
              <w:ind w:firstLine="420" w:firstLineChars="200"/>
              <w:rPr>
                <w:rFonts w:cs="宋体"/>
                <w:sz w:val="21"/>
                <w:szCs w:val="21"/>
              </w:rPr>
            </w:pPr>
            <w:r>
              <w:rPr>
                <w:rFonts w:ascii="宋体" w:hAnsi="宋体" w:eastAsia="宋体" w:cs="宋体"/>
                <w:kern w:val="2"/>
                <w:sz w:val="21"/>
                <w:szCs w:val="21"/>
              </w:rPr>
              <w:t>供应商提供针对本项目的环保方案，包含：①环境保护管理体系与措施；②现场扬尘预防措施。</w:t>
            </w:r>
          </w:p>
          <w:p w14:paraId="11E1102C">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02361F36">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14:paraId="71580912">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14:paraId="5960E90E">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14:paraId="75D9B60B">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3</w:t>
            </w:r>
            <w:r>
              <w:rPr>
                <w:rFonts w:hint="eastAsia" w:ascii="仿宋" w:hAnsi="仿宋" w:eastAsia="仿宋" w:cs="仿宋"/>
                <w:b/>
              </w:rPr>
              <w:t>分）</w:t>
            </w:r>
          </w:p>
          <w:p w14:paraId="3C29BCC8">
            <w:pPr>
              <w:spacing w:line="320" w:lineRule="exact"/>
              <w:ind w:firstLine="420" w:firstLineChars="200"/>
              <w:rPr>
                <w:rFonts w:cs="宋体"/>
                <w:sz w:val="21"/>
                <w:szCs w:val="21"/>
              </w:rPr>
            </w:pPr>
            <w:r>
              <w:rPr>
                <w:rFonts w:cs="宋体"/>
                <w:sz w:val="21"/>
                <w:szCs w:val="21"/>
              </w:rPr>
              <w:t>①环境保护管理体系与措施：每满足一个评审标准得0.5分</w:t>
            </w:r>
            <w:r>
              <w:rPr>
                <w:rFonts w:hint="eastAsia" w:cs="宋体"/>
                <w:sz w:val="21"/>
                <w:szCs w:val="21"/>
              </w:rPr>
              <w:t>，不满足得0分，满分</w:t>
            </w:r>
            <w:r>
              <w:rPr>
                <w:rFonts w:cs="宋体"/>
                <w:sz w:val="21"/>
                <w:szCs w:val="21"/>
              </w:rPr>
              <w:t>1.5</w:t>
            </w:r>
            <w:r>
              <w:rPr>
                <w:rFonts w:hint="eastAsia" w:cs="宋体"/>
                <w:sz w:val="21"/>
                <w:szCs w:val="21"/>
              </w:rPr>
              <w:t>分</w:t>
            </w:r>
            <w:r>
              <w:rPr>
                <w:rFonts w:cs="宋体"/>
                <w:sz w:val="21"/>
                <w:szCs w:val="21"/>
              </w:rPr>
              <w:t>；</w:t>
            </w:r>
          </w:p>
          <w:p w14:paraId="283C1701">
            <w:pPr>
              <w:spacing w:line="320" w:lineRule="exact"/>
              <w:ind w:firstLine="420" w:firstLineChars="200"/>
              <w:rPr>
                <w:rFonts w:ascii="宋体" w:hAnsi="宋体" w:eastAsia="宋体" w:cs="宋体"/>
                <w:b/>
                <w:color w:val="C00000"/>
                <w:kern w:val="2"/>
                <w:sz w:val="21"/>
                <w:szCs w:val="21"/>
              </w:rPr>
            </w:pPr>
            <w:r>
              <w:rPr>
                <w:rFonts w:cs="宋体"/>
                <w:sz w:val="21"/>
                <w:szCs w:val="21"/>
              </w:rPr>
              <w:t>②现场扬尘预防措施：每满足一个评审标准得0.5分</w:t>
            </w:r>
            <w:r>
              <w:rPr>
                <w:rFonts w:hint="eastAsia" w:cs="宋体"/>
                <w:sz w:val="21"/>
                <w:szCs w:val="21"/>
              </w:rPr>
              <w:t>，不满足得0分，满分</w:t>
            </w:r>
            <w:r>
              <w:rPr>
                <w:rFonts w:cs="宋体"/>
                <w:sz w:val="21"/>
                <w:szCs w:val="21"/>
              </w:rPr>
              <w:t>1.5</w:t>
            </w:r>
            <w:r>
              <w:rPr>
                <w:rFonts w:hint="eastAsia" w:cs="宋体"/>
                <w:sz w:val="21"/>
                <w:szCs w:val="21"/>
              </w:rPr>
              <w:t>分</w:t>
            </w:r>
            <w:r>
              <w:rPr>
                <w:rFonts w:cs="宋体"/>
                <w:sz w:val="21"/>
                <w:szCs w:val="21"/>
              </w:rPr>
              <w:t>。</w:t>
            </w:r>
          </w:p>
        </w:tc>
        <w:tc>
          <w:tcPr>
            <w:tcW w:w="1418" w:type="dxa"/>
            <w:vMerge w:val="continue"/>
            <w:shd w:val="clear" w:color="auto" w:fill="auto"/>
            <w:vAlign w:val="center"/>
          </w:tcPr>
          <w:p w14:paraId="244B4CBE">
            <w:pPr>
              <w:spacing w:line="320" w:lineRule="exact"/>
              <w:rPr>
                <w:rFonts w:cs="宋体"/>
                <w:bCs/>
                <w:color w:val="C00000"/>
                <w:sz w:val="21"/>
                <w:szCs w:val="21"/>
              </w:rPr>
            </w:pPr>
          </w:p>
        </w:tc>
      </w:tr>
      <w:tr w14:paraId="6962A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640AB7CD">
            <w:pPr>
              <w:spacing w:line="320" w:lineRule="exact"/>
              <w:jc w:val="center"/>
              <w:rPr>
                <w:rFonts w:cs="宋体"/>
                <w:bCs/>
                <w:sz w:val="21"/>
                <w:szCs w:val="21"/>
              </w:rPr>
            </w:pPr>
          </w:p>
        </w:tc>
        <w:tc>
          <w:tcPr>
            <w:tcW w:w="640" w:type="dxa"/>
            <w:vMerge w:val="continue"/>
            <w:shd w:val="clear" w:color="auto" w:fill="auto"/>
            <w:vAlign w:val="center"/>
          </w:tcPr>
          <w:p w14:paraId="0A3A2C7C">
            <w:pPr>
              <w:spacing w:line="320" w:lineRule="exact"/>
              <w:jc w:val="center"/>
              <w:rPr>
                <w:rFonts w:cs="宋体"/>
                <w:bCs/>
                <w:sz w:val="21"/>
                <w:szCs w:val="21"/>
              </w:rPr>
            </w:pPr>
          </w:p>
        </w:tc>
        <w:tc>
          <w:tcPr>
            <w:tcW w:w="860" w:type="dxa"/>
            <w:shd w:val="clear" w:color="auto" w:fill="auto"/>
            <w:vAlign w:val="center"/>
          </w:tcPr>
          <w:p w14:paraId="74C951EF">
            <w:pPr>
              <w:spacing w:line="320" w:lineRule="exact"/>
              <w:jc w:val="center"/>
              <w:rPr>
                <w:rFonts w:cs="宋体"/>
                <w:bCs/>
                <w:sz w:val="21"/>
                <w:szCs w:val="21"/>
              </w:rPr>
            </w:pPr>
            <w:r>
              <w:rPr>
                <w:rFonts w:hint="eastAsia" w:cs="宋体"/>
                <w:bCs/>
                <w:sz w:val="21"/>
                <w:szCs w:val="21"/>
              </w:rPr>
              <w:t>6</w:t>
            </w:r>
          </w:p>
        </w:tc>
        <w:tc>
          <w:tcPr>
            <w:tcW w:w="5809" w:type="dxa"/>
            <w:tcBorders>
              <w:top w:val="single" w:color="auto" w:sz="2" w:space="0"/>
            </w:tcBorders>
            <w:shd w:val="clear" w:color="auto" w:fill="auto"/>
            <w:vAlign w:val="center"/>
          </w:tcPr>
          <w:p w14:paraId="6A592333">
            <w:pPr>
              <w:spacing w:line="320" w:lineRule="exact"/>
              <w:ind w:firstLine="420" w:firstLineChars="200"/>
              <w:rPr>
                <w:rFonts w:ascii="宋体" w:hAnsi="宋体" w:eastAsia="宋体" w:cs="宋体"/>
                <w:color w:val="000000"/>
                <w:sz w:val="21"/>
                <w:szCs w:val="21"/>
                <w:lang w:bidi="ar"/>
              </w:rPr>
            </w:pPr>
            <w:r>
              <w:rPr>
                <w:rFonts w:hint="eastAsia" w:ascii="宋体" w:hAnsi="宋体" w:eastAsia="宋体" w:cs="宋体"/>
                <w:b/>
                <w:color w:val="C00000"/>
                <w:kern w:val="2"/>
                <w:sz w:val="21"/>
                <w:szCs w:val="21"/>
              </w:rPr>
              <w:t>主材性能</w:t>
            </w:r>
            <w:r>
              <w:rPr>
                <w:rFonts w:hint="eastAsia" w:ascii="宋体" w:hAnsi="宋体" w:eastAsia="宋体" w:cs="宋体"/>
                <w:b/>
                <w:bCs/>
                <w:color w:val="C00000"/>
                <w:sz w:val="21"/>
                <w:szCs w:val="21"/>
                <w:lang w:bidi="ar"/>
              </w:rPr>
              <w:t>：</w:t>
            </w:r>
          </w:p>
          <w:p w14:paraId="78A85296">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6C753661">
            <w:pPr>
              <w:spacing w:line="320" w:lineRule="exact"/>
              <w:ind w:firstLine="420" w:firstLineChars="200"/>
              <w:rPr>
                <w:rFonts w:cs="宋体"/>
                <w:sz w:val="21"/>
                <w:szCs w:val="21"/>
              </w:rPr>
            </w:pPr>
            <w:r>
              <w:rPr>
                <w:rFonts w:hint="eastAsia" w:ascii="宋体" w:hAnsi="宋体" w:eastAsia="宋体" w:cs="宋体"/>
                <w:kern w:val="2"/>
                <w:sz w:val="21"/>
                <w:szCs w:val="21"/>
              </w:rPr>
              <w:t>提供针对本项目的主材清单（清单内容包括但不限于材料名称、品牌、规格、材质等）。</w:t>
            </w:r>
          </w:p>
          <w:p w14:paraId="67B42B09">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05E3E598">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14:paraId="12EBAC39">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14:paraId="763ABC6D">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14:paraId="465BAADE">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6</w:t>
            </w:r>
            <w:r>
              <w:rPr>
                <w:rFonts w:hint="eastAsia" w:ascii="仿宋" w:hAnsi="仿宋" w:eastAsia="仿宋" w:cs="仿宋"/>
                <w:b/>
              </w:rPr>
              <w:t>分）</w:t>
            </w:r>
          </w:p>
          <w:p w14:paraId="45B6D77F">
            <w:pPr>
              <w:spacing w:line="320" w:lineRule="exact"/>
              <w:ind w:firstLine="420" w:firstLineChars="200"/>
              <w:rPr>
                <w:rFonts w:cs="宋体"/>
                <w:sz w:val="21"/>
                <w:szCs w:val="21"/>
              </w:rPr>
            </w:pPr>
            <w:r>
              <w:rPr>
                <w:rFonts w:cs="宋体"/>
                <w:sz w:val="21"/>
                <w:szCs w:val="21"/>
              </w:rPr>
              <w:t>①技术资料：每满足一个评审标准得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r>
              <w:rPr>
                <w:rFonts w:cs="宋体"/>
                <w:sz w:val="21"/>
                <w:szCs w:val="21"/>
              </w:rPr>
              <w:t>；</w:t>
            </w:r>
          </w:p>
          <w:p w14:paraId="1275FC9B">
            <w:pPr>
              <w:spacing w:line="320" w:lineRule="exact"/>
              <w:ind w:firstLine="420" w:firstLineChars="200"/>
              <w:rPr>
                <w:rFonts w:ascii="宋体" w:hAnsi="宋体" w:eastAsia="宋体" w:cs="宋体"/>
                <w:b/>
                <w:color w:val="C00000"/>
                <w:kern w:val="2"/>
                <w:sz w:val="21"/>
                <w:szCs w:val="21"/>
              </w:rPr>
            </w:pPr>
            <w:r>
              <w:rPr>
                <w:rFonts w:cs="宋体"/>
                <w:sz w:val="21"/>
                <w:szCs w:val="21"/>
              </w:rPr>
              <w:t>②产品性能：每满足一个评审标准得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p>
        </w:tc>
        <w:tc>
          <w:tcPr>
            <w:tcW w:w="1418" w:type="dxa"/>
            <w:vMerge w:val="continue"/>
            <w:shd w:val="clear" w:color="auto" w:fill="auto"/>
            <w:vAlign w:val="center"/>
          </w:tcPr>
          <w:p w14:paraId="53687523">
            <w:pPr>
              <w:spacing w:line="320" w:lineRule="exact"/>
              <w:rPr>
                <w:rFonts w:cs="宋体"/>
                <w:bCs/>
                <w:color w:val="C00000"/>
                <w:sz w:val="21"/>
                <w:szCs w:val="21"/>
              </w:rPr>
            </w:pPr>
          </w:p>
        </w:tc>
      </w:tr>
      <w:tr w14:paraId="77273A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09AEEB79">
            <w:pPr>
              <w:spacing w:line="320" w:lineRule="exact"/>
              <w:jc w:val="center"/>
              <w:rPr>
                <w:rFonts w:cs="宋体"/>
                <w:bCs/>
                <w:sz w:val="21"/>
                <w:szCs w:val="21"/>
              </w:rPr>
            </w:pPr>
          </w:p>
        </w:tc>
        <w:tc>
          <w:tcPr>
            <w:tcW w:w="640" w:type="dxa"/>
            <w:vMerge w:val="continue"/>
            <w:shd w:val="clear" w:color="auto" w:fill="auto"/>
            <w:vAlign w:val="center"/>
          </w:tcPr>
          <w:p w14:paraId="168C37F5">
            <w:pPr>
              <w:spacing w:line="320" w:lineRule="exact"/>
              <w:jc w:val="center"/>
              <w:rPr>
                <w:rFonts w:cs="宋体"/>
                <w:bCs/>
                <w:sz w:val="21"/>
                <w:szCs w:val="21"/>
              </w:rPr>
            </w:pPr>
          </w:p>
        </w:tc>
        <w:tc>
          <w:tcPr>
            <w:tcW w:w="860" w:type="dxa"/>
            <w:shd w:val="clear" w:color="auto" w:fill="auto"/>
            <w:vAlign w:val="center"/>
          </w:tcPr>
          <w:p w14:paraId="1C4B71EC">
            <w:pPr>
              <w:spacing w:line="320" w:lineRule="exact"/>
              <w:jc w:val="center"/>
              <w:rPr>
                <w:rFonts w:cs="宋体"/>
                <w:bCs/>
                <w:sz w:val="21"/>
                <w:szCs w:val="21"/>
              </w:rPr>
            </w:pPr>
            <w:r>
              <w:rPr>
                <w:rFonts w:hint="eastAsia" w:cs="宋体"/>
                <w:bCs/>
                <w:sz w:val="21"/>
                <w:szCs w:val="21"/>
              </w:rPr>
              <w:t>6</w:t>
            </w:r>
          </w:p>
        </w:tc>
        <w:tc>
          <w:tcPr>
            <w:tcW w:w="5809" w:type="dxa"/>
            <w:tcBorders>
              <w:top w:val="single" w:color="auto" w:sz="2" w:space="0"/>
            </w:tcBorders>
            <w:shd w:val="clear" w:color="auto" w:fill="auto"/>
            <w:vAlign w:val="center"/>
          </w:tcPr>
          <w:p w14:paraId="155E1BE4">
            <w:pPr>
              <w:spacing w:line="320" w:lineRule="exact"/>
              <w:ind w:firstLine="420" w:firstLineChars="200"/>
              <w:rPr>
                <w:rFonts w:ascii="宋体" w:hAnsi="宋体" w:eastAsia="宋体" w:cs="宋体"/>
                <w:color w:val="000000"/>
                <w:sz w:val="21"/>
                <w:szCs w:val="21"/>
                <w:lang w:bidi="ar"/>
              </w:rPr>
            </w:pPr>
            <w:r>
              <w:rPr>
                <w:rFonts w:ascii="宋体" w:hAnsi="宋体" w:eastAsia="宋体" w:cs="宋体"/>
                <w:b/>
                <w:color w:val="C00000"/>
                <w:kern w:val="2"/>
                <w:sz w:val="21"/>
                <w:szCs w:val="21"/>
              </w:rPr>
              <w:t>保护方案</w:t>
            </w:r>
            <w:r>
              <w:rPr>
                <w:rFonts w:hint="eastAsia" w:ascii="宋体" w:hAnsi="宋体" w:eastAsia="宋体" w:cs="宋体"/>
                <w:b/>
                <w:bCs/>
                <w:color w:val="C00000"/>
                <w:sz w:val="21"/>
                <w:szCs w:val="21"/>
                <w:lang w:bidi="ar"/>
              </w:rPr>
              <w:t>：</w:t>
            </w:r>
          </w:p>
          <w:p w14:paraId="5660B34C">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56CB50A9">
            <w:pPr>
              <w:spacing w:line="320" w:lineRule="exact"/>
              <w:ind w:firstLine="420" w:firstLineChars="200"/>
              <w:rPr>
                <w:rFonts w:cs="宋体"/>
                <w:sz w:val="21"/>
                <w:szCs w:val="21"/>
              </w:rPr>
            </w:pPr>
            <w:r>
              <w:rPr>
                <w:rFonts w:ascii="宋体" w:hAnsi="宋体" w:eastAsia="宋体" w:cs="宋体"/>
                <w:kern w:val="2"/>
                <w:sz w:val="21"/>
                <w:szCs w:val="21"/>
              </w:rPr>
              <w:t>供应商提供针对本项目的现场保护措施方案，包含：①原有设施保护措施；②已完工保护措施</w:t>
            </w:r>
            <w:r>
              <w:rPr>
                <w:rFonts w:hint="eastAsia" w:ascii="宋体" w:hAnsi="宋体" w:eastAsia="宋体" w:cs="宋体"/>
                <w:kern w:val="2"/>
                <w:sz w:val="21"/>
                <w:szCs w:val="21"/>
              </w:rPr>
              <w:t>。</w:t>
            </w:r>
          </w:p>
          <w:p w14:paraId="50E24C5E">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14989E59">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14:paraId="3DFF7AE6">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14:paraId="0D1A96BC">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14:paraId="50156138">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6</w:t>
            </w:r>
            <w:r>
              <w:rPr>
                <w:rFonts w:hint="eastAsia" w:ascii="仿宋" w:hAnsi="仿宋" w:eastAsia="仿宋" w:cs="仿宋"/>
                <w:b/>
              </w:rPr>
              <w:t>分）</w:t>
            </w:r>
          </w:p>
          <w:p w14:paraId="5F3F80A7">
            <w:pPr>
              <w:spacing w:line="320" w:lineRule="exact"/>
              <w:ind w:firstLine="420" w:firstLineChars="200"/>
              <w:rPr>
                <w:rFonts w:cs="宋体"/>
                <w:sz w:val="21"/>
                <w:szCs w:val="21"/>
              </w:rPr>
            </w:pPr>
            <w:r>
              <w:rPr>
                <w:rFonts w:cs="宋体"/>
                <w:sz w:val="21"/>
                <w:szCs w:val="21"/>
              </w:rPr>
              <w:t>①原有设施保护措施：每满足一个评审标准得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r>
              <w:rPr>
                <w:rFonts w:cs="宋体"/>
                <w:sz w:val="21"/>
                <w:szCs w:val="21"/>
              </w:rPr>
              <w:t>；</w:t>
            </w:r>
          </w:p>
          <w:p w14:paraId="2237624F">
            <w:pPr>
              <w:spacing w:line="320" w:lineRule="exact"/>
              <w:ind w:firstLine="420" w:firstLineChars="200"/>
              <w:rPr>
                <w:rFonts w:ascii="宋体" w:hAnsi="宋体" w:eastAsia="宋体" w:cs="宋体"/>
                <w:b/>
                <w:color w:val="C00000"/>
                <w:kern w:val="2"/>
                <w:sz w:val="21"/>
                <w:szCs w:val="21"/>
              </w:rPr>
            </w:pPr>
            <w:r>
              <w:rPr>
                <w:rFonts w:cs="宋体"/>
                <w:sz w:val="21"/>
                <w:szCs w:val="21"/>
              </w:rPr>
              <w:t>②已完工成品保护措施：每满足一个评审标准得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p>
        </w:tc>
        <w:tc>
          <w:tcPr>
            <w:tcW w:w="1418" w:type="dxa"/>
            <w:vMerge w:val="continue"/>
            <w:shd w:val="clear" w:color="auto" w:fill="auto"/>
            <w:vAlign w:val="center"/>
          </w:tcPr>
          <w:p w14:paraId="41C329CB">
            <w:pPr>
              <w:spacing w:line="320" w:lineRule="exact"/>
              <w:rPr>
                <w:rFonts w:cs="宋体"/>
                <w:bCs/>
                <w:color w:val="C00000"/>
                <w:sz w:val="21"/>
                <w:szCs w:val="21"/>
              </w:rPr>
            </w:pPr>
          </w:p>
        </w:tc>
      </w:tr>
      <w:tr w14:paraId="54856B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36F53302">
            <w:pPr>
              <w:spacing w:line="320" w:lineRule="exact"/>
              <w:jc w:val="center"/>
              <w:rPr>
                <w:rFonts w:cs="宋体"/>
                <w:bCs/>
                <w:sz w:val="21"/>
                <w:szCs w:val="21"/>
              </w:rPr>
            </w:pPr>
          </w:p>
        </w:tc>
        <w:tc>
          <w:tcPr>
            <w:tcW w:w="640" w:type="dxa"/>
            <w:vMerge w:val="continue"/>
            <w:shd w:val="clear" w:color="auto" w:fill="auto"/>
            <w:vAlign w:val="center"/>
          </w:tcPr>
          <w:p w14:paraId="77B297AF">
            <w:pPr>
              <w:spacing w:line="320" w:lineRule="exact"/>
              <w:jc w:val="center"/>
              <w:rPr>
                <w:rFonts w:cs="宋体"/>
                <w:bCs/>
                <w:sz w:val="21"/>
                <w:szCs w:val="21"/>
              </w:rPr>
            </w:pPr>
          </w:p>
        </w:tc>
        <w:tc>
          <w:tcPr>
            <w:tcW w:w="860" w:type="dxa"/>
            <w:shd w:val="clear" w:color="auto" w:fill="auto"/>
            <w:vAlign w:val="center"/>
          </w:tcPr>
          <w:p w14:paraId="19720B1D">
            <w:pPr>
              <w:spacing w:line="320" w:lineRule="exact"/>
              <w:jc w:val="center"/>
              <w:rPr>
                <w:rFonts w:cs="宋体"/>
                <w:bCs/>
                <w:sz w:val="21"/>
                <w:szCs w:val="21"/>
              </w:rPr>
            </w:pPr>
            <w:r>
              <w:rPr>
                <w:rFonts w:cs="宋体"/>
                <w:bCs/>
                <w:sz w:val="21"/>
                <w:szCs w:val="21"/>
              </w:rPr>
              <w:t>6</w:t>
            </w:r>
          </w:p>
        </w:tc>
        <w:tc>
          <w:tcPr>
            <w:tcW w:w="5809" w:type="dxa"/>
            <w:tcBorders>
              <w:top w:val="single" w:color="auto" w:sz="2" w:space="0"/>
            </w:tcBorders>
            <w:shd w:val="clear" w:color="auto" w:fill="auto"/>
            <w:vAlign w:val="center"/>
          </w:tcPr>
          <w:p w14:paraId="472118CC">
            <w:pPr>
              <w:spacing w:line="320" w:lineRule="exact"/>
              <w:ind w:firstLine="420" w:firstLineChars="200"/>
              <w:rPr>
                <w:rFonts w:ascii="宋体" w:hAnsi="宋体" w:eastAsia="宋体" w:cs="宋体"/>
                <w:color w:val="000000"/>
                <w:sz w:val="21"/>
                <w:szCs w:val="21"/>
                <w:lang w:bidi="ar"/>
              </w:rPr>
            </w:pPr>
            <w:r>
              <w:rPr>
                <w:rFonts w:hint="eastAsia" w:ascii="宋体" w:hAnsi="宋体" w:eastAsia="宋体" w:cs="宋体"/>
                <w:b/>
                <w:color w:val="C00000"/>
                <w:kern w:val="2"/>
                <w:sz w:val="21"/>
                <w:szCs w:val="21"/>
              </w:rPr>
              <w:t>质保期</w:t>
            </w:r>
            <w:r>
              <w:rPr>
                <w:rFonts w:ascii="宋体" w:hAnsi="宋体" w:eastAsia="宋体" w:cs="宋体"/>
                <w:b/>
                <w:color w:val="C00000"/>
                <w:kern w:val="2"/>
                <w:sz w:val="21"/>
                <w:szCs w:val="21"/>
              </w:rPr>
              <w:t>服务方案</w:t>
            </w:r>
            <w:r>
              <w:rPr>
                <w:rFonts w:hint="eastAsia" w:ascii="宋体" w:hAnsi="宋体" w:eastAsia="宋体" w:cs="宋体"/>
                <w:b/>
                <w:bCs/>
                <w:color w:val="C00000"/>
                <w:sz w:val="21"/>
                <w:szCs w:val="21"/>
                <w:lang w:bidi="ar"/>
              </w:rPr>
              <w:t>：</w:t>
            </w:r>
          </w:p>
          <w:p w14:paraId="5BC12BF7">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14:paraId="1CC0851D">
            <w:pPr>
              <w:spacing w:line="320" w:lineRule="exact"/>
              <w:ind w:firstLine="420" w:firstLineChars="200"/>
              <w:rPr>
                <w:rFonts w:cs="宋体"/>
                <w:sz w:val="21"/>
                <w:szCs w:val="21"/>
              </w:rPr>
            </w:pPr>
            <w:r>
              <w:rPr>
                <w:rFonts w:ascii="宋体" w:hAnsi="宋体" w:eastAsia="宋体" w:cs="宋体"/>
                <w:kern w:val="2"/>
                <w:sz w:val="21"/>
                <w:szCs w:val="21"/>
              </w:rPr>
              <w:t>供应商提供针对本项目的</w:t>
            </w:r>
            <w:r>
              <w:rPr>
                <w:rFonts w:hint="eastAsia" w:ascii="宋体" w:hAnsi="宋体" w:eastAsia="宋体" w:cs="宋体"/>
                <w:kern w:val="2"/>
                <w:sz w:val="21"/>
                <w:szCs w:val="21"/>
              </w:rPr>
              <w:t>质保期</w:t>
            </w:r>
            <w:r>
              <w:rPr>
                <w:rFonts w:ascii="宋体" w:hAnsi="宋体" w:eastAsia="宋体" w:cs="宋体"/>
                <w:kern w:val="2"/>
                <w:sz w:val="21"/>
                <w:szCs w:val="21"/>
              </w:rPr>
              <w:t>服务方案，①</w:t>
            </w:r>
            <w:r>
              <w:rPr>
                <w:rFonts w:hint="eastAsia" w:ascii="宋体" w:hAnsi="宋体" w:eastAsia="宋体" w:cs="宋体"/>
                <w:kern w:val="2"/>
                <w:sz w:val="21"/>
                <w:szCs w:val="21"/>
              </w:rPr>
              <w:t>质保期内</w:t>
            </w:r>
            <w:r>
              <w:rPr>
                <w:rFonts w:ascii="宋体" w:hAnsi="宋体" w:eastAsia="宋体" w:cs="宋体"/>
                <w:kern w:val="2"/>
                <w:sz w:val="21"/>
                <w:szCs w:val="21"/>
              </w:rPr>
              <w:t>服务方案；②根据处理质保问题</w:t>
            </w:r>
            <w:r>
              <w:rPr>
                <w:rFonts w:hint="eastAsia" w:ascii="宋体" w:hAnsi="宋体" w:eastAsia="宋体" w:cs="宋体"/>
                <w:kern w:val="2"/>
                <w:sz w:val="21"/>
                <w:szCs w:val="21"/>
              </w:rPr>
              <w:t>的</w:t>
            </w:r>
            <w:r>
              <w:rPr>
                <w:rFonts w:ascii="宋体" w:hAnsi="宋体" w:eastAsia="宋体" w:cs="宋体"/>
                <w:kern w:val="2"/>
                <w:sz w:val="21"/>
                <w:szCs w:val="21"/>
              </w:rPr>
              <w:t>时效性</w:t>
            </w:r>
            <w:r>
              <w:rPr>
                <w:rFonts w:hint="eastAsia" w:ascii="宋体" w:hAnsi="宋体" w:eastAsia="宋体" w:cs="宋体"/>
                <w:kern w:val="2"/>
                <w:sz w:val="21"/>
                <w:szCs w:val="21"/>
              </w:rPr>
              <w:t>保障措施</w:t>
            </w:r>
            <w:r>
              <w:rPr>
                <w:rFonts w:ascii="宋体" w:hAnsi="宋体" w:eastAsia="宋体" w:cs="宋体"/>
                <w:kern w:val="2"/>
                <w:sz w:val="21"/>
                <w:szCs w:val="21"/>
              </w:rPr>
              <w:t>。</w:t>
            </w:r>
          </w:p>
          <w:p w14:paraId="20BF6FF8">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14:paraId="6B374D0A">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14:paraId="43937191">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14:paraId="0A78A81D">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14:paraId="51D60B3E">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6</w:t>
            </w:r>
            <w:r>
              <w:rPr>
                <w:rFonts w:hint="eastAsia" w:ascii="仿宋" w:hAnsi="仿宋" w:eastAsia="仿宋" w:cs="仿宋"/>
                <w:b/>
              </w:rPr>
              <w:t>分）</w:t>
            </w:r>
          </w:p>
          <w:p w14:paraId="1B7A37E5">
            <w:pPr>
              <w:spacing w:line="320" w:lineRule="exact"/>
              <w:ind w:firstLine="420" w:firstLineChars="200"/>
              <w:rPr>
                <w:rFonts w:cs="宋体"/>
                <w:sz w:val="21"/>
                <w:szCs w:val="21"/>
              </w:rPr>
            </w:pPr>
            <w:r>
              <w:rPr>
                <w:rFonts w:cs="宋体"/>
                <w:sz w:val="21"/>
                <w:szCs w:val="21"/>
              </w:rPr>
              <w:t>①</w:t>
            </w:r>
            <w:r>
              <w:rPr>
                <w:rFonts w:hint="eastAsia" w:cs="宋体"/>
                <w:sz w:val="21"/>
                <w:szCs w:val="21"/>
              </w:rPr>
              <w:t>质保期</w:t>
            </w:r>
            <w:r>
              <w:rPr>
                <w:rFonts w:cs="宋体"/>
                <w:sz w:val="21"/>
                <w:szCs w:val="21"/>
              </w:rPr>
              <w:t>服务方案：每满足一个评审标准得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r>
              <w:rPr>
                <w:rFonts w:cs="宋体"/>
                <w:sz w:val="21"/>
                <w:szCs w:val="21"/>
              </w:rPr>
              <w:t>；</w:t>
            </w:r>
          </w:p>
          <w:p w14:paraId="3ABF1506">
            <w:pPr>
              <w:spacing w:line="320" w:lineRule="exact"/>
              <w:ind w:firstLine="420" w:firstLineChars="200"/>
              <w:rPr>
                <w:rFonts w:cs="Calibri"/>
                <w:b/>
                <w:color w:val="C00000"/>
                <w:kern w:val="2"/>
                <w:sz w:val="21"/>
                <w:szCs w:val="21"/>
              </w:rPr>
            </w:pPr>
            <w:r>
              <w:rPr>
                <w:rFonts w:cs="宋体"/>
                <w:sz w:val="21"/>
                <w:szCs w:val="21"/>
              </w:rPr>
              <w:t>②处理质保问题时效性：每满足一个评审标准得</w:t>
            </w:r>
            <w:r>
              <w:rPr>
                <w:rFonts w:hint="eastAsia" w:cs="宋体"/>
                <w:sz w:val="21"/>
                <w:szCs w:val="21"/>
              </w:rPr>
              <w:t>1</w:t>
            </w:r>
            <w:r>
              <w:rPr>
                <w:rFonts w:cs="宋体"/>
                <w:sz w:val="21"/>
                <w:szCs w:val="21"/>
              </w:rPr>
              <w:t>分</w:t>
            </w:r>
            <w:r>
              <w:rPr>
                <w:rFonts w:hint="eastAsia" w:cs="宋体"/>
                <w:sz w:val="21"/>
                <w:szCs w:val="21"/>
              </w:rPr>
              <w:t>，不满足得0分，满分</w:t>
            </w:r>
            <w:r>
              <w:rPr>
                <w:rFonts w:cs="宋体"/>
                <w:sz w:val="21"/>
                <w:szCs w:val="21"/>
              </w:rPr>
              <w:t>3</w:t>
            </w:r>
            <w:r>
              <w:rPr>
                <w:rFonts w:hint="eastAsia" w:cs="宋体"/>
                <w:sz w:val="21"/>
                <w:szCs w:val="21"/>
              </w:rPr>
              <w:t>分</w:t>
            </w:r>
            <w:r>
              <w:rPr>
                <w:rFonts w:cs="宋体"/>
                <w:sz w:val="21"/>
                <w:szCs w:val="21"/>
              </w:rPr>
              <w:t>。</w:t>
            </w:r>
          </w:p>
        </w:tc>
        <w:tc>
          <w:tcPr>
            <w:tcW w:w="1418" w:type="dxa"/>
            <w:vMerge w:val="continue"/>
            <w:shd w:val="clear" w:color="auto" w:fill="auto"/>
            <w:vAlign w:val="center"/>
          </w:tcPr>
          <w:p w14:paraId="4F964FEF">
            <w:pPr>
              <w:spacing w:line="320" w:lineRule="exact"/>
              <w:rPr>
                <w:rFonts w:cs="宋体"/>
                <w:bCs/>
                <w:color w:val="C00000"/>
                <w:sz w:val="21"/>
                <w:szCs w:val="21"/>
              </w:rPr>
            </w:pPr>
          </w:p>
        </w:tc>
      </w:tr>
      <w:tr w14:paraId="017E87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14:paraId="1D8C1BBB">
            <w:pPr>
              <w:spacing w:line="320" w:lineRule="exact"/>
              <w:jc w:val="center"/>
              <w:rPr>
                <w:rFonts w:cs="宋体"/>
                <w:bCs/>
                <w:sz w:val="21"/>
                <w:szCs w:val="21"/>
              </w:rPr>
            </w:pPr>
            <w:r>
              <w:rPr>
                <w:rFonts w:cs="宋体"/>
                <w:bCs/>
                <w:sz w:val="21"/>
                <w:szCs w:val="21"/>
              </w:rPr>
              <w:t>商务</w:t>
            </w:r>
          </w:p>
          <w:p w14:paraId="23109A78">
            <w:pPr>
              <w:spacing w:line="320" w:lineRule="exact"/>
              <w:jc w:val="center"/>
              <w:rPr>
                <w:rFonts w:cs="宋体"/>
                <w:bCs/>
                <w:sz w:val="21"/>
                <w:szCs w:val="21"/>
              </w:rPr>
            </w:pPr>
            <w:r>
              <w:rPr>
                <w:rFonts w:cs="宋体"/>
                <w:bCs/>
                <w:sz w:val="21"/>
                <w:szCs w:val="21"/>
              </w:rPr>
              <w:t>部分</w:t>
            </w:r>
          </w:p>
        </w:tc>
        <w:tc>
          <w:tcPr>
            <w:tcW w:w="640" w:type="dxa"/>
            <w:vMerge w:val="restart"/>
            <w:shd w:val="clear" w:color="auto" w:fill="auto"/>
            <w:vAlign w:val="center"/>
          </w:tcPr>
          <w:p w14:paraId="4F02B6A6">
            <w:pPr>
              <w:spacing w:line="320" w:lineRule="exact"/>
              <w:jc w:val="center"/>
              <w:rPr>
                <w:rFonts w:cs="宋体"/>
                <w:bCs/>
                <w:sz w:val="21"/>
                <w:szCs w:val="21"/>
              </w:rPr>
            </w:pPr>
            <w:r>
              <w:rPr>
                <w:rFonts w:cs="宋体"/>
                <w:bCs/>
                <w:sz w:val="21"/>
                <w:szCs w:val="21"/>
              </w:rPr>
              <w:t>10</w:t>
            </w:r>
          </w:p>
        </w:tc>
        <w:tc>
          <w:tcPr>
            <w:tcW w:w="860" w:type="dxa"/>
            <w:shd w:val="clear" w:color="auto" w:fill="auto"/>
            <w:vAlign w:val="center"/>
          </w:tcPr>
          <w:p w14:paraId="3625DBF7">
            <w:pPr>
              <w:spacing w:line="320" w:lineRule="exact"/>
              <w:jc w:val="center"/>
              <w:rPr>
                <w:rFonts w:cs="宋体"/>
                <w:bCs/>
                <w:sz w:val="21"/>
                <w:szCs w:val="21"/>
              </w:rPr>
            </w:pPr>
            <w:r>
              <w:rPr>
                <w:rFonts w:cs="宋体"/>
                <w:bCs/>
                <w:sz w:val="21"/>
                <w:szCs w:val="21"/>
              </w:rPr>
              <w:t>2</w:t>
            </w:r>
          </w:p>
        </w:tc>
        <w:tc>
          <w:tcPr>
            <w:tcW w:w="5809" w:type="dxa"/>
            <w:tcBorders>
              <w:top w:val="single" w:color="auto" w:sz="2" w:space="0"/>
            </w:tcBorders>
            <w:shd w:val="clear" w:color="auto" w:fill="auto"/>
            <w:vAlign w:val="center"/>
          </w:tcPr>
          <w:p w14:paraId="65746E84">
            <w:pPr>
              <w:spacing w:line="320" w:lineRule="exact"/>
              <w:ind w:firstLine="420" w:firstLineChars="200"/>
              <w:rPr>
                <w:rFonts w:cs="Calibri"/>
                <w:b/>
                <w:color w:val="C00000"/>
                <w:kern w:val="2"/>
                <w:sz w:val="21"/>
                <w:szCs w:val="21"/>
              </w:rPr>
            </w:pPr>
            <w:r>
              <w:rPr>
                <w:rFonts w:hint="eastAsia" w:cs="Calibri"/>
                <w:b/>
                <w:color w:val="C00000"/>
                <w:kern w:val="2"/>
                <w:sz w:val="21"/>
                <w:szCs w:val="21"/>
              </w:rPr>
              <w:t>节能产品</w:t>
            </w:r>
            <w:r>
              <w:rPr>
                <w:rFonts w:cs="Calibri"/>
                <w:b/>
                <w:color w:val="C00000"/>
                <w:kern w:val="2"/>
                <w:sz w:val="21"/>
                <w:szCs w:val="21"/>
              </w:rPr>
              <w:t>、环保</w:t>
            </w:r>
            <w:r>
              <w:rPr>
                <w:rFonts w:hint="eastAsia" w:cs="Calibri"/>
                <w:b/>
                <w:color w:val="C00000"/>
                <w:kern w:val="2"/>
                <w:sz w:val="21"/>
                <w:szCs w:val="21"/>
              </w:rPr>
              <w:t>标志</w:t>
            </w:r>
            <w:r>
              <w:rPr>
                <w:rFonts w:cs="Calibri"/>
                <w:b/>
                <w:color w:val="C00000"/>
                <w:kern w:val="2"/>
                <w:sz w:val="21"/>
                <w:szCs w:val="21"/>
              </w:rPr>
              <w:t>产品</w:t>
            </w:r>
            <w:r>
              <w:rPr>
                <w:rFonts w:hint="eastAsia" w:cs="Calibri"/>
                <w:b/>
                <w:color w:val="C00000"/>
                <w:kern w:val="2"/>
                <w:sz w:val="21"/>
                <w:szCs w:val="21"/>
              </w:rPr>
              <w:t>优先采购</w:t>
            </w:r>
            <w:r>
              <w:rPr>
                <w:rFonts w:cs="Calibri"/>
                <w:b/>
                <w:color w:val="C00000"/>
                <w:kern w:val="2"/>
                <w:sz w:val="21"/>
                <w:szCs w:val="21"/>
              </w:rPr>
              <w:t>：</w:t>
            </w:r>
          </w:p>
          <w:p w14:paraId="3EC0AB59">
            <w:pPr>
              <w:spacing w:line="320" w:lineRule="exact"/>
              <w:ind w:firstLine="420" w:firstLineChars="200"/>
              <w:rPr>
                <w:rFonts w:cs="宋体"/>
                <w:sz w:val="21"/>
                <w:szCs w:val="21"/>
              </w:rPr>
            </w:pPr>
            <w:r>
              <w:rPr>
                <w:rFonts w:hint="eastAsia" w:cs="宋体"/>
                <w:sz w:val="21"/>
                <w:szCs w:val="21"/>
              </w:rPr>
              <w:t>采用的材料每有一项属于节能产品政府采购品目清单中优先采购范围的得0.25分；每有一项属于环境标志产品政府采购品目清单中优先采购范围的得0.25分。本项最高得</w:t>
            </w:r>
            <w:r>
              <w:rPr>
                <w:rFonts w:cs="宋体"/>
                <w:sz w:val="21"/>
                <w:szCs w:val="21"/>
              </w:rPr>
              <w:t>2</w:t>
            </w:r>
            <w:r>
              <w:rPr>
                <w:rFonts w:hint="eastAsia" w:cs="宋体"/>
                <w:sz w:val="21"/>
                <w:szCs w:val="21"/>
              </w:rPr>
              <w:t>分。</w:t>
            </w:r>
          </w:p>
          <w:p w14:paraId="007A56AB">
            <w:pPr>
              <w:spacing w:line="320" w:lineRule="exact"/>
              <w:ind w:firstLine="420" w:firstLineChars="200"/>
              <w:rPr>
                <w:rFonts w:cs="宋体"/>
                <w:sz w:val="21"/>
                <w:szCs w:val="21"/>
              </w:rPr>
            </w:pPr>
            <w:r>
              <w:rPr>
                <w:rFonts w:hint="eastAsia" w:cs="宋体"/>
                <w:sz w:val="21"/>
                <w:szCs w:val="21"/>
              </w:rPr>
              <w:t>注：1、同时具备</w:t>
            </w:r>
            <w:r>
              <w:rPr>
                <w:rFonts w:cs="宋体"/>
                <w:sz w:val="21"/>
                <w:szCs w:val="21"/>
              </w:rPr>
              <w:t>节能产品认证和环境标志产品认证的产品</w:t>
            </w:r>
            <w:r>
              <w:rPr>
                <w:rFonts w:hint="eastAsia" w:cs="宋体"/>
                <w:sz w:val="21"/>
                <w:szCs w:val="21"/>
              </w:rPr>
              <w:t>可分别得分；</w:t>
            </w:r>
          </w:p>
          <w:p w14:paraId="705B8FB9">
            <w:pPr>
              <w:spacing w:line="320" w:lineRule="exact"/>
              <w:ind w:firstLine="420" w:firstLineChars="200"/>
              <w:rPr>
                <w:rFonts w:cs="宋体"/>
                <w:sz w:val="21"/>
                <w:szCs w:val="21"/>
              </w:rPr>
            </w:pPr>
            <w:r>
              <w:rPr>
                <w:rFonts w:hint="eastAsia" w:cs="宋体"/>
                <w:sz w:val="21"/>
                <w:szCs w:val="21"/>
              </w:rPr>
              <w:t>2、提供国家确认的认证机构出具的、处于有效期之内的节能产品、或环境标志产品认证证书。</w:t>
            </w:r>
          </w:p>
        </w:tc>
        <w:tc>
          <w:tcPr>
            <w:tcW w:w="1418" w:type="dxa"/>
            <w:vMerge w:val="restart"/>
            <w:shd w:val="clear" w:color="auto" w:fill="auto"/>
            <w:vAlign w:val="center"/>
          </w:tcPr>
          <w:p w14:paraId="03A58F7E">
            <w:pPr>
              <w:spacing w:line="320" w:lineRule="exact"/>
              <w:rPr>
                <w:rFonts w:cs="宋体"/>
                <w:bCs/>
                <w:color w:val="C00000"/>
                <w:sz w:val="21"/>
                <w:szCs w:val="21"/>
              </w:rPr>
            </w:pPr>
          </w:p>
        </w:tc>
      </w:tr>
      <w:tr w14:paraId="640365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6E1B5279">
            <w:pPr>
              <w:spacing w:line="320" w:lineRule="exact"/>
              <w:jc w:val="center"/>
              <w:rPr>
                <w:rFonts w:cs="宋体"/>
                <w:bCs/>
                <w:sz w:val="21"/>
                <w:szCs w:val="21"/>
              </w:rPr>
            </w:pPr>
          </w:p>
        </w:tc>
        <w:tc>
          <w:tcPr>
            <w:tcW w:w="640" w:type="dxa"/>
            <w:vMerge w:val="continue"/>
            <w:shd w:val="clear" w:color="auto" w:fill="auto"/>
            <w:vAlign w:val="center"/>
          </w:tcPr>
          <w:p w14:paraId="2937D070">
            <w:pPr>
              <w:spacing w:line="320" w:lineRule="exact"/>
              <w:jc w:val="center"/>
              <w:rPr>
                <w:rFonts w:cs="宋体"/>
                <w:bCs/>
                <w:sz w:val="21"/>
                <w:szCs w:val="21"/>
              </w:rPr>
            </w:pPr>
          </w:p>
        </w:tc>
        <w:tc>
          <w:tcPr>
            <w:tcW w:w="860" w:type="dxa"/>
            <w:shd w:val="clear" w:color="auto" w:fill="auto"/>
            <w:vAlign w:val="center"/>
          </w:tcPr>
          <w:p w14:paraId="5D442E08">
            <w:pPr>
              <w:spacing w:line="320" w:lineRule="exact"/>
              <w:jc w:val="center"/>
              <w:rPr>
                <w:rFonts w:cs="宋体"/>
                <w:bCs/>
                <w:sz w:val="21"/>
                <w:szCs w:val="21"/>
              </w:rPr>
            </w:pPr>
            <w:r>
              <w:rPr>
                <w:rFonts w:cs="宋体"/>
                <w:bCs/>
                <w:sz w:val="21"/>
                <w:szCs w:val="21"/>
              </w:rPr>
              <w:t>8</w:t>
            </w:r>
          </w:p>
        </w:tc>
        <w:tc>
          <w:tcPr>
            <w:tcW w:w="5809" w:type="dxa"/>
            <w:shd w:val="clear" w:color="auto" w:fill="auto"/>
            <w:vAlign w:val="center"/>
          </w:tcPr>
          <w:p w14:paraId="1BA6BE7A">
            <w:pPr>
              <w:spacing w:line="320" w:lineRule="exact"/>
              <w:ind w:firstLine="420" w:firstLineChars="200"/>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14:paraId="66E6126E">
            <w:pPr>
              <w:spacing w:line="320" w:lineRule="exact"/>
              <w:ind w:firstLine="420" w:firstLineChars="200"/>
              <w:jc w:val="both"/>
              <w:rPr>
                <w:rFonts w:cs="宋体"/>
                <w:sz w:val="21"/>
                <w:szCs w:val="21"/>
              </w:rPr>
            </w:pPr>
            <w:r>
              <w:rPr>
                <w:rFonts w:cs="宋体"/>
                <w:sz w:val="21"/>
                <w:szCs w:val="21"/>
              </w:rPr>
              <w:t>提供2023年1月1日</w:t>
            </w:r>
            <w:r>
              <w:rPr>
                <w:rFonts w:hint="eastAsia" w:cs="Calibri Light" w:asciiTheme="minorEastAsia" w:hAnsiTheme="minorEastAsia"/>
                <w:sz w:val="21"/>
                <w:szCs w:val="21"/>
              </w:rPr>
              <w:t>（以合同签订之日</w:t>
            </w:r>
            <w:r>
              <w:rPr>
                <w:rFonts w:cs="Calibri Light" w:asciiTheme="minorEastAsia" w:hAnsiTheme="minorEastAsia"/>
                <w:sz w:val="21"/>
                <w:szCs w:val="21"/>
              </w:rPr>
              <w:t>为准</w:t>
            </w:r>
            <w:r>
              <w:rPr>
                <w:rFonts w:hint="eastAsia" w:cs="Calibri Light" w:asciiTheme="minorEastAsia" w:hAnsiTheme="minorEastAsia"/>
                <w:sz w:val="21"/>
                <w:szCs w:val="21"/>
              </w:rPr>
              <w:t>）</w:t>
            </w:r>
            <w:r>
              <w:rPr>
                <w:rFonts w:cs="宋体"/>
                <w:sz w:val="21"/>
                <w:szCs w:val="21"/>
              </w:rPr>
              <w:t>以来类似项目的业绩证明文件（即合同及相应的验收文件，二者同时出具方为有效），评审时以业绩证明文件扫描件为计分依据</w:t>
            </w:r>
            <w:r>
              <w:rPr>
                <w:rFonts w:hint="eastAsia" w:cs="宋体"/>
                <w:sz w:val="21"/>
                <w:szCs w:val="21"/>
              </w:rPr>
              <w:t>，</w:t>
            </w:r>
            <w:r>
              <w:rPr>
                <w:rFonts w:cs="宋体"/>
                <w:sz w:val="21"/>
                <w:szCs w:val="21"/>
              </w:rPr>
              <w:t>每出具一份业绩证明文件得2分，满分8分。</w:t>
            </w:r>
          </w:p>
        </w:tc>
        <w:tc>
          <w:tcPr>
            <w:tcW w:w="1418" w:type="dxa"/>
            <w:vMerge w:val="continue"/>
            <w:shd w:val="clear" w:color="auto" w:fill="auto"/>
            <w:vAlign w:val="center"/>
          </w:tcPr>
          <w:p w14:paraId="235DE413">
            <w:pPr>
              <w:spacing w:line="320" w:lineRule="exact"/>
              <w:rPr>
                <w:rFonts w:cs="宋体"/>
                <w:bCs/>
                <w:color w:val="FF0000"/>
                <w:sz w:val="21"/>
                <w:szCs w:val="21"/>
              </w:rPr>
            </w:pPr>
          </w:p>
        </w:tc>
      </w:tr>
      <w:tr w14:paraId="56F374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shd w:val="clear" w:color="auto" w:fill="auto"/>
            <w:vAlign w:val="center"/>
          </w:tcPr>
          <w:p w14:paraId="71643199">
            <w:pPr>
              <w:spacing w:line="320" w:lineRule="exact"/>
              <w:jc w:val="center"/>
              <w:rPr>
                <w:rFonts w:cs="宋体"/>
                <w:bCs/>
                <w:sz w:val="21"/>
                <w:szCs w:val="21"/>
              </w:rPr>
            </w:pPr>
            <w:r>
              <w:rPr>
                <w:rFonts w:cs="宋体"/>
                <w:bCs/>
                <w:sz w:val="21"/>
                <w:szCs w:val="21"/>
              </w:rPr>
              <w:t>说明</w:t>
            </w:r>
          </w:p>
        </w:tc>
        <w:tc>
          <w:tcPr>
            <w:tcW w:w="8727" w:type="dxa"/>
            <w:gridSpan w:val="4"/>
            <w:shd w:val="clear" w:color="auto" w:fill="auto"/>
            <w:vAlign w:val="center"/>
          </w:tcPr>
          <w:p w14:paraId="2BCF9E2A">
            <w:pPr>
              <w:spacing w:line="320" w:lineRule="exact"/>
              <w:ind w:firstLine="420" w:firstLineChars="200"/>
              <w:rPr>
                <w:rFonts w:cs="宋体"/>
                <w:bCs/>
                <w:sz w:val="21"/>
                <w:szCs w:val="21"/>
              </w:rPr>
            </w:pPr>
            <w:r>
              <w:rPr>
                <w:rFonts w:cs="宋体"/>
                <w:bCs/>
                <w:sz w:val="21"/>
                <w:szCs w:val="21"/>
              </w:rPr>
              <w:t>评标委员会成员必须按照本评审要素据实打分，各类数字计算均按“四舍五入”保留小数点后两位；</w:t>
            </w:r>
          </w:p>
        </w:tc>
      </w:tr>
    </w:tbl>
    <w:p w14:paraId="5E16FD7D">
      <w:pPr>
        <w:pStyle w:val="81"/>
        <w:ind w:firstLine="482"/>
        <w:rPr>
          <w:b/>
        </w:rPr>
      </w:pPr>
      <w:r>
        <w:rPr>
          <w:b/>
        </w:rPr>
        <w:t>（七）推荐成交候选人并编写评审报告</w:t>
      </w:r>
    </w:p>
    <w:p w14:paraId="441B310C">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C24900">
      <w:pPr>
        <w:pStyle w:val="81"/>
        <w:ind w:firstLine="480"/>
      </w:pPr>
      <w:r>
        <w:rPr>
          <w:rFonts w:hint="eastAsia"/>
        </w:rPr>
        <w:t>本项目按照自采购包一至采购包二的顺序进行评审，磋商小组依据“只能成交一个采购包”的原则推荐成交候选人。对参与两个采购包投标的供应商，如供应商已经在采购包一被推荐为排序第一成交候选人，则磋商小组在评审采购包二时，不再继续授予该供应商为采购包二的成交候选人资格。</w:t>
      </w:r>
    </w:p>
    <w:p w14:paraId="2E53BD0A">
      <w:pPr>
        <w:pStyle w:val="3"/>
      </w:pPr>
      <w:r>
        <w:t>七、成交</w:t>
      </w:r>
    </w:p>
    <w:p w14:paraId="5D87E9E5">
      <w:pPr>
        <w:pStyle w:val="81"/>
        <w:ind w:firstLine="480"/>
      </w:pPr>
      <w:r>
        <w:rPr>
          <w:rFonts w:hint="eastAsia"/>
        </w:rPr>
        <w:t>1</w:t>
      </w:r>
      <w:r>
        <w:rPr>
          <w:rFonts w:hint="eastAsia"/>
          <w:color w:val="auto"/>
        </w:rPr>
        <w:t>．</w:t>
      </w:r>
      <w:r>
        <w:t>采购代理机构在评审工作结束后2个工作日内，将评审报告送采购人确认。</w:t>
      </w:r>
    </w:p>
    <w:p w14:paraId="4224D80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67B80D74">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1"/>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1"/>
        <w:ind w:firstLine="480"/>
        <w:rPr>
          <w:color w:val="auto"/>
        </w:rPr>
      </w:pPr>
      <w:r>
        <w:rPr>
          <w:rFonts w:hint="eastAsia"/>
        </w:rPr>
        <w:t>1</w:t>
      </w:r>
      <w:r>
        <w:rPr>
          <w:rFonts w:hint="eastAsia"/>
          <w:color w:val="auto"/>
        </w:rPr>
        <w:t>．采购人与成交供应商应当根据合同的约定依法履行合同义务。</w:t>
      </w:r>
    </w:p>
    <w:p w14:paraId="29751297">
      <w:pPr>
        <w:pStyle w:val="81"/>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1"/>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1"/>
        <w:ind w:firstLine="480"/>
      </w:pPr>
      <w:r>
        <w:rPr>
          <w:rFonts w:hint="eastAsia"/>
        </w:rPr>
        <w:t>（1）因情况变化，不再符合规定的竞争性磋商采购方式适用情形的；</w:t>
      </w:r>
    </w:p>
    <w:p w14:paraId="0FA6E2DE">
      <w:pPr>
        <w:pStyle w:val="81"/>
        <w:ind w:firstLine="480"/>
      </w:pPr>
      <w:r>
        <w:rPr>
          <w:rFonts w:hint="eastAsia"/>
        </w:rPr>
        <w:t>（2）出现影响采购公正的违法、违规行为的；</w:t>
      </w:r>
    </w:p>
    <w:p w14:paraId="119AEF1E">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1"/>
        <w:ind w:firstLine="0" w:firstLineChars="0"/>
      </w:pPr>
    </w:p>
    <w:p w14:paraId="0A42446B">
      <w:pPr>
        <w:widowControl w:val="0"/>
        <w:topLinePunct/>
        <w:jc w:val="both"/>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11" w:name="_Toc219706209"/>
      <w:r>
        <w:rPr>
          <w:rFonts w:hint="eastAsia"/>
        </w:rPr>
        <w:t>第三章　磋商内容及要求</w:t>
      </w:r>
      <w:bookmarkEnd w:id="1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394F597F">
      <w:pPr>
        <w:pStyle w:val="3"/>
        <w:jc w:val="both"/>
      </w:pPr>
      <w:r>
        <w:rPr>
          <w:rFonts w:hint="eastAsia"/>
        </w:rPr>
        <w:t>一、项目概况</w:t>
      </w:r>
    </w:p>
    <w:p w14:paraId="34293375">
      <w:pPr>
        <w:ind w:firstLine="480" w:firstLineChars="200"/>
        <w:jc w:val="both"/>
      </w:pPr>
      <w:r>
        <w:rPr>
          <w:rFonts w:hint="eastAsia"/>
        </w:rPr>
        <w:t>西安市机关事务服务中心“2026年度小额零星维修项目”维修地方包括市政府办公区、市应急指挥中心、市政务服务中心、后勤综合楼四个院落和兴庆路、新民街、唐苑、开元等四个住宅管理所。市政府办公区等四个院落已建成使用10多年，兴庆路等四个住宅管理所更是建设年代久远，现出现上下水主管道老化，走廊吊顶开始变形，房屋漏水、道路沉降等一系列问题，存在严重的安全隐患。为保障西安市行政中心政府办公区四个院落的正常办公及兴庆路等四个住宅管理所的正常运转，现开展“2026年度小额零星维修项目”采购工作。</w:t>
      </w:r>
    </w:p>
    <w:p w14:paraId="2BA7CC92">
      <w:pPr>
        <w:ind w:firstLine="480" w:firstLineChars="200"/>
        <w:jc w:val="both"/>
      </w:pPr>
      <w:r>
        <w:rPr>
          <w:rFonts w:hint="eastAsia"/>
        </w:rPr>
        <w:t>本次招标将确定</w:t>
      </w:r>
      <w:r>
        <w:t>2个标段，市政府办公区、市应急指挥中心、市政务服务中心、后勤综合楼院内零星维修为</w:t>
      </w:r>
      <w:r>
        <w:rPr>
          <w:rFonts w:hint="eastAsia"/>
        </w:rPr>
        <w:t>第一</w:t>
      </w:r>
      <w:r>
        <w:t>标段，</w:t>
      </w:r>
      <w:r>
        <w:rPr>
          <w:rFonts w:hint="eastAsia"/>
        </w:rPr>
        <w:t>采购预算</w:t>
      </w:r>
      <w:r>
        <w:t>为100万元；兴庆路、新民街、唐苑、开元等四个住宅管理所零星维修为</w:t>
      </w:r>
      <w:r>
        <w:rPr>
          <w:rFonts w:hint="eastAsia"/>
        </w:rPr>
        <w:t>第二</w:t>
      </w:r>
      <w:r>
        <w:t>标段，</w:t>
      </w:r>
      <w:r>
        <w:rPr>
          <w:rFonts w:hint="eastAsia"/>
        </w:rPr>
        <w:t>采购预算</w:t>
      </w:r>
      <w:r>
        <w:t>为50万元</w:t>
      </w:r>
      <w:r>
        <w:rPr>
          <w:rFonts w:hint="eastAsia"/>
        </w:rPr>
        <w:t>。</w:t>
      </w:r>
    </w:p>
    <w:p w14:paraId="5F5FD84D">
      <w:pPr>
        <w:ind w:firstLine="480" w:firstLineChars="200"/>
        <w:jc w:val="both"/>
      </w:pPr>
      <w:r>
        <w:rPr>
          <w:rFonts w:hint="eastAsia"/>
        </w:rPr>
        <w:t>本次项目</w:t>
      </w:r>
      <w:r>
        <w:t>，</w:t>
      </w:r>
      <w:r>
        <w:rPr>
          <w:rFonts w:hint="eastAsia"/>
        </w:rPr>
        <w:t>供应商可同时参与两个标段投标，但只能成交一个标段。</w:t>
      </w:r>
    </w:p>
    <w:p w14:paraId="7AF9E4F3">
      <w:pPr>
        <w:pStyle w:val="3"/>
        <w:jc w:val="both"/>
      </w:pPr>
      <w:r>
        <w:rPr>
          <w:rFonts w:hint="eastAsia"/>
        </w:rPr>
        <w:t>二、总体要求</w:t>
      </w:r>
    </w:p>
    <w:p w14:paraId="5FD13C74">
      <w:pPr>
        <w:ind w:firstLine="480" w:firstLineChars="200"/>
      </w:pPr>
      <w:r>
        <w:rPr>
          <w:rFonts w:hint="eastAsia"/>
        </w:rPr>
        <w:t>工程质量应当达到“合格”质量标准，质量标准的评定以国家或行业的质量检验评定标准为依据。</w:t>
      </w:r>
    </w:p>
    <w:p w14:paraId="790929D8">
      <w:pPr>
        <w:ind w:firstLine="480" w:firstLineChars="200"/>
      </w:pPr>
      <w:r>
        <w:rPr>
          <w:rFonts w:hint="eastAsia"/>
        </w:rPr>
        <w:t>工程施工应按国家现行标准和相应的行业技术规范执行，这些标准和技术规范应为合同签订日为止最新公布发行的标准和技术规范。包括但不限于：</w:t>
      </w:r>
    </w:p>
    <w:p w14:paraId="6F973F66">
      <w:pPr>
        <w:ind w:firstLine="480" w:firstLineChars="200"/>
      </w:pPr>
      <w:r>
        <w:rPr>
          <w:rFonts w:hint="eastAsia"/>
        </w:rPr>
        <w:t>《建筑工程施工质量验收统一标准》GB 50300-2013。</w:t>
      </w:r>
    </w:p>
    <w:p w14:paraId="186816AE">
      <w:pPr>
        <w:pStyle w:val="3"/>
        <w:numPr>
          <w:ilvl w:val="0"/>
          <w:numId w:val="0"/>
        </w:numPr>
        <w:jc w:val="both"/>
      </w:pPr>
      <w:r>
        <w:t>三、</w:t>
      </w:r>
      <w:r>
        <w:rPr>
          <w:rFonts w:hint="eastAsia"/>
        </w:rPr>
        <w:t>施工要求</w:t>
      </w:r>
    </w:p>
    <w:p w14:paraId="6C3AD6F8">
      <w:pPr>
        <w:ind w:firstLine="480" w:firstLineChars="200"/>
        <w:rPr>
          <w:lang w:val="en-AU"/>
        </w:rPr>
      </w:pPr>
      <w:r>
        <w:rPr>
          <w:rFonts w:hint="eastAsia"/>
          <w:lang w:val="en-AU"/>
        </w:rPr>
        <w:t>在施工期间，中标供应商必须注意院内人员安全，加强安全措施，并对施工人员进行安全教育，特种作业相关人员必须持证上岗。</w:t>
      </w:r>
    </w:p>
    <w:p w14:paraId="2855C60E">
      <w:pPr>
        <w:pStyle w:val="3"/>
        <w:numPr>
          <w:ilvl w:val="0"/>
          <w:numId w:val="0"/>
        </w:numPr>
        <w:jc w:val="both"/>
      </w:pPr>
      <w:r>
        <w:t>四、</w:t>
      </w:r>
      <w:r>
        <w:rPr>
          <w:rFonts w:hint="eastAsia"/>
        </w:rPr>
        <w:t>计价依据</w:t>
      </w:r>
    </w:p>
    <w:p w14:paraId="7D9BD888">
      <w:pPr>
        <w:spacing w:line="400" w:lineRule="exact"/>
        <w:ind w:firstLine="480" w:firstLineChars="200"/>
      </w:pPr>
      <w:r>
        <w:t>本工程的计价方式为“清单计价”，计价依据：</w:t>
      </w:r>
    </w:p>
    <w:p w14:paraId="5ECEC441">
      <w:pPr>
        <w:numPr>
          <w:ilvl w:val="0"/>
          <w:numId w:val="4"/>
        </w:numPr>
        <w:spacing w:line="400" w:lineRule="exact"/>
        <w:ind w:firstLine="480" w:firstLineChars="200"/>
      </w:pPr>
      <w:r>
        <w:rPr>
          <w:rFonts w:hint="eastAsia"/>
        </w:rPr>
        <w:t>陕西省《建设工程工程量清单计价标准》DB61/T5126-2025</w:t>
      </w:r>
    </w:p>
    <w:p w14:paraId="3D4BCC5A">
      <w:pPr>
        <w:numPr>
          <w:ilvl w:val="0"/>
          <w:numId w:val="4"/>
        </w:numPr>
        <w:spacing w:line="400" w:lineRule="exact"/>
        <w:ind w:firstLine="480" w:firstLineChars="200"/>
      </w:pPr>
      <w:r>
        <w:t>《陕西省建设工程费用规则》</w:t>
      </w:r>
      <w:r>
        <w:rPr>
          <w:rFonts w:hint="eastAsia"/>
        </w:rPr>
        <w:t>（</w:t>
      </w:r>
      <w:r>
        <w:t>2025</w:t>
      </w:r>
      <w:r>
        <w:rPr>
          <w:rFonts w:hint="eastAsia"/>
        </w:rPr>
        <w:t>）</w:t>
      </w:r>
    </w:p>
    <w:p w14:paraId="1FEB7143">
      <w:pPr>
        <w:spacing w:line="400" w:lineRule="exact"/>
        <w:ind w:left="480" w:leftChars="200"/>
      </w:pPr>
      <w:r>
        <w:rPr>
          <w:rFonts w:hint="eastAsia"/>
        </w:rPr>
        <w:t>（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p>
    <w:p w14:paraId="2664E5A4">
      <w:pPr>
        <w:pStyle w:val="3"/>
        <w:numPr>
          <w:ilvl w:val="0"/>
          <w:numId w:val="0"/>
        </w:numPr>
        <w:jc w:val="both"/>
      </w:pPr>
      <w:r>
        <w:rPr>
          <w:rFonts w:hint="eastAsia"/>
        </w:rPr>
        <w:t>五</w:t>
      </w:r>
      <w:r>
        <w:t>、</w:t>
      </w:r>
      <w:r>
        <w:rPr>
          <w:rFonts w:hint="eastAsia"/>
        </w:rPr>
        <w:t>商务要求</w:t>
      </w:r>
    </w:p>
    <w:p w14:paraId="07CA974D">
      <w:pPr>
        <w:ind w:firstLine="480" w:firstLineChars="200"/>
      </w:pPr>
      <w:r>
        <w:rPr>
          <w:rFonts w:hint="eastAsia"/>
        </w:rPr>
        <w:t>（一）合同有效期</w:t>
      </w:r>
      <w:r>
        <w:t>：</w:t>
      </w:r>
      <w:r>
        <w:rPr>
          <w:rFonts w:hint="eastAsia"/>
        </w:rPr>
        <w:t>自合同签订之日起一年或结算总额达到预算时截止，以最先达到的条件为准。</w:t>
      </w:r>
    </w:p>
    <w:p w14:paraId="021B2CD5">
      <w:pPr>
        <w:ind w:firstLine="480" w:firstLineChars="200"/>
        <w:rPr>
          <w:lang w:val="en-AU"/>
        </w:rPr>
      </w:pPr>
      <w:r>
        <w:rPr>
          <w:rFonts w:hint="eastAsia"/>
        </w:rPr>
        <w:t>（二）</w:t>
      </w:r>
      <w:r>
        <w:t>工程质保期</w:t>
      </w:r>
      <w:r>
        <w:rPr>
          <w:rFonts w:hint="eastAsia"/>
        </w:rPr>
        <w:t>，</w:t>
      </w:r>
      <w:r>
        <w:rPr>
          <w:rFonts w:hint="eastAsia"/>
          <w:lang w:val="en-AU"/>
        </w:rPr>
        <w:t>自工程竣工验收之日起2年</w:t>
      </w:r>
      <w:r>
        <w:rPr>
          <w:lang w:val="en-AU"/>
        </w:rPr>
        <w:t>，其中：</w:t>
      </w:r>
    </w:p>
    <w:p w14:paraId="6793A245">
      <w:pPr>
        <w:ind w:firstLine="480" w:firstLineChars="200"/>
        <w:rPr>
          <w:lang w:val="en-AU"/>
        </w:rPr>
      </w:pPr>
      <w:r>
        <w:rPr>
          <w:rFonts w:hint="eastAsia"/>
        </w:rPr>
        <w:t>1.</w:t>
      </w:r>
      <w:r>
        <w:rPr>
          <w:rFonts w:hint="eastAsia"/>
          <w:lang w:val="en-AU"/>
        </w:rPr>
        <w:t>屋面防水工程、有防水要求的卫生间、房间和外墙面的防渗漏，为5年；</w:t>
      </w:r>
    </w:p>
    <w:p w14:paraId="25C5286E">
      <w:pPr>
        <w:ind w:firstLine="480" w:firstLineChars="200"/>
        <w:rPr>
          <w:lang w:val="en-AU"/>
        </w:rPr>
      </w:pPr>
      <w:r>
        <w:rPr>
          <w:rFonts w:hint="eastAsia"/>
        </w:rPr>
        <w:t>2.</w:t>
      </w:r>
      <w:r>
        <w:rPr>
          <w:rFonts w:hint="eastAsia"/>
          <w:lang w:val="en-AU"/>
        </w:rPr>
        <w:t>供热与供冷系统，为2个采暖期、供冷期。</w:t>
      </w:r>
    </w:p>
    <w:p w14:paraId="5D80D63F">
      <w:pPr>
        <w:ind w:firstLine="480" w:firstLineChars="200"/>
      </w:pPr>
      <w:r>
        <w:rPr>
          <w:rFonts w:hint="eastAsia"/>
        </w:rPr>
        <w:t>（三）</w:t>
      </w:r>
      <w:r>
        <w:t>缺陷责任期：</w:t>
      </w:r>
      <w:r>
        <w:rPr>
          <w:rFonts w:hint="eastAsia"/>
        </w:rPr>
        <w:t>自竣工验收合格之日起</w:t>
      </w:r>
      <w:r>
        <w:t>2</w:t>
      </w:r>
      <w:r>
        <w:rPr>
          <w:rFonts w:hint="eastAsia"/>
        </w:rPr>
        <w:t>年。</w:t>
      </w:r>
    </w:p>
    <w:p w14:paraId="32A81E75">
      <w:pPr>
        <w:pStyle w:val="3"/>
        <w:numPr>
          <w:ilvl w:val="0"/>
          <w:numId w:val="0"/>
        </w:numPr>
        <w:jc w:val="both"/>
      </w:pPr>
      <w:r>
        <w:rPr>
          <w:rFonts w:hint="eastAsia"/>
        </w:rPr>
        <w:t>六、工程量清单</w:t>
      </w:r>
    </w:p>
    <w:p w14:paraId="76A533BC">
      <w:pPr>
        <w:spacing w:line="400" w:lineRule="exact"/>
        <w:ind w:firstLine="480" w:firstLineChars="200"/>
      </w:pPr>
      <w:r>
        <w:t>（一）工程量清单说明</w:t>
      </w:r>
    </w:p>
    <w:p w14:paraId="3ABEAD35">
      <w:pPr>
        <w:spacing w:line="400" w:lineRule="exact"/>
        <w:ind w:firstLine="480" w:firstLineChars="200"/>
      </w:pPr>
      <w:r>
        <w:t>本工程量清单是根据</w:t>
      </w:r>
      <w:r>
        <w:rPr>
          <w:rFonts w:hint="eastAsia"/>
        </w:rPr>
        <w:t>磋商文件</w:t>
      </w:r>
      <w:r>
        <w:t>中</w:t>
      </w:r>
      <w:r>
        <w:rPr>
          <w:rFonts w:hint="eastAsia"/>
        </w:rPr>
        <w:t>实际情况</w:t>
      </w:r>
      <w:r>
        <w:t>及相关工程量清单的计算规则编制，应与磋商文件中要求一起阅读和理解，为</w:t>
      </w:r>
      <w:r>
        <w:rPr>
          <w:rFonts w:hint="eastAsia"/>
        </w:rPr>
        <w:t>投标</w:t>
      </w:r>
      <w:r>
        <w:t>报价的共同基础。</w:t>
      </w:r>
    </w:p>
    <w:p w14:paraId="4007921C">
      <w:pPr>
        <w:spacing w:line="400" w:lineRule="exact"/>
        <w:ind w:firstLine="480" w:firstLineChars="200"/>
      </w:pPr>
      <w:r>
        <w:t>（二）</w:t>
      </w:r>
      <w:r>
        <w:rPr>
          <w:rFonts w:hint="eastAsia"/>
        </w:rPr>
        <w:t>投标</w:t>
      </w:r>
      <w:r>
        <w:t>报价说明</w:t>
      </w:r>
    </w:p>
    <w:p w14:paraId="7D7D1D6D">
      <w:pPr>
        <w:spacing w:line="400" w:lineRule="exact"/>
        <w:ind w:firstLine="480" w:firstLineChars="200"/>
      </w:pPr>
      <w: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43DED5F5">
      <w:pPr>
        <w:snapToGrid w:val="0"/>
        <w:spacing w:line="400" w:lineRule="exact"/>
        <w:ind w:firstLine="480" w:firstLineChars="200"/>
      </w:pPr>
      <w:bookmarkStart w:id="12" w:name="OLE_LINK42"/>
      <w:bookmarkStart w:id="13" w:name="OLE_LINK41"/>
      <w:r>
        <w:t>（</w:t>
      </w:r>
      <w:r>
        <w:rPr>
          <w:rFonts w:hint="eastAsia"/>
        </w:rPr>
        <w:t>三</w:t>
      </w:r>
      <w:r>
        <w:t>）</w:t>
      </w:r>
      <w:bookmarkEnd w:id="12"/>
      <w:bookmarkEnd w:id="13"/>
      <w:r>
        <w:rPr>
          <w:rFonts w:hint="eastAsia"/>
        </w:rPr>
        <w:t>与本工程相关的特别说明</w:t>
      </w:r>
    </w:p>
    <w:p w14:paraId="56C2FF7B">
      <w:pPr>
        <w:snapToGrid w:val="0"/>
        <w:spacing w:line="400" w:lineRule="exact"/>
        <w:ind w:firstLine="480" w:firstLineChars="200"/>
      </w:pPr>
      <w:r>
        <w:rPr>
          <w:rFonts w:hint="eastAsia"/>
        </w:rPr>
        <w:t>本项目包工、包料、包工期、包质量、包安全、包调试、包垃圾外运、包文明施工，供应商要结合工程情况合理报价，按照采购人要求施工。</w:t>
      </w:r>
    </w:p>
    <w:p w14:paraId="11CFE59B">
      <w:pPr>
        <w:ind w:firstLine="480" w:firstLineChars="200"/>
      </w:pPr>
      <w:r>
        <w:t>（</w:t>
      </w:r>
      <w:r>
        <w:rPr>
          <w:rFonts w:hint="eastAsia"/>
        </w:rPr>
        <w:t>四</w:t>
      </w:r>
      <w:r>
        <w:t>）</w:t>
      </w:r>
      <w:r>
        <w:rPr>
          <w:rFonts w:hint="eastAsia"/>
        </w:rPr>
        <w:t>分部分项工程量清单及图纸</w:t>
      </w:r>
      <w:r>
        <w:t>：</w:t>
      </w:r>
      <w:r>
        <w:rPr>
          <w:rFonts w:hint="eastAsia"/>
        </w:rPr>
        <w:t>供应商可</w:t>
      </w:r>
      <w:r>
        <w:t>在</w:t>
      </w:r>
      <w:r>
        <w:rPr>
          <w:rFonts w:hint="eastAsia"/>
        </w:rPr>
        <w:t>下载磋商文件（</w:t>
      </w:r>
      <w:r>
        <w:t>*.sxszf）后，点击“招标文件的其他材料”查看</w:t>
      </w:r>
      <w:r>
        <w:rPr>
          <w:rFonts w:hint="eastAsia"/>
        </w:rPr>
        <w:t>并下载分部分项工程量清单（</w:t>
      </w:r>
      <w:r>
        <w:t>*. xlsx</w:t>
      </w:r>
      <w:r>
        <w:rPr>
          <w:rFonts w:hint="eastAsia"/>
        </w:rPr>
        <w:t>）</w:t>
      </w:r>
      <w:r>
        <w:t>。</w:t>
      </w:r>
    </w:p>
    <w:p w14:paraId="6FA82F91">
      <w:pPr>
        <w:pStyle w:val="3"/>
        <w:numPr>
          <w:ilvl w:val="0"/>
          <w:numId w:val="0"/>
        </w:numPr>
        <w:jc w:val="both"/>
      </w:pPr>
      <w:r>
        <w:rPr>
          <w:rFonts w:hint="eastAsia"/>
        </w:rPr>
        <w:t>七、关于最后报价</w:t>
      </w:r>
      <w:r>
        <w:t>的说明</w:t>
      </w:r>
    </w:p>
    <w:p w14:paraId="2235B9B9">
      <w:pPr>
        <w:snapToGrid w:val="0"/>
        <w:spacing w:line="400" w:lineRule="exact"/>
        <w:ind w:firstLine="480" w:firstLineChars="200"/>
      </w:pPr>
      <w:r>
        <w:rPr>
          <w:rFonts w:hint="eastAsia"/>
        </w:rPr>
        <w:t>（一</w:t>
      </w:r>
      <w:r>
        <w:t>）</w:t>
      </w:r>
      <w:r>
        <w:rPr>
          <w:rFonts w:hint="eastAsia"/>
        </w:rPr>
        <w:t>因本项目</w:t>
      </w:r>
      <w:r>
        <w:t>为</w:t>
      </w:r>
      <w:r>
        <w:rPr>
          <w:rFonts w:hint="eastAsia"/>
        </w:rPr>
        <w:t>固定综合</w:t>
      </w:r>
      <w:r>
        <w:t>单价结算，</w:t>
      </w:r>
      <w:r>
        <w:rPr>
          <w:rFonts w:hint="eastAsia"/>
        </w:rPr>
        <w:t>故涉及</w:t>
      </w:r>
      <w:r>
        <w:t>到</w:t>
      </w:r>
      <w:r>
        <w:rPr>
          <w:rFonts w:hint="eastAsia"/>
        </w:rPr>
        <w:t>重新</w:t>
      </w:r>
      <w:r>
        <w:t>组价</w:t>
      </w:r>
      <w:r>
        <w:rPr>
          <w:rFonts w:hint="eastAsia"/>
        </w:rPr>
        <w:t>，请</w:t>
      </w:r>
      <w:r>
        <w:t>各供应商提前做好</w:t>
      </w:r>
      <w:r>
        <w:rPr>
          <w:rFonts w:hint="eastAsia"/>
        </w:rPr>
        <w:t>相关</w:t>
      </w:r>
      <w:r>
        <w:t>准备</w:t>
      </w:r>
      <w:r>
        <w:rPr>
          <w:rFonts w:hint="eastAsia"/>
        </w:rPr>
        <w:t>。</w:t>
      </w:r>
    </w:p>
    <w:p w14:paraId="0222C55A">
      <w:pPr>
        <w:snapToGrid w:val="0"/>
        <w:spacing w:line="400" w:lineRule="exact"/>
        <w:ind w:firstLine="480" w:firstLineChars="200"/>
      </w:pPr>
      <w:r>
        <w:rPr>
          <w:rFonts w:hint="eastAsia"/>
        </w:rPr>
        <w:t>（二</w:t>
      </w:r>
      <w:r>
        <w:t>）</w:t>
      </w:r>
      <w:r>
        <w:rPr>
          <w:rFonts w:hint="eastAsia"/>
        </w:rPr>
        <w:t>磋商结束后，所有实质性响应的供应商应当按照磋商小组的要求在规定时间内提交最后报价的</w:t>
      </w:r>
      <w:r>
        <w:t>总价和重新</w:t>
      </w:r>
      <w:r>
        <w:rPr>
          <w:rFonts w:hint="eastAsia"/>
        </w:rPr>
        <w:t>组价</w:t>
      </w:r>
      <w:r>
        <w:t>后的</w:t>
      </w:r>
      <w:r>
        <w:rPr>
          <w:rFonts w:hint="eastAsia"/>
        </w:rPr>
        <w:t>包括已标价</w:t>
      </w:r>
      <w:r>
        <w:t>工程量清单在内的</w:t>
      </w:r>
      <w:r>
        <w:rPr>
          <w:rFonts w:hint="eastAsia"/>
        </w:rPr>
        <w:t>工程</w:t>
      </w:r>
      <w:r>
        <w:t>预算书</w:t>
      </w:r>
      <w:r>
        <w:rPr>
          <w:rFonts w:hint="eastAsia"/>
        </w:rPr>
        <w:t>。</w:t>
      </w:r>
    </w:p>
    <w:p w14:paraId="0AF9CAB1">
      <w:pPr>
        <w:snapToGrid w:val="0"/>
        <w:spacing w:line="400" w:lineRule="exact"/>
        <w:ind w:firstLine="480" w:firstLineChars="200"/>
      </w:pPr>
      <w:r>
        <w:rPr>
          <w:rFonts w:hint="eastAsia"/>
        </w:rPr>
        <w:t>（三</w:t>
      </w:r>
      <w:r>
        <w:t>）</w:t>
      </w:r>
      <w:r>
        <w:rPr>
          <w:rFonts w:hint="eastAsia"/>
        </w:rPr>
        <w:t>因本项目</w:t>
      </w:r>
      <w:r>
        <w:t>为不见面开标，</w:t>
      </w:r>
      <w:r>
        <w:rPr>
          <w:rFonts w:hint="eastAsia"/>
        </w:rPr>
        <w:t>最后报价的</w:t>
      </w:r>
      <w:r>
        <w:t>总价</w:t>
      </w:r>
      <w:r>
        <w:rPr>
          <w:rFonts w:hint="eastAsia"/>
        </w:rPr>
        <w:t>直接在开</w:t>
      </w:r>
      <w:r>
        <w:t>评标系统中填报，重新</w:t>
      </w:r>
      <w:r>
        <w:rPr>
          <w:rFonts w:hint="eastAsia"/>
        </w:rPr>
        <w:t>组价</w:t>
      </w:r>
      <w:r>
        <w:t>后的</w:t>
      </w:r>
      <w:r>
        <w:rPr>
          <w:rFonts w:hint="eastAsia"/>
        </w:rPr>
        <w:t>包括已标价</w:t>
      </w:r>
      <w:r>
        <w:t>工程量清单在内的</w:t>
      </w:r>
      <w:r>
        <w:rPr>
          <w:rFonts w:hint="eastAsia"/>
        </w:rPr>
        <w:t>工程</w:t>
      </w:r>
      <w:r>
        <w:t>预算书</w:t>
      </w:r>
      <w:r>
        <w:rPr>
          <w:rFonts w:hint="eastAsia"/>
        </w:rPr>
        <w:t>在评标现场</w:t>
      </w:r>
      <w:r>
        <w:t>根据工作人员的要求</w:t>
      </w:r>
      <w:r>
        <w:rPr>
          <w:rFonts w:hint="eastAsia"/>
        </w:rPr>
        <w:t>通过</w:t>
      </w:r>
      <w:r>
        <w:t>其他途径进行</w:t>
      </w:r>
      <w:r>
        <w:rPr>
          <w:rFonts w:hint="eastAsia"/>
        </w:rPr>
        <w:t>线上提交</w:t>
      </w:r>
      <w:r>
        <w:t>。</w:t>
      </w:r>
    </w:p>
    <w:p w14:paraId="2BE1963C">
      <w:pPr>
        <w:snapToGrid w:val="0"/>
        <w:spacing w:line="400" w:lineRule="exact"/>
        <w:ind w:firstLine="480" w:firstLineChars="200"/>
      </w:pPr>
      <w:r>
        <w:rPr>
          <w:rFonts w:hint="eastAsia"/>
        </w:rPr>
        <w:t>（</w:t>
      </w:r>
      <w:r>
        <w:t>四）</w:t>
      </w:r>
      <w:r>
        <w:rPr>
          <w:rFonts w:hint="eastAsia"/>
        </w:rPr>
        <w:t>最后报价</w:t>
      </w:r>
      <w:r>
        <w:t>的总价仅作为计算价格分的依据，重新组价后的已标价工程量清单中的各</w:t>
      </w:r>
      <w:r>
        <w:rPr>
          <w:rFonts w:hint="eastAsia"/>
        </w:rPr>
        <w:t>项目</w:t>
      </w:r>
      <w:r>
        <w:t>综合单价</w:t>
      </w:r>
      <w:r>
        <w:rPr>
          <w:rFonts w:hint="eastAsia"/>
        </w:rPr>
        <w:t>为本项目最终成交的</w:t>
      </w:r>
      <w:r>
        <w:t>综合</w:t>
      </w:r>
      <w:r>
        <w:rPr>
          <w:rFonts w:hint="eastAsia"/>
        </w:rPr>
        <w:t>单价</w:t>
      </w:r>
      <w:r>
        <w:t>。</w:t>
      </w:r>
      <w:r>
        <w:rPr>
          <w:rFonts w:hint="eastAsia"/>
        </w:rPr>
        <w:t>每次结算时，按照实际发生的工程量及供应商成交的综合单价据实计算当次合同价款（包括人工费、材料费、施工机具使用费、企业管理费、利润、规费、税金等）。</w:t>
      </w:r>
    </w:p>
    <w:p w14:paraId="084D5388">
      <w:pPr>
        <w:snapToGrid w:val="0"/>
        <w:spacing w:line="400" w:lineRule="exact"/>
        <w:ind w:firstLine="480" w:firstLineChars="200"/>
      </w:pPr>
      <w:r>
        <w:rPr>
          <w:rFonts w:hint="eastAsia"/>
        </w:rPr>
        <w:t>（五）</w:t>
      </w:r>
      <w:r>
        <w:rPr>
          <w:rFonts w:hint="eastAsia"/>
          <w:lang w:val="en-AU"/>
        </w:rPr>
        <w:t>本项目工程量清单中的工程量为虚拟工程量，结算时按照实际发生的工程量结算。</w:t>
      </w:r>
    </w:p>
    <w:p w14:paraId="2A3BDD75">
      <w:pPr>
        <w:pStyle w:val="81"/>
        <w:ind w:firstLine="0" w:firstLineChars="0"/>
      </w:pPr>
    </w:p>
    <w:p w14:paraId="0E603386">
      <w:pPr>
        <w:pStyle w:val="81"/>
        <w:ind w:firstLine="0" w:firstLineChars="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6ABFD21A">
      <w:pPr>
        <w:pStyle w:val="2"/>
        <w:spacing w:before="230" w:after="230"/>
        <w:rPr>
          <w:color w:val="C00000"/>
        </w:rPr>
      </w:pPr>
      <w:bookmarkStart w:id="14" w:name="_Toc219706210"/>
      <w:r>
        <w:rPr>
          <w:rFonts w:hint="eastAsia"/>
        </w:rPr>
        <w:t>第四章　合同草案条款</w:t>
      </w:r>
      <w:bookmarkEnd w:id="14"/>
    </w:p>
    <w:p w14:paraId="2D3FD371">
      <w:pPr>
        <w:jc w:val="center"/>
        <w:rPr>
          <w:color w:val="C00000"/>
        </w:rPr>
      </w:pPr>
      <w:r>
        <w:rPr>
          <w:color w:val="C00000"/>
        </w:rPr>
        <w:t>（本合同为中小企业预留合同）</w:t>
      </w:r>
    </w:p>
    <w:p w14:paraId="049F6375">
      <w:pPr>
        <w:spacing w:before="230" w:beforeLines="50"/>
        <w:ind w:firstLine="480" w:firstLineChars="200"/>
        <w:jc w:val="both"/>
        <w:rPr>
          <w:b/>
        </w:rPr>
      </w:pPr>
      <w:r>
        <w:rPr>
          <w:b/>
        </w:rPr>
        <w:t>甲方（采购人）：</w:t>
      </w:r>
      <w:r>
        <w:rPr>
          <w:b/>
          <w:color w:val="C00000"/>
          <w:u w:val="single"/>
        </w:rPr>
        <w:t>西安市机关事务服务中心</w:t>
      </w:r>
    </w:p>
    <w:p w14:paraId="71B724F7">
      <w:pPr>
        <w:ind w:firstLine="480" w:firstLineChars="200"/>
        <w:jc w:val="both"/>
        <w:rPr>
          <w:b/>
        </w:rPr>
      </w:pPr>
      <w:r>
        <w:rPr>
          <w:b/>
        </w:rPr>
        <w:t>乙方（成交供应商）：</w:t>
      </w:r>
      <w:r>
        <w:rPr>
          <w:color w:val="C00000"/>
        </w:rPr>
        <w:t>_________________</w:t>
      </w:r>
    </w:p>
    <w:p w14:paraId="3739EF5E">
      <w:pPr>
        <w:spacing w:before="230" w:beforeLines="50"/>
        <w:jc w:val="both"/>
        <w:rPr>
          <w:rFonts w:cs="Calibri Light"/>
          <w:b/>
        </w:rPr>
      </w:pPr>
      <w:r>
        <w:rPr>
          <w:rFonts w:cs="Calibri Light"/>
          <w:b/>
        </w:rPr>
        <w:t>一、</w:t>
      </w:r>
      <w:r>
        <w:rPr>
          <w:rFonts w:hint="eastAsia" w:cs="Calibri Light"/>
          <w:b/>
        </w:rPr>
        <w:t>工程地点</w:t>
      </w:r>
    </w:p>
    <w:p w14:paraId="44A0BDE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甲方指定地点。</w:t>
      </w:r>
    </w:p>
    <w:p w14:paraId="65A1BE60">
      <w:pPr>
        <w:spacing w:before="230" w:beforeLines="50"/>
        <w:jc w:val="both"/>
        <w:rPr>
          <w:rFonts w:cs="Calibri Light"/>
          <w:b/>
        </w:rPr>
      </w:pPr>
      <w:r>
        <w:rPr>
          <w:rFonts w:cs="Calibri Light"/>
          <w:b/>
        </w:rPr>
        <w:t>二、</w:t>
      </w:r>
      <w:r>
        <w:rPr>
          <w:rFonts w:hint="eastAsia" w:cs="Calibri Light"/>
          <w:b/>
        </w:rPr>
        <w:t>合同有效期</w:t>
      </w:r>
    </w:p>
    <w:p w14:paraId="09114DF5">
      <w:pPr>
        <w:spacing w:line="500" w:lineRule="exact"/>
        <w:ind w:firstLine="480" w:firstLineChars="200"/>
      </w:pPr>
      <w:r>
        <w:rPr>
          <w:rFonts w:hint="eastAsia"/>
        </w:rPr>
        <w:t>自合同签订之日起一年或结算总额达到预算时截止，以最先达到的条件为准。</w:t>
      </w:r>
    </w:p>
    <w:p w14:paraId="77E864C0">
      <w:pPr>
        <w:spacing w:before="230" w:beforeLines="50"/>
        <w:jc w:val="both"/>
        <w:rPr>
          <w:rFonts w:cs="Calibri Light"/>
          <w:b/>
        </w:rPr>
      </w:pPr>
      <w:r>
        <w:rPr>
          <w:rFonts w:hint="eastAsia" w:cs="Calibri Light"/>
          <w:b/>
        </w:rPr>
        <w:t>三</w:t>
      </w:r>
      <w:r>
        <w:rPr>
          <w:rFonts w:cs="Calibri Light"/>
          <w:b/>
        </w:rPr>
        <w:t>、</w:t>
      </w:r>
      <w:r>
        <w:rPr>
          <w:rFonts w:hint="eastAsia" w:cs="Calibri Light"/>
          <w:b/>
        </w:rPr>
        <w:t>合同价款</w:t>
      </w:r>
    </w:p>
    <w:p w14:paraId="296E1529">
      <w:pPr>
        <w:ind w:firstLine="480" w:firstLineChars="200"/>
        <w:jc w:val="both"/>
      </w:pPr>
      <w:r>
        <w:rPr>
          <w:rFonts w:hint="eastAsia"/>
        </w:rPr>
        <w:t>综合单价一次性包死，不受市场价格变化及税率变化因素的影响。每次结算时，按照实际发生的工程量及乙方成交的综合单价据实计算当次合同价款（包括人工费、材料费、施工机具使用费、企业管理费、利润、规费、税金等）。</w:t>
      </w:r>
    </w:p>
    <w:p w14:paraId="7F2E7FA9">
      <w:pPr>
        <w:spacing w:before="230" w:beforeLines="50"/>
        <w:jc w:val="both"/>
        <w:rPr>
          <w:rFonts w:cs="Calibri Light"/>
          <w:b/>
        </w:rPr>
      </w:pPr>
      <w:r>
        <w:rPr>
          <w:rFonts w:hint="eastAsia" w:cs="Calibri Light"/>
          <w:b/>
        </w:rPr>
        <w:t>四</w:t>
      </w:r>
      <w:r>
        <w:rPr>
          <w:rFonts w:cs="Calibri Light"/>
          <w:b/>
        </w:rPr>
        <w:t>、</w:t>
      </w:r>
      <w:r>
        <w:rPr>
          <w:rFonts w:hint="eastAsia" w:cs="Calibri Light"/>
          <w:b/>
        </w:rPr>
        <w:t>承包方式及款项结算</w:t>
      </w:r>
    </w:p>
    <w:p w14:paraId="35E47852">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承包方式</w:t>
      </w:r>
    </w:p>
    <w:p w14:paraId="18E8BA6F">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按照甲方内控机制要求，零星维修项目直接委托乙方实施。本项目承包方式为包工包料，成交乙方采购的材料必须经甲方确认质量和价格后，方可使用，但质量由成交乙方负责。</w:t>
      </w:r>
    </w:p>
    <w:p w14:paraId="3344E33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二</w:t>
      </w:r>
      <w:r>
        <w:rPr>
          <w:rFonts w:asciiTheme="minorHAnsi" w:hAnsiTheme="minorHAnsi" w:eastAsiaTheme="minorEastAsia"/>
          <w:sz w:val="24"/>
          <w:szCs w:val="24"/>
        </w:rPr>
        <w:t>）</w:t>
      </w:r>
      <w:r>
        <w:rPr>
          <w:rFonts w:hint="eastAsia" w:asciiTheme="minorHAnsi" w:hAnsiTheme="minorHAnsi" w:eastAsiaTheme="minorEastAsia"/>
          <w:sz w:val="24"/>
          <w:szCs w:val="24"/>
        </w:rPr>
        <w:t>款项结算</w:t>
      </w:r>
    </w:p>
    <w:p w14:paraId="74CE1D08">
      <w:pPr>
        <w:pStyle w:val="40"/>
        <w:spacing w:line="480" w:lineRule="exact"/>
        <w:ind w:firstLine="480" w:firstLineChars="200"/>
        <w:rPr>
          <w:rFonts w:asciiTheme="minorHAnsi" w:hAnsiTheme="minorHAnsi" w:eastAsiaTheme="minorEastAsia"/>
          <w:sz w:val="24"/>
          <w:szCs w:val="24"/>
        </w:rPr>
      </w:pPr>
      <w:r>
        <w:rPr>
          <w:rFonts w:hint="eastAsia" w:asciiTheme="minorHAnsi" w:hAnsiTheme="minorHAnsi" w:eastAsiaTheme="minorEastAsia"/>
          <w:sz w:val="24"/>
          <w:szCs w:val="24"/>
        </w:rPr>
        <w:t>1、合同中有相同项目单价的，依照合同中相同项目的单价执行；</w:t>
      </w:r>
    </w:p>
    <w:p w14:paraId="223CAA81">
      <w:pPr>
        <w:pStyle w:val="40"/>
        <w:spacing w:line="480" w:lineRule="exact"/>
        <w:ind w:firstLine="480"/>
        <w:rPr>
          <w:rFonts w:asciiTheme="minorHAnsi" w:hAnsiTheme="minorHAnsi" w:eastAsiaTheme="minorEastAsia"/>
          <w:sz w:val="24"/>
          <w:szCs w:val="24"/>
        </w:rPr>
      </w:pPr>
      <w:r>
        <w:rPr>
          <w:rFonts w:hint="eastAsia" w:asciiTheme="minorHAnsi" w:hAnsiTheme="minorHAnsi" w:eastAsiaTheme="minorEastAsia"/>
          <w:sz w:val="24"/>
          <w:szCs w:val="24"/>
        </w:rPr>
        <w:t>2、合同中无相同项目，但有类似清单项目单价的，参照类似的单价确定；</w:t>
      </w:r>
    </w:p>
    <w:p w14:paraId="0C65CE3D">
      <w:pPr>
        <w:pStyle w:val="40"/>
        <w:spacing w:line="480" w:lineRule="exact"/>
        <w:ind w:firstLine="480"/>
      </w:pPr>
      <w:r>
        <w:rPr>
          <w:rFonts w:hint="eastAsia" w:asciiTheme="minorHAnsi" w:hAnsiTheme="minorHAnsi" w:eastAsiaTheme="minorEastAsia"/>
          <w:sz w:val="24"/>
          <w:szCs w:val="24"/>
        </w:rPr>
        <w:t>3、合同中既无相同项目，也无类似清单项目单价的，参照《陕西省建设工程工程量清单计价标准》（2</w:t>
      </w:r>
      <w:r>
        <w:rPr>
          <w:rFonts w:asciiTheme="minorHAnsi" w:hAnsiTheme="minorHAnsi" w:eastAsiaTheme="minorEastAsia"/>
          <w:sz w:val="24"/>
          <w:szCs w:val="24"/>
        </w:rPr>
        <w:t>025</w:t>
      </w:r>
      <w:r>
        <w:rPr>
          <w:rFonts w:hint="eastAsia" w:asciiTheme="minorHAnsi" w:hAnsiTheme="minorHAnsi" w:eastAsiaTheme="minorEastAsia"/>
          <w:sz w:val="24"/>
          <w:szCs w:val="24"/>
        </w:rPr>
        <w:t>年）及配套取费标准，材料价格参照施工当月本地造价信息，经甲方或其委托的具有相应资质的工程造价咨询机构审定后执行。</w:t>
      </w:r>
    </w:p>
    <w:p w14:paraId="38A5B68E">
      <w:pPr>
        <w:pStyle w:val="40"/>
        <w:spacing w:line="480" w:lineRule="exact"/>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4、本项目属于即时性零星维修，乙方按每单次发生的维修项向甲方报价（具体单价参照本条款1/2/3条）并签订施工合同，竣工由甲方验收合格后，乙方与甲方依据本次单项维修的合同进行结算。各采购包</w:t>
      </w:r>
      <w:r>
        <w:rPr>
          <w:rFonts w:asciiTheme="minorHAnsi" w:hAnsiTheme="minorHAnsi" w:eastAsiaTheme="minorEastAsia"/>
          <w:sz w:val="24"/>
          <w:szCs w:val="24"/>
        </w:rPr>
        <w:t>下</w:t>
      </w:r>
      <w:r>
        <w:rPr>
          <w:rFonts w:hint="eastAsia" w:asciiTheme="minorHAnsi" w:hAnsiTheme="minorHAnsi" w:eastAsiaTheme="minorEastAsia"/>
          <w:sz w:val="24"/>
          <w:szCs w:val="24"/>
        </w:rPr>
        <w:t>所有维修单项合同最终结算价款总和不能超过本采购包采购预算。</w:t>
      </w:r>
    </w:p>
    <w:p w14:paraId="4859287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三</w:t>
      </w:r>
      <w:r>
        <w:rPr>
          <w:rFonts w:asciiTheme="minorHAnsi" w:hAnsiTheme="minorHAnsi" w:eastAsiaTheme="minorEastAsia"/>
          <w:sz w:val="24"/>
          <w:szCs w:val="24"/>
        </w:rPr>
        <w:t>）支付方式：银行转账。</w:t>
      </w:r>
    </w:p>
    <w:p w14:paraId="1F7371D8">
      <w:pPr>
        <w:wordWrap w:val="0"/>
        <w:ind w:firstLine="480" w:firstLineChars="200"/>
        <w:jc w:val="both"/>
      </w:pPr>
      <w:r>
        <w:t>名  称：_____________________</w:t>
      </w:r>
    </w:p>
    <w:p w14:paraId="2AE33FEA">
      <w:pPr>
        <w:wordWrap w:val="0"/>
        <w:ind w:firstLine="480" w:firstLineChars="200"/>
        <w:jc w:val="both"/>
      </w:pPr>
      <w:r>
        <w:t>开户行：_____________________</w:t>
      </w:r>
    </w:p>
    <w:p w14:paraId="6B17C2AE">
      <w:pPr>
        <w:wordWrap w:val="0"/>
        <w:ind w:firstLine="480" w:firstLineChars="200"/>
        <w:jc w:val="both"/>
      </w:pPr>
      <w:r>
        <w:t>账  号：_____________________</w:t>
      </w:r>
    </w:p>
    <w:p w14:paraId="099482C7">
      <w:pPr>
        <w:wordWrap w:val="0"/>
        <w:ind w:firstLine="480" w:firstLineChars="200"/>
        <w:jc w:val="both"/>
      </w:pPr>
      <w:r>
        <w:t>甲方仅认可上述指定账户并向该账户付款。否则甲方有权拒绝向指定账户之外的任何账户付款，并且由此导致的付款延迟责任由乙方承担。</w:t>
      </w:r>
    </w:p>
    <w:p w14:paraId="2169BF9F">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四</w:t>
      </w:r>
      <w:r>
        <w:rPr>
          <w:rFonts w:asciiTheme="minorHAnsi" w:hAnsiTheme="minorHAnsi" w:eastAsiaTheme="minorEastAsia"/>
          <w:sz w:val="24"/>
          <w:szCs w:val="24"/>
        </w:rPr>
        <w:t>）结算方式：</w:t>
      </w:r>
      <w:r>
        <w:rPr>
          <w:rFonts w:hint="eastAsia" w:asciiTheme="minorHAnsi" w:hAnsiTheme="minorHAnsi" w:eastAsiaTheme="minorEastAsia"/>
          <w:sz w:val="24"/>
          <w:szCs w:val="24"/>
        </w:rPr>
        <w:t>每批次维修项目竣工验收合格后填写政府采购项目验收单（一式五份）。乙方持成交通知书、当次维修施工合同、正式发票、当次维修政府采购项目验收单办理结算手续，甲方收到当次维修发票之日起5个工作日内给予一次性结算。</w:t>
      </w:r>
    </w:p>
    <w:p w14:paraId="70E8FA7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14:paraId="34DEBBC5">
      <w:pPr>
        <w:spacing w:before="230" w:beforeLines="50"/>
        <w:jc w:val="both"/>
        <w:rPr>
          <w:rFonts w:cs="Calibri Light"/>
          <w:b/>
        </w:rPr>
      </w:pPr>
      <w:r>
        <w:rPr>
          <w:rFonts w:hint="eastAsia" w:cs="Calibri Light"/>
          <w:b/>
        </w:rPr>
        <w:t>五</w:t>
      </w:r>
      <w:r>
        <w:rPr>
          <w:rFonts w:cs="Calibri Light"/>
          <w:b/>
        </w:rPr>
        <w:t>、双方的权利和义务</w:t>
      </w:r>
    </w:p>
    <w:p w14:paraId="5FD6421E">
      <w:pPr>
        <w:wordWrap w:val="0"/>
        <w:ind w:firstLine="480" w:firstLineChars="200"/>
        <w:jc w:val="both"/>
      </w:pPr>
      <w:r>
        <w:t>（一）甲方的权利和义务</w:t>
      </w:r>
    </w:p>
    <w:p w14:paraId="39B352AA">
      <w:pPr>
        <w:wordWrap w:val="0"/>
        <w:ind w:firstLine="480" w:firstLineChars="200"/>
        <w:jc w:val="both"/>
      </w:pPr>
      <w:r>
        <w:t>1．对本项目实施监管和指导。</w:t>
      </w:r>
    </w:p>
    <w:p w14:paraId="2F770E76">
      <w:pPr>
        <w:wordWrap w:val="0"/>
        <w:ind w:firstLine="480" w:firstLineChars="200"/>
        <w:jc w:val="both"/>
      </w:pPr>
      <w:r>
        <w:t>2．</w:t>
      </w:r>
      <w:r>
        <w:rPr>
          <w:rFonts w:hint="eastAsia"/>
        </w:rPr>
        <w:t>提供施工场地。范围为：施工永久用地由甲方负责，乙方配合协调，范围以满足正常施工永久需要为界；提供施工用地的范围和期限在签署协议书时商定。</w:t>
      </w:r>
    </w:p>
    <w:p w14:paraId="0572A262">
      <w:pPr>
        <w:wordWrap w:val="0"/>
        <w:ind w:firstLine="480" w:firstLineChars="200"/>
        <w:jc w:val="both"/>
      </w:pPr>
      <w:r>
        <w:t>3．</w:t>
      </w:r>
      <w:r>
        <w:rPr>
          <w:rFonts w:hint="eastAsia"/>
        </w:rPr>
        <w:t>在履行合同过程中应遵守法律，并保证乙方免于承担因甲方违反法律而引起的任何责任。</w:t>
      </w:r>
    </w:p>
    <w:p w14:paraId="19CC3117">
      <w:pPr>
        <w:wordWrap w:val="0"/>
        <w:ind w:firstLine="480" w:firstLineChars="200"/>
        <w:jc w:val="both"/>
      </w:pPr>
      <w:r>
        <w:t>4．</w:t>
      </w:r>
      <w:r>
        <w:rPr>
          <w:rFonts w:hint="eastAsia"/>
        </w:rPr>
        <w:t>按照法律规定履行项目审批手续、筹集工程建设资金并按照合同约定的期限和方式支付合同价款。</w:t>
      </w:r>
    </w:p>
    <w:p w14:paraId="49840EA1">
      <w:pPr>
        <w:wordWrap w:val="0"/>
        <w:ind w:firstLine="480" w:firstLineChars="200"/>
        <w:jc w:val="both"/>
      </w:pPr>
      <w:r>
        <w:t>（二）乙方的权利和义务</w:t>
      </w:r>
    </w:p>
    <w:p w14:paraId="6A321712">
      <w:pPr>
        <w:ind w:firstLine="480"/>
      </w:pPr>
      <w:r>
        <w:rPr>
          <w:rFonts w:hint="eastAsia"/>
        </w:rPr>
        <w:t>1、</w:t>
      </w:r>
      <w:r>
        <w:t>乙方未经甲方及有关部门</w:t>
      </w:r>
      <w:r>
        <w:rPr>
          <w:rFonts w:hint="eastAsia"/>
        </w:rPr>
        <w:t>书面</w:t>
      </w:r>
      <w:r>
        <w:t>同意，不得擅自变更本工程在响应承诺中认定的工程范围、施工组织方案及项目经理（响应文件中应明确项目经理的姓名及联系方法，以备检查）。</w:t>
      </w:r>
    </w:p>
    <w:p w14:paraId="1EABEC8D">
      <w:pPr>
        <w:ind w:firstLine="480"/>
      </w:pPr>
      <w:r>
        <w:t>2</w:t>
      </w:r>
      <w:r>
        <w:rPr>
          <w:rFonts w:hint="eastAsia"/>
        </w:rPr>
        <w:t>、</w:t>
      </w:r>
      <w:r>
        <w:t>乙方必须自行施工，不得转包、分包。为了确保工程质量，乙方应组织一支强有力的技术骨干队伍，建立严格的质量管理体系，规范操作。</w:t>
      </w:r>
    </w:p>
    <w:p w14:paraId="449E9CFD">
      <w:pPr>
        <w:ind w:firstLine="480"/>
      </w:pPr>
      <w:r>
        <w:rPr>
          <w:rFonts w:hint="eastAsia"/>
        </w:rPr>
        <w:t>3、</w:t>
      </w:r>
      <w:r>
        <w:t>乙方在响应文件和响应中的承诺以及补充意见等内容，将作为成交条件列入合同。</w:t>
      </w:r>
    </w:p>
    <w:p w14:paraId="13F95F7E">
      <w:pPr>
        <w:ind w:firstLine="480"/>
      </w:pPr>
      <w:r>
        <w:rPr>
          <w:rFonts w:hint="eastAsia"/>
        </w:rPr>
        <w:t>4、</w:t>
      </w:r>
      <w:r>
        <w:t>乙方如确因工程实际情况发生变化或其他因素（不可抗拒）造成需对方案进行修改、完善、补充时，需会同甲方商定。因此发生的费用，由双方协商解决。</w:t>
      </w:r>
    </w:p>
    <w:p w14:paraId="60D1267C">
      <w:pPr>
        <w:ind w:firstLine="480"/>
      </w:pPr>
      <w:r>
        <w:rPr>
          <w:rFonts w:hint="eastAsia"/>
        </w:rPr>
        <w:t>5、</w:t>
      </w:r>
      <w:r>
        <w:t>乙方按照相关规定办理投保事宜。工程施工期间及质保期内，出现的所有安全事故，由乙方承担全部责任。</w:t>
      </w:r>
    </w:p>
    <w:p w14:paraId="52BE4859">
      <w:pPr>
        <w:ind w:firstLine="480"/>
      </w:pPr>
      <w:r>
        <w:rPr>
          <w:rFonts w:hint="eastAsia"/>
        </w:rPr>
        <w:t>6、</w:t>
      </w:r>
      <w:r>
        <w:t>本项目开工后，乙方保证按月结算工人工资，施工期间不以任何名义和方式克扣工人工资，如收到此类投诉，甲方将配合劳动监察部门进行处理，有权暂停支付工程款，并扣罚乙方合同金额的2﹪。</w:t>
      </w:r>
    </w:p>
    <w:p w14:paraId="68EA6E59">
      <w:pPr>
        <w:ind w:firstLine="480"/>
      </w:pPr>
      <w:r>
        <w:rPr>
          <w:rFonts w:hint="eastAsia"/>
        </w:rPr>
        <w:t>7、</w:t>
      </w:r>
      <w:r>
        <w:t>由于乙方管理不善，造成社会不良影响（如媒体曝光、集体上访、安全事故、影响甲方正常办公秩序、上级部门通报批评等），乙方承担合同金额2%-5%的违约金。</w:t>
      </w:r>
    </w:p>
    <w:p w14:paraId="04983B61">
      <w:pPr>
        <w:ind w:firstLine="480"/>
      </w:pPr>
      <w:r>
        <w:t>8</w:t>
      </w:r>
      <w:r>
        <w:rPr>
          <w:rFonts w:hint="eastAsia"/>
        </w:rPr>
        <w:t>、</w:t>
      </w:r>
      <w:r>
        <w:t>乙方应做到工完、料净、场地清。将施工现场周围和生活区周围清理干净，否则甲方不予支付工程款。</w:t>
      </w:r>
    </w:p>
    <w:p w14:paraId="5F2AB30E">
      <w:pPr>
        <w:spacing w:before="230" w:beforeLines="50"/>
        <w:jc w:val="both"/>
        <w:rPr>
          <w:rFonts w:cs="Calibri Light"/>
          <w:b/>
        </w:rPr>
      </w:pPr>
      <w:r>
        <w:rPr>
          <w:rFonts w:hint="eastAsia" w:cs="Calibri Light"/>
          <w:b/>
        </w:rPr>
        <w:t>六</w:t>
      </w:r>
      <w:r>
        <w:rPr>
          <w:rFonts w:cs="Calibri Light"/>
          <w:b/>
        </w:rPr>
        <w:t>、</w:t>
      </w:r>
      <w:r>
        <w:rPr>
          <w:rFonts w:hint="eastAsia" w:cs="Calibri Light"/>
          <w:b/>
        </w:rPr>
        <w:t>质量保证</w:t>
      </w:r>
    </w:p>
    <w:p w14:paraId="0424107B">
      <w:pPr>
        <w:ind w:firstLine="480"/>
      </w:pPr>
      <w:r>
        <w:t>（一）对项目工期、质量、安全、后期管护等有详细的措施，和明确具体的承诺。</w:t>
      </w:r>
    </w:p>
    <w:p w14:paraId="769903D7">
      <w:pPr>
        <w:ind w:firstLine="480"/>
      </w:pPr>
      <w:r>
        <w:t>（二）</w:t>
      </w:r>
      <w:r>
        <w:rPr>
          <w:rFonts w:hint="eastAsia"/>
        </w:rPr>
        <w:t>缺陷责任期：自工程通过竣工验收之日起2年。</w:t>
      </w:r>
    </w:p>
    <w:p w14:paraId="6735420B">
      <w:pPr>
        <w:ind w:firstLine="480" w:firstLineChars="200"/>
        <w:rPr>
          <w:lang w:val="en-AU"/>
        </w:rPr>
      </w:pPr>
      <w:r>
        <w:rPr>
          <w:rFonts w:hint="eastAsia"/>
        </w:rPr>
        <w:t>（三）整个工程质保期两年，其中（1）</w:t>
      </w:r>
      <w:r>
        <w:rPr>
          <w:rFonts w:hint="eastAsia"/>
          <w:lang w:val="en-AU"/>
        </w:rPr>
        <w:t>屋面防水工程、有防水要求的卫生间、房间和外墙面的防渗漏，为5年；</w:t>
      </w:r>
      <w:r>
        <w:rPr>
          <w:rFonts w:hint="eastAsia"/>
        </w:rPr>
        <w:t>（2）</w:t>
      </w:r>
      <w:r>
        <w:rPr>
          <w:rFonts w:hint="eastAsia"/>
          <w:lang w:val="en-AU"/>
        </w:rPr>
        <w:t>供热与供冷系统，为2个采暖期、供冷期。</w:t>
      </w:r>
    </w:p>
    <w:p w14:paraId="0133926A">
      <w:pPr>
        <w:ind w:firstLine="480"/>
      </w:pPr>
      <w:r>
        <w:rPr>
          <w:rFonts w:hint="eastAsia"/>
        </w:rPr>
        <w:t>在质保期限内，对甲方提出的有关维修、维护要求，乙方应在24小时内予以解决。乙方未能按时予以维修、维护的，甲方可另行委托第三方进行，因此而产生的费用由乙方承担。</w:t>
      </w:r>
    </w:p>
    <w:p w14:paraId="3284ADFF">
      <w:pPr>
        <w:ind w:firstLine="480"/>
      </w:pPr>
      <w:r>
        <w:t>（</w:t>
      </w:r>
      <w:r>
        <w:rPr>
          <w:rFonts w:hint="eastAsia"/>
        </w:rPr>
        <w:t>四</w:t>
      </w:r>
      <w:r>
        <w:t>）用于本工程的所有材料，必须符合设计要求及国家有关规定，并有出厂合格证。</w:t>
      </w:r>
    </w:p>
    <w:p w14:paraId="2713E00A">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五</w:t>
      </w:r>
      <w:r>
        <w:rPr>
          <w:rFonts w:asciiTheme="minorHAnsi" w:hAnsiTheme="minorHAnsi" w:eastAsiaTheme="minorEastAsia"/>
          <w:sz w:val="24"/>
          <w:szCs w:val="24"/>
        </w:rPr>
        <w:t>）整个工程符合国家有关规范，确保工程质量合格。</w:t>
      </w:r>
    </w:p>
    <w:p w14:paraId="40869ACA">
      <w:pPr>
        <w:spacing w:before="230" w:beforeLines="50"/>
        <w:jc w:val="both"/>
        <w:rPr>
          <w:rFonts w:cs="Calibri Light"/>
          <w:b/>
        </w:rPr>
      </w:pPr>
      <w:r>
        <w:rPr>
          <w:rFonts w:hint="eastAsia" w:cs="Calibri Light"/>
          <w:b/>
        </w:rPr>
        <w:t>七</w:t>
      </w:r>
      <w:r>
        <w:rPr>
          <w:rFonts w:cs="Calibri Light"/>
          <w:b/>
        </w:rPr>
        <w:t>、</w:t>
      </w:r>
      <w:r>
        <w:rPr>
          <w:rFonts w:hint="eastAsia" w:cs="Calibri Light"/>
          <w:b/>
        </w:rPr>
        <w:t>安全文明施工</w:t>
      </w:r>
    </w:p>
    <w:p w14:paraId="06ED0D97">
      <w:pPr>
        <w:wordWrap w:val="0"/>
        <w:ind w:firstLine="480" w:firstLineChars="200"/>
        <w:jc w:val="both"/>
      </w:pPr>
      <w:r>
        <w:rPr>
          <w:rFonts w:hint="eastAsia"/>
        </w:rPr>
        <w:t>（一）</w:t>
      </w:r>
      <w:r>
        <w:t>乙方委派专人负责组织完成施工合同的全部内容，完成工程承包过程中与甲方接洽的一切事项，对所承包施工任务的质量、安全生产、文明施工、工程进度等管理工作进行检查和监督，并负全责。</w:t>
      </w:r>
    </w:p>
    <w:p w14:paraId="4F2F1FB0">
      <w:pPr>
        <w:wordWrap w:val="0"/>
        <w:ind w:firstLine="480" w:firstLineChars="200"/>
        <w:jc w:val="both"/>
      </w:pPr>
      <w:r>
        <w:rPr>
          <w:rFonts w:hint="eastAsia"/>
        </w:rPr>
        <w:t>（二）</w:t>
      </w:r>
      <w:r>
        <w:t>乙方不得将工程再分包，否则甲方可终止合同，且再分包部分出现的任何责任及费用甲方均不予承认，均由乙方承担。</w:t>
      </w:r>
    </w:p>
    <w:p w14:paraId="5DDF87DD">
      <w:pPr>
        <w:wordWrap w:val="0"/>
        <w:ind w:firstLine="480" w:firstLineChars="200"/>
        <w:jc w:val="both"/>
      </w:pPr>
      <w:r>
        <w:rPr>
          <w:rFonts w:hint="eastAsia"/>
        </w:rPr>
        <w:t>（三）</w:t>
      </w:r>
      <w:r>
        <w:t>乙方在进场前签订安全责任书，指定安全管理人员监督施工现场，坚决做好安全、消防、安全保卫工作，确保施工安全，保证安全生产，杜绝一切安全事故，若因违反国家法律法规导致的安全生产事故，乙方承担所有法律、经济责任并负责赔偿所有损失。</w:t>
      </w:r>
    </w:p>
    <w:p w14:paraId="636C1CD3">
      <w:pPr>
        <w:wordWrap w:val="0"/>
        <w:ind w:firstLine="480" w:firstLineChars="200"/>
        <w:jc w:val="both"/>
      </w:pPr>
      <w:r>
        <w:rPr>
          <w:rFonts w:hint="eastAsia"/>
        </w:rPr>
        <w:t>（四）</w:t>
      </w:r>
      <w:r>
        <w:t>乙方保证施工人员必须经过专业技能培训，使用专业设备技术人员必须具备上岗证。</w:t>
      </w:r>
    </w:p>
    <w:p w14:paraId="459AA7F0">
      <w:pPr>
        <w:wordWrap w:val="0"/>
        <w:ind w:firstLine="480" w:firstLineChars="200"/>
        <w:jc w:val="both"/>
      </w:pPr>
      <w:r>
        <w:rPr>
          <w:rFonts w:hint="eastAsia"/>
        </w:rPr>
        <w:t>（五）</w:t>
      </w:r>
      <w:r>
        <w:t>严格执行施工规范、安全操作规程、防火安全规定、环境保护规定。严格按照施工方案进行施工，做好各项质量检查记录。参加工程验收，编制工程结算。</w:t>
      </w:r>
    </w:p>
    <w:p w14:paraId="5929817F">
      <w:pPr>
        <w:wordWrap w:val="0"/>
        <w:ind w:firstLine="480" w:firstLineChars="200"/>
        <w:jc w:val="both"/>
      </w:pPr>
      <w:r>
        <w:rPr>
          <w:rFonts w:hint="eastAsia"/>
        </w:rPr>
        <w:t>（六）</w:t>
      </w:r>
      <w:r>
        <w:t>乙方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14:paraId="2859C0C7">
      <w:pPr>
        <w:wordWrap w:val="0"/>
        <w:ind w:firstLine="480" w:firstLineChars="200"/>
        <w:jc w:val="both"/>
      </w:pPr>
      <w:r>
        <w:rPr>
          <w:rFonts w:hint="eastAsia"/>
        </w:rPr>
        <w:t>（七）</w:t>
      </w:r>
      <w:r>
        <w:t>施工前乙方应认真检查施工现场是否真正断电、断水，并与甲方办理交接手续，杜绝安全隐患的存在，如因乙方检查疏漏造成事故，所有损失责任均由乙方承担。</w:t>
      </w:r>
    </w:p>
    <w:p w14:paraId="16454B64">
      <w:pPr>
        <w:wordWrap w:val="0"/>
        <w:ind w:firstLine="480" w:firstLineChars="200"/>
        <w:jc w:val="both"/>
      </w:pPr>
      <w:r>
        <w:rPr>
          <w:rFonts w:hint="eastAsia"/>
        </w:rPr>
        <w:t>（八）</w:t>
      </w:r>
      <w:r>
        <w:t>乙方在施工前应做好拆除施工方案，并报甲方审批，经甲方批准后方可施工。方案中要写明管理人员安排，施工人员安排，机械设备安排，施工顺序安排等。</w:t>
      </w:r>
    </w:p>
    <w:p w14:paraId="7B69FE89">
      <w:pPr>
        <w:wordWrap w:val="0"/>
        <w:ind w:firstLine="480" w:firstLineChars="200"/>
        <w:jc w:val="both"/>
      </w:pPr>
      <w:r>
        <w:rPr>
          <w:rFonts w:hint="eastAsia"/>
        </w:rPr>
        <w:t>（九）</w:t>
      </w:r>
      <w:r>
        <w:t>渣土清运工作，乙方要设置专人指挥交通，防止发生交通事故或造成交通堵塞。驶出现场车辆，要保持清洁，封盖严密，防止洒落造成污染，按环保要求认真执行。如因乙方施工未按照以上要求执行，受到城管、环保等部门处罚均由乙方承担，且若因此给甲方造成的影响乙方要承担相应责任。</w:t>
      </w:r>
    </w:p>
    <w:p w14:paraId="2C56CB5A">
      <w:pPr>
        <w:wordWrap w:val="0"/>
        <w:ind w:firstLine="480" w:firstLineChars="200"/>
        <w:jc w:val="both"/>
      </w:pPr>
      <w:r>
        <w:rPr>
          <w:rFonts w:hint="eastAsia"/>
        </w:rPr>
        <w:t>（十）</w:t>
      </w:r>
      <w:r>
        <w:t>乙方对隐蔽工程都要进行过程检验和最终检验，并且要结合施工、验收等重大程序分阶段做好质量记录。施工完毕但未通过验收之前，乙方应对整个工程负责。验收合格后，乙方必须主动向甲方供有关工程记录、隐蔽工程记录等文件资料，切实履行交接手续并主动做好工程的后期维护保养工作。</w:t>
      </w:r>
    </w:p>
    <w:p w14:paraId="18C3FFA8">
      <w:pPr>
        <w:wordWrap w:val="0"/>
        <w:ind w:firstLine="480" w:firstLineChars="200"/>
        <w:jc w:val="both"/>
      </w:pPr>
      <w:r>
        <w:rPr>
          <w:rFonts w:hint="eastAsia"/>
        </w:rPr>
        <w:t>（十一）</w:t>
      </w:r>
      <w:r>
        <w:t>施工过程中，乙方所有工作必须符合和满足国家各项相关法律法规规定及要求，若因违反任何法律法规受到相关部门的处罚，均由乙方承担，且若因此给甲方造成的损失乙方也要承担负责。若造成工期延误，乙方不得收取任何费用，应积极接受处罚。</w:t>
      </w:r>
    </w:p>
    <w:p w14:paraId="3233A035">
      <w:pPr>
        <w:wordWrap w:val="0"/>
        <w:ind w:firstLine="480" w:firstLineChars="200"/>
        <w:jc w:val="both"/>
      </w:pPr>
      <w:r>
        <w:rPr>
          <w:rFonts w:hint="eastAsia"/>
        </w:rPr>
        <w:t>（十二）</w:t>
      </w:r>
      <w:r>
        <w:t>用工要办理齐全手续，做到合法用工。乙方自行解决人员食宿、办公等用房，包括炊具燃料等。乙方应自行对本单位施工人员加强纪律教育，在施工现场与其它单位人员发生接触要互相礼让，避免出现打架斗殴、群斗群伤事件的发生。因上述事件产生的一切经济损失和法律责任由事件责任双方共同承担，甲方保留单方解除合同的权利。</w:t>
      </w:r>
    </w:p>
    <w:p w14:paraId="0195D25F">
      <w:pPr>
        <w:wordWrap w:val="0"/>
        <w:ind w:firstLine="480" w:firstLineChars="200"/>
        <w:jc w:val="both"/>
      </w:pPr>
      <w:r>
        <w:rPr>
          <w:rFonts w:hint="eastAsia"/>
        </w:rPr>
        <w:t>（十三）</w:t>
      </w:r>
      <w:r>
        <w:t>积极配合甲方完成工程审计，提供审计需要的相关资料。</w:t>
      </w:r>
    </w:p>
    <w:p w14:paraId="6BB43411">
      <w:pPr>
        <w:spacing w:before="230" w:beforeLines="50"/>
        <w:jc w:val="both"/>
        <w:rPr>
          <w:rFonts w:cs="Calibri Light"/>
          <w:b/>
        </w:rPr>
      </w:pPr>
      <w:r>
        <w:rPr>
          <w:rFonts w:hint="eastAsia" w:cs="Calibri Light"/>
          <w:b/>
        </w:rPr>
        <w:t>八</w:t>
      </w:r>
      <w:r>
        <w:rPr>
          <w:rFonts w:cs="Calibri Light"/>
          <w:b/>
        </w:rPr>
        <w:t>、验收</w:t>
      </w:r>
    </w:p>
    <w:p w14:paraId="7B3E5ACC">
      <w:pPr>
        <w:wordWrap w:val="0"/>
        <w:ind w:firstLine="480" w:firstLineChars="200"/>
        <w:jc w:val="both"/>
      </w:pPr>
      <w:r>
        <w:t>（一）</w:t>
      </w:r>
      <w:r>
        <w:rPr>
          <w:rFonts w:hint="eastAsia" w:cstheme="minorHAnsi"/>
        </w:rPr>
        <w:t>工程竣工后</w:t>
      </w:r>
      <w:r>
        <w:t>，</w:t>
      </w:r>
      <w:r>
        <w:rPr>
          <w:rFonts w:hint="eastAsia"/>
        </w:rPr>
        <w:t>乙方</w:t>
      </w:r>
      <w:r>
        <w:rPr>
          <w:rFonts w:hint="eastAsia" w:asciiTheme="minorEastAsia" w:hAnsiTheme="minorEastAsia" w:cstheme="minorHAnsi"/>
          <w:color w:val="000000"/>
          <w:kern w:val="24"/>
        </w:rPr>
        <w:t>进行自检，自检合格后准备验收文件，并书面通知甲方，</w:t>
      </w:r>
      <w:r>
        <w:t>甲方根据</w:t>
      </w:r>
      <w:r>
        <w:rPr>
          <w:rFonts w:hint="eastAsia"/>
        </w:rPr>
        <w:t>磋商</w:t>
      </w:r>
      <w:r>
        <w:t>文件和</w:t>
      </w:r>
      <w:r>
        <w:rPr>
          <w:rFonts w:hint="eastAsia"/>
        </w:rPr>
        <w:t>响应</w:t>
      </w:r>
      <w:r>
        <w:t>文件及相关文件，进行验收</w:t>
      </w:r>
      <w:r>
        <w:rPr>
          <w:rFonts w:hint="eastAsia"/>
        </w:rPr>
        <w:t>。</w:t>
      </w:r>
    </w:p>
    <w:p w14:paraId="222E3BC6">
      <w:pPr>
        <w:wordWrap w:val="0"/>
        <w:ind w:firstLine="480" w:firstLineChars="200"/>
        <w:jc w:val="both"/>
      </w:pPr>
      <w:r>
        <w:t>（二）甲方组织乙方（必要时请有关专家）进行验收，验收合格后，填写政府采购项目验收单（一式伍份）作为对项目的最终认可。</w:t>
      </w:r>
    </w:p>
    <w:p w14:paraId="62B7D18D">
      <w:pPr>
        <w:wordWrap w:val="0"/>
        <w:ind w:firstLine="480" w:firstLineChars="200"/>
        <w:jc w:val="both"/>
      </w:pPr>
      <w:r>
        <w:t>（三）乙方向甲方提供服务过程中的所有资料，以便甲方日后管理。</w:t>
      </w:r>
    </w:p>
    <w:p w14:paraId="40EEF806">
      <w:pPr>
        <w:wordWrap w:val="0"/>
        <w:ind w:firstLine="480" w:firstLineChars="200"/>
        <w:jc w:val="both"/>
      </w:pPr>
      <w:r>
        <w:t>（四）验收依据：</w:t>
      </w:r>
    </w:p>
    <w:p w14:paraId="2AADC3F1">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磋商</w:t>
      </w:r>
      <w:r>
        <w:rPr>
          <w:rFonts w:asciiTheme="minorHAnsi" w:hAnsiTheme="minorHAnsi" w:eastAsiaTheme="minorEastAsia"/>
          <w:sz w:val="24"/>
          <w:szCs w:val="24"/>
        </w:rPr>
        <w:t>文件、</w:t>
      </w:r>
      <w:r>
        <w:rPr>
          <w:rFonts w:hint="eastAsia" w:asciiTheme="minorHAnsi" w:hAnsiTheme="minorHAnsi" w:eastAsiaTheme="minorEastAsia"/>
          <w:sz w:val="24"/>
          <w:szCs w:val="24"/>
        </w:rPr>
        <w:t>响应</w:t>
      </w:r>
      <w:r>
        <w:rPr>
          <w:rFonts w:asciiTheme="minorHAnsi" w:hAnsiTheme="minorHAnsi" w:eastAsiaTheme="minorEastAsia"/>
          <w:sz w:val="24"/>
          <w:szCs w:val="24"/>
        </w:rPr>
        <w:t>文件、澄清表（函）；</w:t>
      </w:r>
    </w:p>
    <w:p w14:paraId="6742AC2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03D2FF1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14:paraId="5091655B">
      <w:pPr>
        <w:spacing w:before="230" w:beforeLines="50"/>
        <w:jc w:val="both"/>
        <w:rPr>
          <w:rFonts w:cs="Calibri Light"/>
          <w:b/>
        </w:rPr>
      </w:pPr>
      <w:r>
        <w:rPr>
          <w:rFonts w:hint="eastAsia" w:cs="Calibri Light"/>
          <w:b/>
        </w:rPr>
        <w:t>九</w:t>
      </w:r>
      <w:r>
        <w:rPr>
          <w:rFonts w:cs="Calibri Light"/>
          <w:b/>
        </w:rPr>
        <w:t>、违约责任</w:t>
      </w:r>
    </w:p>
    <w:p w14:paraId="74EA36E3">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w:t>
      </w:r>
      <w:r>
        <w:rPr>
          <w:rFonts w:hint="eastAsia" w:asciiTheme="minorHAnsi" w:hAnsiTheme="minorHAnsi" w:eastAsiaTheme="minorEastAsia"/>
          <w:sz w:val="24"/>
          <w:szCs w:val="24"/>
        </w:rPr>
        <w:t>因乙方责任，不能按期开工或中途无故停工</w:t>
      </w:r>
      <w:r>
        <w:rPr>
          <w:rFonts w:asciiTheme="minorHAnsi" w:hAnsiTheme="minorHAnsi" w:eastAsiaTheme="minorEastAsia"/>
          <w:sz w:val="24"/>
          <w:szCs w:val="24"/>
        </w:rPr>
        <w:t>，</w:t>
      </w:r>
      <w:r>
        <w:rPr>
          <w:rFonts w:hint="eastAsia" w:asciiTheme="minorHAnsi" w:hAnsiTheme="minorHAnsi" w:eastAsiaTheme="minorEastAsia"/>
          <w:sz w:val="24"/>
          <w:szCs w:val="24"/>
        </w:rPr>
        <w:t>影响工作</w:t>
      </w:r>
      <w:r>
        <w:rPr>
          <w:rFonts w:asciiTheme="minorHAnsi" w:hAnsiTheme="minorHAnsi" w:eastAsiaTheme="minorEastAsia"/>
          <w:sz w:val="24"/>
          <w:szCs w:val="24"/>
        </w:rPr>
        <w:t>，</w:t>
      </w:r>
      <w:r>
        <w:rPr>
          <w:rFonts w:hint="eastAsia" w:asciiTheme="minorHAnsi" w:hAnsiTheme="minorHAnsi" w:eastAsiaTheme="minorEastAsia"/>
          <w:sz w:val="24"/>
          <w:szCs w:val="24"/>
        </w:rPr>
        <w:t>工期不顺延。如果延误工期，每延误一天扣罚500元，超过三十天，甲方有权单方解除本合同。</w:t>
      </w:r>
    </w:p>
    <w:p w14:paraId="584892B5">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（二）如本工程达不到约定的质量标准，乙方予以全额赔偿且承担由此给甲方造成的全部损失;同时，甲方向建设主管部门报告，依照国务院279号令《建设工程质量管理条例》追究乙方的法律责任。</w:t>
      </w:r>
    </w:p>
    <w:p w14:paraId="7331077D">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w:t>
      </w:r>
      <w:r>
        <w:rPr>
          <w:rFonts w:asciiTheme="minorHAnsi" w:hAnsiTheme="minorHAnsi" w:eastAsiaTheme="minorEastAsia"/>
          <w:sz w:val="24"/>
          <w:szCs w:val="24"/>
        </w:rPr>
        <w:t>）</w:t>
      </w:r>
      <w:r>
        <w:rPr>
          <w:rFonts w:hint="eastAsia" w:asciiTheme="minorHAnsi" w:hAnsiTheme="minorHAnsi" w:eastAsiaTheme="minorEastAsia"/>
          <w:sz w:val="24"/>
          <w:szCs w:val="24"/>
        </w:rPr>
        <w:t>本工程不得转包。一经发现乙方将本工程予以转包，甲方有权立即中止合同，乙方应在14日内清退出场。同时，乙方承担由此给甲方造成的损失。投标承诺的项目经理和技术负责人，在未经甲方同意更换的情况下，不得更换，否则视同投标人违约，甲方有权解除合同。若乙方未按规定时限及要求向甲方提供符合档案管理部门要求的竣工图纸及有关的竣工技术档案资料，视为乙方违约，按100元/天向甲方支付违约金。</w:t>
      </w:r>
    </w:p>
    <w:p w14:paraId="3AF9292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四</w:t>
      </w:r>
      <w:r>
        <w:rPr>
          <w:rFonts w:asciiTheme="minorHAnsi" w:hAnsiTheme="minorHAnsi" w:eastAsiaTheme="minorEastAsia"/>
          <w:sz w:val="24"/>
          <w:szCs w:val="24"/>
        </w:rPr>
        <w:t>）未按合同要求施工或工程质量达不到国家标准要求，由乙方负责整改，并承担相关费用，由此引起一切经济损失及政治影响由乙方承担。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03AD19B0">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w:t>
      </w:r>
      <w:r>
        <w:rPr>
          <w:rFonts w:asciiTheme="minorHAnsi" w:hAnsiTheme="minorHAnsi" w:eastAsiaTheme="minorEastAsia"/>
          <w:sz w:val="24"/>
          <w:szCs w:val="24"/>
        </w:rPr>
        <w:t>按《政府采购法》、《民法典》中的相关条款执行。</w:t>
      </w:r>
    </w:p>
    <w:p w14:paraId="22BF17DB">
      <w:pPr>
        <w:spacing w:before="230" w:beforeLines="50"/>
        <w:jc w:val="both"/>
        <w:rPr>
          <w:rFonts w:cs="Calibri Light"/>
          <w:b/>
        </w:rPr>
      </w:pPr>
      <w:r>
        <w:rPr>
          <w:rFonts w:hint="eastAsia" w:cs="Calibri Light"/>
          <w:b/>
        </w:rPr>
        <w:t>十</w:t>
      </w:r>
      <w:r>
        <w:rPr>
          <w:rFonts w:cs="Calibri Light"/>
          <w:b/>
        </w:rPr>
        <w:t>、合同的变更和修改、中止和终止</w:t>
      </w:r>
    </w:p>
    <w:p w14:paraId="1802F8C3">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450E204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w:t>
      </w:r>
      <w:r>
        <w:rPr>
          <w:rFonts w:hint="eastAsia" w:asciiTheme="minorHAnsi" w:hAnsiTheme="minorHAnsi" w:eastAsiaTheme="minorEastAsia"/>
          <w:sz w:val="24"/>
          <w:szCs w:val="24"/>
        </w:rPr>
        <w:t>九</w:t>
      </w:r>
      <w:r>
        <w:rPr>
          <w:rFonts w:asciiTheme="minorHAnsi" w:hAnsiTheme="minorHAnsi" w:eastAsiaTheme="minorEastAsia"/>
          <w:sz w:val="24"/>
          <w:szCs w:val="24"/>
        </w:rPr>
        <w:t>条约定执行。</w:t>
      </w:r>
    </w:p>
    <w:p w14:paraId="49F898D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14:paraId="610D06B0">
      <w:pPr>
        <w:spacing w:before="230" w:beforeLines="50"/>
        <w:jc w:val="both"/>
        <w:rPr>
          <w:rFonts w:cs="Calibri Light"/>
          <w:b/>
        </w:rPr>
      </w:pPr>
      <w:r>
        <w:rPr>
          <w:rFonts w:hint="eastAsia" w:cs="Calibri Light"/>
          <w:b/>
        </w:rPr>
        <w:t>十一</w:t>
      </w:r>
      <w:r>
        <w:rPr>
          <w:rFonts w:cs="Calibri Light"/>
          <w:b/>
        </w:rPr>
        <w:t>、保密条款</w:t>
      </w:r>
    </w:p>
    <w:p w14:paraId="4BC674D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14:paraId="177C387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14:paraId="138EEC19">
      <w:pPr>
        <w:spacing w:before="230" w:beforeLines="50"/>
        <w:jc w:val="both"/>
        <w:rPr>
          <w:rFonts w:cs="Calibri Light"/>
          <w:b/>
        </w:rPr>
      </w:pPr>
      <w:r>
        <w:rPr>
          <w:rFonts w:cs="Calibri Light"/>
          <w:b/>
        </w:rPr>
        <w:t>十</w:t>
      </w:r>
      <w:r>
        <w:rPr>
          <w:rFonts w:hint="eastAsia" w:cs="Calibri Light"/>
          <w:b/>
        </w:rPr>
        <w:t>二</w:t>
      </w:r>
      <w:r>
        <w:rPr>
          <w:rFonts w:cs="Calibri Light"/>
          <w:b/>
        </w:rPr>
        <w:t>、争议解决</w:t>
      </w:r>
    </w:p>
    <w:p w14:paraId="6D043DC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14:paraId="56C27B5E">
      <w:pPr>
        <w:wordWrap w:val="0"/>
        <w:ind w:firstLine="480" w:firstLineChars="200"/>
        <w:jc w:val="both"/>
      </w:pPr>
      <w:r>
        <w:t>（二）凡与本合同有关的一切争议，双方应通过友好协商解决。如协商后仍不能达成协议时，按下列第___种方式解决。</w:t>
      </w:r>
    </w:p>
    <w:p w14:paraId="7E03A607">
      <w:pPr>
        <w:wordWrap w:val="0"/>
        <w:ind w:firstLine="480" w:firstLineChars="200"/>
        <w:jc w:val="both"/>
      </w:pPr>
      <w:r>
        <w:t>1．提交西安仲裁委员会。</w:t>
      </w:r>
    </w:p>
    <w:p w14:paraId="6D05556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14:paraId="00AB0C3F">
      <w:pPr>
        <w:spacing w:before="230" w:beforeLines="50"/>
        <w:jc w:val="both"/>
        <w:rPr>
          <w:rFonts w:cs="Calibri Light"/>
          <w:b/>
        </w:rPr>
      </w:pPr>
      <w:r>
        <w:rPr>
          <w:rFonts w:cs="Calibri Light"/>
          <w:b/>
        </w:rPr>
        <w:t>十</w:t>
      </w:r>
      <w:r>
        <w:rPr>
          <w:rFonts w:hint="eastAsia" w:cs="Calibri Light"/>
          <w:b/>
        </w:rPr>
        <w:t>三</w:t>
      </w:r>
      <w:r>
        <w:rPr>
          <w:rFonts w:cs="Calibri Light"/>
          <w:b/>
        </w:rPr>
        <w:t>、不可抗力</w:t>
      </w:r>
    </w:p>
    <w:p w14:paraId="3D0171A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7B72DAC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0040F7C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14:paraId="576ECA09">
      <w:pPr>
        <w:spacing w:before="230" w:beforeLines="50"/>
        <w:jc w:val="both"/>
        <w:rPr>
          <w:rFonts w:cs="Calibri Light"/>
          <w:b/>
        </w:rPr>
      </w:pPr>
      <w:r>
        <w:rPr>
          <w:rFonts w:cs="Calibri Light"/>
          <w:b/>
        </w:rPr>
        <w:t>十</w:t>
      </w:r>
      <w:r>
        <w:rPr>
          <w:rFonts w:hint="eastAsia" w:cs="Calibri Light"/>
          <w:b/>
        </w:rPr>
        <w:t>四</w:t>
      </w:r>
      <w:r>
        <w:rPr>
          <w:rFonts w:cs="Calibri Light"/>
          <w:b/>
        </w:rPr>
        <w:t>、合同生效及其他</w:t>
      </w:r>
    </w:p>
    <w:p w14:paraId="5049AA5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3517AEA2">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（二）合同一式4份，甲方、乙方各执2份。</w:t>
      </w:r>
    </w:p>
    <w:p w14:paraId="68934215">
      <w:pPr>
        <w:ind w:firstLine="480" w:firstLineChars="200"/>
      </w:pPr>
      <w:r>
        <w:t>（三）</w:t>
      </w:r>
      <w:r>
        <w:rPr>
          <w:rFonts w:hint="eastAsia"/>
        </w:rPr>
        <w:t>乙方须在本</w:t>
      </w:r>
      <w:r>
        <w:t>合同签订之时</w:t>
      </w:r>
      <w:r>
        <w:rPr>
          <w:rFonts w:hint="eastAsia"/>
        </w:rPr>
        <w:t>，</w:t>
      </w:r>
      <w:r>
        <w:t>与甲方</w:t>
      </w:r>
      <w:r>
        <w:rPr>
          <w:rFonts w:hint="eastAsia"/>
        </w:rPr>
        <w:t>签订工程质量保修书作为本合同附件。</w:t>
      </w:r>
    </w:p>
    <w:p w14:paraId="4D8620CF">
      <w:pPr>
        <w:pStyle w:val="40"/>
        <w:spacing w:line="240" w:lineRule="auto"/>
        <w:ind w:firstLine="480" w:firstLineChars="200"/>
        <w:jc w:val="both"/>
        <w:rPr>
          <w:rFonts w:asciiTheme="minorHAnsi" w:hAnsiTheme="minorHAnsi" w:eastAsiaTheme="minorEastAsia"/>
          <w:color w:val="7030A0"/>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四</w:t>
      </w:r>
      <w:r>
        <w:rPr>
          <w:rFonts w:asciiTheme="minorHAnsi" w:hAnsiTheme="minorHAnsi" w:eastAsiaTheme="minorEastAsia"/>
          <w:sz w:val="24"/>
          <w:szCs w:val="24"/>
        </w:rPr>
        <w:t>）未尽事宜由双方在签订合同时具体明确或签订补充合同。</w:t>
      </w:r>
      <w:r>
        <w:br w:type="page"/>
      </w:r>
    </w:p>
    <w:p w14:paraId="066AACEE">
      <w:pPr>
        <w:pStyle w:val="2"/>
        <w:spacing w:before="230" w:after="230"/>
      </w:pPr>
      <w:bookmarkStart w:id="15" w:name="_Toc219706211"/>
      <w:r>
        <w:rPr>
          <w:rFonts w:hint="eastAsia"/>
        </w:rPr>
        <w:t>第五章　响应文件构成及格式</w:t>
      </w:r>
      <w:bookmarkEnd w:id="15"/>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hint="eastAsia" w:cstheme="minorHAnsi"/>
          <w:b/>
          <w:color w:val="C00000"/>
          <w:sz w:val="36"/>
          <w:szCs w:val="36"/>
        </w:rPr>
        <w:t>西安市机关事务服务中心2026年度小额零星维修项目</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XCZX2026-0003</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3B0473E3">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tbl>
      <w:tblPr>
        <w:tblStyle w:val="24"/>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2126"/>
        <w:gridCol w:w="2127"/>
        <w:gridCol w:w="2127"/>
      </w:tblGrid>
      <w:tr w14:paraId="366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715" w:type="dxa"/>
            <w:vMerge w:val="restart"/>
            <w:tcBorders>
              <w:top w:val="single" w:color="auto" w:sz="2" w:space="0"/>
              <w:left w:val="single" w:color="auto" w:sz="2" w:space="0"/>
              <w:bottom w:val="single" w:color="auto" w:sz="2" w:space="0"/>
              <w:right w:val="single" w:color="auto" w:sz="2" w:space="0"/>
              <w:tl2br w:val="single" w:color="auto" w:sz="2" w:space="0"/>
            </w:tcBorders>
          </w:tcPr>
          <w:p w14:paraId="59E6309F">
            <w:pPr>
              <w:spacing w:line="440" w:lineRule="exact"/>
              <w:ind w:right="280"/>
              <w:jc w:val="right"/>
              <w:rPr>
                <w:rFonts w:cstheme="minorHAnsi"/>
                <w:b/>
                <w:color w:val="000000"/>
              </w:rPr>
            </w:pPr>
            <w:r>
              <w:rPr>
                <w:rFonts w:cstheme="minorHAnsi"/>
                <w:b/>
                <w:color w:val="000000"/>
              </w:rPr>
              <w:t>报价内容</w:t>
            </w:r>
          </w:p>
          <w:p w14:paraId="6EE43427">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126"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3B1A7B1">
            <w:pPr>
              <w:jc w:val="center"/>
              <w:rPr>
                <w:rFonts w:cstheme="minorHAnsi"/>
                <w:b/>
              </w:rPr>
            </w:pPr>
            <w:r>
              <w:rPr>
                <w:rFonts w:cstheme="minorHAnsi"/>
                <w:b/>
              </w:rPr>
              <w:t>A</w:t>
            </w:r>
          </w:p>
        </w:tc>
        <w:tc>
          <w:tcPr>
            <w:tcW w:w="2127" w:type="dxa"/>
            <w:tcBorders>
              <w:top w:val="single" w:color="auto" w:sz="2" w:space="0"/>
              <w:left w:val="single" w:color="auto" w:sz="2" w:space="0"/>
              <w:bottom w:val="single" w:color="auto" w:sz="2" w:space="0"/>
              <w:right w:val="single" w:color="auto" w:sz="2" w:space="0"/>
            </w:tcBorders>
            <w:shd w:val="clear" w:color="auto" w:fill="F1F1F1" w:themeFill="background1" w:themeFillShade="F2"/>
          </w:tcPr>
          <w:p w14:paraId="3DBC9BB7">
            <w:pPr>
              <w:jc w:val="center"/>
              <w:rPr>
                <w:rFonts w:cstheme="minorHAnsi"/>
                <w:b/>
              </w:rPr>
            </w:pPr>
            <w:r>
              <w:rPr>
                <w:rFonts w:cstheme="minorHAnsi"/>
                <w:b/>
              </w:rPr>
              <w:t>B</w:t>
            </w:r>
          </w:p>
        </w:tc>
        <w:tc>
          <w:tcPr>
            <w:tcW w:w="2127"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117AFDF5">
            <w:pPr>
              <w:jc w:val="center"/>
              <w:rPr>
                <w:rFonts w:cstheme="minorHAnsi"/>
                <w:b/>
              </w:rPr>
            </w:pPr>
            <w:r>
              <w:rPr>
                <w:rFonts w:cstheme="minorHAnsi"/>
                <w:b/>
              </w:rPr>
              <w:t>C</w:t>
            </w:r>
          </w:p>
        </w:tc>
      </w:tr>
      <w:tr w14:paraId="589D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715" w:type="dxa"/>
            <w:vMerge w:val="continue"/>
            <w:tcBorders>
              <w:top w:val="single" w:color="auto" w:sz="2" w:space="0"/>
              <w:left w:val="single" w:color="auto" w:sz="2" w:space="0"/>
              <w:bottom w:val="single" w:color="auto" w:sz="2" w:space="0"/>
              <w:right w:val="single" w:color="auto" w:sz="2" w:space="0"/>
              <w:tl2br w:val="single" w:color="auto" w:sz="2" w:space="0"/>
            </w:tcBorders>
          </w:tcPr>
          <w:p w14:paraId="1A1D1363">
            <w:pPr>
              <w:spacing w:line="440" w:lineRule="exact"/>
              <w:ind w:right="280"/>
              <w:jc w:val="right"/>
              <w:rPr>
                <w:rFonts w:cstheme="minorHAnsi"/>
                <w:b/>
                <w:color w:val="000000"/>
              </w:rPr>
            </w:pPr>
          </w:p>
        </w:tc>
        <w:tc>
          <w:tcPr>
            <w:tcW w:w="2126" w:type="dxa"/>
            <w:tcBorders>
              <w:top w:val="single" w:color="auto" w:sz="2" w:space="0"/>
              <w:left w:val="single" w:color="auto" w:sz="2" w:space="0"/>
              <w:bottom w:val="single" w:color="auto" w:sz="2" w:space="0"/>
              <w:right w:val="single" w:color="auto" w:sz="2" w:space="0"/>
            </w:tcBorders>
            <w:vAlign w:val="center"/>
          </w:tcPr>
          <w:p w14:paraId="687D6F9D">
            <w:pPr>
              <w:spacing w:line="440" w:lineRule="exact"/>
              <w:jc w:val="center"/>
              <w:rPr>
                <w:b/>
              </w:rPr>
            </w:pPr>
            <w:r>
              <w:rPr>
                <w:rFonts w:hint="eastAsia"/>
                <w:b/>
              </w:rPr>
              <w:t>磋商报价</w:t>
            </w:r>
            <w:r>
              <w:rPr>
                <w:b/>
              </w:rPr>
              <w:t>（元）</w:t>
            </w:r>
          </w:p>
        </w:tc>
        <w:tc>
          <w:tcPr>
            <w:tcW w:w="2127" w:type="dxa"/>
            <w:tcBorders>
              <w:top w:val="single" w:color="auto" w:sz="2" w:space="0"/>
              <w:left w:val="single" w:color="auto" w:sz="2" w:space="0"/>
              <w:bottom w:val="single" w:color="auto" w:sz="2" w:space="0"/>
              <w:right w:val="single" w:color="auto" w:sz="2" w:space="0"/>
            </w:tcBorders>
            <w:vAlign w:val="center"/>
          </w:tcPr>
          <w:p w14:paraId="51A2E571">
            <w:pPr>
              <w:jc w:val="center"/>
              <w:rPr>
                <w:b/>
              </w:rPr>
            </w:pPr>
            <w:r>
              <w:rPr>
                <w:rFonts w:hint="eastAsia"/>
                <w:b/>
              </w:rPr>
              <w:t>工程</w:t>
            </w:r>
            <w:r>
              <w:rPr>
                <w:b/>
              </w:rPr>
              <w:t>质量等级</w:t>
            </w:r>
          </w:p>
        </w:tc>
        <w:tc>
          <w:tcPr>
            <w:tcW w:w="2127" w:type="dxa"/>
            <w:tcBorders>
              <w:top w:val="single" w:color="auto" w:sz="2" w:space="0"/>
              <w:left w:val="single" w:color="auto" w:sz="2" w:space="0"/>
              <w:bottom w:val="single" w:color="auto" w:sz="2" w:space="0"/>
              <w:right w:val="single" w:color="auto" w:sz="2" w:space="0"/>
            </w:tcBorders>
            <w:vAlign w:val="center"/>
          </w:tcPr>
          <w:p w14:paraId="2F2FD226">
            <w:pPr>
              <w:jc w:val="center"/>
              <w:rPr>
                <w:b/>
              </w:rPr>
            </w:pPr>
            <w:r>
              <w:rPr>
                <w:rFonts w:hint="eastAsia"/>
                <w:b/>
              </w:rPr>
              <w:t>合同有效期</w:t>
            </w:r>
          </w:p>
        </w:tc>
      </w:tr>
      <w:tr w14:paraId="39C3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715" w:type="dxa"/>
            <w:tcBorders>
              <w:top w:val="single" w:color="auto" w:sz="2" w:space="0"/>
              <w:left w:val="single" w:color="auto" w:sz="2" w:space="0"/>
              <w:bottom w:val="single" w:color="auto" w:sz="2" w:space="0"/>
              <w:right w:val="single" w:color="auto" w:sz="2" w:space="0"/>
            </w:tcBorders>
            <w:vAlign w:val="center"/>
          </w:tcPr>
          <w:p w14:paraId="35544394">
            <w:pPr>
              <w:spacing w:line="440" w:lineRule="exact"/>
              <w:jc w:val="center"/>
              <w:rPr>
                <w:rFonts w:cstheme="minorHAnsi"/>
                <w:color w:val="C00000"/>
                <w:sz w:val="21"/>
                <w:szCs w:val="21"/>
              </w:rPr>
            </w:pPr>
            <w:r>
              <w:rPr>
                <w:rFonts w:cstheme="minorHAnsi"/>
                <w:color w:val="C00000"/>
                <w:sz w:val="21"/>
                <w:szCs w:val="21"/>
              </w:rPr>
              <w:t>［项目名称］</w:t>
            </w:r>
          </w:p>
          <w:p w14:paraId="7CB150E4">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126" w:type="dxa"/>
            <w:tcBorders>
              <w:top w:val="single" w:color="auto" w:sz="2" w:space="0"/>
              <w:left w:val="single" w:color="auto" w:sz="2" w:space="0"/>
              <w:bottom w:val="single" w:color="auto" w:sz="2" w:space="0"/>
              <w:right w:val="single" w:color="auto" w:sz="2" w:space="0"/>
            </w:tcBorders>
            <w:vAlign w:val="center"/>
          </w:tcPr>
          <w:p w14:paraId="397929A6">
            <w:pPr>
              <w:spacing w:line="440" w:lineRule="exact"/>
              <w:jc w:val="center"/>
              <w:rPr>
                <w:rFonts w:cstheme="minorHAnsi"/>
                <w:color w:val="000000"/>
              </w:rPr>
            </w:pPr>
          </w:p>
        </w:tc>
        <w:tc>
          <w:tcPr>
            <w:tcW w:w="2127" w:type="dxa"/>
            <w:tcBorders>
              <w:top w:val="single" w:color="auto" w:sz="2" w:space="0"/>
              <w:left w:val="single" w:color="auto" w:sz="2" w:space="0"/>
              <w:bottom w:val="single" w:color="auto" w:sz="2" w:space="0"/>
              <w:right w:val="single" w:color="auto" w:sz="2" w:space="0"/>
            </w:tcBorders>
          </w:tcPr>
          <w:p w14:paraId="16E3FA4C">
            <w:pPr>
              <w:spacing w:line="440" w:lineRule="exact"/>
              <w:jc w:val="center"/>
              <w:rPr>
                <w:rFonts w:cstheme="minorHAnsi"/>
                <w:color w:val="000000"/>
              </w:rPr>
            </w:pPr>
          </w:p>
        </w:tc>
        <w:tc>
          <w:tcPr>
            <w:tcW w:w="2127" w:type="dxa"/>
            <w:tcBorders>
              <w:top w:val="single" w:color="auto" w:sz="2" w:space="0"/>
              <w:left w:val="single" w:color="auto" w:sz="2" w:space="0"/>
              <w:bottom w:val="single" w:color="auto" w:sz="2" w:space="0"/>
              <w:right w:val="single" w:color="auto" w:sz="2" w:space="0"/>
            </w:tcBorders>
            <w:vAlign w:val="center"/>
          </w:tcPr>
          <w:p w14:paraId="783F91A7">
            <w:pPr>
              <w:spacing w:line="440" w:lineRule="exact"/>
              <w:jc w:val="center"/>
              <w:rPr>
                <w:rFonts w:cstheme="minorHAnsi"/>
                <w:color w:val="000000"/>
              </w:rPr>
            </w:pPr>
            <w:r>
              <w:rPr>
                <w:rFonts w:hint="eastAsia" w:cstheme="minorHAnsi"/>
                <w:color w:val="000000"/>
              </w:rPr>
              <w:t>一年或结算总额达到采购预算时截止</w:t>
            </w:r>
          </w:p>
        </w:tc>
      </w:tr>
    </w:tbl>
    <w:p w14:paraId="245F5DC2">
      <w:r>
        <w:rPr>
          <w:rFonts w:cstheme="minorHAnsi"/>
          <w:color w:val="000000"/>
        </w:rPr>
        <w:t>供应商：（</w:t>
      </w:r>
      <w:r>
        <w:rPr>
          <w:rFonts w:cstheme="minorHAnsi"/>
          <w:i/>
          <w:color w:val="7030A0"/>
        </w:rPr>
        <w:t>供应商全称并加盖公章</w:t>
      </w:r>
      <w:r>
        <w:rPr>
          <w:rFonts w:cstheme="minorHAnsi"/>
          <w:color w:val="000000"/>
        </w:rPr>
        <w:t>）</w:t>
      </w:r>
    </w:p>
    <w:p w14:paraId="799C9A90">
      <w:pPr>
        <w:spacing w:before="230" w:beforeLines="50"/>
        <w:jc w:val="both"/>
        <w:rPr>
          <w:kern w:val="24"/>
        </w:rPr>
      </w:pPr>
    </w:p>
    <w:p w14:paraId="35FA554E">
      <w:pPr>
        <w:jc w:val="both"/>
        <w:rPr>
          <w:kern w:val="24"/>
        </w:rPr>
      </w:pPr>
      <w:r>
        <w:rPr>
          <w:kern w:val="24"/>
        </w:rPr>
        <w:t>〖注〗</w:t>
      </w:r>
    </w:p>
    <w:p w14:paraId="1D60A59D">
      <w:pPr>
        <w:jc w:val="both"/>
        <w:rPr>
          <w:kern w:val="24"/>
        </w:rPr>
      </w:pPr>
      <w:r>
        <w:rPr>
          <w:rFonts w:hint="eastAsia"/>
          <w:kern w:val="24"/>
        </w:rPr>
        <w:t>（一）</w:t>
      </w:r>
      <w:r>
        <w:rPr>
          <w:kern w:val="24"/>
        </w:rPr>
        <w:t>磋商报价包括人工费、机械费、材料费、措施项目费、规费、税金等所有费用。磋商报价仅作为计算价格分的依据，结算时以实际发生的工程量、供应商</w:t>
      </w:r>
      <w:r>
        <w:rPr>
          <w:rFonts w:hint="eastAsia"/>
          <w:kern w:val="24"/>
        </w:rPr>
        <w:t>成交</w:t>
      </w:r>
      <w:r>
        <w:rPr>
          <w:kern w:val="24"/>
        </w:rPr>
        <w:t>的</w:t>
      </w:r>
      <w:r>
        <w:rPr>
          <w:rFonts w:hint="eastAsia"/>
          <w:kern w:val="24"/>
        </w:rPr>
        <w:t>综合</w:t>
      </w:r>
      <w:r>
        <w:rPr>
          <w:kern w:val="24"/>
        </w:rPr>
        <w:t>单价为依据按清单计价规则据实结算。</w:t>
      </w:r>
    </w:p>
    <w:p w14:paraId="1FBE27B1">
      <w:pPr>
        <w:jc w:val="both"/>
        <w:rPr>
          <w:kern w:val="24"/>
        </w:rPr>
      </w:pPr>
      <w:bookmarkStart w:id="16" w:name="OLE_LINK4"/>
      <w:r>
        <w:rPr>
          <w:kern w:val="24"/>
        </w:rPr>
        <w:t>（</w:t>
      </w:r>
      <w:r>
        <w:rPr>
          <w:rFonts w:hint="eastAsia"/>
          <w:kern w:val="24"/>
        </w:rPr>
        <w:t>二</w:t>
      </w:r>
      <w:r>
        <w:rPr>
          <w:kern w:val="24"/>
        </w:rPr>
        <w:t>）</w:t>
      </w:r>
      <w:bookmarkEnd w:id="16"/>
      <w:r>
        <w:rPr>
          <w:kern w:val="24"/>
        </w:rPr>
        <w:t>以下情况按无效响应处理：</w:t>
      </w:r>
    </w:p>
    <w:p w14:paraId="10D1FFFD">
      <w:pPr>
        <w:ind w:firstLine="480" w:firstLineChars="200"/>
        <w:jc w:val="both"/>
        <w:rPr>
          <w:kern w:val="24"/>
        </w:rPr>
      </w:pPr>
      <w:r>
        <w:rPr>
          <w:kern w:val="24"/>
        </w:rPr>
        <w:t>1．</w:t>
      </w:r>
      <w:r>
        <w:rPr>
          <w:rFonts w:hint="eastAsia"/>
          <w:kern w:val="24"/>
        </w:rPr>
        <w:t>A栏未填写阿拉伯数字，B栏未填写工程质量等级</w:t>
      </w:r>
      <w:r>
        <w:rPr>
          <w:kern w:val="24"/>
        </w:rPr>
        <w:t>。</w:t>
      </w:r>
    </w:p>
    <w:p w14:paraId="6CC92968">
      <w:pPr>
        <w:rPr>
          <w:rFonts w:ascii="黑体" w:hAnsi="黑体" w:eastAsia="黑体" w:cs="Calibri Light"/>
          <w:color w:val="1F4E79"/>
          <w:sz w:val="32"/>
          <w:szCs w:val="36"/>
        </w:rPr>
      </w:pPr>
      <w:r>
        <w:rPr>
          <w:rFonts w:ascii="黑体" w:hAnsi="黑体" w:eastAsia="黑体" w:cs="Calibri Light"/>
          <w:color w:val="1F4E79"/>
          <w:sz w:val="32"/>
          <w:szCs w:val="36"/>
        </w:rPr>
        <w:br w:type="page"/>
      </w:r>
    </w:p>
    <w:p w14:paraId="70336D8E">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已标价</w:t>
      </w:r>
      <w:r>
        <w:rPr>
          <w:rFonts w:ascii="黑体" w:hAnsi="黑体" w:eastAsia="黑体" w:cs="Calibri Light"/>
          <w:color w:val="1F4E79"/>
          <w:sz w:val="32"/>
          <w:szCs w:val="36"/>
        </w:rPr>
        <w:t>的工程量清单</w:t>
      </w:r>
    </w:p>
    <w:p w14:paraId="2D4F2EEF">
      <w:pPr>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21E4CA65">
      <w:pPr>
        <w:tabs>
          <w:tab w:val="left" w:pos="5670"/>
        </w:tabs>
        <w:ind w:firstLine="480" w:firstLineChars="200"/>
        <w:jc w:val="both"/>
        <w:rPr>
          <w:rFonts w:asciiTheme="minorEastAsia" w:hAnsiTheme="minorEastAsia" w:cstheme="minorHAnsi"/>
          <w:b/>
          <w:color w:val="C00000"/>
        </w:rPr>
      </w:pPr>
    </w:p>
    <w:p w14:paraId="71BB681B">
      <w:pPr>
        <w:tabs>
          <w:tab w:val="left" w:pos="5670"/>
        </w:tabs>
        <w:jc w:val="center"/>
        <w:rPr>
          <w:rFonts w:cs="Calibri Light"/>
          <w:b/>
          <w:color w:val="000000"/>
        </w:rPr>
      </w:pPr>
      <w:r>
        <w:rPr>
          <w:rFonts w:cs="Calibri Light"/>
          <w:b/>
          <w:color w:val="1F4E79"/>
          <w:sz w:val="28"/>
          <w:szCs w:val="36"/>
        </w:rPr>
        <w:t>『中小企业声明函』（工程类格式）</w:t>
      </w:r>
    </w:p>
    <w:p w14:paraId="3D95C819">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的采购活动，工程的施工单位全部为符合政策要求的中小企业。相关企业（含联合体中的中小企业、签订分包意向协议的中小企业）的具体情况如下：</w:t>
      </w:r>
    </w:p>
    <w:p w14:paraId="362A3D5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；承建企业为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D7F759E">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；承建企业为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DCFE76B">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5BEDD67A">
      <w:pPr>
        <w:ind w:firstLine="480" w:firstLineChars="200"/>
        <w:jc w:val="both"/>
      </w:pPr>
      <w:r>
        <w:t>以上企业，不属于大企业的分支机构，不存在控股股东为大企业的情形，也不存在与大企业的负责人为同一人的情形。</w:t>
      </w:r>
    </w:p>
    <w:p w14:paraId="4E49E1A8">
      <w:pPr>
        <w:ind w:firstLine="480" w:firstLineChars="200"/>
        <w:jc w:val="both"/>
      </w:pPr>
      <w:r>
        <w:t>本企业对上述声明内容的真实性负责。如有虚假，将依法承担相应责任。</w:t>
      </w:r>
    </w:p>
    <w:p w14:paraId="0362D3FC">
      <w:pPr>
        <w:ind w:firstLine="480" w:firstLineChars="200"/>
        <w:jc w:val="both"/>
      </w:pPr>
    </w:p>
    <w:p w14:paraId="016B17E2">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047FE876">
      <w:pPr>
        <w:tabs>
          <w:tab w:val="left" w:pos="5670"/>
        </w:tabs>
        <w:ind w:firstLine="480" w:firstLineChars="200"/>
        <w:jc w:val="both"/>
        <w:rPr>
          <w:rFonts w:cstheme="minorHAnsi"/>
          <w:color w:val="7030A0"/>
        </w:rPr>
      </w:pPr>
      <w:r>
        <w:rPr>
          <w:rFonts w:cs="Calibri Light"/>
          <w:color w:val="000000"/>
        </w:rPr>
        <w:t>日　期：　　年　月　日</w:t>
      </w:r>
    </w:p>
    <w:p w14:paraId="3FF906A3">
      <w:pPr>
        <w:tabs>
          <w:tab w:val="left" w:pos="5670"/>
        </w:tabs>
        <w:ind w:firstLine="480" w:firstLineChars="200"/>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hAnsi="Calibri" w:eastAsia="黑体"/>
          <w:kern w:val="28"/>
          <w:sz w:val="28"/>
        </w:rP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3B2C5C72">
      <w:pPr>
        <w:spacing w:before="460" w:beforeLines="100" w:after="460" w:afterLines="100"/>
        <w:jc w:val="center"/>
        <w:rPr>
          <w:rFonts w:ascii="黑体" w:hAnsi="宋体" w:eastAsia="黑体"/>
          <w:sz w:val="28"/>
          <w:szCs w:val="28"/>
        </w:rPr>
      </w:pPr>
      <w:r>
        <w:rPr>
          <w:rFonts w:hint="eastAsia" w:ascii="黑体" w:hAnsi="宋体" w:eastAsia="黑体"/>
          <w:sz w:val="28"/>
          <w:szCs w:val="28"/>
        </w:rPr>
        <w:t>承诺书</w:t>
      </w:r>
    </w:p>
    <w:p w14:paraId="3F8FA587">
      <w:pPr>
        <w:spacing w:line="440" w:lineRule="exact"/>
        <w:ind w:firstLine="480" w:firstLineChars="200"/>
        <w:rPr>
          <w:rFonts w:asciiTheme="minorEastAsia" w:hAnsiTheme="minorEastAsia"/>
        </w:rPr>
      </w:pPr>
      <w:r>
        <w:rPr>
          <w:rFonts w:hint="eastAsia" w:asciiTheme="minorEastAsia" w:hAnsiTheme="minorEastAsia"/>
        </w:rPr>
        <w:t>我方在此声明，我方拟派往</w:t>
      </w:r>
      <w:r>
        <w:rPr>
          <w:rFonts w:asciiTheme="minorEastAsia" w:hAnsiTheme="minorEastAsia" w:cstheme="minorHAnsi"/>
          <w:color w:val="C00000"/>
        </w:rPr>
        <w:t>［</w:t>
      </w:r>
      <w:r>
        <w:rPr>
          <w:rFonts w:asciiTheme="minorEastAsia" w:hAnsiTheme="minorEastAsia" w:cstheme="minorHAnsi"/>
          <w:color w:val="C00000"/>
          <w:u w:val="single"/>
        </w:rPr>
        <w:t>项目名称</w:t>
      </w:r>
      <w:r>
        <w:rPr>
          <w:rFonts w:asciiTheme="minorEastAsia" w:hAnsiTheme="minorEastAsia" w:cstheme="minorHAnsi"/>
          <w:color w:val="C00000"/>
        </w:rPr>
        <w:t>］</w:t>
      </w:r>
      <w:r>
        <w:rPr>
          <w:rFonts w:asciiTheme="minorEastAsia" w:hAnsiTheme="minorEastAsia" w:cstheme="minorHAnsi"/>
        </w:rPr>
        <w:t>（项目编号：</w:t>
      </w:r>
      <w:r>
        <w:rPr>
          <w:rFonts w:asciiTheme="minorEastAsia" w:hAnsiTheme="minorEastAsia" w:cstheme="minorHAnsi"/>
          <w:color w:val="C00000"/>
        </w:rPr>
        <w:t>［</w:t>
      </w:r>
      <w:r>
        <w:rPr>
          <w:rFonts w:asciiTheme="minorEastAsia" w:hAnsiTheme="minorEastAsia" w:cstheme="minorHAnsi"/>
          <w:color w:val="C00000"/>
          <w:u w:val="single"/>
        </w:rPr>
        <w:t>项目编号</w:t>
      </w:r>
      <w:r>
        <w:rPr>
          <w:rFonts w:asciiTheme="minorEastAsia" w:hAnsiTheme="minorEastAsia" w:cstheme="minorHAnsi"/>
          <w:color w:val="C00000"/>
        </w:rPr>
        <w:t>］</w:t>
      </w:r>
      <w:r>
        <w:rPr>
          <w:rFonts w:asciiTheme="minorEastAsia" w:hAnsiTheme="minorEastAsia" w:cstheme="minorHAnsi"/>
        </w:rPr>
        <w:t>）</w:t>
      </w:r>
      <w:r>
        <w:rPr>
          <w:rFonts w:hint="eastAsia" w:asciiTheme="minorEastAsia" w:hAnsiTheme="minorEastAsia" w:cstheme="minorHAnsi"/>
          <w:color w:val="C00000"/>
        </w:rPr>
        <w:t>采购包</w:t>
      </w:r>
      <w:r>
        <w:rPr>
          <w:rFonts w:asciiTheme="minorEastAsia" w:hAnsiTheme="minorEastAsia" w:cstheme="minorHAnsi"/>
          <w:color w:val="C00000"/>
        </w:rPr>
        <w:t>［___］</w:t>
      </w:r>
      <w:r>
        <w:rPr>
          <w:rFonts w:hint="eastAsia" w:asciiTheme="minorEastAsia" w:hAnsiTheme="minorEastAsia"/>
        </w:rPr>
        <w:t>的项目经理</w:t>
      </w:r>
      <w:r>
        <w:rPr>
          <w:rFonts w:hint="eastAsia" w:asciiTheme="minorEastAsia" w:hAnsiTheme="minorEastAsia"/>
          <w:u w:val="single"/>
        </w:rPr>
        <w:t xml:space="preserve">           </w:t>
      </w:r>
      <w:r>
        <w:rPr>
          <w:rFonts w:hint="eastAsia" w:asciiTheme="minorEastAsia" w:hAnsiTheme="minorEastAsia"/>
        </w:rPr>
        <w:t>（项目经理姓名）现阶段没有担任任何在施建设工程项目的项目经理。</w:t>
      </w:r>
    </w:p>
    <w:p w14:paraId="04CE0609">
      <w:pPr>
        <w:spacing w:line="440" w:lineRule="exact"/>
        <w:ind w:firstLine="480" w:firstLineChars="200"/>
        <w:rPr>
          <w:rFonts w:asciiTheme="minorEastAsia" w:hAnsiTheme="minorEastAsia"/>
        </w:rPr>
      </w:pPr>
      <w:r>
        <w:rPr>
          <w:rFonts w:hint="eastAsia" w:asciiTheme="minorEastAsia" w:hAnsiTheme="minorEastAsia"/>
        </w:rPr>
        <w:t>我方保证上述信息的真实和准确，并愿意承担因我方就此弄虚作假所引起的一切法律后果。</w:t>
      </w:r>
    </w:p>
    <w:p w14:paraId="6ECA4083">
      <w:pPr>
        <w:spacing w:line="440" w:lineRule="exact"/>
        <w:ind w:firstLine="480" w:firstLineChars="200"/>
        <w:rPr>
          <w:rFonts w:asciiTheme="minorEastAsia" w:hAnsiTheme="minorEastAsia"/>
        </w:rPr>
      </w:pPr>
    </w:p>
    <w:p w14:paraId="6019D919">
      <w:pPr>
        <w:spacing w:line="440" w:lineRule="exact"/>
        <w:ind w:firstLine="480" w:firstLineChars="200"/>
        <w:rPr>
          <w:rFonts w:asciiTheme="minorEastAsia" w:hAnsiTheme="minorEastAsia"/>
        </w:rPr>
      </w:pPr>
    </w:p>
    <w:p w14:paraId="5AAA897E">
      <w:pPr>
        <w:spacing w:line="440" w:lineRule="exact"/>
        <w:ind w:firstLine="480" w:firstLineChars="200"/>
        <w:rPr>
          <w:rFonts w:asciiTheme="minorEastAsia" w:hAnsiTheme="minorEastAsia"/>
        </w:rPr>
      </w:pPr>
      <w:r>
        <w:rPr>
          <w:rFonts w:hint="eastAsia" w:asciiTheme="minorEastAsia" w:hAnsiTheme="minorEastAsia"/>
        </w:rPr>
        <w:t>特此承诺</w:t>
      </w:r>
    </w:p>
    <w:p w14:paraId="5B6998D0">
      <w:pPr>
        <w:spacing w:line="440" w:lineRule="exact"/>
        <w:ind w:firstLine="480" w:firstLineChars="200"/>
        <w:rPr>
          <w:rFonts w:asciiTheme="minorEastAsia" w:hAnsiTheme="minorEastAsia"/>
        </w:rPr>
      </w:pPr>
    </w:p>
    <w:p w14:paraId="7D184EEE">
      <w:pPr>
        <w:spacing w:line="440" w:lineRule="exact"/>
        <w:ind w:firstLine="480" w:firstLineChars="200"/>
        <w:rPr>
          <w:rFonts w:asciiTheme="minorEastAsia" w:hAnsiTheme="minorEastAsia"/>
        </w:rPr>
      </w:pPr>
    </w:p>
    <w:p w14:paraId="28990BD4">
      <w:pPr>
        <w:tabs>
          <w:tab w:val="left" w:pos="5670"/>
        </w:tabs>
        <w:ind w:firstLine="480" w:firstLineChars="200"/>
        <w:rPr>
          <w:rFonts w:cs="Calibri Light" w:asciiTheme="minorEastAsia" w:hAnsiTheme="minorEastAsia"/>
          <w:color w:val="000000"/>
        </w:rPr>
      </w:pPr>
      <w:r>
        <w:rPr>
          <w:rFonts w:asciiTheme="minorEastAsia" w:hAnsiTheme="minorEastAsia"/>
          <w:color w:val="000000"/>
        </w:rPr>
        <w:t>供应商：（</w:t>
      </w:r>
      <w:r>
        <w:rPr>
          <w:rFonts w:asciiTheme="minorEastAsia" w:hAnsiTheme="minorEastAsia"/>
          <w:i/>
          <w:color w:val="7030A0"/>
        </w:rPr>
        <w:t>供应商全称并加盖公章</w:t>
      </w:r>
      <w:r>
        <w:rPr>
          <w:rFonts w:asciiTheme="minorEastAsia" w:hAnsiTheme="minorEastAsia"/>
          <w:color w:val="000000"/>
        </w:rPr>
        <w:t>）</w:t>
      </w:r>
    </w:p>
    <w:p w14:paraId="1267982A">
      <w:pPr>
        <w:tabs>
          <w:tab w:val="left" w:pos="5670"/>
        </w:tabs>
        <w:ind w:firstLine="480" w:firstLineChars="200"/>
        <w:rPr>
          <w:rFonts w:cs="Calibri Light" w:asciiTheme="minorEastAsia" w:hAnsiTheme="minorEastAsia"/>
          <w:color w:val="000000"/>
        </w:rPr>
      </w:pPr>
      <w:r>
        <w:rPr>
          <w:rFonts w:cs="Calibri Light" w:asciiTheme="minorEastAsia" w:hAnsiTheme="minorEastAsia"/>
          <w:color w:val="000000"/>
        </w:rPr>
        <w:t>日　期：　　年　月　日</w:t>
      </w:r>
    </w:p>
    <w:p w14:paraId="770AED3A">
      <w:pPr>
        <w:jc w:val="both"/>
        <w:rPr>
          <w:rFonts w:ascii="Calibri" w:hAnsi="Calibri" w:eastAsia="黑体"/>
          <w:kern w:val="28"/>
          <w:sz w:val="28"/>
        </w:rPr>
      </w:pPr>
    </w:p>
    <w:p w14:paraId="7C0D6F00">
      <w:pPr>
        <w:jc w:val="both"/>
        <w:rPr>
          <w:rFonts w:ascii="Calibri" w:hAnsi="Calibri" w:eastAsia="黑体"/>
          <w:kern w:val="28"/>
          <w:sz w:val="28"/>
        </w:rPr>
      </w:pPr>
    </w:p>
    <w:p w14:paraId="7E7DCCF2">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黑体" w:hAnsi="黑体" w:eastAsia="黑体"/>
          <w:sz w:val="28"/>
          <w:szCs w:val="28"/>
        </w:rPr>
      </w:pPr>
      <w:r>
        <w:rPr>
          <w:rFonts w:ascii="黑体" w:hAnsi="黑体" w:eastAsia="黑体"/>
          <w:sz w:val="28"/>
          <w:szCs w:val="28"/>
        </w:rPr>
        <w:t>（一）技术（服务）条款响应</w:t>
      </w:r>
    </w:p>
    <w:p w14:paraId="39A3A495">
      <w:pPr>
        <w:jc w:val="center"/>
        <w:rPr>
          <w:rFonts w:cstheme="minorHAnsi"/>
          <w:b/>
          <w:i/>
        </w:rPr>
      </w:pPr>
      <w:r>
        <w:rPr>
          <w:rFonts w:hint="eastAsia" w:cstheme="minorHAnsi"/>
          <w:b/>
          <w:i/>
        </w:rPr>
        <w:t>1.施工要求偏差表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AE1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55EDC2F1">
            <w:pPr>
              <w:jc w:val="both"/>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1D5C8579">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01793858">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22734317">
            <w:pPr>
              <w:jc w:val="center"/>
              <w:rPr>
                <w:rFonts w:asciiTheme="minorEastAsia" w:hAnsiTheme="minorEastAsia"/>
                <w:sz w:val="21"/>
                <w:szCs w:val="21"/>
              </w:rPr>
            </w:pPr>
            <w:r>
              <w:rPr>
                <w:rFonts w:asciiTheme="minorEastAsia" w:hAnsiTheme="minorEastAsia"/>
                <w:sz w:val="21"/>
                <w:szCs w:val="21"/>
              </w:rPr>
              <w:t>响应说明</w:t>
            </w:r>
          </w:p>
        </w:tc>
      </w:tr>
      <w:tr w14:paraId="0583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794D9FBA">
            <w:pPr>
              <w:jc w:val="both"/>
              <w:rPr>
                <w:rFonts w:asciiTheme="minorEastAsia" w:hAnsiTheme="minorEastAsia"/>
                <w:sz w:val="21"/>
                <w:szCs w:val="21"/>
              </w:rPr>
            </w:pPr>
          </w:p>
        </w:tc>
        <w:tc>
          <w:tcPr>
            <w:tcW w:w="3207" w:type="dxa"/>
            <w:shd w:val="clear" w:color="auto" w:fill="auto"/>
            <w:vAlign w:val="center"/>
          </w:tcPr>
          <w:p w14:paraId="31F5A5B2">
            <w:pPr>
              <w:jc w:val="both"/>
              <w:rPr>
                <w:rFonts w:asciiTheme="minorEastAsia" w:hAnsiTheme="minorEastAsia"/>
                <w:sz w:val="21"/>
                <w:szCs w:val="21"/>
              </w:rPr>
            </w:pPr>
            <w:r>
              <w:rPr>
                <w:rFonts w:hint="eastAsia" w:asciiTheme="minorEastAsia" w:hAnsiTheme="minorEastAsia"/>
                <w:sz w:val="21"/>
                <w:szCs w:val="21"/>
              </w:rPr>
              <w:t>施工</w:t>
            </w:r>
            <w:r>
              <w:rPr>
                <w:rFonts w:asciiTheme="minorEastAsia" w:hAnsiTheme="minorEastAsia"/>
                <w:sz w:val="21"/>
                <w:szCs w:val="21"/>
              </w:rPr>
              <w:t>要求非实质性条款</w:t>
            </w:r>
          </w:p>
        </w:tc>
        <w:tc>
          <w:tcPr>
            <w:tcW w:w="3351" w:type="dxa"/>
            <w:shd w:val="clear" w:color="auto" w:fill="auto"/>
            <w:vAlign w:val="center"/>
          </w:tcPr>
          <w:p w14:paraId="37E272B5">
            <w:pPr>
              <w:jc w:val="both"/>
              <w:rPr>
                <w:rFonts w:asciiTheme="minorEastAsia" w:hAnsiTheme="minorEastAsia"/>
                <w:sz w:val="21"/>
                <w:szCs w:val="21"/>
              </w:rPr>
            </w:pPr>
            <w:r>
              <w:rPr>
                <w:rFonts w:hint="eastAsia" w:asciiTheme="minorEastAsia" w:hAnsiTheme="minorEastAsia"/>
                <w:sz w:val="21"/>
                <w:szCs w:val="21"/>
              </w:rPr>
              <w:t>施工</w:t>
            </w:r>
            <w:r>
              <w:rPr>
                <w:rFonts w:asciiTheme="minorEastAsia" w:hAnsiTheme="minorEastAsia"/>
                <w:sz w:val="21"/>
                <w:szCs w:val="21"/>
              </w:rPr>
              <w:t>要求响应内容或索引</w:t>
            </w:r>
          </w:p>
        </w:tc>
        <w:tc>
          <w:tcPr>
            <w:tcW w:w="1798" w:type="dxa"/>
            <w:vMerge w:val="continue"/>
            <w:shd w:val="clear" w:color="auto" w:fill="auto"/>
            <w:vAlign w:val="center"/>
          </w:tcPr>
          <w:p w14:paraId="055769D1">
            <w:pPr>
              <w:jc w:val="center"/>
              <w:rPr>
                <w:rFonts w:asciiTheme="minorEastAsia" w:hAnsiTheme="minorEastAsia"/>
                <w:sz w:val="21"/>
                <w:szCs w:val="21"/>
              </w:rPr>
            </w:pPr>
          </w:p>
        </w:tc>
      </w:tr>
      <w:tr w14:paraId="77FF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3354C25">
            <w:pPr>
              <w:jc w:val="both"/>
              <w:rPr>
                <w:rFonts w:asciiTheme="minorEastAsia" w:hAnsiTheme="minorEastAsia"/>
                <w:sz w:val="21"/>
                <w:szCs w:val="21"/>
              </w:rPr>
            </w:pPr>
          </w:p>
        </w:tc>
        <w:tc>
          <w:tcPr>
            <w:tcW w:w="3207" w:type="dxa"/>
            <w:shd w:val="clear" w:color="auto" w:fill="auto"/>
            <w:vAlign w:val="center"/>
          </w:tcPr>
          <w:p w14:paraId="7EB6EE65">
            <w:pPr>
              <w:jc w:val="both"/>
              <w:rPr>
                <w:rFonts w:asciiTheme="minorEastAsia" w:hAnsiTheme="minorEastAsia"/>
                <w:sz w:val="21"/>
                <w:szCs w:val="21"/>
              </w:rPr>
            </w:pPr>
          </w:p>
        </w:tc>
        <w:tc>
          <w:tcPr>
            <w:tcW w:w="3351" w:type="dxa"/>
            <w:shd w:val="clear" w:color="auto" w:fill="auto"/>
            <w:vAlign w:val="center"/>
          </w:tcPr>
          <w:p w14:paraId="4AE4996B">
            <w:pPr>
              <w:jc w:val="both"/>
              <w:rPr>
                <w:rFonts w:asciiTheme="minorEastAsia" w:hAnsiTheme="minorEastAsia"/>
                <w:sz w:val="21"/>
                <w:szCs w:val="21"/>
              </w:rPr>
            </w:pPr>
          </w:p>
        </w:tc>
        <w:tc>
          <w:tcPr>
            <w:tcW w:w="1798" w:type="dxa"/>
            <w:shd w:val="clear" w:color="auto" w:fill="auto"/>
            <w:vAlign w:val="center"/>
          </w:tcPr>
          <w:p w14:paraId="3EDE7A1C">
            <w:pPr>
              <w:jc w:val="center"/>
              <w:rPr>
                <w:rFonts w:asciiTheme="minorEastAsia" w:hAnsiTheme="minorEastAsia"/>
                <w:sz w:val="21"/>
                <w:szCs w:val="21"/>
              </w:rPr>
            </w:pPr>
          </w:p>
        </w:tc>
      </w:tr>
      <w:tr w14:paraId="12B7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8792547">
            <w:pPr>
              <w:jc w:val="both"/>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A97C8B7">
            <w:pPr>
              <w:jc w:val="both"/>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2BFC0FF7">
            <w:pPr>
              <w:jc w:val="both"/>
              <w:rPr>
                <w:rFonts w:asciiTheme="minorEastAsia" w:hAnsiTheme="minorEastAsia"/>
                <w:sz w:val="21"/>
                <w:szCs w:val="21"/>
              </w:rPr>
            </w:pPr>
            <w:r>
              <w:rPr>
                <w:rFonts w:asciiTheme="minorEastAsia" w:hAnsiTheme="minorEastAsia"/>
                <w:sz w:val="21"/>
                <w:szCs w:val="21"/>
              </w:rPr>
              <w:t>1、黑色，打印量1500页……</w:t>
            </w:r>
          </w:p>
          <w:p w14:paraId="7FFD3764">
            <w:pPr>
              <w:jc w:val="both"/>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3042EE2A">
            <w:pPr>
              <w:jc w:val="center"/>
              <w:rPr>
                <w:rFonts w:asciiTheme="minorEastAsia" w:hAnsiTheme="minorEastAsia"/>
                <w:sz w:val="21"/>
                <w:szCs w:val="21"/>
              </w:rPr>
            </w:pPr>
            <w:r>
              <w:rPr>
                <w:rFonts w:asciiTheme="minorEastAsia" w:hAnsiTheme="minorEastAsia"/>
                <w:sz w:val="21"/>
                <w:szCs w:val="21"/>
              </w:rPr>
              <w:t>符合</w:t>
            </w:r>
          </w:p>
        </w:tc>
      </w:tr>
      <w:tr w14:paraId="3CCE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9445A11">
            <w:pPr>
              <w:jc w:val="both"/>
              <w:rPr>
                <w:rFonts w:asciiTheme="minorEastAsia" w:hAnsiTheme="minorEastAsia"/>
                <w:sz w:val="21"/>
                <w:szCs w:val="21"/>
              </w:rPr>
            </w:pPr>
          </w:p>
        </w:tc>
        <w:tc>
          <w:tcPr>
            <w:tcW w:w="3207" w:type="dxa"/>
            <w:shd w:val="clear" w:color="auto" w:fill="auto"/>
            <w:vAlign w:val="center"/>
          </w:tcPr>
          <w:p w14:paraId="3E3FFBB1">
            <w:pPr>
              <w:jc w:val="both"/>
              <w:rPr>
                <w:rFonts w:asciiTheme="minorEastAsia" w:hAnsiTheme="minorEastAsia"/>
                <w:sz w:val="21"/>
                <w:szCs w:val="21"/>
              </w:rPr>
            </w:pPr>
          </w:p>
        </w:tc>
        <w:tc>
          <w:tcPr>
            <w:tcW w:w="3351" w:type="dxa"/>
            <w:shd w:val="clear" w:color="auto" w:fill="auto"/>
            <w:vAlign w:val="center"/>
          </w:tcPr>
          <w:p w14:paraId="37A79403">
            <w:pPr>
              <w:jc w:val="both"/>
              <w:rPr>
                <w:rFonts w:asciiTheme="minorEastAsia" w:hAnsiTheme="minorEastAsia"/>
                <w:sz w:val="21"/>
                <w:szCs w:val="21"/>
              </w:rPr>
            </w:pPr>
          </w:p>
        </w:tc>
        <w:tc>
          <w:tcPr>
            <w:tcW w:w="1798" w:type="dxa"/>
            <w:shd w:val="clear" w:color="auto" w:fill="auto"/>
            <w:vAlign w:val="center"/>
          </w:tcPr>
          <w:p w14:paraId="32E60158">
            <w:pPr>
              <w:jc w:val="both"/>
              <w:rPr>
                <w:rFonts w:asciiTheme="minorEastAsia" w:hAnsiTheme="minorEastAsia"/>
                <w:sz w:val="21"/>
                <w:szCs w:val="21"/>
              </w:rPr>
            </w:pPr>
          </w:p>
        </w:tc>
      </w:tr>
      <w:tr w14:paraId="04D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553847B">
            <w:pPr>
              <w:jc w:val="both"/>
              <w:rPr>
                <w:rFonts w:asciiTheme="minorEastAsia" w:hAnsiTheme="minorEastAsia"/>
                <w:sz w:val="21"/>
                <w:szCs w:val="21"/>
              </w:rPr>
            </w:pPr>
          </w:p>
        </w:tc>
        <w:tc>
          <w:tcPr>
            <w:tcW w:w="3207" w:type="dxa"/>
            <w:shd w:val="clear" w:color="auto" w:fill="auto"/>
            <w:vAlign w:val="center"/>
          </w:tcPr>
          <w:p w14:paraId="000E5614">
            <w:pPr>
              <w:jc w:val="both"/>
              <w:rPr>
                <w:rFonts w:asciiTheme="minorEastAsia" w:hAnsiTheme="minorEastAsia"/>
                <w:sz w:val="21"/>
                <w:szCs w:val="21"/>
              </w:rPr>
            </w:pPr>
          </w:p>
        </w:tc>
        <w:tc>
          <w:tcPr>
            <w:tcW w:w="3351" w:type="dxa"/>
            <w:shd w:val="clear" w:color="auto" w:fill="auto"/>
            <w:vAlign w:val="center"/>
          </w:tcPr>
          <w:p w14:paraId="4108E640">
            <w:pPr>
              <w:jc w:val="both"/>
              <w:rPr>
                <w:rFonts w:asciiTheme="minorEastAsia" w:hAnsiTheme="minorEastAsia"/>
                <w:sz w:val="21"/>
                <w:szCs w:val="21"/>
              </w:rPr>
            </w:pPr>
          </w:p>
        </w:tc>
        <w:tc>
          <w:tcPr>
            <w:tcW w:w="1798" w:type="dxa"/>
            <w:shd w:val="clear" w:color="auto" w:fill="auto"/>
            <w:vAlign w:val="center"/>
          </w:tcPr>
          <w:p w14:paraId="0D760CCE">
            <w:pPr>
              <w:jc w:val="both"/>
              <w:rPr>
                <w:rFonts w:asciiTheme="minorEastAsia" w:hAnsiTheme="minorEastAsia"/>
                <w:sz w:val="21"/>
                <w:szCs w:val="21"/>
              </w:rPr>
            </w:pPr>
          </w:p>
        </w:tc>
      </w:tr>
      <w:tr w14:paraId="2B17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057AB64">
            <w:pPr>
              <w:jc w:val="both"/>
              <w:rPr>
                <w:rFonts w:asciiTheme="minorEastAsia" w:hAnsiTheme="minorEastAsia"/>
                <w:sz w:val="21"/>
                <w:szCs w:val="21"/>
              </w:rPr>
            </w:pPr>
          </w:p>
        </w:tc>
        <w:tc>
          <w:tcPr>
            <w:tcW w:w="3207" w:type="dxa"/>
            <w:shd w:val="clear" w:color="auto" w:fill="auto"/>
            <w:vAlign w:val="center"/>
          </w:tcPr>
          <w:p w14:paraId="5E56CC41">
            <w:pPr>
              <w:jc w:val="both"/>
              <w:rPr>
                <w:rFonts w:asciiTheme="minorEastAsia" w:hAnsiTheme="minorEastAsia"/>
                <w:sz w:val="21"/>
                <w:szCs w:val="21"/>
              </w:rPr>
            </w:pPr>
          </w:p>
        </w:tc>
        <w:tc>
          <w:tcPr>
            <w:tcW w:w="3351" w:type="dxa"/>
            <w:shd w:val="clear" w:color="auto" w:fill="auto"/>
            <w:vAlign w:val="center"/>
          </w:tcPr>
          <w:p w14:paraId="42E6CAE8">
            <w:pPr>
              <w:jc w:val="both"/>
              <w:rPr>
                <w:rFonts w:asciiTheme="minorEastAsia" w:hAnsiTheme="minorEastAsia"/>
                <w:sz w:val="21"/>
                <w:szCs w:val="21"/>
              </w:rPr>
            </w:pPr>
          </w:p>
        </w:tc>
        <w:tc>
          <w:tcPr>
            <w:tcW w:w="1798" w:type="dxa"/>
            <w:shd w:val="clear" w:color="auto" w:fill="auto"/>
            <w:vAlign w:val="center"/>
          </w:tcPr>
          <w:p w14:paraId="2B02F256">
            <w:pPr>
              <w:jc w:val="both"/>
              <w:rPr>
                <w:rFonts w:asciiTheme="minorEastAsia" w:hAnsiTheme="minorEastAsia"/>
                <w:sz w:val="21"/>
                <w:szCs w:val="21"/>
              </w:rPr>
            </w:pPr>
          </w:p>
        </w:tc>
      </w:tr>
      <w:tr w14:paraId="1C68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1CB6C55">
            <w:pPr>
              <w:jc w:val="both"/>
              <w:rPr>
                <w:rFonts w:asciiTheme="minorEastAsia" w:hAnsiTheme="minorEastAsia"/>
                <w:sz w:val="21"/>
                <w:szCs w:val="21"/>
              </w:rPr>
            </w:pPr>
          </w:p>
        </w:tc>
        <w:tc>
          <w:tcPr>
            <w:tcW w:w="3207" w:type="dxa"/>
            <w:shd w:val="clear" w:color="auto" w:fill="auto"/>
            <w:vAlign w:val="center"/>
          </w:tcPr>
          <w:p w14:paraId="3407CEE6">
            <w:pPr>
              <w:jc w:val="both"/>
              <w:rPr>
                <w:rFonts w:asciiTheme="minorEastAsia" w:hAnsiTheme="minorEastAsia"/>
                <w:sz w:val="21"/>
                <w:szCs w:val="21"/>
              </w:rPr>
            </w:pPr>
          </w:p>
        </w:tc>
        <w:tc>
          <w:tcPr>
            <w:tcW w:w="3351" w:type="dxa"/>
            <w:shd w:val="clear" w:color="auto" w:fill="auto"/>
            <w:vAlign w:val="center"/>
          </w:tcPr>
          <w:p w14:paraId="2A99151D">
            <w:pPr>
              <w:jc w:val="both"/>
              <w:rPr>
                <w:rFonts w:asciiTheme="minorEastAsia" w:hAnsiTheme="minorEastAsia"/>
                <w:sz w:val="21"/>
                <w:szCs w:val="21"/>
              </w:rPr>
            </w:pPr>
          </w:p>
        </w:tc>
        <w:tc>
          <w:tcPr>
            <w:tcW w:w="1798" w:type="dxa"/>
            <w:shd w:val="clear" w:color="auto" w:fill="auto"/>
            <w:vAlign w:val="center"/>
          </w:tcPr>
          <w:p w14:paraId="4DCBBEEB">
            <w:pPr>
              <w:jc w:val="both"/>
              <w:rPr>
                <w:rFonts w:asciiTheme="minorEastAsia" w:hAnsiTheme="minorEastAsia"/>
                <w:sz w:val="21"/>
                <w:szCs w:val="21"/>
              </w:rPr>
            </w:pPr>
          </w:p>
        </w:tc>
      </w:tr>
      <w:tr w14:paraId="703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1747719">
            <w:pPr>
              <w:jc w:val="both"/>
              <w:rPr>
                <w:rFonts w:asciiTheme="minorEastAsia" w:hAnsiTheme="minorEastAsia"/>
                <w:sz w:val="21"/>
                <w:szCs w:val="21"/>
              </w:rPr>
            </w:pPr>
          </w:p>
        </w:tc>
        <w:tc>
          <w:tcPr>
            <w:tcW w:w="3207" w:type="dxa"/>
            <w:shd w:val="clear" w:color="auto" w:fill="auto"/>
            <w:vAlign w:val="center"/>
          </w:tcPr>
          <w:p w14:paraId="4C09D51F">
            <w:pPr>
              <w:jc w:val="both"/>
              <w:rPr>
                <w:rFonts w:asciiTheme="minorEastAsia" w:hAnsiTheme="minorEastAsia"/>
                <w:sz w:val="21"/>
                <w:szCs w:val="21"/>
              </w:rPr>
            </w:pPr>
          </w:p>
        </w:tc>
        <w:tc>
          <w:tcPr>
            <w:tcW w:w="3351" w:type="dxa"/>
            <w:shd w:val="clear" w:color="auto" w:fill="auto"/>
            <w:vAlign w:val="center"/>
          </w:tcPr>
          <w:p w14:paraId="3041D457">
            <w:pPr>
              <w:jc w:val="both"/>
              <w:rPr>
                <w:rFonts w:asciiTheme="minorEastAsia" w:hAnsiTheme="minorEastAsia"/>
                <w:sz w:val="21"/>
                <w:szCs w:val="21"/>
              </w:rPr>
            </w:pPr>
          </w:p>
        </w:tc>
        <w:tc>
          <w:tcPr>
            <w:tcW w:w="1798" w:type="dxa"/>
            <w:shd w:val="clear" w:color="auto" w:fill="auto"/>
            <w:vAlign w:val="center"/>
          </w:tcPr>
          <w:p w14:paraId="687BCB6B">
            <w:pPr>
              <w:jc w:val="both"/>
              <w:rPr>
                <w:rFonts w:asciiTheme="minorEastAsia" w:hAnsiTheme="minorEastAsia"/>
                <w:sz w:val="21"/>
                <w:szCs w:val="21"/>
              </w:rPr>
            </w:pPr>
          </w:p>
        </w:tc>
      </w:tr>
      <w:tr w14:paraId="5DD0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62BBC47">
            <w:pPr>
              <w:jc w:val="both"/>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76E2A510">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第三章施工</w:t>
            </w:r>
            <w:r>
              <w:rPr>
                <w:rFonts w:asciiTheme="minorEastAsia" w:hAnsiTheme="minorEastAsia"/>
                <w:sz w:val="21"/>
                <w:szCs w:val="21"/>
              </w:rPr>
              <w:t>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FE35CA2">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00659C94">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553498A1">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196F2653">
      <w:pPr>
        <w:jc w:val="center"/>
        <w:rPr>
          <w:rFonts w:cstheme="minorHAnsi"/>
          <w:b/>
          <w:i/>
        </w:rPr>
      </w:pPr>
    </w:p>
    <w:p w14:paraId="581DF3CD">
      <w:pPr>
        <w:jc w:val="center"/>
        <w:rPr>
          <w:rFonts w:cstheme="minorHAnsi"/>
          <w:b/>
        </w:rPr>
      </w:pPr>
      <w:r>
        <w:rPr>
          <w:rFonts w:hint="eastAsia" w:cstheme="minorHAnsi"/>
          <w:b/>
          <w:i/>
        </w:rPr>
        <w:t>2.技术（服务）部分响应方案</w:t>
      </w:r>
    </w:p>
    <w:p w14:paraId="101EDB6A">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0AD4201E">
      <w:pPr>
        <w:rPr>
          <w:rFonts w:asciiTheme="minorEastAsia" w:hAnsiTheme="minorEastAsia"/>
          <w:b/>
        </w:rPr>
      </w:pPr>
      <w:r>
        <w:rPr>
          <w:rFonts w:hint="eastAsia" w:asciiTheme="minorEastAsia" w:hAnsiTheme="minorEastAsia"/>
          <w:b/>
        </w:rPr>
        <w:t>1．施工方案及技术措施</w:t>
      </w:r>
    </w:p>
    <w:p w14:paraId="06E0D1A1">
      <w:pPr>
        <w:rPr>
          <w:rFonts w:asciiTheme="minorEastAsia" w:hAnsiTheme="minorEastAsia"/>
          <w:b/>
        </w:rPr>
      </w:pPr>
    </w:p>
    <w:p w14:paraId="79D6BFD6">
      <w:pPr>
        <w:rPr>
          <w:rFonts w:asciiTheme="minorEastAsia" w:hAnsiTheme="minorEastAsia"/>
          <w:b/>
        </w:rPr>
      </w:pPr>
      <w:r>
        <w:rPr>
          <w:rFonts w:asciiTheme="minorEastAsia" w:hAnsiTheme="minorEastAsia"/>
          <w:b/>
        </w:rPr>
        <w:t>2</w:t>
      </w:r>
      <w:r>
        <w:rPr>
          <w:rFonts w:hint="eastAsia" w:asciiTheme="minorEastAsia" w:hAnsiTheme="minorEastAsia"/>
          <w:b/>
        </w:rPr>
        <w:t>．质量保证管理体系与措施</w:t>
      </w:r>
    </w:p>
    <w:p w14:paraId="3E8A7758">
      <w:pPr>
        <w:rPr>
          <w:rFonts w:asciiTheme="minorEastAsia" w:hAnsiTheme="minorEastAsia"/>
          <w:b/>
        </w:rPr>
      </w:pPr>
    </w:p>
    <w:p w14:paraId="61113585">
      <w:pPr>
        <w:rPr>
          <w:rFonts w:asciiTheme="minorEastAsia" w:hAnsiTheme="minorEastAsia"/>
          <w:b/>
        </w:rPr>
      </w:pPr>
    </w:p>
    <w:p w14:paraId="6C3F2540">
      <w:pPr>
        <w:rPr>
          <w:rFonts w:asciiTheme="minorEastAsia" w:hAnsiTheme="minorEastAsia"/>
          <w:b/>
        </w:rPr>
      </w:pPr>
      <w:r>
        <w:rPr>
          <w:rFonts w:hint="eastAsia" w:asciiTheme="minorEastAsia" w:hAnsiTheme="minorEastAsia"/>
          <w:b/>
        </w:rPr>
        <w:t>3.</w:t>
      </w:r>
      <w:r>
        <w:rPr>
          <w:rFonts w:hint="eastAsia"/>
        </w:rPr>
        <w:t xml:space="preserve"> </w:t>
      </w:r>
      <w:r>
        <w:rPr>
          <w:rFonts w:hint="eastAsia" w:asciiTheme="minorEastAsia" w:hAnsiTheme="minorEastAsia"/>
          <w:b/>
        </w:rPr>
        <w:t>施工进度保证措施</w:t>
      </w:r>
    </w:p>
    <w:p w14:paraId="4D8504B5">
      <w:pPr>
        <w:rPr>
          <w:rFonts w:asciiTheme="minorEastAsia" w:hAnsiTheme="minorEastAsia"/>
          <w:b/>
        </w:rPr>
      </w:pPr>
    </w:p>
    <w:p w14:paraId="0312625C">
      <w:pPr>
        <w:rPr>
          <w:rFonts w:asciiTheme="minorEastAsia" w:hAnsiTheme="minorEastAsia"/>
          <w:b/>
        </w:rPr>
      </w:pPr>
    </w:p>
    <w:p w14:paraId="73540549">
      <w:pPr>
        <w:rPr>
          <w:rFonts w:asciiTheme="minorEastAsia" w:hAnsiTheme="minorEastAsia"/>
          <w:b/>
        </w:rPr>
      </w:pPr>
      <w:r>
        <w:rPr>
          <w:rFonts w:hint="eastAsia" w:asciiTheme="minorEastAsia" w:hAnsiTheme="minorEastAsia"/>
          <w:b/>
        </w:rPr>
        <w:t>4.</w:t>
      </w:r>
      <w:r>
        <w:rPr>
          <w:rFonts w:hint="eastAsia"/>
        </w:rPr>
        <w:t xml:space="preserve"> </w:t>
      </w:r>
      <w:r>
        <w:rPr>
          <w:rFonts w:hint="eastAsia" w:asciiTheme="minorEastAsia" w:hAnsiTheme="minorEastAsia"/>
          <w:b/>
        </w:rPr>
        <w:t>安全生产、文明施工管理体系与措施</w:t>
      </w:r>
    </w:p>
    <w:p w14:paraId="795BC59E">
      <w:pPr>
        <w:rPr>
          <w:rFonts w:asciiTheme="minorEastAsia" w:hAnsiTheme="minorEastAsia"/>
          <w:b/>
        </w:rPr>
      </w:pPr>
    </w:p>
    <w:p w14:paraId="50B93828">
      <w:pPr>
        <w:rPr>
          <w:rFonts w:asciiTheme="minorEastAsia" w:hAnsiTheme="minorEastAsia"/>
          <w:b/>
        </w:rPr>
      </w:pPr>
    </w:p>
    <w:p w14:paraId="6CAC36D0">
      <w:pPr>
        <w:rPr>
          <w:rFonts w:asciiTheme="minorEastAsia" w:hAnsiTheme="minorEastAsia"/>
          <w:b/>
        </w:rPr>
      </w:pPr>
      <w:r>
        <w:rPr>
          <w:rFonts w:hint="eastAsia" w:asciiTheme="minorEastAsia" w:hAnsiTheme="minorEastAsia"/>
          <w:b/>
        </w:rPr>
        <w:t>5.人员配置方案</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1061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25BFB310">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46453D1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694456E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DC65EFD">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3E36FAE8">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5E447EC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C18D97">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3BDA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9160BF4">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14:paraId="2DD5355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76BBF5D">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B99498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2A755E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896604B">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BF908FF">
            <w:pPr>
              <w:jc w:val="center"/>
              <w:rPr>
                <w:rFonts w:asciiTheme="minorEastAsia" w:hAnsiTheme="minorEastAsia" w:cstheme="minorHAnsi"/>
                <w:color w:val="000000"/>
                <w:sz w:val="21"/>
                <w:szCs w:val="21"/>
              </w:rPr>
            </w:pPr>
          </w:p>
        </w:tc>
      </w:tr>
      <w:tr w14:paraId="780C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5E0A704">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工程</w:t>
            </w:r>
            <w:r>
              <w:rPr>
                <w:rFonts w:asciiTheme="minorEastAsia" w:hAnsiTheme="minorEastAsia" w:cstheme="minorHAnsi"/>
                <w:color w:val="000000"/>
                <w:sz w:val="21"/>
                <w:szCs w:val="21"/>
              </w:rPr>
              <w:t>人员</w:t>
            </w:r>
          </w:p>
        </w:tc>
        <w:tc>
          <w:tcPr>
            <w:tcW w:w="1273" w:type="dxa"/>
            <w:tcBorders>
              <w:top w:val="single" w:color="auto" w:sz="2" w:space="0"/>
              <w:left w:val="single" w:color="auto" w:sz="6" w:space="0"/>
              <w:bottom w:val="single" w:color="auto" w:sz="2" w:space="0"/>
            </w:tcBorders>
            <w:shd w:val="clear" w:color="auto" w:fill="auto"/>
            <w:vAlign w:val="center"/>
          </w:tcPr>
          <w:p w14:paraId="26741F7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FE8F2D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6B9530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EB26E4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E3EACD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5794304">
            <w:pPr>
              <w:jc w:val="center"/>
              <w:rPr>
                <w:rFonts w:asciiTheme="minorEastAsia" w:hAnsiTheme="minorEastAsia" w:cstheme="minorHAnsi"/>
                <w:color w:val="000000"/>
                <w:sz w:val="21"/>
                <w:szCs w:val="21"/>
              </w:rPr>
            </w:pPr>
          </w:p>
        </w:tc>
      </w:tr>
      <w:tr w14:paraId="4024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E910739">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其他人员</w:t>
            </w:r>
          </w:p>
        </w:tc>
        <w:tc>
          <w:tcPr>
            <w:tcW w:w="1273" w:type="dxa"/>
            <w:tcBorders>
              <w:top w:val="single" w:color="auto" w:sz="2" w:space="0"/>
              <w:left w:val="single" w:color="auto" w:sz="6" w:space="0"/>
              <w:bottom w:val="single" w:color="auto" w:sz="2" w:space="0"/>
            </w:tcBorders>
            <w:shd w:val="clear" w:color="auto" w:fill="auto"/>
            <w:vAlign w:val="center"/>
          </w:tcPr>
          <w:p w14:paraId="3CCEC6A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3A7262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E6F257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8FE3AA0">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C1BDC8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3E7D6B3">
            <w:pPr>
              <w:jc w:val="center"/>
              <w:rPr>
                <w:rFonts w:asciiTheme="minorEastAsia" w:hAnsiTheme="minorEastAsia" w:cstheme="minorHAnsi"/>
                <w:color w:val="000000"/>
                <w:sz w:val="21"/>
                <w:szCs w:val="21"/>
              </w:rPr>
            </w:pPr>
          </w:p>
        </w:tc>
      </w:tr>
      <w:tr w14:paraId="2C4F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D6737E0">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BD76DD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29E507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E8199E7">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CFA275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3C4B264">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BFC6232">
            <w:pPr>
              <w:jc w:val="center"/>
              <w:rPr>
                <w:rFonts w:asciiTheme="minorEastAsia" w:hAnsiTheme="minorEastAsia" w:cstheme="minorHAnsi"/>
                <w:color w:val="000000"/>
                <w:sz w:val="21"/>
                <w:szCs w:val="21"/>
              </w:rPr>
            </w:pPr>
          </w:p>
        </w:tc>
      </w:tr>
      <w:tr w14:paraId="622B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2C47960">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671035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899BB3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CAFA63E">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9893EA9">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135C4B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6C79855">
            <w:pPr>
              <w:jc w:val="center"/>
              <w:rPr>
                <w:rFonts w:asciiTheme="minorEastAsia" w:hAnsiTheme="minorEastAsia" w:cstheme="minorHAnsi"/>
                <w:color w:val="000000"/>
                <w:sz w:val="21"/>
                <w:szCs w:val="21"/>
              </w:rPr>
            </w:pPr>
          </w:p>
        </w:tc>
      </w:tr>
      <w:tr w14:paraId="1847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B299B2B">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6328B6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C1AAC8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659CD80">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0E2D772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140C9D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D8D140E">
            <w:pPr>
              <w:jc w:val="center"/>
              <w:rPr>
                <w:rFonts w:asciiTheme="minorEastAsia" w:hAnsiTheme="minorEastAsia" w:cstheme="minorHAnsi"/>
                <w:color w:val="000000"/>
                <w:sz w:val="21"/>
                <w:szCs w:val="21"/>
              </w:rPr>
            </w:pPr>
          </w:p>
        </w:tc>
      </w:tr>
      <w:tr w14:paraId="4787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B72890A">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7400476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9C0C2FD">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3054C24">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D46A796">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A9833A3">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C01AE48">
            <w:pPr>
              <w:jc w:val="center"/>
              <w:rPr>
                <w:rFonts w:asciiTheme="minorEastAsia" w:hAnsiTheme="minorEastAsia" w:cstheme="minorHAnsi"/>
                <w:color w:val="000000"/>
                <w:sz w:val="21"/>
                <w:szCs w:val="21"/>
              </w:rPr>
            </w:pPr>
          </w:p>
        </w:tc>
      </w:tr>
      <w:tr w14:paraId="107F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6324A3A">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12565BE7">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161075AD">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14:paraId="7A53461F">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67B5FF28">
      <w:pPr>
        <w:rPr>
          <w:rFonts w:asciiTheme="minorEastAsia" w:hAnsiTheme="minorEastAsia"/>
          <w:b/>
        </w:rPr>
      </w:pPr>
    </w:p>
    <w:p w14:paraId="4C0A90F3">
      <w:pPr>
        <w:rPr>
          <w:rFonts w:asciiTheme="minorEastAsia" w:hAnsiTheme="minorEastAsia"/>
          <w:b/>
        </w:rPr>
      </w:pPr>
      <w:r>
        <w:rPr>
          <w:rFonts w:hint="eastAsia" w:asciiTheme="minorEastAsia" w:hAnsiTheme="minorEastAsia"/>
          <w:b/>
        </w:rPr>
        <w:t>6</w:t>
      </w:r>
      <w:r>
        <w:rPr>
          <w:rFonts w:asciiTheme="minorEastAsia" w:hAnsiTheme="minorEastAsia"/>
          <w:b/>
        </w:rPr>
        <w:t>.</w:t>
      </w:r>
      <w:r>
        <w:rPr>
          <w:rFonts w:hint="eastAsia"/>
        </w:rPr>
        <w:t xml:space="preserve"> </w:t>
      </w:r>
      <w:r>
        <w:rPr>
          <w:rFonts w:hint="eastAsia" w:asciiTheme="minorEastAsia" w:hAnsiTheme="minorEastAsia"/>
          <w:b/>
        </w:rPr>
        <w:t>环境保护管理体系与措施</w:t>
      </w:r>
    </w:p>
    <w:p w14:paraId="4C6797F0">
      <w:pPr>
        <w:rPr>
          <w:rFonts w:asciiTheme="minorEastAsia" w:hAnsiTheme="minorEastAsia"/>
          <w:b/>
        </w:rPr>
      </w:pPr>
    </w:p>
    <w:p w14:paraId="3D3CADFA">
      <w:pPr>
        <w:rPr>
          <w:rFonts w:asciiTheme="minorEastAsia" w:hAnsiTheme="minorEastAsia"/>
          <w:b/>
        </w:rPr>
      </w:pPr>
      <w:r>
        <w:rPr>
          <w:rFonts w:hint="eastAsia" w:asciiTheme="minorEastAsia" w:hAnsiTheme="minorEastAsia"/>
          <w:b/>
        </w:rPr>
        <w:t>7.</w:t>
      </w:r>
      <w:r>
        <w:rPr>
          <w:rFonts w:hint="eastAsia"/>
        </w:rPr>
        <w:t xml:space="preserve"> </w:t>
      </w:r>
      <w:r>
        <w:rPr>
          <w:rFonts w:hint="eastAsia" w:asciiTheme="minorEastAsia" w:hAnsiTheme="minorEastAsia"/>
          <w:b/>
        </w:rPr>
        <w:t>主材性能</w:t>
      </w:r>
    </w:p>
    <w:p w14:paraId="5BEB16DA">
      <w:pPr>
        <w:rPr>
          <w:rFonts w:asciiTheme="minorEastAsia" w:hAnsiTheme="minorEastAsia"/>
          <w:b/>
        </w:rPr>
      </w:pPr>
    </w:p>
    <w:p w14:paraId="64D88A86">
      <w:pPr>
        <w:rPr>
          <w:rFonts w:asciiTheme="minorEastAsia" w:hAnsiTheme="minorEastAsia"/>
          <w:b/>
        </w:rPr>
      </w:pPr>
      <w:r>
        <w:rPr>
          <w:rFonts w:hint="eastAsia" w:asciiTheme="minorEastAsia" w:hAnsiTheme="minorEastAsia"/>
          <w:b/>
        </w:rPr>
        <w:t>8.</w:t>
      </w:r>
      <w:r>
        <w:rPr>
          <w:rFonts w:hint="eastAsia"/>
        </w:rPr>
        <w:t xml:space="preserve"> </w:t>
      </w:r>
      <w:r>
        <w:rPr>
          <w:rFonts w:hint="eastAsia" w:asciiTheme="minorEastAsia" w:hAnsiTheme="minorEastAsia"/>
          <w:b/>
        </w:rPr>
        <w:t>保护方案</w:t>
      </w:r>
    </w:p>
    <w:p w14:paraId="62473502">
      <w:pPr>
        <w:rPr>
          <w:rFonts w:asciiTheme="minorEastAsia" w:hAnsiTheme="minorEastAsia"/>
          <w:b/>
        </w:rPr>
      </w:pPr>
    </w:p>
    <w:p w14:paraId="60C97101">
      <w:pPr>
        <w:rPr>
          <w:rFonts w:asciiTheme="minorEastAsia" w:hAnsiTheme="minorEastAsia"/>
          <w:b/>
        </w:rPr>
      </w:pPr>
      <w:r>
        <w:rPr>
          <w:rFonts w:hint="eastAsia" w:asciiTheme="minorEastAsia" w:hAnsiTheme="minorEastAsia"/>
          <w:b/>
        </w:rPr>
        <w:t>9.</w:t>
      </w:r>
      <w:r>
        <w:rPr>
          <w:rFonts w:hint="eastAsia"/>
        </w:rPr>
        <w:t xml:space="preserve"> </w:t>
      </w:r>
      <w:r>
        <w:rPr>
          <w:rFonts w:hint="eastAsia" w:asciiTheme="minorEastAsia" w:hAnsiTheme="minorEastAsia"/>
          <w:b/>
        </w:rPr>
        <w:t>质保期服务方案</w:t>
      </w:r>
    </w:p>
    <w:p w14:paraId="664408F1">
      <w:pPr>
        <w:rPr>
          <w:rFonts w:cstheme="minorHAnsi"/>
          <w:b/>
          <w:color w:val="C00000"/>
          <w:sz w:val="28"/>
          <w:szCs w:val="28"/>
        </w:rPr>
      </w:pPr>
      <w:r>
        <w:rPr>
          <w:rFonts w:cstheme="minorHAnsi"/>
          <w:b/>
          <w:color w:val="C00000"/>
          <w:sz w:val="28"/>
          <w:szCs w:val="28"/>
        </w:rPr>
        <w:br w:type="page"/>
      </w:r>
    </w:p>
    <w:p w14:paraId="5B1802FB">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43373392">
      <w:pPr>
        <w:jc w:val="center"/>
        <w:rPr>
          <w:rFonts w:cstheme="minorHAnsi"/>
          <w:b/>
        </w:rPr>
      </w:pPr>
      <w:r>
        <w:rPr>
          <w:rFonts w:hint="eastAsia" w:cstheme="minorHAnsi"/>
          <w:b/>
        </w:rPr>
        <w:t>1.商务条款（非实质性）</w:t>
      </w:r>
      <w:r>
        <w:rPr>
          <w:rFonts w:cstheme="minorHAnsi"/>
          <w:b/>
        </w:rPr>
        <w:t>响应表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151D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37C24075">
            <w:pPr>
              <w:jc w:val="both"/>
              <w:rPr>
                <w:sz w:val="21"/>
                <w:szCs w:val="21"/>
              </w:rPr>
            </w:pPr>
            <w:r>
              <w:rPr>
                <w:sz w:val="21"/>
                <w:szCs w:val="21"/>
              </w:rPr>
              <w:t>序号</w:t>
            </w:r>
          </w:p>
        </w:tc>
        <w:tc>
          <w:tcPr>
            <w:tcW w:w="3126" w:type="dxa"/>
            <w:shd w:val="clear" w:color="auto" w:fill="F1F1F1" w:themeFill="background1" w:themeFillShade="F2"/>
            <w:vAlign w:val="center"/>
          </w:tcPr>
          <w:p w14:paraId="322F88DE">
            <w:pPr>
              <w:jc w:val="center"/>
              <w:rPr>
                <w:sz w:val="21"/>
                <w:szCs w:val="21"/>
              </w:rPr>
            </w:pPr>
            <w:r>
              <w:rPr>
                <w:sz w:val="21"/>
                <w:szCs w:val="21"/>
              </w:rPr>
              <w:t>磋商文件</w:t>
            </w:r>
          </w:p>
        </w:tc>
        <w:tc>
          <w:tcPr>
            <w:tcW w:w="3432" w:type="dxa"/>
            <w:shd w:val="clear" w:color="auto" w:fill="F1F1F1" w:themeFill="background1" w:themeFillShade="F2"/>
            <w:vAlign w:val="center"/>
          </w:tcPr>
          <w:p w14:paraId="64A2879C">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A395924">
            <w:pPr>
              <w:jc w:val="both"/>
              <w:rPr>
                <w:sz w:val="21"/>
                <w:szCs w:val="21"/>
              </w:rPr>
            </w:pPr>
            <w:r>
              <w:rPr>
                <w:sz w:val="21"/>
                <w:szCs w:val="21"/>
              </w:rPr>
              <w:t>响应说明</w:t>
            </w:r>
          </w:p>
        </w:tc>
      </w:tr>
      <w:tr w14:paraId="6C30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2CEB3716">
            <w:pPr>
              <w:jc w:val="both"/>
              <w:rPr>
                <w:sz w:val="21"/>
                <w:szCs w:val="21"/>
              </w:rPr>
            </w:pPr>
          </w:p>
        </w:tc>
        <w:tc>
          <w:tcPr>
            <w:tcW w:w="3126" w:type="dxa"/>
            <w:shd w:val="clear" w:color="auto" w:fill="F1F1F1" w:themeFill="background1" w:themeFillShade="F2"/>
            <w:vAlign w:val="center"/>
          </w:tcPr>
          <w:p w14:paraId="56AD0448">
            <w:pPr>
              <w:jc w:val="both"/>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68A2E53">
            <w:pPr>
              <w:jc w:val="both"/>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E1FFCC5">
            <w:pPr>
              <w:jc w:val="both"/>
              <w:rPr>
                <w:sz w:val="21"/>
                <w:szCs w:val="21"/>
              </w:rPr>
            </w:pPr>
          </w:p>
        </w:tc>
      </w:tr>
      <w:tr w14:paraId="7E03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BA14802">
            <w:pPr>
              <w:jc w:val="both"/>
              <w:rPr>
                <w:sz w:val="21"/>
                <w:szCs w:val="21"/>
              </w:rPr>
            </w:pPr>
          </w:p>
        </w:tc>
        <w:tc>
          <w:tcPr>
            <w:tcW w:w="3126" w:type="dxa"/>
            <w:vAlign w:val="center"/>
          </w:tcPr>
          <w:p w14:paraId="655432FD">
            <w:pPr>
              <w:jc w:val="both"/>
              <w:rPr>
                <w:sz w:val="21"/>
                <w:szCs w:val="21"/>
              </w:rPr>
            </w:pPr>
          </w:p>
        </w:tc>
        <w:tc>
          <w:tcPr>
            <w:tcW w:w="3432" w:type="dxa"/>
            <w:vAlign w:val="center"/>
          </w:tcPr>
          <w:p w14:paraId="6A3511F0">
            <w:pPr>
              <w:jc w:val="both"/>
              <w:rPr>
                <w:sz w:val="21"/>
                <w:szCs w:val="21"/>
              </w:rPr>
            </w:pPr>
          </w:p>
        </w:tc>
        <w:tc>
          <w:tcPr>
            <w:tcW w:w="1823" w:type="dxa"/>
            <w:vAlign w:val="center"/>
          </w:tcPr>
          <w:p w14:paraId="10FE11F6">
            <w:pPr>
              <w:jc w:val="both"/>
              <w:rPr>
                <w:sz w:val="21"/>
                <w:szCs w:val="21"/>
              </w:rPr>
            </w:pPr>
          </w:p>
        </w:tc>
      </w:tr>
      <w:tr w14:paraId="15CB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712F3249">
            <w:pPr>
              <w:jc w:val="both"/>
              <w:rPr>
                <w:sz w:val="21"/>
                <w:szCs w:val="21"/>
              </w:rPr>
            </w:pPr>
          </w:p>
        </w:tc>
        <w:tc>
          <w:tcPr>
            <w:tcW w:w="3126" w:type="dxa"/>
            <w:vAlign w:val="center"/>
          </w:tcPr>
          <w:p w14:paraId="3AA8FFC0">
            <w:pPr>
              <w:jc w:val="both"/>
              <w:rPr>
                <w:sz w:val="21"/>
                <w:szCs w:val="21"/>
              </w:rPr>
            </w:pPr>
          </w:p>
        </w:tc>
        <w:tc>
          <w:tcPr>
            <w:tcW w:w="3432" w:type="dxa"/>
            <w:vAlign w:val="center"/>
          </w:tcPr>
          <w:p w14:paraId="00682B84">
            <w:pPr>
              <w:jc w:val="both"/>
              <w:rPr>
                <w:sz w:val="21"/>
                <w:szCs w:val="21"/>
              </w:rPr>
            </w:pPr>
          </w:p>
        </w:tc>
        <w:tc>
          <w:tcPr>
            <w:tcW w:w="1823" w:type="dxa"/>
            <w:vAlign w:val="center"/>
          </w:tcPr>
          <w:p w14:paraId="375A145C">
            <w:pPr>
              <w:jc w:val="both"/>
              <w:rPr>
                <w:sz w:val="21"/>
                <w:szCs w:val="21"/>
              </w:rPr>
            </w:pPr>
          </w:p>
        </w:tc>
      </w:tr>
      <w:tr w14:paraId="334F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AE1107C">
            <w:pPr>
              <w:jc w:val="both"/>
              <w:rPr>
                <w:sz w:val="21"/>
                <w:szCs w:val="21"/>
              </w:rPr>
            </w:pPr>
          </w:p>
        </w:tc>
        <w:tc>
          <w:tcPr>
            <w:tcW w:w="3126" w:type="dxa"/>
            <w:vAlign w:val="center"/>
          </w:tcPr>
          <w:p w14:paraId="3742367F">
            <w:pPr>
              <w:jc w:val="both"/>
              <w:rPr>
                <w:sz w:val="21"/>
                <w:szCs w:val="21"/>
              </w:rPr>
            </w:pPr>
          </w:p>
        </w:tc>
        <w:tc>
          <w:tcPr>
            <w:tcW w:w="3432" w:type="dxa"/>
            <w:vAlign w:val="center"/>
          </w:tcPr>
          <w:p w14:paraId="02316AA0">
            <w:pPr>
              <w:jc w:val="both"/>
              <w:rPr>
                <w:sz w:val="21"/>
                <w:szCs w:val="21"/>
              </w:rPr>
            </w:pPr>
          </w:p>
        </w:tc>
        <w:tc>
          <w:tcPr>
            <w:tcW w:w="1823" w:type="dxa"/>
            <w:vAlign w:val="center"/>
          </w:tcPr>
          <w:p w14:paraId="3CD4305A">
            <w:pPr>
              <w:jc w:val="both"/>
              <w:rPr>
                <w:sz w:val="21"/>
                <w:szCs w:val="21"/>
              </w:rPr>
            </w:pPr>
          </w:p>
        </w:tc>
      </w:tr>
      <w:tr w14:paraId="37EC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438D8B3">
            <w:pPr>
              <w:jc w:val="both"/>
              <w:rPr>
                <w:sz w:val="21"/>
                <w:szCs w:val="21"/>
              </w:rPr>
            </w:pPr>
          </w:p>
        </w:tc>
        <w:tc>
          <w:tcPr>
            <w:tcW w:w="3126" w:type="dxa"/>
            <w:vAlign w:val="center"/>
          </w:tcPr>
          <w:p w14:paraId="63DE13EE">
            <w:pPr>
              <w:jc w:val="both"/>
              <w:rPr>
                <w:sz w:val="21"/>
                <w:szCs w:val="21"/>
              </w:rPr>
            </w:pPr>
          </w:p>
        </w:tc>
        <w:tc>
          <w:tcPr>
            <w:tcW w:w="3432" w:type="dxa"/>
            <w:vAlign w:val="center"/>
          </w:tcPr>
          <w:p w14:paraId="59AF878C">
            <w:pPr>
              <w:jc w:val="both"/>
              <w:rPr>
                <w:sz w:val="21"/>
                <w:szCs w:val="21"/>
              </w:rPr>
            </w:pPr>
          </w:p>
        </w:tc>
        <w:tc>
          <w:tcPr>
            <w:tcW w:w="1823" w:type="dxa"/>
            <w:vAlign w:val="center"/>
          </w:tcPr>
          <w:p w14:paraId="3DEFE9E4">
            <w:pPr>
              <w:jc w:val="both"/>
              <w:rPr>
                <w:sz w:val="21"/>
                <w:szCs w:val="21"/>
              </w:rPr>
            </w:pPr>
          </w:p>
        </w:tc>
      </w:tr>
      <w:tr w14:paraId="5D09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0A47988D">
            <w:pPr>
              <w:jc w:val="both"/>
              <w:rPr>
                <w:sz w:val="21"/>
                <w:szCs w:val="21"/>
              </w:rPr>
            </w:pPr>
          </w:p>
        </w:tc>
        <w:tc>
          <w:tcPr>
            <w:tcW w:w="3126" w:type="dxa"/>
            <w:vAlign w:val="center"/>
          </w:tcPr>
          <w:p w14:paraId="77B40DAB">
            <w:pPr>
              <w:jc w:val="both"/>
              <w:rPr>
                <w:sz w:val="21"/>
                <w:szCs w:val="21"/>
              </w:rPr>
            </w:pPr>
          </w:p>
        </w:tc>
        <w:tc>
          <w:tcPr>
            <w:tcW w:w="3432" w:type="dxa"/>
            <w:vAlign w:val="center"/>
          </w:tcPr>
          <w:p w14:paraId="517D5F04">
            <w:pPr>
              <w:jc w:val="both"/>
              <w:rPr>
                <w:sz w:val="21"/>
                <w:szCs w:val="21"/>
              </w:rPr>
            </w:pPr>
          </w:p>
        </w:tc>
        <w:tc>
          <w:tcPr>
            <w:tcW w:w="1823" w:type="dxa"/>
            <w:vAlign w:val="center"/>
          </w:tcPr>
          <w:p w14:paraId="51B30D12">
            <w:pPr>
              <w:jc w:val="both"/>
              <w:rPr>
                <w:sz w:val="21"/>
                <w:szCs w:val="21"/>
              </w:rPr>
            </w:pPr>
          </w:p>
        </w:tc>
      </w:tr>
      <w:tr w14:paraId="7005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7C00B86">
            <w:pPr>
              <w:jc w:val="both"/>
              <w:rPr>
                <w:sz w:val="21"/>
                <w:szCs w:val="21"/>
              </w:rPr>
            </w:pPr>
          </w:p>
        </w:tc>
        <w:tc>
          <w:tcPr>
            <w:tcW w:w="3126" w:type="dxa"/>
            <w:vAlign w:val="center"/>
          </w:tcPr>
          <w:p w14:paraId="2D86E0B5">
            <w:pPr>
              <w:jc w:val="both"/>
              <w:rPr>
                <w:sz w:val="21"/>
                <w:szCs w:val="21"/>
              </w:rPr>
            </w:pPr>
          </w:p>
        </w:tc>
        <w:tc>
          <w:tcPr>
            <w:tcW w:w="3432" w:type="dxa"/>
            <w:vAlign w:val="center"/>
          </w:tcPr>
          <w:p w14:paraId="2A674F1B">
            <w:pPr>
              <w:jc w:val="both"/>
              <w:rPr>
                <w:sz w:val="21"/>
                <w:szCs w:val="21"/>
              </w:rPr>
            </w:pPr>
          </w:p>
        </w:tc>
        <w:tc>
          <w:tcPr>
            <w:tcW w:w="1823" w:type="dxa"/>
            <w:vAlign w:val="center"/>
          </w:tcPr>
          <w:p w14:paraId="58527FFF">
            <w:pPr>
              <w:jc w:val="both"/>
              <w:rPr>
                <w:sz w:val="21"/>
                <w:szCs w:val="21"/>
              </w:rPr>
            </w:pPr>
          </w:p>
        </w:tc>
      </w:tr>
      <w:tr w14:paraId="5083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2BCDF2F">
            <w:pPr>
              <w:jc w:val="both"/>
              <w:rPr>
                <w:sz w:val="21"/>
                <w:szCs w:val="21"/>
              </w:rPr>
            </w:pPr>
          </w:p>
        </w:tc>
        <w:tc>
          <w:tcPr>
            <w:tcW w:w="3126" w:type="dxa"/>
            <w:vAlign w:val="center"/>
          </w:tcPr>
          <w:p w14:paraId="72CAD421">
            <w:pPr>
              <w:jc w:val="both"/>
              <w:rPr>
                <w:sz w:val="21"/>
                <w:szCs w:val="21"/>
              </w:rPr>
            </w:pPr>
          </w:p>
        </w:tc>
        <w:tc>
          <w:tcPr>
            <w:tcW w:w="3432" w:type="dxa"/>
            <w:vAlign w:val="center"/>
          </w:tcPr>
          <w:p w14:paraId="6A38EFD2">
            <w:pPr>
              <w:jc w:val="both"/>
              <w:rPr>
                <w:sz w:val="21"/>
                <w:szCs w:val="21"/>
              </w:rPr>
            </w:pPr>
          </w:p>
        </w:tc>
        <w:tc>
          <w:tcPr>
            <w:tcW w:w="1823" w:type="dxa"/>
            <w:vAlign w:val="center"/>
          </w:tcPr>
          <w:p w14:paraId="2555329E">
            <w:pPr>
              <w:jc w:val="both"/>
              <w:rPr>
                <w:sz w:val="21"/>
                <w:szCs w:val="21"/>
              </w:rPr>
            </w:pPr>
          </w:p>
        </w:tc>
      </w:tr>
      <w:tr w14:paraId="50E6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439851A">
            <w:pPr>
              <w:jc w:val="both"/>
              <w:rPr>
                <w:sz w:val="21"/>
                <w:szCs w:val="21"/>
              </w:rPr>
            </w:pPr>
            <w:r>
              <w:rPr>
                <w:sz w:val="21"/>
                <w:szCs w:val="21"/>
              </w:rPr>
              <w:t>备注</w:t>
            </w:r>
          </w:p>
        </w:tc>
        <w:tc>
          <w:tcPr>
            <w:tcW w:w="8381" w:type="dxa"/>
            <w:gridSpan w:val="3"/>
            <w:vAlign w:val="center"/>
          </w:tcPr>
          <w:p w14:paraId="0DB421BF">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527F540F">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79C89BB6">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200A9446">
            <w:pPr>
              <w:jc w:val="both"/>
              <w:rPr>
                <w:sz w:val="21"/>
                <w:szCs w:val="21"/>
              </w:rPr>
            </w:pPr>
            <w:r>
              <w:rPr>
                <w:rFonts w:hint="eastAsia" w:asciiTheme="minorEastAsia" w:hAnsiTheme="minorEastAsia"/>
                <w:sz w:val="21"/>
                <w:szCs w:val="21"/>
              </w:rPr>
              <w:t>④ 表格中“示例”部分仅供参考，供应商在响应时请自行清除。</w:t>
            </w:r>
          </w:p>
        </w:tc>
      </w:tr>
    </w:tbl>
    <w:p w14:paraId="48B869A8">
      <w:pPr>
        <w:jc w:val="center"/>
        <w:rPr>
          <w:rFonts w:cstheme="minorHAnsi"/>
          <w:b/>
        </w:rPr>
      </w:pPr>
    </w:p>
    <w:p w14:paraId="65BA3D40">
      <w:pPr>
        <w:jc w:val="center"/>
        <w:rPr>
          <w:rFonts w:cstheme="minorHAnsi"/>
          <w:b/>
        </w:rPr>
      </w:pPr>
    </w:p>
    <w:p w14:paraId="34CCBDAE">
      <w:pPr>
        <w:jc w:val="center"/>
        <w:rPr>
          <w:rFonts w:cstheme="minorHAnsi"/>
          <w:b/>
        </w:rPr>
      </w:pPr>
      <w:r>
        <w:rPr>
          <w:rFonts w:hint="eastAsia" w:cstheme="minorHAnsi"/>
          <w:b/>
        </w:rPr>
        <w:t>2.商务评审部分方案</w:t>
      </w:r>
    </w:p>
    <w:p w14:paraId="2D959899">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5F0BFDFF">
      <w:pPr>
        <w:rPr>
          <w:rFonts w:asciiTheme="minorEastAsia" w:hAnsiTheme="minorEastAsia" w:cstheme="minorHAnsi"/>
          <w:b/>
          <w:color w:val="000000"/>
          <w:kern w:val="24"/>
        </w:rPr>
      </w:pPr>
    </w:p>
    <w:p w14:paraId="6A1C065C">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．节能产品</w:t>
      </w:r>
      <w:r>
        <w:rPr>
          <w:rFonts w:asciiTheme="minorEastAsia" w:hAnsiTheme="minorEastAsia" w:cstheme="minorHAnsi"/>
          <w:b/>
          <w:color w:val="000000"/>
          <w:kern w:val="24"/>
        </w:rPr>
        <w:t>、环保</w:t>
      </w:r>
      <w:r>
        <w:rPr>
          <w:rFonts w:hint="eastAsia" w:asciiTheme="minorEastAsia" w:hAnsiTheme="minorEastAsia" w:cstheme="minorHAnsi"/>
          <w:b/>
          <w:color w:val="000000"/>
          <w:kern w:val="24"/>
        </w:rPr>
        <w:t>标志</w:t>
      </w:r>
      <w:r>
        <w:rPr>
          <w:rFonts w:asciiTheme="minorEastAsia" w:hAnsiTheme="minorEastAsia" w:cstheme="minorHAnsi"/>
          <w:b/>
          <w:color w:val="000000"/>
          <w:kern w:val="24"/>
        </w:rPr>
        <w:t>产品</w:t>
      </w:r>
      <w:r>
        <w:rPr>
          <w:rFonts w:hint="eastAsia" w:asciiTheme="minorEastAsia" w:hAnsiTheme="minorEastAsia" w:cstheme="minorHAnsi"/>
          <w:b/>
          <w:color w:val="000000"/>
          <w:kern w:val="24"/>
        </w:rPr>
        <w:t>优先采购</w:t>
      </w:r>
    </w:p>
    <w:p w14:paraId="502CF8BF">
      <w:pPr>
        <w:rPr>
          <w:rFonts w:asciiTheme="minorEastAsia" w:hAnsiTheme="minorEastAsia" w:cstheme="minorHAnsi"/>
          <w:b/>
          <w:color w:val="000000"/>
          <w:kern w:val="24"/>
        </w:rPr>
      </w:pPr>
    </w:p>
    <w:p w14:paraId="684FA4DB">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．业绩</w:t>
      </w:r>
    </w:p>
    <w:p w14:paraId="52744DDC">
      <w:pPr>
        <w:rPr>
          <w:rFonts w:asciiTheme="minorEastAsia" w:hAnsiTheme="minorEastAsia" w:cstheme="minorHAnsi"/>
          <w:b/>
          <w:color w:val="000000"/>
          <w:kern w:val="24"/>
        </w:rPr>
      </w:pPr>
      <w:r>
        <w:rPr>
          <w:rFonts w:asciiTheme="minorEastAsia" w:hAnsiTheme="minorEastAsia" w:cstheme="minorHAnsi"/>
          <w:b/>
          <w:color w:val="000000"/>
          <w:kern w:val="24"/>
        </w:rPr>
        <w:br w:type="page"/>
      </w:r>
    </w:p>
    <w:p w14:paraId="52DBC4C4">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23F5FF6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541876DB">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9949FBA">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65C0792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34FDC0E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2F52F705">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1CDB38EF">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2123F28E">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7B1D013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22C537DC">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02FCBD7B">
            <w:pPr>
              <w:jc w:val="center"/>
              <w:rPr>
                <w:rFonts w:asciiTheme="minorEastAsia" w:hAnsiTheme="minorEastAsia"/>
                <w:color w:val="000000"/>
                <w:sz w:val="21"/>
              </w:rPr>
            </w:pPr>
            <w:r>
              <w:rPr>
                <w:rFonts w:asciiTheme="minorEastAsia" w:hAnsiTheme="minorEastAsia"/>
                <w:color w:val="000000"/>
                <w:sz w:val="21"/>
              </w:rPr>
              <w:t>说明</w:t>
            </w:r>
          </w:p>
        </w:tc>
      </w:tr>
      <w:tr w14:paraId="5132309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5DDE74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2CFEC10D">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4440C7E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0442650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022B8608">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5AC1A05F">
            <w:pPr>
              <w:jc w:val="both"/>
              <w:rPr>
                <w:rFonts w:asciiTheme="minorEastAsia" w:hAnsiTheme="minorEastAsia"/>
                <w:color w:val="000000"/>
                <w:sz w:val="21"/>
              </w:rPr>
            </w:pPr>
          </w:p>
        </w:tc>
      </w:tr>
      <w:tr w14:paraId="0D491EE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D7EAD55">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4FCC4A41">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B49782D">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7C944B02">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00E84E2">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280CC75E">
            <w:pPr>
              <w:jc w:val="both"/>
              <w:rPr>
                <w:rFonts w:asciiTheme="minorEastAsia" w:hAnsiTheme="minorEastAsia"/>
                <w:color w:val="000000"/>
                <w:sz w:val="21"/>
              </w:rPr>
            </w:pPr>
          </w:p>
        </w:tc>
      </w:tr>
      <w:tr w14:paraId="19AFC90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932DE14">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F7E898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746E8E8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05DC6E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38A35B5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6DF2E107">
            <w:pPr>
              <w:jc w:val="both"/>
              <w:rPr>
                <w:rFonts w:asciiTheme="minorEastAsia" w:hAnsiTheme="minorEastAsia"/>
                <w:color w:val="000000"/>
                <w:sz w:val="21"/>
              </w:rPr>
            </w:pPr>
          </w:p>
        </w:tc>
      </w:tr>
      <w:tr w14:paraId="3795AA0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BEB76E">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A8FB3CE">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5F1AC32">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1367C326">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0EB6392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7FBAAD42">
            <w:pPr>
              <w:jc w:val="both"/>
              <w:rPr>
                <w:rFonts w:asciiTheme="minorEastAsia" w:hAnsiTheme="minorEastAsia"/>
                <w:color w:val="000000"/>
                <w:sz w:val="21"/>
              </w:rPr>
            </w:pPr>
          </w:p>
        </w:tc>
      </w:tr>
      <w:tr w14:paraId="2D8BCFE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3A78092">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4BFC07DA">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1EC6137C">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2FE634FE">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F7E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805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123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E1A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476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554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6FE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784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D8F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6E8D">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F51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3B3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F57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029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E74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116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FC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B4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FAF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西安市机关事务服务中心</w:t>
    </w:r>
    <w:r>
      <w:rPr>
        <w:rFonts w:ascii="宋体" w:hAnsi="宋体" w:eastAsia="宋体"/>
      </w:rPr>
      <w:t>2026年小额零星维修项目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A8FA">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西安市机关事务服务中心</w:t>
    </w:r>
    <w:r>
      <w:rPr>
        <w:rFonts w:ascii="宋体" w:hAnsi="宋体" w:eastAsia="宋体"/>
      </w:rPr>
      <w:t>2026年小额零星维修项目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西安市机关事务服务中心</w:t>
    </w:r>
    <w:r>
      <w:rPr>
        <w:rFonts w:ascii="宋体" w:hAnsi="宋体" w:eastAsia="宋体"/>
      </w:rPr>
      <w:t>2026年小额零星维修项目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F18F2"/>
    <w:multiLevelType w:val="singleLevel"/>
    <w:tmpl w:val="356F18F2"/>
    <w:lvl w:ilvl="0" w:tentative="0">
      <w:start w:val="1"/>
      <w:numFmt w:val="decimal"/>
      <w:suff w:val="nothing"/>
      <w:lvlText w:val="%1、"/>
      <w:lvlJc w:val="left"/>
    </w:lvl>
  </w:abstractNum>
  <w:abstractNum w:abstractNumId="1">
    <w:nsid w:val="3F402DFD"/>
    <w:multiLevelType w:val="multilevel"/>
    <w:tmpl w:val="3F402DFD"/>
    <w:lvl w:ilvl="0" w:tentative="0">
      <w:start w:val="1"/>
      <w:numFmt w:val="decimal"/>
      <w:lvlText w:val="%1"/>
      <w:lvlJc w:val="center"/>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47D56"/>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EE7"/>
    <w:rsid w:val="001257D4"/>
    <w:rsid w:val="0013005B"/>
    <w:rsid w:val="0013015E"/>
    <w:rsid w:val="0013081C"/>
    <w:rsid w:val="00131762"/>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476"/>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34F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05EE"/>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21BE"/>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2F5B"/>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0813"/>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1B34"/>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58A"/>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55F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A10"/>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50C0"/>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C7A3F"/>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677"/>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 w:val="00FF7E45"/>
    <w:rsid w:val="0E18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2608-5DD5-4F05-8231-0C66E4C2605C}">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42</Pages>
  <Words>237</Words>
  <Characters>261</Characters>
  <Lines>293</Lines>
  <Paragraphs>82</Paragraphs>
  <TotalTime>4</TotalTime>
  <ScaleCrop>false</ScaleCrop>
  <LinksUpToDate>false</LinksUpToDate>
  <CharactersWithSpaces>274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2026-01-19T01:09:00Z</dcterms:created>
  <dc:creator>admin</dc:creator>
  <cp:lastModifiedBy>常巧利</cp:lastModifiedBy>
  <cp:lastPrinted>2026-01-14T02:06:00Z</cp:lastPrinted>
  <dcterms:modified xsi:type="dcterms:W3CDTF">2026-02-04T07:17:37Z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AB21B7B3CA83455F8CB64B7D7E86611B_13</vt:lpwstr>
  </property>
</Properties>
</file>