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7"/>
        <w:gridCol w:w="1250"/>
        <w:gridCol w:w="6260"/>
      </w:tblGrid>
      <w:tr w14:paraId="069E9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tcPr>
          <w:p w14:paraId="48112DEA">
            <w:pPr>
              <w:pStyle w:val="4"/>
            </w:pPr>
            <w:r>
              <w:rPr>
                <w:rFonts w:ascii="仿宋_GB2312" w:hAnsi="仿宋_GB2312" w:eastAsia="仿宋_GB2312" w:cs="仿宋_GB2312"/>
              </w:rPr>
              <w:t xml:space="preserve"> 序号</w:t>
            </w:r>
          </w:p>
        </w:tc>
        <w:tc>
          <w:tcPr>
            <w:tcW w:w="1250" w:type="dxa"/>
          </w:tcPr>
          <w:p w14:paraId="631CAE2B">
            <w:pPr>
              <w:pStyle w:val="4"/>
            </w:pPr>
            <w:r>
              <w:rPr>
                <w:rFonts w:ascii="仿宋_GB2312" w:hAnsi="仿宋_GB2312" w:eastAsia="仿宋_GB2312" w:cs="仿宋_GB2312"/>
              </w:rPr>
              <w:t xml:space="preserve"> 参数性质</w:t>
            </w:r>
          </w:p>
        </w:tc>
        <w:tc>
          <w:tcPr>
            <w:tcW w:w="6260" w:type="dxa"/>
          </w:tcPr>
          <w:p w14:paraId="7088894A">
            <w:pPr>
              <w:pStyle w:val="4"/>
            </w:pPr>
            <w:r>
              <w:rPr>
                <w:rFonts w:ascii="仿宋_GB2312" w:hAnsi="仿宋_GB2312" w:eastAsia="仿宋_GB2312" w:cs="仿宋_GB2312"/>
              </w:rPr>
              <w:t xml:space="preserve"> 技术参数与性能指标</w:t>
            </w:r>
          </w:p>
        </w:tc>
      </w:tr>
      <w:tr w14:paraId="7EB88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tcPr>
          <w:p w14:paraId="14AE6032">
            <w:pPr>
              <w:pStyle w:val="4"/>
            </w:pPr>
            <w:r>
              <w:rPr>
                <w:rFonts w:ascii="仿宋_GB2312" w:hAnsi="仿宋_GB2312" w:eastAsia="仿宋_GB2312" w:cs="仿宋_GB2312"/>
              </w:rPr>
              <w:t>1</w:t>
            </w:r>
          </w:p>
        </w:tc>
        <w:tc>
          <w:tcPr>
            <w:tcW w:w="1250" w:type="dxa"/>
          </w:tcPr>
          <w:p w14:paraId="0C17B7B3"/>
        </w:tc>
        <w:tc>
          <w:tcPr>
            <w:tcW w:w="6260" w:type="dxa"/>
          </w:tcPr>
          <w:p w14:paraId="3C1CDBFD">
            <w:pPr>
              <w:pStyle w:val="4"/>
              <w:jc w:val="left"/>
            </w:pPr>
            <w:r>
              <w:rPr>
                <w:rFonts w:ascii="仿宋_GB2312" w:hAnsi="仿宋_GB2312" w:eastAsia="仿宋_GB2312" w:cs="仿宋_GB2312"/>
                <w:sz w:val="21"/>
              </w:rPr>
              <w:t>一、技术标准</w:t>
            </w:r>
          </w:p>
          <w:p w14:paraId="628DC469">
            <w:pPr>
              <w:pStyle w:val="4"/>
              <w:jc w:val="left"/>
            </w:pPr>
            <w:r>
              <w:rPr>
                <w:rFonts w:ascii="仿宋_GB2312" w:hAnsi="仿宋_GB2312" w:eastAsia="仿宋_GB2312" w:cs="仿宋_GB2312"/>
                <w:sz w:val="21"/>
              </w:rPr>
              <w:t>（1）★光谱范围：410~2400nm；</w:t>
            </w:r>
          </w:p>
          <w:p w14:paraId="2834F579">
            <w:pPr>
              <w:pStyle w:val="4"/>
              <w:jc w:val="left"/>
            </w:pPr>
            <w:r>
              <w:rPr>
                <w:rFonts w:ascii="仿宋_GB2312" w:hAnsi="仿宋_GB2312" w:eastAsia="仿宋_GB2312" w:cs="仿宋_GB2312"/>
                <w:sz w:val="21"/>
              </w:rPr>
              <w:t>（2）★全谱输出功率≥5W；可见光功率(350-850 nm)：≥1.5W；</w:t>
            </w:r>
          </w:p>
          <w:p w14:paraId="2021D275">
            <w:pPr>
              <w:pStyle w:val="4"/>
              <w:jc w:val="left"/>
            </w:pPr>
            <w:r>
              <w:rPr>
                <w:rFonts w:ascii="仿宋_GB2312" w:hAnsi="仿宋_GB2312" w:eastAsia="仿宋_GB2312" w:cs="仿宋_GB2312"/>
                <w:sz w:val="21"/>
              </w:rPr>
              <w:t>（3）★可见光可调谐滤波输出：400-1000 nm，线宽1.0-2.5 nm；</w:t>
            </w:r>
          </w:p>
          <w:p w14:paraId="5CBB91A1">
            <w:pPr>
              <w:pStyle w:val="4"/>
              <w:jc w:val="left"/>
            </w:pPr>
            <w:r>
              <w:rPr>
                <w:rFonts w:ascii="仿宋_GB2312" w:hAnsi="仿宋_GB2312" w:eastAsia="仿宋_GB2312" w:cs="仿宋_GB2312"/>
                <w:sz w:val="21"/>
              </w:rPr>
              <w:t>（4）★近红外可调谐滤波输出</w:t>
            </w:r>
            <w:bookmarkStart w:id="0" w:name="_GoBack"/>
            <w:bookmarkEnd w:id="0"/>
            <w:r>
              <w:rPr>
                <w:rFonts w:ascii="仿宋_GB2312" w:hAnsi="仿宋_GB2312" w:eastAsia="仿宋_GB2312" w:cs="仿宋_GB2312"/>
                <w:sz w:val="21"/>
              </w:rPr>
              <w:t>：1000-2300nm，线宽2.0-5.0nm；</w:t>
            </w:r>
          </w:p>
          <w:p w14:paraId="78CB349F">
            <w:pPr>
              <w:pStyle w:val="4"/>
              <w:jc w:val="left"/>
            </w:pPr>
            <w:r>
              <w:rPr>
                <w:rFonts w:ascii="仿宋_GB2312" w:hAnsi="仿宋_GB2312" w:eastAsia="仿宋_GB2312" w:cs="仿宋_GB2312"/>
                <w:sz w:val="21"/>
              </w:rPr>
              <w:t>（5）▲光束直径：≈ 1 @ 532 nm，≈ 2 @ 1100 nm，≈ 3 @ 2000 nm；</w:t>
            </w:r>
          </w:p>
          <w:p w14:paraId="22BE9A57">
            <w:pPr>
              <w:pStyle w:val="4"/>
              <w:jc w:val="left"/>
            </w:pPr>
            <w:r>
              <w:rPr>
                <w:rFonts w:ascii="仿宋_GB2312" w:hAnsi="仿宋_GB2312" w:eastAsia="仿宋_GB2312" w:cs="仿宋_GB2312"/>
                <w:sz w:val="21"/>
              </w:rPr>
              <w:t>（6）★全谱段功率密度不小于0.1mW/nm（78MHz）；</w:t>
            </w:r>
          </w:p>
          <w:p w14:paraId="5CB058A6">
            <w:pPr>
              <w:pStyle w:val="4"/>
              <w:jc w:val="left"/>
            </w:pPr>
            <w:r>
              <w:rPr>
                <w:rFonts w:ascii="仿宋_GB2312" w:hAnsi="仿宋_GB2312" w:eastAsia="仿宋_GB2312" w:cs="仿宋_GB2312"/>
                <w:sz w:val="21"/>
              </w:rPr>
              <w:t>（7）全谱段重频范围单脉冲能量保持不变：0.15-78MHz；</w:t>
            </w:r>
          </w:p>
          <w:p w14:paraId="05299DE3">
            <w:pPr>
              <w:pStyle w:val="4"/>
              <w:jc w:val="left"/>
            </w:pPr>
            <w:r>
              <w:rPr>
                <w:rFonts w:ascii="仿宋_GB2312" w:hAnsi="仿宋_GB2312" w:eastAsia="仿宋_GB2312" w:cs="仿宋_GB2312"/>
                <w:sz w:val="21"/>
              </w:rPr>
              <w:t>（8）▲功率稳定性不大于±1%；种子脉宽不大于10ps；</w:t>
            </w:r>
          </w:p>
          <w:p w14:paraId="45EF4554">
            <w:pPr>
              <w:pStyle w:val="4"/>
              <w:jc w:val="left"/>
            </w:pPr>
            <w:r>
              <w:rPr>
                <w:rFonts w:ascii="仿宋_GB2312" w:hAnsi="仿宋_GB2312" w:eastAsia="仿宋_GB2312" w:cs="仿宋_GB2312"/>
                <w:sz w:val="21"/>
              </w:rPr>
              <w:t>（9）光束质量：M2&lt;1.1；</w:t>
            </w:r>
          </w:p>
          <w:p w14:paraId="0F9E88EF">
            <w:pPr>
              <w:pStyle w:val="4"/>
              <w:jc w:val="left"/>
            </w:pPr>
            <w:r>
              <w:rPr>
                <w:rFonts w:ascii="仿宋_GB2312" w:hAnsi="仿宋_GB2312" w:eastAsia="仿宋_GB2312" w:cs="仿宋_GB2312"/>
                <w:sz w:val="21"/>
              </w:rPr>
              <w:t>（10）光束指向性：&lt;1mrad；</w:t>
            </w:r>
          </w:p>
          <w:p w14:paraId="6AF65DDF">
            <w:pPr>
              <w:pStyle w:val="4"/>
              <w:jc w:val="left"/>
            </w:pPr>
            <w:r>
              <w:rPr>
                <w:rFonts w:ascii="仿宋_GB2312" w:hAnsi="仿宋_GB2312" w:eastAsia="仿宋_GB2312" w:cs="仿宋_GB2312"/>
                <w:sz w:val="21"/>
              </w:rPr>
              <w:t>（11）同步（触发）输出：NIM，外部触发接口：≥15串口；</w:t>
            </w:r>
          </w:p>
          <w:p w14:paraId="05FA39EF">
            <w:pPr>
              <w:pStyle w:val="4"/>
              <w:jc w:val="left"/>
            </w:pPr>
            <w:r>
              <w:rPr>
                <w:rFonts w:ascii="仿宋_GB2312" w:hAnsi="仿宋_GB2312" w:eastAsia="仿宋_GB2312" w:cs="仿宋_GB2312"/>
                <w:sz w:val="21"/>
              </w:rPr>
              <w:t>（12）▲触发信号抖动≤20ps；</w:t>
            </w:r>
          </w:p>
          <w:p w14:paraId="43B67199">
            <w:pPr>
              <w:pStyle w:val="4"/>
              <w:jc w:val="left"/>
            </w:pPr>
            <w:r>
              <w:rPr>
                <w:rFonts w:ascii="仿宋_GB2312" w:hAnsi="仿宋_GB2312" w:eastAsia="仿宋_GB2312" w:cs="仿宋_GB2312"/>
                <w:sz w:val="21"/>
              </w:rPr>
              <w:t>（13）具备Watchdog定时长关闭出光功能, Watchdog定时长可调范围：1s～255s；</w:t>
            </w:r>
          </w:p>
          <w:p w14:paraId="6970370B">
            <w:pPr>
              <w:pStyle w:val="4"/>
              <w:jc w:val="left"/>
            </w:pPr>
            <w:r>
              <w:rPr>
                <w:rFonts w:ascii="仿宋_GB2312" w:hAnsi="仿宋_GB2312" w:eastAsia="仿宋_GB2312" w:cs="仿宋_GB2312"/>
                <w:sz w:val="21"/>
              </w:rPr>
              <w:t>（14）同步触发延迟可调范围：0～9.2ns；</w:t>
            </w:r>
          </w:p>
          <w:p w14:paraId="63769B6B">
            <w:pPr>
              <w:pStyle w:val="4"/>
              <w:jc w:val="both"/>
            </w:pPr>
            <w:r>
              <w:rPr>
                <w:rFonts w:ascii="仿宋_GB2312" w:hAnsi="仿宋_GB2312" w:eastAsia="仿宋_GB2312" w:cs="仿宋_GB2312"/>
                <w:sz w:val="21"/>
              </w:rPr>
              <w:t>（15）输出特性：线偏振；</w:t>
            </w:r>
          </w:p>
          <w:p w14:paraId="79FF1990">
            <w:pPr>
              <w:pStyle w:val="4"/>
              <w:jc w:val="both"/>
            </w:pPr>
            <w:r>
              <w:rPr>
                <w:rFonts w:ascii="仿宋_GB2312" w:hAnsi="仿宋_GB2312" w:eastAsia="仿宋_GB2312" w:cs="仿宋_GB2312"/>
                <w:sz w:val="21"/>
              </w:rPr>
              <w:t>（16）★包含主机、滤波器、准直器件等功能配件；</w:t>
            </w:r>
          </w:p>
          <w:p w14:paraId="5C3B9149">
            <w:pPr>
              <w:pStyle w:val="4"/>
              <w:jc w:val="left"/>
            </w:pPr>
            <w:r>
              <w:rPr>
                <w:rFonts w:ascii="仿宋_GB2312" w:hAnsi="仿宋_GB2312" w:eastAsia="仿宋_GB2312" w:cs="仿宋_GB2312"/>
                <w:sz w:val="21"/>
              </w:rPr>
              <w:t>（17）软件支持：提供LabVIEW二次软件开发包，包括软件升级；</w:t>
            </w:r>
          </w:p>
          <w:p w14:paraId="62CBFEA8">
            <w:pPr>
              <w:pStyle w:val="4"/>
            </w:pPr>
            <w:r>
              <w:rPr>
                <w:rFonts w:ascii="仿宋_GB2312" w:hAnsi="仿宋_GB2312" w:eastAsia="仿宋_GB2312" w:cs="仿宋_GB2312"/>
                <w:sz w:val="21"/>
              </w:rPr>
              <w:t>（18）售后服务：设备有维修服务中心，且具备良好的售后服务保障体系。</w:t>
            </w:r>
          </w:p>
        </w:tc>
      </w:tr>
      <w:tr w14:paraId="70584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tcPr>
          <w:p w14:paraId="43223ABF">
            <w:pPr>
              <w:pStyle w:val="4"/>
            </w:pPr>
            <w:r>
              <w:rPr>
                <w:rFonts w:ascii="仿宋_GB2312" w:hAnsi="仿宋_GB2312" w:eastAsia="仿宋_GB2312" w:cs="仿宋_GB2312"/>
              </w:rPr>
              <w:t>2</w:t>
            </w:r>
          </w:p>
        </w:tc>
        <w:tc>
          <w:tcPr>
            <w:tcW w:w="1250" w:type="dxa"/>
          </w:tcPr>
          <w:p w14:paraId="02AB519B"/>
        </w:tc>
        <w:tc>
          <w:tcPr>
            <w:tcW w:w="6260" w:type="dxa"/>
          </w:tcPr>
          <w:p w14:paraId="640BA657">
            <w:pPr>
              <w:pStyle w:val="4"/>
            </w:pPr>
            <w:r>
              <w:rPr>
                <w:rFonts w:ascii="仿宋_GB2312" w:hAnsi="仿宋_GB2312" w:eastAsia="仿宋_GB2312" w:cs="仿宋_GB2312"/>
                <w:sz w:val="21"/>
              </w:rPr>
              <w:t>二、商务条款</w:t>
            </w:r>
          </w:p>
          <w:p w14:paraId="29E60006">
            <w:pPr>
              <w:pStyle w:val="4"/>
              <w:jc w:val="left"/>
            </w:pPr>
            <w:r>
              <w:rPr>
                <w:rFonts w:ascii="仿宋_GB2312" w:hAnsi="仿宋_GB2312" w:eastAsia="仿宋_GB2312" w:cs="仿宋_GB2312"/>
                <w:color w:val="000000"/>
                <w:sz w:val="21"/>
              </w:rPr>
              <w:t>1、交货地点：采购人指定地点</w:t>
            </w:r>
          </w:p>
          <w:p w14:paraId="4D787A4A">
            <w:pPr>
              <w:pStyle w:val="4"/>
              <w:jc w:val="left"/>
            </w:pPr>
            <w:r>
              <w:rPr>
                <w:rFonts w:ascii="仿宋_GB2312" w:hAnsi="仿宋_GB2312" w:eastAsia="仿宋_GB2312" w:cs="仿宋_GB2312"/>
                <w:color w:val="000000"/>
                <w:sz w:val="21"/>
              </w:rPr>
              <w:t>2、交货时间：合同签订后45日历日内安装调试完成保证可正常使用。</w:t>
            </w:r>
          </w:p>
          <w:p w14:paraId="62A19D0E">
            <w:pPr>
              <w:pStyle w:val="4"/>
              <w:jc w:val="left"/>
            </w:pPr>
            <w:r>
              <w:rPr>
                <w:rFonts w:ascii="仿宋_GB2312" w:hAnsi="仿宋_GB2312" w:eastAsia="仿宋_GB2312" w:cs="仿宋_GB2312"/>
                <w:color w:val="000000"/>
                <w:sz w:val="21"/>
              </w:rPr>
              <w:t>3、售后服务要求：售后服务响应时间（质保期内）：4小时即时响应（包括电话响应）；电话响应无法解决 48小时内到达现场（非工作日72小时、国家法定节假日除外）。修复时间120小时内解决；如在120小时内无法修复，则提供部件冗余服务或采取应急措施，提供相同产品或不低于故障产品规格档次的备用产品供采购人使用，以确保货物的正常使用。</w:t>
            </w:r>
          </w:p>
          <w:p w14:paraId="161B7AAD">
            <w:pPr>
              <w:pStyle w:val="4"/>
              <w:jc w:val="left"/>
            </w:pPr>
            <w:r>
              <w:rPr>
                <w:rFonts w:ascii="仿宋_GB2312" w:hAnsi="仿宋_GB2312" w:eastAsia="仿宋_GB2312" w:cs="仿宋_GB2312"/>
                <w:color w:val="000000"/>
                <w:sz w:val="21"/>
              </w:rPr>
              <w:t>该设备如有耗材，供应商标明后期耗材的销售价格。</w:t>
            </w:r>
          </w:p>
          <w:p w14:paraId="7DF49745">
            <w:pPr>
              <w:pStyle w:val="4"/>
            </w:pPr>
            <w:r>
              <w:rPr>
                <w:rFonts w:ascii="仿宋_GB2312" w:hAnsi="仿宋_GB2312" w:eastAsia="仿宋_GB2312" w:cs="仿宋_GB2312"/>
                <w:color w:val="000000"/>
                <w:sz w:val="21"/>
              </w:rPr>
              <w:t>4、质保期：质保期3年，自验收合格双方签字之日起计算。</w:t>
            </w:r>
          </w:p>
          <w:p w14:paraId="34A12937">
            <w:pPr>
              <w:pStyle w:val="4"/>
              <w:jc w:val="left"/>
            </w:pPr>
            <w:r>
              <w:rPr>
                <w:rFonts w:ascii="仿宋_GB2312" w:hAnsi="仿宋_GB2312" w:eastAsia="仿宋_GB2312" w:cs="仿宋_GB2312"/>
                <w:color w:val="000000"/>
                <w:sz w:val="21"/>
              </w:rPr>
              <w:t>5、安装调试、验收要求、培训要求：</w:t>
            </w:r>
          </w:p>
          <w:p w14:paraId="029C6A3C">
            <w:pPr>
              <w:pStyle w:val="4"/>
              <w:jc w:val="left"/>
            </w:pPr>
            <w:r>
              <w:rPr>
                <w:rFonts w:ascii="仿宋_GB2312" w:hAnsi="仿宋_GB2312" w:eastAsia="仿宋_GB2312" w:cs="仿宋_GB2312"/>
                <w:color w:val="000000"/>
                <w:sz w:val="21"/>
              </w:rPr>
              <w:t>安装地点：西安邮电大学长安校区2号实验楼236实验室</w:t>
            </w:r>
          </w:p>
          <w:p w14:paraId="548D476A">
            <w:pPr>
              <w:pStyle w:val="4"/>
              <w:jc w:val="left"/>
            </w:pPr>
            <w:r>
              <w:rPr>
                <w:rFonts w:ascii="仿宋_GB2312" w:hAnsi="仿宋_GB2312" w:eastAsia="仿宋_GB2312" w:cs="仿宋_GB2312"/>
                <w:color w:val="000000"/>
                <w:sz w:val="21"/>
              </w:rPr>
              <w:t>安装及调试要求：</w:t>
            </w:r>
          </w:p>
          <w:p w14:paraId="0CD1C5FC">
            <w:pPr>
              <w:pStyle w:val="4"/>
              <w:jc w:val="left"/>
            </w:pPr>
            <w:r>
              <w:rPr>
                <w:rFonts w:ascii="仿宋_GB2312" w:hAnsi="仿宋_GB2312" w:eastAsia="仿宋_GB2312" w:cs="仿宋_GB2312"/>
                <w:color w:val="000000"/>
                <w:sz w:val="21"/>
              </w:rPr>
              <w:t>1）设备到达使用现场前，供应商将向采购人或设备最终用户告知设备安装运行的环境要求。</w:t>
            </w:r>
          </w:p>
          <w:p w14:paraId="041C1EB8">
            <w:pPr>
              <w:pStyle w:val="4"/>
              <w:jc w:val="left"/>
            </w:pPr>
            <w:r>
              <w:rPr>
                <w:rFonts w:ascii="仿宋_GB2312" w:hAnsi="仿宋_GB2312" w:eastAsia="仿宋_GB2312" w:cs="仿宋_GB2312"/>
                <w:color w:val="000000"/>
                <w:sz w:val="21"/>
              </w:rPr>
              <w:t>2）设备安装过程中，供应商服务工程师将对设备用户使用人员介绍设备的性能特点，并提供设备的基本操作及维护保养提供免费培训并熟练操作。</w:t>
            </w:r>
          </w:p>
          <w:p w14:paraId="5FFFD942">
            <w:pPr>
              <w:pStyle w:val="4"/>
              <w:jc w:val="left"/>
            </w:pPr>
            <w:r>
              <w:rPr>
                <w:rFonts w:ascii="仿宋_GB2312" w:hAnsi="仿宋_GB2312" w:eastAsia="仿宋_GB2312" w:cs="仿宋_GB2312"/>
                <w:color w:val="000000"/>
                <w:sz w:val="21"/>
              </w:rPr>
              <w:t>3）在正常使用的情况下，对设备提供自验收合格之日起3年的保修期。</w:t>
            </w:r>
          </w:p>
          <w:p w14:paraId="6AB19231">
            <w:pPr>
              <w:pStyle w:val="4"/>
              <w:jc w:val="left"/>
            </w:pPr>
            <w:r>
              <w:rPr>
                <w:rFonts w:ascii="仿宋_GB2312" w:hAnsi="仿宋_GB2312" w:eastAsia="仿宋_GB2312" w:cs="仿宋_GB2312"/>
                <w:color w:val="000000"/>
                <w:sz w:val="21"/>
              </w:rPr>
              <w:t>4）在保修期内，当供应商接到最终用户报修后将于4小时内予以响应，包括通过电话或电子邮件进行远程支持。若供应商确认故障无法通过远程支持予以解决，则供应商将在确认后2个工作日内派服务工程师到达最终用户现场查找原因并提供解决方案。若供应商确认设备无法通过远程或现场维修解决的，供应商将予以返厂维修或更换，且供应商将承担设备流转所产生的费用，包括检验费、运费、保险费、仓储费和装卸费。</w:t>
            </w:r>
          </w:p>
          <w:p w14:paraId="6E2D5283">
            <w:pPr>
              <w:pStyle w:val="4"/>
              <w:jc w:val="left"/>
            </w:pPr>
            <w:r>
              <w:rPr>
                <w:rFonts w:ascii="仿宋_GB2312" w:hAnsi="仿宋_GB2312" w:eastAsia="仿宋_GB2312" w:cs="仿宋_GB2312"/>
                <w:color w:val="000000"/>
                <w:sz w:val="21"/>
              </w:rPr>
              <w:t>5）在保修期外,若设备发生故障供应商可提供优惠价格的维修服务。</w:t>
            </w:r>
          </w:p>
          <w:p w14:paraId="5636AC10">
            <w:pPr>
              <w:pStyle w:val="4"/>
              <w:jc w:val="left"/>
            </w:pPr>
            <w:r>
              <w:rPr>
                <w:rFonts w:ascii="仿宋_GB2312" w:hAnsi="仿宋_GB2312" w:eastAsia="仿宋_GB2312" w:cs="仿宋_GB2312"/>
                <w:color w:val="000000"/>
                <w:sz w:val="21"/>
              </w:rPr>
              <w:t>6、技术培训：安装验收期间，在用户所在地对用户进行产品操作和日常维护的现场培训，包括产品原理、使用方法和维护方法等。</w:t>
            </w:r>
          </w:p>
          <w:p w14:paraId="1411F47A">
            <w:pPr>
              <w:pStyle w:val="4"/>
              <w:jc w:val="left"/>
            </w:pPr>
            <w:r>
              <w:rPr>
                <w:rFonts w:ascii="仿宋_GB2312" w:hAnsi="仿宋_GB2312" w:eastAsia="仿宋_GB2312" w:cs="仿宋_GB2312"/>
                <w:color w:val="000000"/>
                <w:sz w:val="21"/>
              </w:rPr>
              <w:t>7、维修响应时间：中标人须提供24小时电话咨询服务。若产品出现故障，在接到报障电话后及时响应，48小时内远程解决；如无法远程解决，则需派工程技术人员上门维修，提供同类产品供采购人使用至故障产品能正常使用为止。如果需要更换配件的，更换的配件跟被更换的品牌、型号相一致或者是同类同档次的替代品。</w:t>
            </w:r>
          </w:p>
          <w:p w14:paraId="73F7ACFA">
            <w:pPr>
              <w:pStyle w:val="4"/>
              <w:jc w:val="left"/>
            </w:pPr>
            <w:r>
              <w:rPr>
                <w:rFonts w:ascii="仿宋_GB2312" w:hAnsi="仿宋_GB2312" w:eastAsia="仿宋_GB2312" w:cs="仿宋_GB2312"/>
                <w:color w:val="000000"/>
                <w:sz w:val="21"/>
              </w:rPr>
              <w:t>8、技术支持：有专职维修工程师和技术支持工程师，保证仪器的正常使用和技术咨询。7×24小时响应。</w:t>
            </w:r>
          </w:p>
          <w:p w14:paraId="57C728B1">
            <w:pPr>
              <w:pStyle w:val="4"/>
            </w:pPr>
            <w:r>
              <w:rPr>
                <w:rFonts w:ascii="仿宋_GB2312" w:hAnsi="仿宋_GB2312" w:eastAsia="仿宋_GB2312" w:cs="仿宋_GB2312"/>
                <w:color w:val="000000"/>
                <w:sz w:val="21"/>
              </w:rPr>
              <w:t>9、在保修期外,若设备发生故障供应商可提供优惠价格的维修服务。</w:t>
            </w:r>
          </w:p>
          <w:p w14:paraId="66B27D0C">
            <w:pPr>
              <w:pStyle w:val="4"/>
            </w:pPr>
            <w:r>
              <w:rPr>
                <w:rFonts w:ascii="仿宋_GB2312" w:hAnsi="仿宋_GB2312" w:eastAsia="仿宋_GB2312" w:cs="仿宋_GB2312"/>
                <w:color w:val="000000"/>
                <w:sz w:val="21"/>
              </w:rPr>
              <w:t>10、提供一次免费移机服务。</w:t>
            </w:r>
          </w:p>
        </w:tc>
      </w:tr>
      <w:tr w14:paraId="351C8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tcPr>
          <w:p w14:paraId="1A8F6110">
            <w:pPr>
              <w:pStyle w:val="4"/>
            </w:pPr>
            <w:r>
              <w:rPr>
                <w:rFonts w:ascii="仿宋_GB2312" w:hAnsi="仿宋_GB2312" w:eastAsia="仿宋_GB2312" w:cs="仿宋_GB2312"/>
              </w:rPr>
              <w:t>3</w:t>
            </w:r>
          </w:p>
        </w:tc>
        <w:tc>
          <w:tcPr>
            <w:tcW w:w="1250" w:type="dxa"/>
          </w:tcPr>
          <w:p w14:paraId="2A411AFE"/>
        </w:tc>
        <w:tc>
          <w:tcPr>
            <w:tcW w:w="6260" w:type="dxa"/>
          </w:tcPr>
          <w:p w14:paraId="70B613A8">
            <w:pPr>
              <w:pStyle w:val="4"/>
              <w:jc w:val="both"/>
            </w:pPr>
            <w:r>
              <w:rPr>
                <w:rFonts w:ascii="仿宋_GB2312" w:hAnsi="仿宋_GB2312" w:eastAsia="仿宋_GB2312" w:cs="仿宋_GB2312"/>
                <w:sz w:val="21"/>
              </w:rPr>
              <w:t>备注：</w:t>
            </w:r>
          </w:p>
          <w:p w14:paraId="503FAEBF">
            <w:pPr>
              <w:pStyle w:val="4"/>
            </w:pPr>
            <w:r>
              <w:rPr>
                <w:rFonts w:ascii="仿宋_GB2312" w:hAnsi="仿宋_GB2312" w:eastAsia="仿宋_GB2312" w:cs="仿宋_GB2312"/>
                <w:sz w:val="21"/>
              </w:rPr>
              <w:t>1.以上参数为实质性要求，供应商任意一项负偏离，响应文件按无效响应处理。</w:t>
            </w:r>
          </w:p>
          <w:p w14:paraId="1D80EFB9">
            <w:pPr>
              <w:pStyle w:val="4"/>
            </w:pPr>
            <w:r>
              <w:rPr>
                <w:rFonts w:ascii="仿宋_GB2312" w:hAnsi="仿宋_GB2312" w:eastAsia="仿宋_GB2312" w:cs="仿宋_GB2312"/>
                <w:sz w:val="21"/>
              </w:rPr>
              <w:t>2.标“★、▲”技术参数须提供相应的证明材料，不限于产品彩页、测试报告、官网和功能截图等技术支持性文件资料等，未提供或提供但无法佐证的按无效响应处理。</w:t>
            </w:r>
          </w:p>
        </w:tc>
      </w:tr>
    </w:tbl>
    <w:p w14:paraId="56BA8B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0654F"/>
    <w:rsid w:val="74A06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2026-02-11T08:43:00Z</dcterms:created>
  <dc:creator>张娜</dc:creator>
  <cp:lastModifiedBy>张娜</cp:lastModifiedBy>
  <dcterms:modified xsi:type="dcterms:W3CDTF">2026-02-11T08:43:20Z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9F890AC1203D4B9BB0FBF95E46814833_11</vt:lpwstr>
  </property>
  <property fmtid="{D5CDD505-2E9C-101B-9397-08002B2CF9AE}" pid="4" name="KSOTemplateDocerSaveRecord">
    <vt:lpwstr>eyJoZGlkIjoiYzA1MTFjMGE5NjMwY2U1ODU1MGFhN2UxMjk1NDdlZjEiLCJ1c2VySWQiOiI0NTE5NDQwNTQifQ==</vt:lpwstr>
  </property>
</Properties>
</file>