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F4C553">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：CGZC-2025-185</w:t>
      </w:r>
    </w:p>
    <w:p w14:paraId="0CA19C4D">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p>
    <w:p w14:paraId="206BC91F">
      <w:pPr>
        <w:pStyle w:val="16"/>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33825404">
      <w:pPr>
        <w:pStyle w:val="16"/>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4B573A51">
      <w:pPr>
        <w:rPr>
          <w:rFonts w:hint="eastAsia"/>
          <w:lang w:val="en-US" w:eastAsia="zh-CN"/>
        </w:rPr>
      </w:pPr>
    </w:p>
    <w:p w14:paraId="3EE69480">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年度干部员工健康体检服务</w:t>
      </w:r>
    </w:p>
    <w:p w14:paraId="0539D5EE">
      <w:pPr>
        <w:bidi w:val="0"/>
        <w:rPr>
          <w:rFonts w:hint="eastAsia"/>
        </w:rPr>
      </w:pPr>
    </w:p>
    <w:p w14:paraId="3A207CC1">
      <w:pPr>
        <w:bidi w:val="0"/>
        <w:rPr>
          <w:rFonts w:hint="eastAsia"/>
        </w:rPr>
      </w:pPr>
    </w:p>
    <w:p w14:paraId="5AAAE73F">
      <w:pPr>
        <w:bidi w:val="0"/>
        <w:rPr>
          <w:rFonts w:hint="eastAsia"/>
        </w:rPr>
      </w:pPr>
    </w:p>
    <w:p w14:paraId="28F89048">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5337"/>
      <w:bookmarkStart w:id="3" w:name="_Toc14588"/>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46D241F9">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D126605">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80DC6E9">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BBF2AF4">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D0C3C81">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12C782E">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ABC0B8B">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default" w:ascii="宋体" w:hAnsi="宋体" w:eastAsia="宋体" w:cs="宋体"/>
          <w:b/>
          <w:sz w:val="32"/>
          <w:szCs w:val="32"/>
          <w:highlight w:val="none"/>
          <w:lang w:val="en-US"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西安浐灞国际港组织人事部</w:t>
      </w:r>
    </w:p>
    <w:p w14:paraId="1E45D489">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003CA6DB">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六</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一</w:t>
      </w:r>
      <w:r>
        <w:rPr>
          <w:rFonts w:hint="eastAsia" w:ascii="宋体" w:hAnsi="宋体" w:eastAsia="宋体" w:cs="宋体"/>
          <w:b/>
          <w:sz w:val="32"/>
          <w:szCs w:val="32"/>
          <w:highlight w:val="none"/>
        </w:rPr>
        <w:t>月</w:t>
      </w:r>
      <w:bookmarkEnd w:id="9"/>
      <w:bookmarkEnd w:id="10"/>
    </w:p>
    <w:p w14:paraId="4B5840B9">
      <w:pPr>
        <w:spacing w:line="560" w:lineRule="exact"/>
        <w:jc w:val="center"/>
        <w:rPr>
          <w:rFonts w:hint="eastAsia" w:ascii="宋体" w:hAnsi="宋体" w:eastAsia="宋体" w:cs="宋体"/>
          <w:sz w:val="32"/>
          <w:szCs w:val="32"/>
        </w:rPr>
        <w:sectPr>
          <w:headerReference r:id="rId3" w:type="default"/>
          <w:headerReference r:id="rId4" w:type="even"/>
          <w:pgSz w:w="11906" w:h="16838"/>
          <w:pgMar w:top="1440" w:right="1083" w:bottom="1440" w:left="1519" w:header="851" w:footer="992" w:gutter="0"/>
          <w:cols w:space="425" w:num="1"/>
          <w:docGrid w:type="linesAndChars" w:linePitch="420" w:charSpace="0"/>
        </w:sectPr>
      </w:pPr>
    </w:p>
    <w:sdt>
      <w:sdtPr>
        <w:rPr>
          <w:rFonts w:hint="eastAsia" w:ascii="宋体" w:hAnsi="宋体" w:eastAsia="宋体" w:cs="宋体"/>
          <w:sz w:val="21"/>
          <w:szCs w:val="24"/>
          <w:lang w:val="en-US" w:eastAsia="zh-CN" w:bidi="ar-SA"/>
        </w:rPr>
        <w:id w:val="147470118"/>
        <w15:color w:val="DBDBDB"/>
        <w:docPartObj>
          <w:docPartGallery w:val="Table of Contents"/>
          <w:docPartUnique/>
        </w:docPartObj>
      </w:sdtPr>
      <w:sdtEndPr>
        <w:rPr>
          <w:rFonts w:hint="eastAsia" w:ascii="宋体" w:hAnsi="宋体" w:eastAsia="宋体" w:cs="宋体"/>
          <w:sz w:val="21"/>
          <w:szCs w:val="24"/>
          <w:lang w:val="en-US" w:eastAsia="zh-CN" w:bidi="ar-SA"/>
        </w:rPr>
      </w:sdtEndPr>
      <w:sdtContent>
        <w:p w14:paraId="0C4FC541">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61FAD4B2">
          <w:pPr>
            <w:pStyle w:val="22"/>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"1-1" \h \u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_Toc8543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_Toc8543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1</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592C4D82">
          <w:pPr>
            <w:pStyle w:val="22"/>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_Toc9510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第二章  供应商须知</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_Toc9510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5</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0F1FA320">
          <w:pPr>
            <w:pStyle w:val="22"/>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_Toc26456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_Toc26456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47</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7D1323E4">
          <w:pPr>
            <w:pStyle w:val="22"/>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_Toc5152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_Toc5152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55</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677E9FAC">
          <w:pPr>
            <w:pStyle w:val="22"/>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_Toc24544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第五章  投标文件构成及格式</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_Toc24544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64</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0A1021FF">
          <w:pPr>
            <w:spacing w:line="360" w:lineRule="auto"/>
            <w:rPr>
              <w:rFonts w:hint="eastAsia" w:ascii="宋体" w:hAnsi="宋体" w:eastAsia="宋体" w:cs="宋体"/>
            </w:rPr>
          </w:pPr>
          <w:r>
            <w:rPr>
              <w:rFonts w:hint="eastAsia" w:ascii="宋体" w:hAnsi="宋体" w:eastAsia="宋体" w:cs="宋体"/>
              <w:b/>
              <w:bCs/>
              <w:sz w:val="32"/>
              <w:szCs w:val="32"/>
            </w:rPr>
            <w:fldChar w:fldCharType="end"/>
          </w:r>
        </w:p>
      </w:sdtContent>
    </w:sdt>
    <w:p w14:paraId="25F3E53B">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425" w:num="1"/>
          <w:docGrid w:type="linesAndChars" w:linePitch="420" w:charSpace="0"/>
        </w:sectPr>
      </w:pPr>
      <w:bookmarkStart w:id="42" w:name="_GoBack"/>
      <w:bookmarkEnd w:id="42"/>
    </w:p>
    <w:p w14:paraId="337647D3">
      <w:pPr>
        <w:pStyle w:val="2"/>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55E29E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2DC3E0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年度干部员工健康体检服务招标项目的潜在投标人应在全国公共资源交易平台（陕西省·西安市）网站〖首页〉电子交易平台〉陕西政府采购交易系统〉企业端〗获取招标文件，并于2026年02月26日09时00分（北京时间）前递交投标文件。</w:t>
      </w:r>
    </w:p>
    <w:p w14:paraId="71E3A6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1BB6E8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项目编号：CGZC-2025-185</w:t>
      </w:r>
    </w:p>
    <w:p w14:paraId="2B0410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项目名称：年度干部员工健康体检服务</w:t>
      </w:r>
    </w:p>
    <w:p w14:paraId="4D51B4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2CACC1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预算金额：4,500,000.00元</w:t>
      </w:r>
    </w:p>
    <w:p w14:paraId="57D072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46CA3E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合同包1(年度干部员工健康体检服务):</w:t>
      </w:r>
    </w:p>
    <w:p w14:paraId="7C5EF8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合同包预算金额：4,500,000.00元</w:t>
      </w:r>
    </w:p>
    <w:p w14:paraId="78440E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合同包最高限价：4,500,000.00元</w:t>
      </w:r>
    </w:p>
    <w:tbl>
      <w:tblPr>
        <w:tblStyle w:val="29"/>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55"/>
        <w:gridCol w:w="1077"/>
        <w:gridCol w:w="2363"/>
        <w:gridCol w:w="1112"/>
        <w:gridCol w:w="1395"/>
        <w:gridCol w:w="1680"/>
        <w:gridCol w:w="1680"/>
      </w:tblGrid>
      <w:tr w14:paraId="3471C9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3DC1E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4"/>
                <w:szCs w:val="24"/>
                <w:highlight w:val="none"/>
              </w:rPr>
            </w:pPr>
            <w:r>
              <w:rPr>
                <w:rFonts w:ascii="宋体" w:hAnsi="宋体" w:eastAsia="宋体" w:cs="宋体"/>
                <w:b/>
                <w:bCs/>
                <w:kern w:val="0"/>
                <w:sz w:val="24"/>
                <w:szCs w:val="24"/>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8FBF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4"/>
                <w:szCs w:val="24"/>
                <w:highlight w:val="none"/>
              </w:rPr>
            </w:pPr>
            <w:r>
              <w:rPr>
                <w:rFonts w:ascii="宋体" w:hAnsi="宋体" w:eastAsia="宋体" w:cs="宋体"/>
                <w:b/>
                <w:bCs/>
                <w:kern w:val="0"/>
                <w:sz w:val="24"/>
                <w:szCs w:val="24"/>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B6DC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4"/>
                <w:szCs w:val="24"/>
                <w:highlight w:val="none"/>
              </w:rPr>
            </w:pPr>
            <w:r>
              <w:rPr>
                <w:rFonts w:ascii="宋体" w:hAnsi="宋体" w:eastAsia="宋体" w:cs="宋体"/>
                <w:b/>
                <w:bCs/>
                <w:kern w:val="0"/>
                <w:sz w:val="24"/>
                <w:szCs w:val="24"/>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CED9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4"/>
                <w:szCs w:val="24"/>
                <w:highlight w:val="none"/>
              </w:rPr>
            </w:pPr>
            <w:r>
              <w:rPr>
                <w:rFonts w:ascii="宋体" w:hAnsi="宋体" w:eastAsia="宋体" w:cs="宋体"/>
                <w:b/>
                <w:bCs/>
                <w:kern w:val="0"/>
                <w:sz w:val="24"/>
                <w:szCs w:val="24"/>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878B9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4"/>
                <w:szCs w:val="24"/>
                <w:highlight w:val="none"/>
              </w:rPr>
            </w:pPr>
            <w:r>
              <w:rPr>
                <w:rFonts w:ascii="宋体" w:hAnsi="宋体" w:eastAsia="宋体" w:cs="宋体"/>
                <w:b/>
                <w:bCs/>
                <w:kern w:val="0"/>
                <w:sz w:val="24"/>
                <w:szCs w:val="24"/>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DAFC2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4"/>
                <w:szCs w:val="24"/>
                <w:highlight w:val="none"/>
              </w:rPr>
            </w:pPr>
            <w:r>
              <w:rPr>
                <w:rFonts w:ascii="宋体" w:hAnsi="宋体" w:eastAsia="宋体" w:cs="宋体"/>
                <w:b/>
                <w:bCs/>
                <w:kern w:val="0"/>
                <w:sz w:val="24"/>
                <w:szCs w:val="24"/>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4DA8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4"/>
                <w:szCs w:val="24"/>
                <w:highlight w:val="none"/>
              </w:rPr>
            </w:pPr>
            <w:r>
              <w:rPr>
                <w:rFonts w:ascii="宋体" w:hAnsi="宋体" w:eastAsia="宋体" w:cs="宋体"/>
                <w:b/>
                <w:bCs/>
                <w:kern w:val="0"/>
                <w:sz w:val="24"/>
                <w:szCs w:val="24"/>
                <w:highlight w:val="none"/>
                <w:lang w:val="en-US" w:eastAsia="zh-CN" w:bidi="ar"/>
              </w:rPr>
              <w:t>最高限价(元)</w:t>
            </w:r>
          </w:p>
        </w:tc>
      </w:tr>
      <w:tr w14:paraId="659F37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482D8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4"/>
                <w:szCs w:val="24"/>
                <w:highlight w:val="none"/>
              </w:rPr>
            </w:pPr>
            <w:r>
              <w:rPr>
                <w:rFonts w:ascii="宋体" w:hAnsi="宋体" w:eastAsia="宋体" w:cs="宋体"/>
                <w:kern w:val="0"/>
                <w:sz w:val="24"/>
                <w:szCs w:val="24"/>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CF941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Theme="minorEastAsia"/>
                <w:sz w:val="24"/>
                <w:szCs w:val="24"/>
                <w:highlight w:val="none"/>
                <w:lang w:eastAsia="zh-CN"/>
              </w:rPr>
            </w:pPr>
            <w:r>
              <w:rPr>
                <w:rFonts w:hint="eastAsia"/>
                <w:sz w:val="24"/>
                <w:szCs w:val="24"/>
                <w:highlight w:val="none"/>
                <w:lang w:val="en-US" w:eastAsia="zh-CN"/>
              </w:rPr>
              <w:t>体检服务</w:t>
            </w:r>
          </w:p>
        </w:tc>
        <w:tc>
          <w:tcPr>
            <w:tcW w:w="12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9059C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4"/>
                <w:szCs w:val="24"/>
                <w:highlight w:val="none"/>
              </w:rPr>
            </w:pPr>
            <w:r>
              <w:rPr>
                <w:rFonts w:hint="eastAsia"/>
                <w:sz w:val="24"/>
                <w:szCs w:val="24"/>
                <w:highlight w:val="none"/>
                <w:lang w:val="en-US" w:eastAsia="zh-CN"/>
              </w:rPr>
              <w:t>年度干部员工健康体检服务</w:t>
            </w:r>
          </w:p>
        </w:tc>
        <w:tc>
          <w:tcPr>
            <w:tcW w:w="5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6073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4"/>
                <w:szCs w:val="24"/>
                <w:highlight w:val="none"/>
              </w:rPr>
            </w:pPr>
            <w:r>
              <w:rPr>
                <w:rFonts w:ascii="宋体" w:hAnsi="宋体" w:eastAsia="宋体" w:cs="宋体"/>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项</w:t>
            </w:r>
            <w:r>
              <w:rPr>
                <w:rFonts w:ascii="宋体" w:hAnsi="宋体" w:eastAsia="宋体" w:cs="宋体"/>
                <w:kern w:val="0"/>
                <w:sz w:val="24"/>
                <w:szCs w:val="24"/>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03403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4"/>
                <w:szCs w:val="24"/>
                <w:highlight w:val="none"/>
              </w:rPr>
            </w:pPr>
            <w:r>
              <w:rPr>
                <w:rFonts w:ascii="宋体" w:hAnsi="宋体" w:eastAsia="宋体" w:cs="宋体"/>
                <w:kern w:val="0"/>
                <w:sz w:val="24"/>
                <w:szCs w:val="24"/>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09C1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4,500,000.00</w:t>
            </w:r>
          </w:p>
        </w:tc>
        <w:tc>
          <w:tcPr>
            <w:tcW w:w="75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8175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4,500,000.00</w:t>
            </w:r>
          </w:p>
        </w:tc>
      </w:tr>
    </w:tbl>
    <w:p w14:paraId="4C65A2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5A45C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合同履行期限：自合同签订之日起至体检服务完成之日止。</w:t>
      </w:r>
    </w:p>
    <w:p w14:paraId="7D4336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65C108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13D4D2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47B6E6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合同包1(年度干部员工健康体检服务)落实政府采购政策需满足的资格要求如下:</w:t>
      </w:r>
    </w:p>
    <w:p w14:paraId="657F6F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5533B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CA735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D7F0E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E326D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C31F5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356B0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543A0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5DA00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B95A8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59EF6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7948D5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合同包1(年度干部员工健康体检服务)特定资格要求如下:</w:t>
      </w:r>
    </w:p>
    <w:p w14:paraId="3A270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8A098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E5D6C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6DFCD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F3505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5）供应商应具备有效的《医疗机构执业许可证》和《放射诊疗许可证》。</w:t>
      </w:r>
    </w:p>
    <w:p w14:paraId="251E0B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643CEC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时间：2026年01月31日至2026年02月06日，每天上午00:00:00至12:00:00，下午12:00:00至23:59:59（北京时间）</w:t>
      </w:r>
    </w:p>
    <w:p w14:paraId="5DE42E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3FD6E4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20D14A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26482E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38321F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时间：2026年02月26日09时00分00秒（北京时间）</w:t>
      </w:r>
    </w:p>
    <w:p w14:paraId="3B25B1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46EB6E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37A99C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3897D8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7A9B7F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333265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48458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29AB73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006FB9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6565AF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33F838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5F4259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683403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6431BD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618360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49462E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099228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名称：西安浐灞国际港组织人事部</w:t>
      </w:r>
    </w:p>
    <w:p w14:paraId="1768B2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地址：西安市浐灞国际港港务大道6号</w:t>
      </w:r>
    </w:p>
    <w:p w14:paraId="4B75D2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联系方式：谭老师 029-83332138</w:t>
      </w:r>
    </w:p>
    <w:p w14:paraId="6BB6F8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44556D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332075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12FF05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3D8090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6C5A9E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411A88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0604FD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72820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sz w:val="32"/>
          <w:szCs w:val="32"/>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2026年01月30日</w:t>
      </w:r>
      <w:r>
        <w:rPr>
          <w:rFonts w:hint="eastAsia" w:ascii="宋体" w:hAnsi="宋体" w:eastAsia="宋体" w:cs="宋体"/>
          <w:sz w:val="32"/>
          <w:szCs w:val="32"/>
        </w:rPr>
        <w:br w:type="page"/>
      </w:r>
    </w:p>
    <w:p w14:paraId="65EE8AB0">
      <w:pPr>
        <w:pStyle w:val="2"/>
        <w:spacing w:line="240" w:lineRule="auto"/>
        <w:rPr>
          <w:rFonts w:hint="eastAsia" w:ascii="宋体" w:hAnsi="宋体" w:eastAsia="宋体" w:cs="宋体"/>
          <w:b/>
          <w:bCs/>
          <w:sz w:val="32"/>
          <w:szCs w:val="32"/>
        </w:rPr>
      </w:pPr>
      <w:bookmarkStart w:id="12" w:name="_Toc9510"/>
      <w:bookmarkStart w:id="13" w:name="_Toc6230"/>
      <w:r>
        <w:rPr>
          <w:rFonts w:hint="eastAsia" w:ascii="宋体" w:hAnsi="宋体" w:eastAsia="宋体" w:cs="宋体"/>
          <w:b/>
          <w:bCs/>
          <w:sz w:val="32"/>
          <w:szCs w:val="32"/>
        </w:rPr>
        <w:t>第二章  供应商须知</w:t>
      </w:r>
      <w:bookmarkEnd w:id="12"/>
      <w:bookmarkEnd w:id="13"/>
    </w:p>
    <w:p w14:paraId="2C3462E7">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30"/>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84"/>
        <w:gridCol w:w="1695"/>
        <w:gridCol w:w="7871"/>
      </w:tblGrid>
      <w:tr w14:paraId="47C21F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tcBorders>
              <w:top w:val="single" w:color="auto" w:sz="12" w:space="0"/>
              <w:bottom w:val="single" w:color="auto" w:sz="2" w:space="0"/>
            </w:tcBorders>
            <w:shd w:val="clear" w:color="auto" w:fill="auto"/>
            <w:vAlign w:val="center"/>
          </w:tcPr>
          <w:p w14:paraId="5908E1A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43" w:type="pct"/>
            <w:tcBorders>
              <w:top w:val="single" w:color="auto" w:sz="12" w:space="0"/>
              <w:bottom w:val="single" w:color="auto" w:sz="2" w:space="0"/>
            </w:tcBorders>
            <w:shd w:val="clear" w:color="auto" w:fill="auto"/>
            <w:vAlign w:val="center"/>
          </w:tcPr>
          <w:p w14:paraId="36702BE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15" w:type="pct"/>
            <w:tcBorders>
              <w:top w:val="single" w:color="auto" w:sz="12" w:space="0"/>
              <w:bottom w:val="single" w:color="auto" w:sz="2" w:space="0"/>
            </w:tcBorders>
            <w:shd w:val="clear" w:color="auto" w:fill="auto"/>
            <w:vAlign w:val="center"/>
          </w:tcPr>
          <w:p w14:paraId="226B3C2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6A5158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tcBorders>
              <w:top w:val="single" w:color="auto" w:sz="2" w:space="0"/>
            </w:tcBorders>
            <w:shd w:val="clear" w:color="auto" w:fill="auto"/>
            <w:vAlign w:val="center"/>
          </w:tcPr>
          <w:p w14:paraId="64AAC69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43" w:type="pct"/>
            <w:tcBorders>
              <w:top w:val="single" w:color="auto" w:sz="2" w:space="0"/>
            </w:tcBorders>
            <w:shd w:val="clear" w:color="auto" w:fill="auto"/>
            <w:vAlign w:val="center"/>
          </w:tcPr>
          <w:p w14:paraId="23D7D2D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15" w:type="pct"/>
            <w:tcBorders>
              <w:top w:val="single" w:color="auto" w:sz="2" w:space="0"/>
            </w:tcBorders>
            <w:shd w:val="clear" w:color="auto" w:fill="auto"/>
            <w:vAlign w:val="center"/>
          </w:tcPr>
          <w:p w14:paraId="00CA568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年度干部员工健康体检服务</w:t>
            </w:r>
          </w:p>
        </w:tc>
      </w:tr>
      <w:tr w14:paraId="6821D1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1" w:type="pct"/>
            <w:shd w:val="clear" w:color="auto" w:fill="auto"/>
            <w:vAlign w:val="center"/>
          </w:tcPr>
          <w:p w14:paraId="7B321D9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43" w:type="pct"/>
            <w:shd w:val="clear" w:color="auto" w:fill="auto"/>
            <w:vAlign w:val="center"/>
          </w:tcPr>
          <w:p w14:paraId="69637BD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15" w:type="pct"/>
            <w:shd w:val="clear" w:color="auto" w:fill="auto"/>
            <w:vAlign w:val="center"/>
          </w:tcPr>
          <w:p w14:paraId="08E073A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CGZC-2025-185</w:t>
            </w:r>
          </w:p>
        </w:tc>
      </w:tr>
      <w:tr w14:paraId="2B544D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1" w:hRule="atLeast"/>
          <w:jc w:val="center"/>
        </w:trPr>
        <w:tc>
          <w:tcPr>
            <w:tcW w:w="241" w:type="pct"/>
            <w:shd w:val="clear" w:color="auto" w:fill="auto"/>
            <w:vAlign w:val="center"/>
          </w:tcPr>
          <w:p w14:paraId="215FEE2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43" w:type="pct"/>
            <w:shd w:val="clear" w:color="auto" w:fill="auto"/>
            <w:vAlign w:val="center"/>
          </w:tcPr>
          <w:p w14:paraId="6799F5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5" w:type="pct"/>
            <w:shd w:val="clear" w:color="auto" w:fill="auto"/>
            <w:vAlign w:val="center"/>
          </w:tcPr>
          <w:p w14:paraId="54954F1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YS-浐灞国际港-2026-00007</w:t>
            </w:r>
          </w:p>
        </w:tc>
      </w:tr>
      <w:tr w14:paraId="750AB3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vMerge w:val="restart"/>
            <w:shd w:val="clear" w:color="auto" w:fill="auto"/>
            <w:vAlign w:val="center"/>
          </w:tcPr>
          <w:p w14:paraId="4DE97D1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43" w:type="pct"/>
            <w:shd w:val="clear" w:color="auto" w:fill="auto"/>
            <w:vAlign w:val="center"/>
          </w:tcPr>
          <w:p w14:paraId="357300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5" w:type="pct"/>
            <w:shd w:val="clear" w:color="auto" w:fill="auto"/>
            <w:vAlign w:val="center"/>
          </w:tcPr>
          <w:p w14:paraId="72F636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2139916130"/>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MS Gothic" w:hAnsi="MS Gothic"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2072024220"/>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MS Gothic" w:hAnsi="MS Gothic"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5172C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vMerge w:val="continue"/>
            <w:shd w:val="clear" w:color="auto" w:fill="auto"/>
            <w:vAlign w:val="center"/>
          </w:tcPr>
          <w:p w14:paraId="6A42D2D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shd w:val="clear" w:color="auto" w:fill="auto"/>
            <w:vAlign w:val="center"/>
          </w:tcPr>
          <w:p w14:paraId="0915D3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15" w:type="pct"/>
            <w:shd w:val="clear" w:color="auto" w:fill="auto"/>
            <w:vAlign w:val="center"/>
          </w:tcPr>
          <w:p w14:paraId="127ECC4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5D2D7F8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w:t>
            </w:r>
            <w:r>
              <w:rPr>
                <w:rFonts w:hint="eastAsia" w:ascii="宋体" w:hAnsi="宋体" w:eastAsia="宋体" w:cs="宋体"/>
                <w:b/>
                <w:bCs/>
                <w:sz w:val="24"/>
                <w:szCs w:val="24"/>
                <w:lang w:val="en-US" w:eastAsia="zh-CN"/>
              </w:rPr>
              <w:t>不</w:t>
            </w:r>
            <w:r>
              <w:rPr>
                <w:rFonts w:hint="eastAsia" w:ascii="宋体" w:hAnsi="宋体" w:eastAsia="宋体" w:cs="宋体"/>
                <w:b/>
                <w:bCs/>
                <w:sz w:val="24"/>
                <w:szCs w:val="24"/>
                <w:lang w:eastAsia="zh-CN"/>
              </w:rPr>
              <w:t>专门面向中小企</w:t>
            </w:r>
            <w:r>
              <w:rPr>
                <w:rFonts w:hint="eastAsia" w:ascii="宋体" w:hAnsi="宋体" w:eastAsia="宋体" w:cs="宋体"/>
                <w:b/>
                <w:bCs/>
                <w:sz w:val="24"/>
                <w:szCs w:val="24"/>
                <w:highlight w:val="none"/>
                <w:lang w:eastAsia="zh-CN"/>
              </w:rPr>
              <w:t>业采购，本项目所属行业为：其它未列明行业。</w:t>
            </w:r>
          </w:p>
        </w:tc>
      </w:tr>
      <w:tr w14:paraId="74450D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vMerge w:val="continue"/>
            <w:shd w:val="clear" w:color="auto" w:fill="auto"/>
            <w:vAlign w:val="center"/>
          </w:tcPr>
          <w:p w14:paraId="4BDDE7F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shd w:val="clear" w:color="auto" w:fill="auto"/>
            <w:vAlign w:val="center"/>
          </w:tcPr>
          <w:p w14:paraId="71C1324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15" w:type="pct"/>
            <w:shd w:val="clear" w:color="auto" w:fill="auto"/>
            <w:vAlign w:val="center"/>
          </w:tcPr>
          <w:p w14:paraId="6E5862F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p>
        </w:tc>
      </w:tr>
      <w:tr w14:paraId="5F516E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vMerge w:val="continue"/>
            <w:shd w:val="clear" w:color="auto" w:fill="auto"/>
            <w:vAlign w:val="center"/>
          </w:tcPr>
          <w:p w14:paraId="7F51E7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shd w:val="clear" w:color="auto" w:fill="auto"/>
            <w:vAlign w:val="center"/>
          </w:tcPr>
          <w:p w14:paraId="43464F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15" w:type="pct"/>
            <w:shd w:val="clear" w:color="auto" w:fill="auto"/>
            <w:vAlign w:val="center"/>
          </w:tcPr>
          <w:p w14:paraId="1CEE23F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0DEB47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vMerge w:val="continue"/>
            <w:shd w:val="clear" w:color="auto" w:fill="auto"/>
            <w:vAlign w:val="center"/>
          </w:tcPr>
          <w:p w14:paraId="5D6A93A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shd w:val="clear" w:color="auto" w:fill="auto"/>
            <w:vAlign w:val="center"/>
          </w:tcPr>
          <w:p w14:paraId="3303B31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15" w:type="pct"/>
            <w:shd w:val="clear" w:color="auto" w:fill="auto"/>
            <w:vAlign w:val="center"/>
          </w:tcPr>
          <w:p w14:paraId="0C73F1A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786DAF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10C5D92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43" w:type="pct"/>
            <w:shd w:val="clear" w:color="auto" w:fill="auto"/>
            <w:vAlign w:val="center"/>
          </w:tcPr>
          <w:p w14:paraId="13D7EC7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5" w:type="pct"/>
            <w:shd w:val="clear" w:color="auto" w:fill="auto"/>
            <w:vAlign w:val="center"/>
          </w:tcPr>
          <w:p w14:paraId="7FB3A8C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500</w:t>
            </w:r>
            <w:r>
              <w:rPr>
                <w:rFonts w:hint="eastAsia" w:ascii="宋体" w:hAnsi="宋体" w:eastAsia="宋体" w:cs="宋体"/>
                <w:sz w:val="24"/>
                <w:szCs w:val="24"/>
                <w:highlight w:val="none"/>
                <w:lang w:eastAsia="zh-CN"/>
              </w:rPr>
              <w:t>,000.00</w:t>
            </w:r>
            <w:r>
              <w:rPr>
                <w:rFonts w:hint="eastAsia" w:ascii="宋体" w:hAnsi="宋体" w:eastAsia="宋体" w:cs="宋体"/>
                <w:sz w:val="24"/>
                <w:szCs w:val="24"/>
                <w:highlight w:val="none"/>
              </w:rPr>
              <w:t>元</w:t>
            </w:r>
          </w:p>
          <w:p w14:paraId="629A1199">
            <w:pPr>
              <w:pStyle w:val="16"/>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2.最高限价：4,500,000.00元</w:t>
            </w:r>
          </w:p>
          <w:p w14:paraId="6249B20E">
            <w:pPr>
              <w:pStyle w:val="16"/>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252378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71773D3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843" w:type="pct"/>
            <w:shd w:val="clear" w:color="auto" w:fill="auto"/>
            <w:vAlign w:val="center"/>
          </w:tcPr>
          <w:p w14:paraId="5B5EAF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5" w:type="pct"/>
            <w:shd w:val="clear" w:color="auto" w:fill="auto"/>
            <w:vAlign w:val="center"/>
          </w:tcPr>
          <w:p w14:paraId="3040DD73">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sdt>
              <w:sdtPr>
                <w:rPr>
                  <w:rFonts w:hint="eastAsia" w:ascii="宋体" w:hAnsi="宋体" w:eastAsia="宋体" w:cs="宋体"/>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56F08A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425A8B9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843" w:type="pct"/>
            <w:shd w:val="clear" w:color="auto" w:fill="auto"/>
            <w:vAlign w:val="center"/>
          </w:tcPr>
          <w:p w14:paraId="2C7971E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5" w:type="pct"/>
            <w:shd w:val="clear" w:color="auto" w:fill="auto"/>
            <w:vAlign w:val="center"/>
          </w:tcPr>
          <w:p w14:paraId="029D75EF">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sdt>
              <w:sdtPr>
                <w:rPr>
                  <w:rFonts w:hint="eastAsia" w:ascii="宋体" w:hAnsi="宋体" w:eastAsia="宋体" w:cs="宋体"/>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21B032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023E8DA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843" w:type="pct"/>
            <w:shd w:val="clear" w:color="auto" w:fill="auto"/>
            <w:vAlign w:val="center"/>
          </w:tcPr>
          <w:p w14:paraId="3E18F12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5" w:type="pct"/>
            <w:shd w:val="clear" w:color="auto" w:fill="auto"/>
            <w:vAlign w:val="center"/>
          </w:tcPr>
          <w:p w14:paraId="4814F5AE">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sdt>
              <w:sdtPr>
                <w:rPr>
                  <w:rFonts w:hint="eastAsia" w:ascii="宋体" w:hAnsi="宋体" w:eastAsia="宋体" w:cs="宋体"/>
                  <w:sz w:val="24"/>
                  <w:szCs w:val="24"/>
                  <w:highlight w:val="none"/>
                </w:rPr>
                <w:id w:val="36572508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54473539"/>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1AB1D0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163AFC4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843" w:type="pct"/>
            <w:shd w:val="clear" w:color="auto" w:fill="auto"/>
            <w:vAlign w:val="center"/>
          </w:tcPr>
          <w:p w14:paraId="4152FE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5" w:type="pct"/>
            <w:shd w:val="clear" w:color="auto" w:fill="auto"/>
            <w:vAlign w:val="center"/>
          </w:tcPr>
          <w:p w14:paraId="032895B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年度干部员工健康体检服务</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58C68C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0C2BCB7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843" w:type="pct"/>
            <w:shd w:val="clear" w:color="auto" w:fill="auto"/>
            <w:vAlign w:val="center"/>
          </w:tcPr>
          <w:p w14:paraId="0B02D7E3">
            <w:pPr>
              <w:pStyle w:val="17"/>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5" w:type="pct"/>
            <w:shd w:val="clear" w:color="auto" w:fill="auto"/>
            <w:vAlign w:val="center"/>
          </w:tcPr>
          <w:p w14:paraId="18405884">
            <w:pPr>
              <w:pStyle w:val="17"/>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自合同签订之日起至体检服务完成之日止。</w:t>
            </w:r>
          </w:p>
        </w:tc>
      </w:tr>
      <w:tr w14:paraId="70718B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07696F3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11</w:t>
            </w:r>
          </w:p>
        </w:tc>
        <w:tc>
          <w:tcPr>
            <w:tcW w:w="843" w:type="pct"/>
            <w:shd w:val="clear" w:color="auto" w:fill="auto"/>
            <w:vAlign w:val="center"/>
          </w:tcPr>
          <w:p w14:paraId="462A8E95">
            <w:pPr>
              <w:pStyle w:val="17"/>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体检报告完成期限</w:t>
            </w:r>
          </w:p>
        </w:tc>
        <w:tc>
          <w:tcPr>
            <w:tcW w:w="3915" w:type="pct"/>
            <w:shd w:val="clear" w:color="auto" w:fill="auto"/>
            <w:vAlign w:val="center"/>
          </w:tcPr>
          <w:p w14:paraId="5A16BD0E">
            <w:pPr>
              <w:pStyle w:val="17"/>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体检结束后15日历日内，向采购人提交体检报告；</w:t>
            </w:r>
          </w:p>
        </w:tc>
      </w:tr>
      <w:tr w14:paraId="732438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41343D4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12</w:t>
            </w:r>
          </w:p>
        </w:tc>
        <w:tc>
          <w:tcPr>
            <w:tcW w:w="843" w:type="pct"/>
            <w:shd w:val="clear" w:color="auto" w:fill="auto"/>
            <w:vAlign w:val="center"/>
          </w:tcPr>
          <w:p w14:paraId="281DCD7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5" w:type="pct"/>
            <w:shd w:val="clear" w:color="auto" w:fill="auto"/>
            <w:vAlign w:val="center"/>
          </w:tcPr>
          <w:p w14:paraId="77DEA2FF">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268375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1635347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color w:val="auto"/>
                <w:sz w:val="24"/>
                <w:szCs w:val="24"/>
                <w:lang w:val="en-US" w:eastAsia="zh-CN"/>
              </w:rPr>
              <w:t>13</w:t>
            </w:r>
          </w:p>
        </w:tc>
        <w:tc>
          <w:tcPr>
            <w:tcW w:w="843" w:type="pct"/>
            <w:shd w:val="clear" w:color="auto" w:fill="auto"/>
            <w:vAlign w:val="center"/>
          </w:tcPr>
          <w:p w14:paraId="56340CB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5" w:type="pct"/>
            <w:shd w:val="clear" w:color="auto" w:fill="auto"/>
            <w:vAlign w:val="center"/>
          </w:tcPr>
          <w:p w14:paraId="758228CD">
            <w:pPr>
              <w:keepNext w:val="0"/>
              <w:keepLines w:val="0"/>
              <w:pageBreakBefore w:val="0"/>
              <w:kinsoku/>
              <w:wordWrap/>
              <w:overflowPunct/>
              <w:topLinePunct w:val="0"/>
              <w:autoSpaceDE/>
              <w:autoSpaceDN/>
              <w:bidi w:val="0"/>
              <w:adjustRightInd/>
              <w:snapToGrid w:val="0"/>
              <w:spacing w:line="312" w:lineRule="auto"/>
              <w:jc w:val="left"/>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符合国家及行业有关现行规范、标准的要求。</w:t>
            </w:r>
          </w:p>
        </w:tc>
      </w:tr>
      <w:tr w14:paraId="7C64BF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1390EEF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843" w:type="pct"/>
            <w:shd w:val="clear" w:color="auto" w:fill="auto"/>
            <w:vAlign w:val="center"/>
          </w:tcPr>
          <w:p w14:paraId="3D0B959E">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5" w:type="pct"/>
            <w:shd w:val="clear" w:color="auto" w:fill="auto"/>
            <w:vAlign w:val="center"/>
          </w:tcPr>
          <w:p w14:paraId="484D6F4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right="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34E22DF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470E4E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全部体检完成并出具专业的体检报告，经采购人确定供应商无违约行为后据实结算并支付。</w:t>
            </w:r>
          </w:p>
          <w:p w14:paraId="7DBEBBE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right="0" w:firstLine="480" w:firstLineChars="20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注：供应商应向采购人出具符合国家财税规定的增值税发票，否则采购人有权延迟履行付款义务。如因供应商缘故（如开具增值税发票延误等）导致采购人无法按时付款，采购人不承担违约责任。如遇突发事件，付款日期则以实际付款日期为准。</w:t>
            </w:r>
          </w:p>
        </w:tc>
      </w:tr>
      <w:tr w14:paraId="18467A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0955203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15</w:t>
            </w:r>
          </w:p>
        </w:tc>
        <w:tc>
          <w:tcPr>
            <w:tcW w:w="843" w:type="pct"/>
            <w:shd w:val="clear" w:color="auto" w:fill="auto"/>
            <w:vAlign w:val="center"/>
          </w:tcPr>
          <w:p w14:paraId="5EA196B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5" w:type="pct"/>
            <w:shd w:val="clear" w:color="auto" w:fill="auto"/>
            <w:vAlign w:val="center"/>
          </w:tcPr>
          <w:p w14:paraId="2AEF24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284695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2EDECD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D5DDA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7BA677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5.供应商应具备有效的《医疗机构执业许可证》和《放射诊疗许可证》。</w:t>
            </w:r>
          </w:p>
        </w:tc>
      </w:tr>
      <w:tr w14:paraId="51A8BB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575085F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16</w:t>
            </w:r>
          </w:p>
        </w:tc>
        <w:tc>
          <w:tcPr>
            <w:tcW w:w="843" w:type="pct"/>
            <w:shd w:val="clear" w:color="auto" w:fill="auto"/>
            <w:vAlign w:val="center"/>
          </w:tcPr>
          <w:p w14:paraId="5A0DB74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15" w:type="pct"/>
            <w:shd w:val="clear" w:color="auto" w:fill="auto"/>
            <w:vAlign w:val="center"/>
          </w:tcPr>
          <w:p w14:paraId="12BC0BDA">
            <w:pPr>
              <w:keepNext w:val="0"/>
              <w:keepLines w:val="0"/>
              <w:pageBreakBefore w:val="0"/>
              <w:kinsoku/>
              <w:wordWrap/>
              <w:overflowPunct/>
              <w:topLinePunct w:val="0"/>
              <w:autoSpaceDE/>
              <w:autoSpaceDN/>
              <w:bidi w:val="0"/>
              <w:adjustRightInd/>
              <w:snapToGrid w:val="0"/>
              <w:spacing w:line="312" w:lineRule="auto"/>
              <w:jc w:val="both"/>
              <w:rPr>
                <w:rFonts w:hint="eastAsia"/>
                <w:lang w:val="en-US" w:eastAsia="zh-CN"/>
              </w:rPr>
            </w:pPr>
            <w:r>
              <w:rPr>
                <w:rFonts w:hint="eastAsia" w:ascii="宋体" w:hAnsi="宋体" w:eastAsia="宋体" w:cs="宋体"/>
                <w:sz w:val="24"/>
                <w:szCs w:val="24"/>
                <w:lang w:eastAsia="zh-CN"/>
              </w:rPr>
              <w:t>无</w:t>
            </w:r>
          </w:p>
        </w:tc>
      </w:tr>
      <w:tr w14:paraId="208258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4A8AE2A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17</w:t>
            </w:r>
          </w:p>
        </w:tc>
        <w:tc>
          <w:tcPr>
            <w:tcW w:w="843" w:type="pct"/>
            <w:shd w:val="clear" w:color="auto" w:fill="auto"/>
            <w:vAlign w:val="center"/>
          </w:tcPr>
          <w:p w14:paraId="4F8416B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rPr>
              <w:t>履约保证金</w:t>
            </w:r>
          </w:p>
        </w:tc>
        <w:tc>
          <w:tcPr>
            <w:tcW w:w="3915" w:type="pct"/>
            <w:shd w:val="clear" w:color="auto" w:fill="auto"/>
            <w:vAlign w:val="center"/>
          </w:tcPr>
          <w:p w14:paraId="135A21C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0917136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68797FE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11FA158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6FA9055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77D756D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6B665EE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77131D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60A654B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18</w:t>
            </w:r>
          </w:p>
        </w:tc>
        <w:tc>
          <w:tcPr>
            <w:tcW w:w="843" w:type="pct"/>
            <w:shd w:val="clear" w:color="auto" w:fill="auto"/>
            <w:vAlign w:val="center"/>
          </w:tcPr>
          <w:p w14:paraId="701913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投标文件份数</w:t>
            </w:r>
          </w:p>
        </w:tc>
        <w:tc>
          <w:tcPr>
            <w:tcW w:w="3915" w:type="pct"/>
            <w:shd w:val="clear" w:color="auto" w:fill="auto"/>
            <w:vAlign w:val="center"/>
          </w:tcPr>
          <w:p w14:paraId="10DDEF8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1C4C2A6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b/>
                <w:bCs/>
                <w:sz w:val="24"/>
                <w:szCs w:val="24"/>
              </w:rPr>
              <w:t>中标供应商在领取中标通知书时</w:t>
            </w:r>
            <w:r>
              <w:rPr>
                <w:rFonts w:hint="eastAsia" w:ascii="宋体" w:hAnsi="宋体" w:eastAsia="宋体" w:cs="宋体"/>
                <w:b/>
                <w:bCs/>
                <w:sz w:val="24"/>
                <w:szCs w:val="24"/>
                <w:lang w:eastAsia="zh-CN"/>
              </w:rPr>
              <w:t>提供</w:t>
            </w:r>
            <w:r>
              <w:rPr>
                <w:rFonts w:hint="eastAsia" w:ascii="宋体" w:hAnsi="宋体" w:eastAsia="宋体" w:cs="宋体"/>
                <w:b/>
                <w:bCs/>
                <w:sz w:val="24"/>
                <w:szCs w:val="24"/>
                <w:highlight w:val="none"/>
              </w:rPr>
              <w:t>正本壹份、副本贰份，电子版壹份</w:t>
            </w:r>
            <w:r>
              <w:rPr>
                <w:rFonts w:hint="eastAsia" w:ascii="宋体" w:hAnsi="宋体" w:eastAsia="宋体" w:cs="宋体"/>
                <w:b/>
                <w:bCs/>
                <w:sz w:val="24"/>
                <w:szCs w:val="24"/>
                <w:highlight w:val="none"/>
                <w:lang w:eastAsia="zh-CN"/>
              </w:rPr>
              <w:t>。</w:t>
            </w:r>
          </w:p>
        </w:tc>
      </w:tr>
      <w:tr w14:paraId="491E51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676E13A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19</w:t>
            </w:r>
          </w:p>
        </w:tc>
        <w:tc>
          <w:tcPr>
            <w:tcW w:w="843" w:type="pct"/>
            <w:shd w:val="clear" w:color="auto" w:fill="auto"/>
            <w:vAlign w:val="center"/>
          </w:tcPr>
          <w:p w14:paraId="3D51ED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green"/>
                <w:lang w:eastAsia="zh-CN"/>
              </w:rPr>
            </w:pPr>
            <w:r>
              <w:rPr>
                <w:rFonts w:hint="eastAsia" w:ascii="宋体" w:hAnsi="宋体" w:eastAsia="宋体" w:cs="宋体"/>
                <w:sz w:val="24"/>
                <w:szCs w:val="24"/>
              </w:rPr>
              <w:t>现场踏勘和集中答疑</w:t>
            </w:r>
          </w:p>
        </w:tc>
        <w:tc>
          <w:tcPr>
            <w:tcW w:w="3915" w:type="pct"/>
            <w:shd w:val="clear" w:color="auto" w:fill="auto"/>
            <w:vAlign w:val="center"/>
          </w:tcPr>
          <w:p w14:paraId="2A3E256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lang w:eastAsia="zh-CN"/>
              </w:rPr>
              <w:t>不统一组织</w:t>
            </w:r>
          </w:p>
        </w:tc>
      </w:tr>
      <w:tr w14:paraId="4E6A7C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01FDA2A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20</w:t>
            </w:r>
          </w:p>
        </w:tc>
        <w:tc>
          <w:tcPr>
            <w:tcW w:w="843" w:type="pct"/>
            <w:shd w:val="clear" w:color="auto" w:fill="auto"/>
            <w:vAlign w:val="center"/>
          </w:tcPr>
          <w:p w14:paraId="3B6595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7D3844C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15" w:type="pct"/>
            <w:shd w:val="clear" w:color="auto" w:fill="auto"/>
            <w:vAlign w:val="center"/>
          </w:tcPr>
          <w:p w14:paraId="33A0E32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6ABC8C8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2B4CFB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202DC5C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21</w:t>
            </w:r>
          </w:p>
        </w:tc>
        <w:tc>
          <w:tcPr>
            <w:tcW w:w="843" w:type="pct"/>
            <w:shd w:val="clear" w:color="auto" w:fill="auto"/>
            <w:vAlign w:val="center"/>
          </w:tcPr>
          <w:p w14:paraId="42CE63F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15" w:type="pct"/>
            <w:shd w:val="clear" w:color="auto" w:fill="auto"/>
            <w:vAlign w:val="center"/>
          </w:tcPr>
          <w:p w14:paraId="22AA87FD">
            <w:pPr>
              <w:keepNext w:val="0"/>
              <w:keepLines w:val="0"/>
              <w:pageBreakBefore w:val="0"/>
              <w:kinsoku/>
              <w:wordWrap/>
              <w:overflowPunct/>
              <w:topLinePunct w:val="0"/>
              <w:autoSpaceDE/>
              <w:autoSpaceDN/>
              <w:bidi w:val="0"/>
              <w:adjustRightInd/>
              <w:snapToGrid w:val="0"/>
              <w:spacing w:line="312" w:lineRule="auto"/>
              <w:jc w:val="both"/>
              <w:rPr>
                <w:rFonts w:hint="eastAsia" w:eastAsia="宋体"/>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236A33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0D7A153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22</w:t>
            </w:r>
          </w:p>
        </w:tc>
        <w:tc>
          <w:tcPr>
            <w:tcW w:w="843" w:type="pct"/>
            <w:shd w:val="clear" w:color="auto" w:fill="auto"/>
            <w:vAlign w:val="center"/>
          </w:tcPr>
          <w:p w14:paraId="002D566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5" w:type="pct"/>
            <w:shd w:val="clear" w:color="auto" w:fill="auto"/>
            <w:vAlign w:val="center"/>
          </w:tcPr>
          <w:p w14:paraId="612F12D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7FD317B4">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290E316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1641ED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6AC3A13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23</w:t>
            </w:r>
          </w:p>
        </w:tc>
        <w:tc>
          <w:tcPr>
            <w:tcW w:w="843" w:type="pct"/>
            <w:shd w:val="clear" w:color="auto" w:fill="auto"/>
            <w:vAlign w:val="center"/>
          </w:tcPr>
          <w:p w14:paraId="1289269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15" w:type="pct"/>
            <w:shd w:val="clear" w:color="auto" w:fill="auto"/>
            <w:vAlign w:val="center"/>
          </w:tcPr>
          <w:p w14:paraId="0905D7E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同提交投标文件截止时间</w:t>
            </w:r>
          </w:p>
        </w:tc>
      </w:tr>
      <w:tr w14:paraId="5D2CFE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1FEE690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24</w:t>
            </w:r>
          </w:p>
        </w:tc>
        <w:tc>
          <w:tcPr>
            <w:tcW w:w="843" w:type="pct"/>
            <w:shd w:val="clear" w:color="auto" w:fill="auto"/>
            <w:vAlign w:val="center"/>
          </w:tcPr>
          <w:p w14:paraId="326D50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15" w:type="pct"/>
            <w:shd w:val="clear" w:color="auto" w:fill="auto"/>
            <w:vAlign w:val="center"/>
          </w:tcPr>
          <w:p w14:paraId="25E616A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14:paraId="26D7F05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详见本章“开标程序”有关内容。</w:t>
            </w:r>
          </w:p>
        </w:tc>
      </w:tr>
      <w:tr w14:paraId="07F38B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750A324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843" w:type="pct"/>
            <w:shd w:val="clear" w:color="auto" w:fill="auto"/>
            <w:vAlign w:val="center"/>
          </w:tcPr>
          <w:p w14:paraId="008C0A3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15" w:type="pct"/>
            <w:shd w:val="clear" w:color="auto" w:fill="auto"/>
            <w:vAlign w:val="center"/>
          </w:tcPr>
          <w:p w14:paraId="7D1EC40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1A80F8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16FF17F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26</w:t>
            </w:r>
          </w:p>
        </w:tc>
        <w:tc>
          <w:tcPr>
            <w:tcW w:w="843" w:type="pct"/>
            <w:shd w:val="clear" w:color="auto" w:fill="auto"/>
            <w:vAlign w:val="center"/>
          </w:tcPr>
          <w:p w14:paraId="3A03946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中标通知书</w:t>
            </w:r>
          </w:p>
        </w:tc>
        <w:tc>
          <w:tcPr>
            <w:tcW w:w="3915" w:type="pct"/>
            <w:shd w:val="clear" w:color="auto" w:fill="auto"/>
            <w:vAlign w:val="center"/>
          </w:tcPr>
          <w:p w14:paraId="4A8954C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5532BF5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3232CA63">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eastAsia" w:ascii="宋体" w:hAnsi="宋体" w:eastAsia="宋体" w:cs="宋体"/>
                <w:i w:val="0"/>
                <w:iCs w:val="0"/>
                <w:caps w:val="0"/>
                <w:color w:val="auto"/>
                <w:spacing w:val="0"/>
                <w:sz w:val="24"/>
                <w:szCs w:val="24"/>
                <w:highlight w:val="none"/>
                <w:u w:val="none"/>
                <w:lang w:val="en-US" w:eastAsia="zh-CN"/>
              </w:rPr>
              <w:t>种梦妮</w:t>
            </w:r>
          </w:p>
        </w:tc>
      </w:tr>
      <w:tr w14:paraId="1E1811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582ACC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27</w:t>
            </w:r>
          </w:p>
        </w:tc>
        <w:tc>
          <w:tcPr>
            <w:tcW w:w="843" w:type="pct"/>
            <w:shd w:val="clear" w:color="auto" w:fill="auto"/>
            <w:vAlign w:val="center"/>
          </w:tcPr>
          <w:p w14:paraId="1CFB561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15" w:type="pct"/>
            <w:shd w:val="clear" w:color="auto" w:fill="auto"/>
            <w:vAlign w:val="center"/>
          </w:tcPr>
          <w:p w14:paraId="7D7412B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3DBEB02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6385DED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银行户名：华晟国际项目管理有限公司</w:t>
            </w:r>
          </w:p>
          <w:p w14:paraId="54E2594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开户银行：建设银行西安劳动路支行</w:t>
            </w:r>
          </w:p>
          <w:p w14:paraId="1E1D13A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    号：610501 740015 00000 427</w:t>
            </w:r>
          </w:p>
          <w:p w14:paraId="035A6FE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default" w:ascii="宋体" w:hAnsi="宋体" w:eastAsia="宋体" w:cs="宋体"/>
                <w:sz w:val="24"/>
                <w:szCs w:val="24"/>
                <w:lang w:val="en-US" w:eastAsia="zh-CN"/>
              </w:rPr>
              <w:t>转账事由</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CGZC-2025-185</w:t>
            </w:r>
            <w:r>
              <w:rPr>
                <w:rFonts w:hint="default" w:ascii="宋体" w:hAnsi="宋体" w:eastAsia="宋体" w:cs="宋体"/>
                <w:sz w:val="24"/>
                <w:szCs w:val="24"/>
                <w:highlight w:val="none"/>
                <w:lang w:val="en-US" w:eastAsia="zh-CN"/>
              </w:rPr>
              <w:t>中标服务费</w:t>
            </w:r>
          </w:p>
        </w:tc>
      </w:tr>
      <w:tr w14:paraId="0123A9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6970302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28</w:t>
            </w:r>
          </w:p>
        </w:tc>
        <w:tc>
          <w:tcPr>
            <w:tcW w:w="843" w:type="pct"/>
            <w:shd w:val="clear" w:color="auto" w:fill="auto"/>
            <w:vAlign w:val="center"/>
          </w:tcPr>
          <w:p w14:paraId="2F8986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15" w:type="pct"/>
            <w:shd w:val="clear" w:color="auto" w:fill="auto"/>
            <w:vAlign w:val="center"/>
          </w:tcPr>
          <w:p w14:paraId="49BBF85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00875D2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4ADA2D5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2．驻场技术人员：029-86510166/86510167转80310</w:t>
            </w:r>
          </w:p>
        </w:tc>
      </w:tr>
      <w:tr w14:paraId="13BE0F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7D6EB93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29</w:t>
            </w:r>
          </w:p>
        </w:tc>
        <w:tc>
          <w:tcPr>
            <w:tcW w:w="843" w:type="pct"/>
            <w:shd w:val="clear" w:color="auto" w:fill="auto"/>
            <w:vAlign w:val="center"/>
          </w:tcPr>
          <w:p w14:paraId="07EF94A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CA业务网点</w:t>
            </w:r>
          </w:p>
        </w:tc>
        <w:tc>
          <w:tcPr>
            <w:tcW w:w="3915" w:type="pct"/>
            <w:shd w:val="clear" w:color="auto" w:fill="auto"/>
            <w:vAlign w:val="center"/>
          </w:tcPr>
          <w:p w14:paraId="70ED59B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438FA70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45432B9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65D2CEB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4D209BE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74A17A2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12784FF8">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3F299B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1362ABF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30</w:t>
            </w:r>
          </w:p>
        </w:tc>
        <w:tc>
          <w:tcPr>
            <w:tcW w:w="843" w:type="pct"/>
            <w:shd w:val="clear" w:color="auto" w:fill="auto"/>
            <w:vAlign w:val="center"/>
          </w:tcPr>
          <w:p w14:paraId="242651F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5" w:type="pct"/>
            <w:shd w:val="clear" w:color="auto" w:fill="auto"/>
            <w:vAlign w:val="center"/>
          </w:tcPr>
          <w:p w14:paraId="551A01B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1A0CE5A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5BC01B8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西安浐灞国际港政府采购信用融资联系人：王涛  15029991040</w:t>
            </w:r>
          </w:p>
        </w:tc>
      </w:tr>
      <w:tr w14:paraId="237A0A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6E8940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31</w:t>
            </w:r>
          </w:p>
        </w:tc>
        <w:tc>
          <w:tcPr>
            <w:tcW w:w="843" w:type="pct"/>
            <w:shd w:val="clear" w:color="auto" w:fill="auto"/>
            <w:vAlign w:val="center"/>
          </w:tcPr>
          <w:p w14:paraId="0E5358D1">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rPr>
            </w:pPr>
            <w:r>
              <w:rPr>
                <w:rFonts w:hint="eastAsia" w:hAnsi="宋体" w:cs="Times New Roman"/>
                <w:sz w:val="24"/>
                <w:szCs w:val="24"/>
                <w:highlight w:val="none"/>
              </w:rPr>
              <w:t>所属行业</w:t>
            </w:r>
          </w:p>
        </w:tc>
        <w:tc>
          <w:tcPr>
            <w:tcW w:w="3915" w:type="pct"/>
            <w:shd w:val="clear" w:color="auto" w:fill="auto"/>
            <w:vAlign w:val="center"/>
          </w:tcPr>
          <w:p w14:paraId="6492069E">
            <w:pPr>
              <w:pStyle w:val="25"/>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eastAsia" w:ascii="宋体" w:hAnsi="宋体" w:eastAsia="宋体" w:cs="宋体"/>
                <w:sz w:val="24"/>
                <w:szCs w:val="24"/>
              </w:rPr>
            </w:pPr>
            <w:r>
              <w:rPr>
                <w:rFonts w:hint="eastAsia" w:hAnsi="宋体" w:cs="Times New Roman"/>
                <w:sz w:val="24"/>
                <w:szCs w:val="24"/>
                <w:highlight w:val="none"/>
              </w:rPr>
              <w:t>采购标的对应的中小企业划分标准所属行业：其他未列明行业</w:t>
            </w:r>
          </w:p>
        </w:tc>
      </w:tr>
      <w:tr w14:paraId="5A1992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29F5A62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43" w:type="pct"/>
            <w:shd w:val="clear" w:color="auto" w:fill="auto"/>
            <w:vAlign w:val="center"/>
          </w:tcPr>
          <w:p w14:paraId="160F3A65">
            <w:pPr>
              <w:pStyle w:val="73"/>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5" w:type="pct"/>
            <w:shd w:val="clear" w:color="auto" w:fill="auto"/>
            <w:vAlign w:val="center"/>
          </w:tcPr>
          <w:p w14:paraId="2D4D597D">
            <w:pPr>
              <w:pStyle w:val="73"/>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27B6C9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1" w:type="pct"/>
            <w:shd w:val="clear" w:color="auto" w:fill="auto"/>
            <w:vAlign w:val="center"/>
          </w:tcPr>
          <w:p w14:paraId="182A596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43" w:type="pct"/>
            <w:shd w:val="clear" w:color="auto" w:fill="auto"/>
            <w:vAlign w:val="center"/>
          </w:tcPr>
          <w:p w14:paraId="4AE1C9EC">
            <w:pPr>
              <w:pStyle w:val="73"/>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其他未尽事宜</w:t>
            </w:r>
          </w:p>
        </w:tc>
        <w:tc>
          <w:tcPr>
            <w:tcW w:w="3915" w:type="pct"/>
            <w:shd w:val="clear" w:color="auto" w:fill="auto"/>
            <w:vAlign w:val="center"/>
          </w:tcPr>
          <w:p w14:paraId="694D3779">
            <w:pPr>
              <w:pStyle w:val="73"/>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5EC57019">
            <w:pPr>
              <w:pStyle w:val="73"/>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720D9D87">
      <w:pPr>
        <w:jc w:val="both"/>
        <w:rPr>
          <w:rFonts w:hint="eastAsia" w:ascii="宋体" w:hAnsi="宋体" w:eastAsia="宋体" w:cs="宋体"/>
          <w:sz w:val="32"/>
          <w:szCs w:val="32"/>
        </w:rPr>
      </w:pPr>
      <w:r>
        <w:rPr>
          <w:rFonts w:hint="eastAsia" w:ascii="宋体" w:hAnsi="宋体" w:eastAsia="宋体" w:cs="宋体"/>
          <w:sz w:val="24"/>
          <w:szCs w:val="24"/>
        </w:rPr>
        <w:br w:type="page"/>
      </w:r>
    </w:p>
    <w:p w14:paraId="10D41D1F">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一、有关定义</w:t>
      </w:r>
    </w:p>
    <w:p w14:paraId="1F016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w:t>
      </w:r>
      <w:r>
        <w:rPr>
          <w:rFonts w:hint="eastAsia" w:ascii="宋体" w:hAnsi="宋体" w:eastAsia="宋体" w:cs="宋体"/>
          <w:sz w:val="24"/>
          <w:szCs w:val="24"/>
          <w:lang w:val="en-US" w:eastAsia="zh-CN"/>
        </w:rPr>
        <w:t>西安浐灞国际港组织人事部</w:t>
      </w:r>
      <w:r>
        <w:rPr>
          <w:rFonts w:hint="eastAsia" w:ascii="宋体" w:hAnsi="宋体" w:eastAsia="宋体" w:cs="宋体"/>
          <w:sz w:val="24"/>
          <w:szCs w:val="24"/>
        </w:rPr>
        <w:t>。</w:t>
      </w:r>
    </w:p>
    <w:p w14:paraId="13AE8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21200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3．同级政府采购监管部门：同级财政部门。</w:t>
      </w:r>
    </w:p>
    <w:p w14:paraId="6056D9A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http://sxggzyjy.xa.gov.cn/</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7FEB9C3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http://www.sxggzyjy.cn:9002/TPBidder/memberLogin</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4E365718">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05F7B94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227B71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3251E5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108FAE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4E96DD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01481F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55DB972E">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22D8F58C">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www.snca.com.cn/channel/show/27.html</w:t>
      </w:r>
      <w:r>
        <w:rPr>
          <w:rStyle w:val="36"/>
          <w:rFonts w:hint="eastAsia" w:ascii="宋体" w:hAnsi="宋体" w:eastAsia="宋体" w:cs="宋体"/>
          <w:color w:val="auto"/>
          <w:sz w:val="24"/>
          <w:szCs w:val="24"/>
          <w:u w:val="none"/>
        </w:rPr>
        <w:fldChar w:fldCharType="end"/>
      </w:r>
    </w:p>
    <w:p w14:paraId="2FB53B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5B5B7E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6B19B1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675C12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6AE261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3AF7EB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37E046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283EA83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03C3B2F1">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3700400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57FF62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3AFC9BF8">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6FFCE4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59D8D4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6CAB31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4F6EC9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2005FC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57DE42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2A19F07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http://download.ccgp.gov.cn/2018/zhiyihanfanben.zip</w:t>
      </w:r>
      <w:r>
        <w:rPr>
          <w:rStyle w:val="36"/>
          <w:rFonts w:hint="eastAsia" w:ascii="宋体" w:hAnsi="宋体" w:eastAsia="宋体" w:cs="宋体"/>
          <w:color w:val="auto"/>
          <w:sz w:val="24"/>
          <w:szCs w:val="24"/>
          <w:u w:val="none"/>
        </w:rPr>
        <w:fldChar w:fldCharType="end"/>
      </w:r>
    </w:p>
    <w:p w14:paraId="2B5E2B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D6B697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17BE0B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2DF21B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444749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72F7D6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5713E9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1417DF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35B395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3B718FC4">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5CDC03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1FBF42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32E7BC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688A36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6"/>
          <w:rFonts w:hint="eastAsia" w:ascii="宋体" w:hAnsi="宋体" w:eastAsia="宋体" w:cs="宋体"/>
          <w:sz w:val="24"/>
          <w:szCs w:val="24"/>
        </w:rPr>
        <w:t>http://download.ccgp.gov.cn/2018/tousushufanben.zip</w:t>
      </w:r>
      <w:r>
        <w:rPr>
          <w:rStyle w:val="36"/>
          <w:rFonts w:hint="eastAsia" w:ascii="宋体" w:hAnsi="宋体" w:eastAsia="宋体" w:cs="宋体"/>
          <w:sz w:val="24"/>
          <w:szCs w:val="24"/>
        </w:rPr>
        <w:fldChar w:fldCharType="end"/>
      </w:r>
    </w:p>
    <w:p w14:paraId="4BFC6742">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6B5E24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052672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410465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56D8374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796ED3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7AB017C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135331E6">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42292F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5EF385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A9A57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6A1057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http://xaczj.xa.gov.cn/zfcg/cgfg/5db90552fd850863a9e4594d.html</w:t>
      </w:r>
      <w:r>
        <w:rPr>
          <w:rStyle w:val="36"/>
          <w:rFonts w:hint="eastAsia" w:ascii="宋体" w:hAnsi="宋体" w:eastAsia="宋体" w:cs="宋体"/>
          <w:color w:val="auto"/>
          <w:sz w:val="24"/>
          <w:szCs w:val="24"/>
          <w:u w:val="none"/>
        </w:rPr>
        <w:fldChar w:fldCharType="end"/>
      </w:r>
    </w:p>
    <w:p w14:paraId="2C75C2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44C744A8">
      <w:pPr>
        <w:pStyle w:val="105"/>
        <w:keepLines w:val="0"/>
        <w:pageBreakBefore w:val="0"/>
        <w:kinsoku/>
        <w:wordWrap/>
        <w:overflowPunct/>
        <w:topLinePunct w:val="0"/>
        <w:autoSpaceDE/>
        <w:autoSpaceDN/>
        <w:bidi w:val="0"/>
        <w:snapToGrid/>
        <w:spacing w:line="360" w:lineRule="auto"/>
        <w:ind w:firstLine="410" w:firstLineChars="171"/>
        <w:textAlignment w:val="auto"/>
        <w:outlineLvl w:val="9"/>
        <w:rPr>
          <w:rStyle w:val="36"/>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http://xaczj.xa.gov.cn/zfcg/cgfg/5db9054565cbd804f69e97e0.html</w:t>
      </w:r>
      <w:r>
        <w:rPr>
          <w:rStyle w:val="36"/>
          <w:rFonts w:hint="eastAsia" w:ascii="宋体" w:hAnsi="宋体" w:eastAsia="宋体" w:cs="宋体"/>
          <w:color w:val="auto"/>
          <w:sz w:val="24"/>
          <w:szCs w:val="24"/>
          <w:u w:val="none"/>
        </w:rPr>
        <w:fldChar w:fldCharType="end"/>
      </w:r>
    </w:p>
    <w:p w14:paraId="153954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18B317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联系方式:西安浐灞国际港政府采购信用融资联系人：</w:t>
      </w:r>
      <w:r>
        <w:rPr>
          <w:rFonts w:hint="eastAsia" w:ascii="宋体" w:hAnsi="宋体" w:eastAsia="宋体" w:cs="宋体"/>
          <w:sz w:val="24"/>
          <w:szCs w:val="24"/>
        </w:rPr>
        <w:t>王涛  15029991040</w:t>
      </w:r>
      <w:r>
        <w:rPr>
          <w:rFonts w:hint="eastAsia" w:ascii="宋体" w:hAnsi="宋体" w:eastAsia="宋体" w:cs="宋体"/>
          <w:sz w:val="24"/>
          <w:szCs w:val="24"/>
          <w:highlight w:val="none"/>
          <w:lang w:val="en-US" w:eastAsia="zh-CN"/>
        </w:rPr>
        <w:t xml:space="preserve"> ）</w:t>
      </w:r>
    </w:p>
    <w:p w14:paraId="3BE904CB">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2F96B9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7B3C1C16">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377325D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4BA611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2ED0C8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594139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2A44B8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0B1301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2C0A767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23AB79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0770AC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16593ED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5C3495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280947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120E2C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4FEC71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45376E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授权委托书》由联合体牵头人的法定代表人（法人单位）或负责人（非法人单位）代表联合体各方进行签字、盖章，并对联合体各方负责。</w:t>
      </w:r>
    </w:p>
    <w:p w14:paraId="5A187E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5C6A0E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6C203E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6AEB5F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4143D5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0CB847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2A1416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620859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0FE36D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1FD87A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5C33A9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5015B8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583730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682FD1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67B5E8E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6E8E9C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7CC94D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13C1040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5B2A8390">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59BCEE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2F26F8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50A270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BBE1A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53DBDCBA">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0B8A0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6ED5F9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71A39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1E8ECA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0895269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26899BE8">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1E463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72BFD022">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http://www.ccgp-shaanxi.gov.cn/zcdservice/zcd/shanxi/article/zcdt/1390497710741917696</w:t>
      </w:r>
      <w:r>
        <w:rPr>
          <w:rStyle w:val="36"/>
          <w:rFonts w:hint="eastAsia" w:ascii="宋体" w:hAnsi="宋体" w:eastAsia="宋体" w:cs="宋体"/>
          <w:color w:val="auto"/>
          <w:sz w:val="24"/>
          <w:szCs w:val="24"/>
          <w:u w:val="none"/>
        </w:rPr>
        <w:fldChar w:fldCharType="end"/>
      </w:r>
    </w:p>
    <w:p w14:paraId="4C0B11F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3E4933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071B0D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1BFE2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4153D84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0A4703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B14D5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400D0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6267C5D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15C6A3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3CB368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5A573DE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3A86E1C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https://www.creditchina.gov.cn</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http://www.ccgp.gov.cn/）</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189126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1F64CD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2B4005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4B7EE9B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692E527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2D664E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5A7BB00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2DDCEE8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035D44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2EF7C55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44CF5F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19598A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28CE85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368020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0A089C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37CF68D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6473B56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52599B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01F4FE0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11D82A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79B606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7F8B21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1BD055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51563F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陕西省政府采购网</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http://www.ccgp-shaanxi.gov.cn/</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1F5C7F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全国公共资源交易网（陕西省·西安市）</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http://sxggzyjy.xa.gov.cn/</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0DD1B33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4B367F5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2B6407BF">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50BAF1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3F915676">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7206AB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7A3E6033">
      <w:pPr>
        <w:pStyle w:val="96"/>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0D0394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404E1B8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770CA0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37E359D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1FCD1E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本项目投标方案范围内计价模式固定总价，</w:t>
      </w:r>
      <w:r>
        <w:rPr>
          <w:rFonts w:hint="eastAsia" w:ascii="宋体" w:hAnsi="宋体" w:eastAsia="宋体" w:cs="宋体"/>
          <w:sz w:val="24"/>
          <w:szCs w:val="24"/>
          <w:highlight w:val="none"/>
          <w:lang w:val="en-US" w:eastAsia="zh-CN"/>
        </w:rPr>
        <w:t>报价包括但不限于指项目完成并经验收合格的所有费用，包括项目费用、国家按现行税收政策征收的一切税费等。</w:t>
      </w:r>
    </w:p>
    <w:p w14:paraId="7CC3AC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74C55D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55C7CB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2DFD37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5AD2F0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71E290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638BDD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08836E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670163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2C9C59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2EE5D16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0014B4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7D1FA3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50F8AA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6"/>
          <w:rFonts w:hint="eastAsia" w:ascii="宋体" w:hAnsi="宋体" w:eastAsia="宋体" w:cs="宋体"/>
          <w:sz w:val="24"/>
          <w:szCs w:val="24"/>
        </w:rPr>
        <w:t>http://sxggzyjy.xa.gov.cn/fwzn/004003/20181115/4d59c184-e8f6-4d5a-a416-c2f6b0601e66.html</w:t>
      </w:r>
      <w:r>
        <w:rPr>
          <w:rStyle w:val="36"/>
          <w:rFonts w:hint="eastAsia" w:ascii="宋体" w:hAnsi="宋体" w:eastAsia="宋体" w:cs="宋体"/>
          <w:sz w:val="24"/>
          <w:szCs w:val="24"/>
        </w:rPr>
        <w:fldChar w:fldCharType="end"/>
      </w:r>
    </w:p>
    <w:p w14:paraId="7AC024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29B578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3714E0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5A709A2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1163EA1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7257F03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3B4E20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615DE0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17341D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7F6EE8F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1C7982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09BE7F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2AFE15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18FCB24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5F8D3C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34081F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1F0732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3E059A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40B3F80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7F3BBD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7E3000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4938D505">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2E5A8F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1B1DC04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684A5EF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30444D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16C80A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262AEA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286471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00A6C3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53C03E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531732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746D1AC5">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6"/>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http://sxggzyjy.xa.gov.cn/fwzn/004003/20200426/bc8b2c1e-abe2-4168-913c-68ff93345faf.html</w:t>
      </w:r>
      <w:r>
        <w:rPr>
          <w:rStyle w:val="36"/>
          <w:rFonts w:hint="eastAsia" w:ascii="宋体" w:hAnsi="宋体" w:eastAsia="宋体" w:cs="宋体"/>
          <w:color w:val="auto"/>
          <w:sz w:val="24"/>
          <w:szCs w:val="24"/>
          <w:u w:val="none"/>
        </w:rPr>
        <w:fldChar w:fldCharType="end"/>
      </w:r>
    </w:p>
    <w:p w14:paraId="65E78BF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3945C954">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727C0B5D">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25B5D6AE">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3A4B1188">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5FF9ED5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17A61A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77BD62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11F187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0B0E5F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5CA6264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20AAE97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3EBB15E5">
      <w:pPr>
        <w:pStyle w:val="3"/>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六、资格审查</w:t>
      </w:r>
    </w:p>
    <w:p w14:paraId="4DD06567">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13086461">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4A0D66B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4866F8E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235C99C0">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9"/>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7"/>
        <w:gridCol w:w="2791"/>
        <w:gridCol w:w="6410"/>
      </w:tblGrid>
      <w:tr w14:paraId="577BF0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themeFill="background1" w:themeFillShade="F2"/>
            <w:vAlign w:val="center"/>
          </w:tcPr>
          <w:p w14:paraId="2ADC67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themeFill="background1" w:themeFillShade="F2"/>
            <w:vAlign w:val="center"/>
          </w:tcPr>
          <w:p w14:paraId="6F13DFF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3" w:type="pct"/>
            <w:tcBorders>
              <w:top w:val="single" w:color="auto" w:sz="12" w:space="0"/>
              <w:bottom w:val="single" w:color="auto" w:sz="2" w:space="0"/>
            </w:tcBorders>
            <w:shd w:val="clear" w:color="auto" w:fill="F1F1F1" w:themeFill="background1" w:themeFillShade="F2"/>
            <w:vAlign w:val="center"/>
          </w:tcPr>
          <w:p w14:paraId="594CED2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5B8343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070F4E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vAlign w:val="center"/>
          </w:tcPr>
          <w:p w14:paraId="3F4C0E8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3" w:type="pct"/>
            <w:vAlign w:val="center"/>
          </w:tcPr>
          <w:p w14:paraId="47271E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677EFD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47DCBB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vAlign w:val="center"/>
          </w:tcPr>
          <w:p w14:paraId="592D1FE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vAlign w:val="center"/>
          </w:tcPr>
          <w:p w14:paraId="1B8CC0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211C03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050730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vAlign w:val="center"/>
          </w:tcPr>
          <w:p w14:paraId="2593899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法定代表人授权委托书</w:t>
            </w:r>
            <w:r>
              <w:rPr>
                <w:rFonts w:hint="eastAsia" w:ascii="宋体" w:hAnsi="宋体" w:eastAsia="宋体" w:cs="宋体"/>
                <w:sz w:val="24"/>
                <w:szCs w:val="24"/>
                <w:lang w:val="en-US" w:eastAsia="zh-CN"/>
              </w:rPr>
              <w:t>/</w:t>
            </w:r>
            <w:r>
              <w:rPr>
                <w:rFonts w:hint="eastAsia" w:ascii="宋体" w:hAnsi="宋体" w:eastAsia="宋体" w:cs="宋体"/>
                <w:sz w:val="24"/>
                <w:szCs w:val="24"/>
              </w:rPr>
              <w:t>身份证明</w:t>
            </w:r>
          </w:p>
        </w:tc>
        <w:tc>
          <w:tcPr>
            <w:tcW w:w="3223" w:type="pct"/>
            <w:vAlign w:val="center"/>
          </w:tcPr>
          <w:p w14:paraId="28D524C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6A2C76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vAlign w:val="center"/>
          </w:tcPr>
          <w:p w14:paraId="3A6A63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vAlign w:val="center"/>
          </w:tcPr>
          <w:p w14:paraId="0777F84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vAlign w:val="center"/>
          </w:tcPr>
          <w:p w14:paraId="24EFD04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708CD9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5" w:hRule="atLeast"/>
          <w:jc w:val="center"/>
        </w:trPr>
        <w:tc>
          <w:tcPr>
            <w:tcW w:w="371" w:type="pct"/>
            <w:vAlign w:val="center"/>
          </w:tcPr>
          <w:p w14:paraId="71A8E7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404" w:type="pct"/>
            <w:vAlign w:val="center"/>
          </w:tcPr>
          <w:p w14:paraId="5C8E616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资质要求</w:t>
            </w:r>
          </w:p>
        </w:tc>
        <w:tc>
          <w:tcPr>
            <w:tcW w:w="3223" w:type="pct"/>
            <w:vAlign w:val="center"/>
          </w:tcPr>
          <w:p w14:paraId="76751C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供应商应具备有效的《医疗机构执业许可证》和《放射诊疗许可证》。</w:t>
            </w:r>
          </w:p>
        </w:tc>
      </w:tr>
      <w:tr w14:paraId="69F1A5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vAlign w:val="center"/>
          </w:tcPr>
          <w:p w14:paraId="3A840738">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3CD80266">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0E866193">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285139FB">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5504E50B">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4．《无重大违法记录声明》、《法定代表人授权委托书》、《法定代表人身份证明书》、《联合体协议书》应按第五章《投标文件构成及格式》中给定的格式填写，并按要求签字、盖章。</w:t>
            </w:r>
          </w:p>
          <w:p w14:paraId="4034A4A2">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69411A37">
      <w:pPr>
        <w:pStyle w:val="3"/>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6976250D">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3589324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43631E77">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（二）评标程序</w:t>
      </w:r>
    </w:p>
    <w:p w14:paraId="6803A542">
      <w:pPr>
        <w:pStyle w:val="96"/>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2CB3B64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681ABF7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014BEA58">
      <w:pPr>
        <w:pStyle w:val="96"/>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27B4580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6E0DE4AE">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4A4BDDD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73875B0D">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9"/>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1"/>
        <w:gridCol w:w="2228"/>
        <w:gridCol w:w="6967"/>
      </w:tblGrid>
      <w:tr w14:paraId="286F67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themeFill="background1" w:themeFillShade="F2"/>
            <w:vAlign w:val="center"/>
          </w:tcPr>
          <w:p w14:paraId="598783A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14:paraId="21BEB7D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683B789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2FCF76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vAlign w:val="center"/>
          </w:tcPr>
          <w:p w14:paraId="38D30A2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14:paraId="49CE56C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14:paraId="2E92F24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1B0A0DA0">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7EB5D54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7992FFB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highlight w:val="none"/>
              </w:rPr>
              <w:t>法定代表人授权委托书</w:t>
            </w:r>
            <w:r>
              <w:rPr>
                <w:rFonts w:hint="eastAsia" w:ascii="宋体" w:hAnsi="宋体" w:eastAsia="宋体" w:cs="宋体"/>
                <w:sz w:val="24"/>
                <w:szCs w:val="24"/>
                <w:lang w:val="en-US" w:eastAsia="zh-CN"/>
              </w:rPr>
              <w:t>/</w:t>
            </w:r>
            <w:r>
              <w:rPr>
                <w:rFonts w:hint="eastAsia" w:ascii="宋体" w:hAnsi="宋体" w:eastAsia="宋体" w:cs="宋体"/>
                <w:sz w:val="24"/>
                <w:szCs w:val="24"/>
              </w:rPr>
              <w:t>身份证明</w:t>
            </w:r>
          </w:p>
        </w:tc>
      </w:tr>
      <w:tr w14:paraId="4312C5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4075CD8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14:paraId="6FC8E7A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14:paraId="4E5F034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6FE6877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1E3C3F4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7016AB7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1A0DDFD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16534DE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4645A3B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0DADD0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04F3130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14:paraId="58C3E42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14:paraId="15CD6FD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0A3484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6F7AE4F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14:paraId="53B0246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14:paraId="6822915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153189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1E243D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14:paraId="26004FD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14:paraId="6F64D72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5C2137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4BC592F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14:paraId="0BB5C8E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vAlign w:val="center"/>
          </w:tcPr>
          <w:p w14:paraId="4D29D29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4DA24C7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AF9872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37BBEC3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4FD317A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56AD5E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03EE767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14:paraId="5BFE9CE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064C430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6772C2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5FE2FD4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14:paraId="4AF29D8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3D87DA7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50114E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7533673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14:paraId="1CC2BCD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14:paraId="50DF9C4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150C65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vAlign w:val="center"/>
          </w:tcPr>
          <w:p w14:paraId="430197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14:paraId="1F6399B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rPr>
              <w:t>其他</w:t>
            </w:r>
          </w:p>
        </w:tc>
        <w:tc>
          <w:tcPr>
            <w:tcW w:w="3505" w:type="pct"/>
            <w:vAlign w:val="center"/>
          </w:tcPr>
          <w:p w14:paraId="34C8B8B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758AF4C4">
      <w:pPr>
        <w:pStyle w:val="96"/>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7F9DD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26814C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394F5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3BF4E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red"/>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71A78032">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9"/>
        <w:tblW w:w="507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3"/>
        <w:gridCol w:w="1014"/>
        <w:gridCol w:w="564"/>
        <w:gridCol w:w="7871"/>
      </w:tblGrid>
      <w:tr w14:paraId="7F9C1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3E3DE4A9">
            <w:pPr>
              <w:pStyle w:val="110"/>
              <w:keepNext w:val="0"/>
              <w:keepLines w:val="0"/>
              <w:pageBreakBefore w:val="0"/>
              <w:widowControl/>
              <w:kinsoku/>
              <w:wordWrap/>
              <w:overflowPunct/>
              <w:topLinePunct w:val="0"/>
              <w:autoSpaceDE/>
              <w:autoSpaceDN/>
              <w:bidi w:val="0"/>
              <w:adjustRightInd/>
              <w:snapToGrid/>
              <w:spacing w:line="219" w:lineRule="auto"/>
              <w:ind w:left="0"/>
              <w:jc w:val="center"/>
              <w:textAlignment w:val="auto"/>
              <w:rPr>
                <w:rFonts w:hint="eastAsia" w:ascii="宋体" w:hAnsi="宋体" w:eastAsia="宋体" w:cs="宋体"/>
                <w:b/>
                <w:bCs/>
                <w:spacing w:val="0"/>
                <w:sz w:val="24"/>
                <w:szCs w:val="24"/>
                <w:highlight w:val="none"/>
                <w:lang w:eastAsia="zh-CN"/>
              </w:rPr>
            </w:pPr>
            <w:r>
              <w:rPr>
                <w:rFonts w:hint="eastAsia" w:ascii="宋体" w:hAnsi="宋体" w:eastAsia="宋体" w:cs="宋体"/>
                <w:b/>
                <w:bCs/>
                <w:spacing w:val="0"/>
                <w:sz w:val="24"/>
                <w:szCs w:val="24"/>
                <w:highlight w:val="none"/>
                <w:lang w:eastAsia="zh-CN"/>
              </w:rPr>
              <w:t>序号</w:t>
            </w:r>
          </w:p>
        </w:tc>
        <w:tc>
          <w:tcPr>
            <w:tcW w:w="512" w:type="pct"/>
            <w:vAlign w:val="center"/>
          </w:tcPr>
          <w:p w14:paraId="488A3502">
            <w:pPr>
              <w:pStyle w:val="110"/>
              <w:keepNext w:val="0"/>
              <w:keepLines w:val="0"/>
              <w:pageBreakBefore w:val="0"/>
              <w:widowControl/>
              <w:kinsoku/>
              <w:wordWrap/>
              <w:overflowPunct/>
              <w:topLinePunct w:val="0"/>
              <w:autoSpaceDE/>
              <w:autoSpaceDN/>
              <w:bidi w:val="0"/>
              <w:adjustRightInd/>
              <w:snapToGrid/>
              <w:spacing w:line="219"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285" w:type="pct"/>
            <w:vAlign w:val="center"/>
          </w:tcPr>
          <w:p w14:paraId="2F5A5354">
            <w:pPr>
              <w:bidi w:val="0"/>
              <w:jc w:val="center"/>
              <w:rPr>
                <w:rFonts w:hint="eastAsia" w:ascii="宋体" w:hAnsi="宋体" w:eastAsia="宋体" w:cs="宋体"/>
                <w:b/>
                <w:bCs/>
                <w:lang w:val="en-US" w:eastAsia="zh-CN"/>
              </w:rPr>
            </w:pPr>
            <w:r>
              <w:rPr>
                <w:rFonts w:hint="eastAsia" w:ascii="宋体" w:hAnsi="宋体" w:eastAsia="宋体" w:cs="宋体"/>
                <w:b/>
                <w:bCs/>
                <w:lang w:val="en-US" w:eastAsia="zh-CN"/>
              </w:rPr>
              <w:t>分值</w:t>
            </w:r>
          </w:p>
        </w:tc>
        <w:tc>
          <w:tcPr>
            <w:tcW w:w="3982" w:type="pct"/>
            <w:vAlign w:val="top"/>
          </w:tcPr>
          <w:p w14:paraId="4582D2BE">
            <w:pPr>
              <w:pStyle w:val="110"/>
              <w:spacing w:before="216" w:line="220" w:lineRule="auto"/>
              <w:jc w:val="center"/>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38AE1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612486D4">
            <w:pPr>
              <w:pStyle w:val="110"/>
              <w:keepNext w:val="0"/>
              <w:keepLines w:val="0"/>
              <w:pageBreakBefore w:val="0"/>
              <w:widowControl/>
              <w:kinsoku/>
              <w:wordWrap/>
              <w:overflowPunct/>
              <w:topLinePunct w:val="0"/>
              <w:autoSpaceDE/>
              <w:autoSpaceDN/>
              <w:bidi w:val="0"/>
              <w:adjustRightInd/>
              <w:snapToGrid/>
              <w:spacing w:line="312"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w:t>
            </w:r>
          </w:p>
        </w:tc>
        <w:tc>
          <w:tcPr>
            <w:tcW w:w="512" w:type="pct"/>
            <w:vAlign w:val="center"/>
          </w:tcPr>
          <w:p w14:paraId="41FD808B">
            <w:pPr>
              <w:pStyle w:val="110"/>
              <w:keepNext w:val="0"/>
              <w:keepLines w:val="0"/>
              <w:pageBreakBefore w:val="0"/>
              <w:widowControl/>
              <w:kinsoku/>
              <w:wordWrap/>
              <w:overflowPunct/>
              <w:topLinePunct w:val="0"/>
              <w:autoSpaceDE/>
              <w:autoSpaceDN/>
              <w:bidi w:val="0"/>
              <w:adjustRightInd/>
              <w:snapToGrid/>
              <w:spacing w:line="288"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投标</w:t>
            </w:r>
            <w:r>
              <w:rPr>
                <w:rFonts w:hint="eastAsia" w:ascii="宋体" w:hAnsi="宋体" w:eastAsia="宋体" w:cs="宋体"/>
                <w:spacing w:val="0"/>
                <w:sz w:val="24"/>
                <w:szCs w:val="24"/>
                <w:highlight w:val="none"/>
              </w:rPr>
              <w:t>报价</w:t>
            </w:r>
          </w:p>
        </w:tc>
        <w:tc>
          <w:tcPr>
            <w:tcW w:w="285" w:type="pct"/>
            <w:vAlign w:val="center"/>
          </w:tcPr>
          <w:p w14:paraId="3E105978">
            <w:pPr>
              <w:bidi w:val="0"/>
              <w:rPr>
                <w:rFonts w:hint="eastAsia" w:ascii="宋体" w:hAnsi="宋体" w:eastAsia="宋体" w:cs="宋体"/>
                <w:highlight w:val="none"/>
                <w:lang w:val="zh-TW" w:eastAsia="zh-TW"/>
              </w:rPr>
            </w:pPr>
            <w:r>
              <w:rPr>
                <w:rFonts w:hint="eastAsia" w:ascii="宋体" w:hAnsi="宋体" w:eastAsia="宋体" w:cs="宋体"/>
                <w:highlight w:val="none"/>
                <w:lang w:val="en-US" w:eastAsia="zh-CN"/>
              </w:rPr>
              <w:t>15</w:t>
            </w:r>
            <w:r>
              <w:rPr>
                <w:rFonts w:hint="eastAsia" w:ascii="宋体" w:hAnsi="宋体" w:eastAsia="宋体" w:cs="宋体"/>
                <w:highlight w:val="none"/>
              </w:rPr>
              <w:t>分</w:t>
            </w:r>
          </w:p>
        </w:tc>
        <w:tc>
          <w:tcPr>
            <w:tcW w:w="3982" w:type="pct"/>
            <w:vAlign w:val="center"/>
          </w:tcPr>
          <w:p w14:paraId="331BB4CF">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29614EB7">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zh-TW" w:eastAsia="zh-TW"/>
              </w:rPr>
              <w:t>投标报价得分=(评标基准价／投标报价)×</w:t>
            </w:r>
            <w:r>
              <w:rPr>
                <w:rFonts w:hint="eastAsia" w:ascii="宋体" w:hAnsi="宋体" w:eastAsia="宋体" w:cs="宋体"/>
                <w:spacing w:val="0"/>
                <w:sz w:val="24"/>
                <w:szCs w:val="24"/>
                <w:highlight w:val="none"/>
                <w:lang w:val="en-US" w:eastAsia="zh-CN"/>
              </w:rPr>
              <w:t>1</w:t>
            </w:r>
            <w:r>
              <w:rPr>
                <w:rFonts w:hint="eastAsia" w:cs="宋体"/>
                <w:spacing w:val="0"/>
                <w:sz w:val="24"/>
                <w:szCs w:val="24"/>
                <w:highlight w:val="none"/>
                <w:lang w:val="en-US" w:eastAsia="zh-CN"/>
              </w:rPr>
              <w:t>5</w:t>
            </w:r>
          </w:p>
          <w:p w14:paraId="49402B32">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注：符合招标文件规定的小型或微型企业或监狱企业或残疾人福利性单位优惠条件的投标人，价格给予10%的扣除，用扣除后的价格参与评审。</w:t>
            </w:r>
          </w:p>
        </w:tc>
      </w:tr>
      <w:tr w14:paraId="1EF1C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552DB524">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2</w:t>
            </w:r>
          </w:p>
        </w:tc>
        <w:tc>
          <w:tcPr>
            <w:tcW w:w="512" w:type="pct"/>
            <w:vAlign w:val="center"/>
          </w:tcPr>
          <w:p w14:paraId="2AE284C4">
            <w:pPr>
              <w:pStyle w:val="110"/>
              <w:keepNext w:val="0"/>
              <w:keepLines w:val="0"/>
              <w:pageBreakBefore w:val="0"/>
              <w:widowControl/>
              <w:kinsoku/>
              <w:wordWrap/>
              <w:overflowPunct/>
              <w:topLinePunct w:val="0"/>
              <w:autoSpaceDE/>
              <w:autoSpaceDN/>
              <w:bidi w:val="0"/>
              <w:adjustRightInd/>
              <w:snapToGrid/>
              <w:spacing w:line="288"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lang w:val="en-US" w:eastAsia="zh-CN"/>
              </w:rPr>
              <w:t>体检</w:t>
            </w:r>
            <w:r>
              <w:rPr>
                <w:rFonts w:hint="eastAsia" w:ascii="宋体" w:hAnsi="宋体" w:eastAsia="宋体" w:cs="宋体"/>
                <w:spacing w:val="0"/>
                <w:sz w:val="24"/>
                <w:szCs w:val="24"/>
                <w:highlight w:val="none"/>
                <w:lang w:eastAsia="zh-CN"/>
              </w:rPr>
              <w:t>服务</w:t>
            </w:r>
            <w:r>
              <w:rPr>
                <w:rFonts w:hint="eastAsia" w:ascii="宋体" w:hAnsi="宋体" w:eastAsia="宋体" w:cs="宋体"/>
                <w:spacing w:val="0"/>
                <w:sz w:val="24"/>
                <w:szCs w:val="24"/>
                <w:highlight w:val="none"/>
              </w:rPr>
              <w:t>方案</w:t>
            </w:r>
          </w:p>
        </w:tc>
        <w:tc>
          <w:tcPr>
            <w:tcW w:w="285" w:type="pct"/>
            <w:vAlign w:val="center"/>
          </w:tcPr>
          <w:p w14:paraId="7495B8F4">
            <w:pPr>
              <w:bidi w:val="0"/>
              <w:rPr>
                <w:rFonts w:hint="eastAsia" w:ascii="宋体" w:hAnsi="宋体" w:eastAsia="宋体" w:cs="宋体"/>
              </w:rPr>
            </w:pPr>
            <w:r>
              <w:rPr>
                <w:rFonts w:hint="eastAsia" w:ascii="宋体" w:hAnsi="宋体" w:eastAsia="宋体" w:cs="宋体"/>
                <w:spacing w:val="0"/>
                <w:sz w:val="24"/>
                <w:szCs w:val="24"/>
                <w:highlight w:val="none"/>
                <w:lang w:val="en-US" w:eastAsia="zh-CN"/>
              </w:rPr>
              <w:t>15</w:t>
            </w:r>
            <w:r>
              <w:rPr>
                <w:rFonts w:hint="eastAsia" w:ascii="宋体" w:hAnsi="宋体" w:eastAsia="宋体" w:cs="宋体"/>
                <w:spacing w:val="0"/>
                <w:sz w:val="24"/>
                <w:szCs w:val="24"/>
                <w:highlight w:val="none"/>
              </w:rPr>
              <w:t>分</w:t>
            </w:r>
          </w:p>
        </w:tc>
        <w:tc>
          <w:tcPr>
            <w:tcW w:w="3982" w:type="pct"/>
            <w:vAlign w:val="center"/>
          </w:tcPr>
          <w:p w14:paraId="20B619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color w:val="auto"/>
                <w:sz w:val="24"/>
                <w:szCs w:val="24"/>
                <w:highlight w:val="none"/>
                <w:lang w:eastAsia="zh-CN"/>
              </w:rPr>
              <w:t>根据供应商提供的服务方案，主要包括但不限于：①体检专场服务方案；②提供营养早餐；③体检服务流程；④体检现场秩序维护；⑤健康管理方案。方案内容全面、合理、规范，可操作性强</w:t>
            </w:r>
            <w:r>
              <w:rPr>
                <w:rFonts w:hint="eastAsia" w:ascii="宋体" w:hAnsi="宋体" w:eastAsia="宋体" w:cs="宋体"/>
                <w:color w:val="auto"/>
                <w:sz w:val="24"/>
                <w:szCs w:val="24"/>
                <w:highlight w:val="none"/>
                <w:lang w:val="en-US" w:eastAsia="zh-CN"/>
              </w:rPr>
              <w:t>每项</w:t>
            </w:r>
            <w:r>
              <w:rPr>
                <w:rFonts w:hint="eastAsia" w:ascii="宋体" w:hAnsi="宋体" w:eastAsia="宋体" w:cs="宋体"/>
                <w:color w:val="auto"/>
                <w:sz w:val="24"/>
                <w:szCs w:val="24"/>
                <w:highlight w:val="none"/>
                <w:lang w:eastAsia="zh-CN"/>
              </w:rPr>
              <w:t>得3分；方案内容比较合理和规范，有较强的可操作性</w:t>
            </w:r>
            <w:r>
              <w:rPr>
                <w:rFonts w:hint="eastAsia" w:ascii="宋体" w:hAnsi="宋体" w:eastAsia="宋体" w:cs="宋体"/>
                <w:color w:val="auto"/>
                <w:sz w:val="24"/>
                <w:szCs w:val="24"/>
                <w:highlight w:val="none"/>
                <w:lang w:val="en-US" w:eastAsia="zh-CN"/>
              </w:rPr>
              <w:t>每项</w:t>
            </w:r>
            <w:r>
              <w:rPr>
                <w:rFonts w:hint="eastAsia" w:ascii="宋体" w:hAnsi="宋体" w:eastAsia="宋体" w:cs="宋体"/>
                <w:color w:val="auto"/>
                <w:sz w:val="24"/>
                <w:szCs w:val="24"/>
                <w:highlight w:val="none"/>
                <w:lang w:eastAsia="zh-CN"/>
              </w:rPr>
              <w:t>得2分；方案内容</w:t>
            </w:r>
            <w:r>
              <w:rPr>
                <w:rFonts w:hint="eastAsia" w:ascii="宋体" w:hAnsi="宋体" w:eastAsia="宋体" w:cs="宋体"/>
                <w:color w:val="auto"/>
                <w:sz w:val="24"/>
                <w:szCs w:val="24"/>
                <w:highlight w:val="none"/>
                <w:lang w:val="en-US" w:eastAsia="zh-CN"/>
              </w:rPr>
              <w:t>基本合理</w:t>
            </w:r>
            <w:r>
              <w:rPr>
                <w:rFonts w:hint="eastAsia" w:ascii="宋体" w:hAnsi="宋体" w:eastAsia="宋体" w:cs="宋体"/>
                <w:color w:val="auto"/>
                <w:sz w:val="24"/>
                <w:szCs w:val="24"/>
                <w:highlight w:val="none"/>
                <w:lang w:eastAsia="zh-CN"/>
              </w:rPr>
              <w:t>，可操作性</w:t>
            </w:r>
            <w:r>
              <w:rPr>
                <w:rFonts w:hint="eastAsia" w:ascii="宋体" w:hAnsi="宋体" w:eastAsia="宋体" w:cs="宋体"/>
                <w:color w:val="auto"/>
                <w:sz w:val="24"/>
                <w:szCs w:val="24"/>
                <w:highlight w:val="none"/>
                <w:lang w:val="en-US" w:eastAsia="zh-CN"/>
              </w:rPr>
              <w:t>一般每项</w:t>
            </w:r>
            <w:r>
              <w:rPr>
                <w:rFonts w:hint="eastAsia" w:ascii="宋体" w:hAnsi="宋体" w:eastAsia="宋体" w:cs="宋体"/>
                <w:color w:val="auto"/>
                <w:sz w:val="24"/>
                <w:szCs w:val="24"/>
                <w:highlight w:val="none"/>
                <w:lang w:eastAsia="zh-CN"/>
              </w:rPr>
              <w:t>得1分；未提供不得分。</w:t>
            </w:r>
          </w:p>
        </w:tc>
      </w:tr>
      <w:tr w14:paraId="054F9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6F53E333">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p>
        </w:tc>
        <w:tc>
          <w:tcPr>
            <w:tcW w:w="512" w:type="pct"/>
            <w:vAlign w:val="center"/>
          </w:tcPr>
          <w:p w14:paraId="3D80EF76">
            <w:pPr>
              <w:pStyle w:val="110"/>
              <w:keepNext w:val="0"/>
              <w:keepLines w:val="0"/>
              <w:pageBreakBefore w:val="0"/>
              <w:widowControl/>
              <w:kinsoku/>
              <w:wordWrap/>
              <w:overflowPunct/>
              <w:topLinePunct w:val="0"/>
              <w:autoSpaceDE/>
              <w:autoSpaceDN/>
              <w:bidi w:val="0"/>
              <w:adjustRightInd/>
              <w:snapToGrid/>
              <w:spacing w:line="288"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设备配备情况</w:t>
            </w:r>
          </w:p>
        </w:tc>
        <w:tc>
          <w:tcPr>
            <w:tcW w:w="285" w:type="pct"/>
            <w:vAlign w:val="center"/>
          </w:tcPr>
          <w:p w14:paraId="420322C7">
            <w:pPr>
              <w:bidi w:val="0"/>
              <w:jc w:val="center"/>
              <w:rPr>
                <w:rFonts w:hint="eastAsia" w:ascii="宋体" w:hAnsi="宋体" w:eastAsia="宋体" w:cs="宋体"/>
                <w:lang w:val="en-US" w:eastAsia="zh-CN"/>
              </w:rPr>
            </w:pPr>
            <w:r>
              <w:rPr>
                <w:rFonts w:hint="eastAsia" w:ascii="宋体" w:hAnsi="宋体" w:eastAsia="宋体" w:cs="宋体"/>
                <w:spacing w:val="0"/>
                <w:sz w:val="24"/>
                <w:szCs w:val="24"/>
                <w:highlight w:val="none"/>
                <w:lang w:val="en-US" w:eastAsia="zh-CN"/>
              </w:rPr>
              <w:t>10分</w:t>
            </w:r>
          </w:p>
        </w:tc>
        <w:tc>
          <w:tcPr>
            <w:tcW w:w="3982" w:type="pct"/>
            <w:vAlign w:val="center"/>
          </w:tcPr>
          <w:p w14:paraId="6D2D8029">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拟投入本项目体检的医疗设备根据本项目服务内容提供相对应的主要仪器体检设备图片及说明。</w:t>
            </w:r>
          </w:p>
          <w:p w14:paraId="53CBED48">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提供的仪器设备内容完善、满足本项目要求</w:t>
            </w:r>
            <w:r>
              <w:rPr>
                <w:rFonts w:hint="eastAsia" w:cs="宋体"/>
                <w:sz w:val="24"/>
                <w:szCs w:val="24"/>
                <w:highlight w:val="none"/>
                <w:vertAlign w:val="baseline"/>
                <w:lang w:val="en-US" w:eastAsia="zh-CN"/>
              </w:rPr>
              <w:t>的</w:t>
            </w:r>
            <w:r>
              <w:rPr>
                <w:rFonts w:hint="eastAsia" w:ascii="宋体" w:hAnsi="宋体" w:eastAsia="宋体" w:cs="宋体"/>
                <w:sz w:val="24"/>
                <w:szCs w:val="24"/>
                <w:highlight w:val="none"/>
                <w:vertAlign w:val="baseline"/>
                <w:lang w:val="en-US" w:eastAsia="zh-CN"/>
              </w:rPr>
              <w:t>得</w:t>
            </w:r>
            <w:r>
              <w:rPr>
                <w:rFonts w:hint="eastAsia" w:cs="宋体"/>
                <w:sz w:val="24"/>
                <w:szCs w:val="24"/>
                <w:highlight w:val="none"/>
                <w:vertAlign w:val="baseline"/>
                <w:lang w:val="en-US" w:eastAsia="zh-CN"/>
              </w:rPr>
              <w:t>10</w:t>
            </w:r>
            <w:r>
              <w:rPr>
                <w:rFonts w:hint="eastAsia" w:ascii="宋体" w:hAnsi="宋体" w:eastAsia="宋体" w:cs="宋体"/>
                <w:sz w:val="24"/>
                <w:szCs w:val="24"/>
                <w:highlight w:val="none"/>
                <w:vertAlign w:val="baseline"/>
                <w:lang w:val="en-US" w:eastAsia="zh-CN"/>
              </w:rPr>
              <w:t>分；提供的仪器设备内容较完善、能满足本项目要求</w:t>
            </w:r>
            <w:r>
              <w:rPr>
                <w:rFonts w:hint="eastAsia" w:cs="宋体"/>
                <w:sz w:val="24"/>
                <w:szCs w:val="24"/>
                <w:highlight w:val="none"/>
                <w:vertAlign w:val="baseline"/>
                <w:lang w:val="en-US" w:eastAsia="zh-CN"/>
              </w:rPr>
              <w:t>的</w:t>
            </w:r>
            <w:r>
              <w:rPr>
                <w:rFonts w:hint="eastAsia" w:ascii="宋体" w:hAnsi="宋体" w:eastAsia="宋体" w:cs="宋体"/>
                <w:sz w:val="24"/>
                <w:szCs w:val="24"/>
                <w:highlight w:val="none"/>
                <w:vertAlign w:val="baseline"/>
                <w:lang w:val="en-US" w:eastAsia="zh-CN"/>
              </w:rPr>
              <w:t>得</w:t>
            </w:r>
            <w:r>
              <w:rPr>
                <w:rFonts w:hint="eastAsia" w:cs="宋体"/>
                <w:sz w:val="24"/>
                <w:szCs w:val="24"/>
                <w:highlight w:val="none"/>
                <w:vertAlign w:val="baseline"/>
                <w:lang w:val="en-US" w:eastAsia="zh-CN"/>
              </w:rPr>
              <w:t>8</w:t>
            </w:r>
            <w:r>
              <w:rPr>
                <w:rFonts w:hint="eastAsia" w:ascii="宋体" w:hAnsi="宋体" w:eastAsia="宋体" w:cs="宋体"/>
                <w:sz w:val="24"/>
                <w:szCs w:val="24"/>
                <w:highlight w:val="none"/>
                <w:vertAlign w:val="baseline"/>
                <w:lang w:val="en-US" w:eastAsia="zh-CN"/>
              </w:rPr>
              <w:t>分；提供的仪器设备内容基本完善、基本能满足本项目要求</w:t>
            </w:r>
            <w:r>
              <w:rPr>
                <w:rFonts w:hint="eastAsia" w:cs="宋体"/>
                <w:sz w:val="24"/>
                <w:szCs w:val="24"/>
                <w:highlight w:val="none"/>
                <w:vertAlign w:val="baseline"/>
                <w:lang w:val="en-US" w:eastAsia="zh-CN"/>
              </w:rPr>
              <w:t>的</w:t>
            </w:r>
            <w:r>
              <w:rPr>
                <w:rFonts w:hint="eastAsia" w:ascii="宋体" w:hAnsi="宋体" w:eastAsia="宋体" w:cs="宋体"/>
                <w:sz w:val="24"/>
                <w:szCs w:val="24"/>
                <w:highlight w:val="none"/>
                <w:vertAlign w:val="baseline"/>
                <w:lang w:val="en-US" w:eastAsia="zh-CN"/>
              </w:rPr>
              <w:t>得</w:t>
            </w:r>
            <w:r>
              <w:rPr>
                <w:rFonts w:hint="eastAsia" w:cs="宋体"/>
                <w:sz w:val="24"/>
                <w:szCs w:val="24"/>
                <w:highlight w:val="none"/>
                <w:vertAlign w:val="baseline"/>
                <w:lang w:val="en-US" w:eastAsia="zh-CN"/>
              </w:rPr>
              <w:t>6</w:t>
            </w:r>
            <w:r>
              <w:rPr>
                <w:rFonts w:hint="eastAsia" w:ascii="宋体" w:hAnsi="宋体" w:eastAsia="宋体" w:cs="宋体"/>
                <w:sz w:val="24"/>
                <w:szCs w:val="24"/>
                <w:highlight w:val="none"/>
                <w:vertAlign w:val="baseline"/>
                <w:lang w:val="en-US" w:eastAsia="zh-CN"/>
              </w:rPr>
              <w:t>分；提供的仪器设备内容一般</w:t>
            </w:r>
            <w:r>
              <w:rPr>
                <w:rFonts w:hint="eastAsia" w:cs="宋体"/>
                <w:sz w:val="24"/>
                <w:szCs w:val="24"/>
                <w:highlight w:val="none"/>
                <w:vertAlign w:val="baseline"/>
                <w:lang w:val="en-US" w:eastAsia="zh-CN"/>
              </w:rPr>
              <w:t>的</w:t>
            </w:r>
            <w:r>
              <w:rPr>
                <w:rFonts w:hint="eastAsia" w:ascii="宋体" w:hAnsi="宋体" w:eastAsia="宋体" w:cs="宋体"/>
                <w:sz w:val="24"/>
                <w:szCs w:val="24"/>
                <w:highlight w:val="none"/>
                <w:vertAlign w:val="baseline"/>
                <w:lang w:val="en-US" w:eastAsia="zh-CN"/>
              </w:rPr>
              <w:t>得</w:t>
            </w:r>
            <w:r>
              <w:rPr>
                <w:rFonts w:hint="eastAsia" w:cs="宋体"/>
                <w:sz w:val="24"/>
                <w:szCs w:val="24"/>
                <w:highlight w:val="none"/>
                <w:vertAlign w:val="baseline"/>
                <w:lang w:val="en-US" w:eastAsia="zh-CN"/>
              </w:rPr>
              <w:t>4</w:t>
            </w:r>
            <w:r>
              <w:rPr>
                <w:rFonts w:hint="eastAsia" w:ascii="宋体" w:hAnsi="宋体" w:eastAsia="宋体" w:cs="宋体"/>
                <w:sz w:val="24"/>
                <w:szCs w:val="24"/>
                <w:highlight w:val="none"/>
                <w:vertAlign w:val="baseline"/>
                <w:lang w:val="en-US" w:eastAsia="zh-CN"/>
              </w:rPr>
              <w:t>分；</w:t>
            </w:r>
          </w:p>
          <w:p w14:paraId="0FE02CAE">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提供的仪器设备内容部分完善</w:t>
            </w:r>
            <w:r>
              <w:rPr>
                <w:rFonts w:hint="eastAsia" w:cs="宋体"/>
                <w:sz w:val="24"/>
                <w:szCs w:val="24"/>
                <w:highlight w:val="none"/>
                <w:vertAlign w:val="baseline"/>
                <w:lang w:val="en-US" w:eastAsia="zh-CN"/>
              </w:rPr>
              <w:t>的</w:t>
            </w:r>
            <w:r>
              <w:rPr>
                <w:rFonts w:hint="eastAsia" w:ascii="宋体" w:hAnsi="宋体" w:eastAsia="宋体" w:cs="宋体"/>
                <w:sz w:val="24"/>
                <w:szCs w:val="24"/>
                <w:highlight w:val="none"/>
                <w:vertAlign w:val="baseline"/>
                <w:lang w:val="en-US" w:eastAsia="zh-CN"/>
              </w:rPr>
              <w:t>得</w:t>
            </w:r>
            <w:r>
              <w:rPr>
                <w:rFonts w:hint="eastAsia" w:cs="宋体"/>
                <w:sz w:val="24"/>
                <w:szCs w:val="24"/>
                <w:highlight w:val="none"/>
                <w:vertAlign w:val="baseline"/>
                <w:lang w:val="en-US" w:eastAsia="zh-CN"/>
              </w:rPr>
              <w:t>2</w:t>
            </w:r>
            <w:r>
              <w:rPr>
                <w:rFonts w:hint="eastAsia" w:ascii="宋体" w:hAnsi="宋体" w:eastAsia="宋体" w:cs="宋体"/>
                <w:sz w:val="24"/>
                <w:szCs w:val="24"/>
                <w:highlight w:val="none"/>
                <w:vertAlign w:val="baseline"/>
                <w:lang w:val="en-US" w:eastAsia="zh-CN"/>
              </w:rPr>
              <w:t>分</w:t>
            </w:r>
            <w:r>
              <w:rPr>
                <w:rFonts w:hint="eastAsia" w:cs="宋体"/>
                <w:sz w:val="24"/>
                <w:szCs w:val="24"/>
                <w:highlight w:val="none"/>
                <w:vertAlign w:val="baseline"/>
                <w:lang w:val="en-US" w:eastAsia="zh-CN"/>
              </w:rPr>
              <w:t>；</w:t>
            </w:r>
            <w:r>
              <w:rPr>
                <w:rFonts w:hint="eastAsia" w:ascii="宋体" w:hAnsi="宋体" w:eastAsia="宋体" w:cs="宋体"/>
                <w:sz w:val="24"/>
                <w:szCs w:val="24"/>
                <w:highlight w:val="none"/>
                <w:vertAlign w:val="baseline"/>
                <w:lang w:val="en-US" w:eastAsia="zh-CN"/>
              </w:rPr>
              <w:t>提供的仪器设备内容</w:t>
            </w:r>
            <w:r>
              <w:rPr>
                <w:rFonts w:hint="eastAsia" w:ascii="宋体" w:hAnsi="宋体" w:eastAsia="宋体" w:cs="宋体"/>
                <w:highlight w:val="none"/>
                <w:vertAlign w:val="baseline"/>
              </w:rPr>
              <w:t>简单笼统</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rPr>
              <w:t>不</w:t>
            </w:r>
            <w:r>
              <w:rPr>
                <w:rFonts w:hint="eastAsia" w:ascii="宋体" w:hAnsi="宋体" w:eastAsia="宋体" w:cs="宋体"/>
                <w:highlight w:val="none"/>
                <w:vertAlign w:val="baseline"/>
                <w:lang w:val="en-US" w:eastAsia="zh-CN"/>
              </w:rPr>
              <w:t>够</w:t>
            </w:r>
            <w:r>
              <w:rPr>
                <w:rFonts w:hint="eastAsia" w:ascii="宋体" w:hAnsi="宋体" w:eastAsia="宋体" w:cs="宋体"/>
                <w:highlight w:val="none"/>
                <w:vertAlign w:val="baseline"/>
              </w:rPr>
              <w:t>明确</w:t>
            </w:r>
            <w:r>
              <w:rPr>
                <w:rFonts w:hint="eastAsia" w:ascii="宋体" w:hAnsi="宋体" w:eastAsia="宋体" w:cs="宋体"/>
                <w:highlight w:val="none"/>
                <w:vertAlign w:val="baseline"/>
                <w:lang w:val="en-US" w:eastAsia="zh-CN"/>
              </w:rPr>
              <w:t>的</w:t>
            </w:r>
            <w:r>
              <w:rPr>
                <w:rFonts w:hint="eastAsia" w:ascii="宋体" w:hAnsi="宋体" w:eastAsia="宋体" w:cs="宋体"/>
                <w:highlight w:val="none"/>
                <w:vertAlign w:val="baseline"/>
                <w:lang w:eastAsia="zh-CN"/>
              </w:rPr>
              <w:t>得</w:t>
            </w:r>
            <w:r>
              <w:rPr>
                <w:rFonts w:hint="eastAsia" w:ascii="宋体" w:hAnsi="宋体" w:eastAsia="宋体" w:cs="宋体"/>
                <w:highlight w:val="none"/>
                <w:vertAlign w:val="baseline"/>
                <w:lang w:val="en-US" w:eastAsia="zh-CN"/>
              </w:rPr>
              <w:t>1</w:t>
            </w:r>
            <w:r>
              <w:rPr>
                <w:rFonts w:hint="eastAsia" w:ascii="宋体" w:hAnsi="宋体" w:eastAsia="宋体" w:cs="宋体"/>
                <w:highlight w:val="none"/>
                <w:vertAlign w:val="baseline"/>
              </w:rPr>
              <w:t>分</w:t>
            </w:r>
            <w:r>
              <w:rPr>
                <w:rFonts w:hint="eastAsia" w:ascii="宋体" w:hAnsi="宋体" w:eastAsia="宋体" w:cs="宋体"/>
                <w:highlight w:val="none"/>
                <w:vertAlign w:val="baseline"/>
                <w:lang w:eastAsia="zh-CN"/>
              </w:rPr>
              <w:t>；</w:t>
            </w:r>
            <w:r>
              <w:rPr>
                <w:rFonts w:hint="eastAsia" w:ascii="宋体" w:hAnsi="宋体" w:eastAsia="宋体" w:cs="宋体"/>
                <w:sz w:val="24"/>
                <w:szCs w:val="24"/>
                <w:highlight w:val="none"/>
                <w:vertAlign w:val="baseline"/>
                <w:lang w:val="en-US" w:eastAsia="zh-CN"/>
              </w:rPr>
              <w:t>未提供不得分。</w:t>
            </w:r>
          </w:p>
        </w:tc>
      </w:tr>
      <w:tr w14:paraId="6857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6F0A9EB8">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4</w:t>
            </w:r>
          </w:p>
        </w:tc>
        <w:tc>
          <w:tcPr>
            <w:tcW w:w="512" w:type="pct"/>
            <w:vAlign w:val="center"/>
          </w:tcPr>
          <w:p w14:paraId="7C2CD663">
            <w:pPr>
              <w:pStyle w:val="110"/>
              <w:keepNext w:val="0"/>
              <w:keepLines w:val="0"/>
              <w:pageBreakBefore w:val="0"/>
              <w:widowControl/>
              <w:kinsoku/>
              <w:wordWrap/>
              <w:overflowPunct/>
              <w:topLinePunct w:val="0"/>
              <w:autoSpaceDE/>
              <w:autoSpaceDN/>
              <w:bidi w:val="0"/>
              <w:adjustRightInd/>
              <w:snapToGrid/>
              <w:spacing w:line="288" w:lineRule="auto"/>
              <w:ind w:left="0" w:leftChars="0"/>
              <w:jc w:val="center"/>
              <w:textAlignment w:val="auto"/>
              <w:rPr>
                <w:rFonts w:hint="eastAsia" w:ascii="宋体" w:hAnsi="宋体" w:eastAsia="宋体" w:cs="宋体"/>
                <w:spacing w:val="0"/>
                <w:sz w:val="24"/>
                <w:szCs w:val="24"/>
                <w:highlight w:val="none"/>
              </w:rPr>
            </w:pPr>
            <w:r>
              <w:rPr>
                <w:rFonts w:hint="eastAsia" w:ascii="宋体" w:hAnsi="宋体" w:eastAsia="宋体" w:cs="宋体"/>
                <w:color w:val="auto"/>
                <w:sz w:val="24"/>
                <w:szCs w:val="24"/>
                <w:highlight w:val="none"/>
              </w:rPr>
              <w:t>医务团队人员配置</w:t>
            </w:r>
          </w:p>
        </w:tc>
        <w:tc>
          <w:tcPr>
            <w:tcW w:w="285" w:type="pct"/>
            <w:vAlign w:val="center"/>
          </w:tcPr>
          <w:p w14:paraId="0013EDB7">
            <w:pPr>
              <w:bidi w:val="0"/>
              <w:jc w:val="center"/>
              <w:rPr>
                <w:rFonts w:hint="eastAsia" w:ascii="宋体" w:hAnsi="宋体" w:eastAsia="宋体" w:cs="宋体"/>
              </w:rPr>
            </w:pPr>
            <w:r>
              <w:rPr>
                <w:rFonts w:hint="eastAsia" w:ascii="宋体" w:hAnsi="宋体" w:eastAsia="宋体" w:cs="宋体"/>
                <w:spacing w:val="0"/>
                <w:sz w:val="24"/>
                <w:szCs w:val="24"/>
                <w:highlight w:val="none"/>
                <w:lang w:val="en-US" w:eastAsia="zh-CN"/>
              </w:rPr>
              <w:t>8</w:t>
            </w:r>
            <w:r>
              <w:rPr>
                <w:rFonts w:hint="eastAsia" w:ascii="宋体" w:hAnsi="宋体" w:eastAsia="宋体" w:cs="宋体"/>
                <w:spacing w:val="0"/>
                <w:sz w:val="24"/>
                <w:szCs w:val="24"/>
                <w:highlight w:val="none"/>
              </w:rPr>
              <w:t>分</w:t>
            </w:r>
          </w:p>
        </w:tc>
        <w:tc>
          <w:tcPr>
            <w:tcW w:w="3982" w:type="pct"/>
            <w:vAlign w:val="center"/>
          </w:tcPr>
          <w:p w14:paraId="41F77EB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人员</w:t>
            </w:r>
            <w:r>
              <w:rPr>
                <w:rFonts w:hint="eastAsia" w:ascii="宋体" w:hAnsi="宋体" w:eastAsia="宋体" w:cs="宋体"/>
                <w:color w:val="auto"/>
                <w:sz w:val="24"/>
                <w:szCs w:val="24"/>
                <w:highlight w:val="none"/>
                <w:lang w:eastAsia="zh-CN"/>
              </w:rPr>
              <w:t>团队</w:t>
            </w:r>
            <w:r>
              <w:rPr>
                <w:rFonts w:hint="eastAsia" w:ascii="宋体" w:hAnsi="宋体" w:eastAsia="宋体" w:cs="宋体"/>
                <w:color w:val="auto"/>
                <w:sz w:val="24"/>
                <w:szCs w:val="24"/>
                <w:highlight w:val="none"/>
              </w:rPr>
              <w:t>设置合理具备满足本项目</w:t>
            </w:r>
            <w:r>
              <w:rPr>
                <w:rFonts w:hint="eastAsia" w:ascii="宋体" w:hAnsi="宋体" w:eastAsia="宋体" w:cs="宋体"/>
                <w:color w:val="auto"/>
                <w:sz w:val="24"/>
                <w:szCs w:val="24"/>
                <w:highlight w:val="none"/>
                <w:lang w:eastAsia="zh-CN"/>
              </w:rPr>
              <w:t>需要，</w:t>
            </w:r>
            <w:r>
              <w:rPr>
                <w:rFonts w:hint="eastAsia" w:ascii="宋体" w:hAnsi="宋体" w:eastAsia="宋体" w:cs="宋体"/>
                <w:color w:val="auto"/>
                <w:sz w:val="24"/>
                <w:szCs w:val="24"/>
                <w:highlight w:val="none"/>
                <w:lang w:val="en-US" w:eastAsia="zh-CN"/>
              </w:rPr>
              <w:t>根据职称、工作年限、工作经验等情况自主赋分。</w:t>
            </w:r>
          </w:p>
          <w:p w14:paraId="2AC5539E">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b w:val="0"/>
                <w:color w:val="auto"/>
                <w:kern w:val="2"/>
                <w:sz w:val="24"/>
                <w:szCs w:val="24"/>
                <w:highlight w:val="none"/>
                <w:lang w:val="en-US" w:eastAsia="zh-CN" w:bidi="ar-SA"/>
              </w:rPr>
              <w:t>人员团队配备方案完全满足需求，合理可行针对性强得</w:t>
            </w:r>
            <w:r>
              <w:rPr>
                <w:rFonts w:hint="eastAsia" w:ascii="宋体" w:hAnsi="宋体" w:eastAsia="宋体" w:cs="宋体"/>
                <w:b w:val="0"/>
                <w:bCs/>
                <w:color w:val="auto"/>
                <w:sz w:val="24"/>
                <w:szCs w:val="24"/>
                <w:highlight w:val="none"/>
                <w:lang w:val="en-US" w:eastAsia="zh-CN"/>
              </w:rPr>
              <w:t>8</w:t>
            </w:r>
            <w:r>
              <w:rPr>
                <w:rFonts w:hint="eastAsia" w:ascii="宋体" w:hAnsi="宋体" w:eastAsia="宋体" w:cs="宋体"/>
                <w:b w:val="0"/>
                <w:color w:val="auto"/>
                <w:kern w:val="2"/>
                <w:sz w:val="24"/>
                <w:szCs w:val="24"/>
                <w:highlight w:val="none"/>
                <w:lang w:val="en-US" w:eastAsia="zh-CN" w:bidi="ar-SA"/>
              </w:rPr>
              <w:t>分；人员团队配备方案较能满足需求，合理可行较强得</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color w:val="auto"/>
                <w:kern w:val="2"/>
                <w:sz w:val="24"/>
                <w:szCs w:val="24"/>
                <w:highlight w:val="none"/>
                <w:lang w:val="en-US" w:eastAsia="zh-CN" w:bidi="ar-SA"/>
              </w:rPr>
              <w:t>分；人员团队配备方案基本合理，基本满足项目需求得</w:t>
            </w: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color w:val="auto"/>
                <w:kern w:val="2"/>
                <w:sz w:val="24"/>
                <w:szCs w:val="24"/>
                <w:highlight w:val="none"/>
                <w:lang w:val="en-US" w:eastAsia="zh-CN" w:bidi="ar-SA"/>
              </w:rPr>
              <w:t>分；人员团队配备方案合理性一般，针对性一般得</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color w:val="auto"/>
                <w:kern w:val="2"/>
                <w:sz w:val="24"/>
                <w:szCs w:val="24"/>
                <w:highlight w:val="none"/>
                <w:lang w:val="en-US" w:eastAsia="zh-CN" w:bidi="ar-SA"/>
              </w:rPr>
              <w:t>分。人员团队配备方案简单笼统，不够明确的得1分；</w:t>
            </w:r>
            <w:r>
              <w:rPr>
                <w:rFonts w:hint="eastAsia" w:ascii="宋体" w:hAnsi="宋体" w:eastAsia="宋体" w:cs="宋体"/>
                <w:b w:val="0"/>
                <w:bCs/>
                <w:color w:val="auto"/>
                <w:sz w:val="24"/>
                <w:szCs w:val="24"/>
                <w:highlight w:val="none"/>
                <w:lang w:eastAsia="zh-CN"/>
              </w:rPr>
              <w:t>未提供不得分。</w:t>
            </w:r>
          </w:p>
          <w:p w14:paraId="33ACDE75">
            <w:pPr>
              <w:pStyle w:val="110"/>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color w:val="auto"/>
                <w:sz w:val="24"/>
                <w:szCs w:val="24"/>
                <w:highlight w:val="none"/>
              </w:rPr>
              <w:t>注：需提供</w:t>
            </w:r>
            <w:r>
              <w:rPr>
                <w:rFonts w:hint="eastAsia" w:ascii="宋体" w:hAnsi="宋体" w:eastAsia="宋体" w:cs="宋体"/>
                <w:color w:val="auto"/>
                <w:sz w:val="24"/>
                <w:szCs w:val="24"/>
                <w:highlight w:val="none"/>
                <w:lang w:eastAsia="zh-CN"/>
              </w:rPr>
              <w:t>团队人员</w:t>
            </w:r>
            <w:r>
              <w:rPr>
                <w:rFonts w:hint="eastAsia" w:ascii="宋体" w:hAnsi="宋体" w:eastAsia="宋体" w:cs="宋体"/>
                <w:color w:val="auto"/>
                <w:sz w:val="24"/>
                <w:szCs w:val="24"/>
                <w:highlight w:val="none"/>
              </w:rPr>
              <w:t>的相关证书复印件并加盖公章</w:t>
            </w:r>
            <w:r>
              <w:rPr>
                <w:rFonts w:hint="eastAsia" w:ascii="宋体" w:hAnsi="宋体" w:eastAsia="宋体" w:cs="宋体"/>
                <w:color w:val="auto"/>
                <w:sz w:val="24"/>
                <w:szCs w:val="24"/>
                <w:highlight w:val="none"/>
                <w:lang w:eastAsia="zh-CN"/>
              </w:rPr>
              <w:t>。</w:t>
            </w:r>
          </w:p>
        </w:tc>
      </w:tr>
      <w:tr w14:paraId="2E8AC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1031C324">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w:t>
            </w:r>
          </w:p>
        </w:tc>
        <w:tc>
          <w:tcPr>
            <w:tcW w:w="512" w:type="pct"/>
            <w:vAlign w:val="center"/>
          </w:tcPr>
          <w:p w14:paraId="21FB1521">
            <w:pPr>
              <w:pStyle w:val="110"/>
              <w:keepNext w:val="0"/>
              <w:keepLines w:val="0"/>
              <w:pageBreakBefore w:val="0"/>
              <w:widowControl/>
              <w:kinsoku/>
              <w:wordWrap/>
              <w:overflowPunct/>
              <w:topLinePunct w:val="0"/>
              <w:autoSpaceDE/>
              <w:autoSpaceDN/>
              <w:bidi w:val="0"/>
              <w:adjustRightInd/>
              <w:snapToGrid/>
              <w:spacing w:line="288" w:lineRule="auto"/>
              <w:ind w:left="0" w:leftChars="0"/>
              <w:jc w:val="center"/>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应急保障措施</w:t>
            </w:r>
          </w:p>
        </w:tc>
        <w:tc>
          <w:tcPr>
            <w:tcW w:w="285" w:type="pct"/>
            <w:vAlign w:val="center"/>
          </w:tcPr>
          <w:p w14:paraId="4CE3BE1A">
            <w:pPr>
              <w:bidi w:val="0"/>
              <w:rPr>
                <w:rFonts w:hint="eastAsia" w:ascii="宋体" w:hAnsi="宋体" w:eastAsia="宋体" w:cs="宋体"/>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w:t>
            </w:r>
          </w:p>
        </w:tc>
        <w:tc>
          <w:tcPr>
            <w:tcW w:w="3982" w:type="pct"/>
            <w:vAlign w:val="center"/>
          </w:tcPr>
          <w:p w14:paraId="026903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应急保障措施，对于各类突发事件(包括但不限于体检人晕针、晕血、低血糖、仪器伤害等)具有应急响应方案，措施需详细完整、切实可行，具备应急能力，以及配备应急处置反应时效、设备、药品、人员、场所等。</w:t>
            </w:r>
          </w:p>
          <w:p w14:paraId="0906C0BE">
            <w:pPr>
              <w:pStyle w:val="110"/>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color w:val="auto"/>
                <w:sz w:val="24"/>
                <w:szCs w:val="24"/>
                <w:highlight w:val="none"/>
              </w:rPr>
              <w:t>应急响应方案完善、切实可行、科学合理</w:t>
            </w:r>
            <w:r>
              <w:rPr>
                <w:rFonts w:hint="eastAsia" w:ascii="宋体" w:hAnsi="宋体" w:eastAsia="宋体" w:cs="宋体"/>
                <w:b w:val="0"/>
                <w:color w:val="auto"/>
                <w:kern w:val="2"/>
                <w:sz w:val="24"/>
                <w:szCs w:val="24"/>
                <w:highlight w:val="none"/>
                <w:lang w:val="en-US" w:eastAsia="zh-CN" w:bidi="ar-SA"/>
              </w:rPr>
              <w:t>得</w:t>
            </w:r>
            <w:r>
              <w:rPr>
                <w:rFonts w:hint="eastAsia" w:cs="宋体"/>
                <w:b w:val="0"/>
                <w:bCs/>
                <w:color w:val="auto"/>
                <w:sz w:val="24"/>
                <w:szCs w:val="24"/>
                <w:highlight w:val="none"/>
                <w:lang w:val="en-US" w:eastAsia="zh-CN"/>
              </w:rPr>
              <w:t>10</w:t>
            </w:r>
            <w:r>
              <w:rPr>
                <w:rFonts w:hint="eastAsia" w:ascii="宋体" w:hAnsi="宋体" w:eastAsia="宋体" w:cs="宋体"/>
                <w:color w:val="auto"/>
                <w:sz w:val="24"/>
                <w:szCs w:val="24"/>
                <w:highlight w:val="none"/>
              </w:rPr>
              <w:t>分；应急响应方案</w:t>
            </w:r>
            <w:r>
              <w:rPr>
                <w:rFonts w:hint="eastAsia" w:ascii="宋体" w:hAnsi="宋体" w:eastAsia="宋体" w:cs="宋体"/>
                <w:color w:val="auto"/>
                <w:sz w:val="24"/>
                <w:szCs w:val="24"/>
                <w:highlight w:val="none"/>
                <w:lang w:eastAsia="zh-CN"/>
              </w:rPr>
              <w:t>较</w:t>
            </w:r>
            <w:r>
              <w:rPr>
                <w:rFonts w:hint="eastAsia" w:ascii="宋体" w:hAnsi="宋体" w:eastAsia="宋体" w:cs="宋体"/>
                <w:color w:val="auto"/>
                <w:sz w:val="24"/>
                <w:szCs w:val="24"/>
                <w:highlight w:val="none"/>
              </w:rPr>
              <w:t>完善、可行、较合理</w:t>
            </w:r>
            <w:r>
              <w:rPr>
                <w:rFonts w:hint="eastAsia" w:ascii="宋体" w:hAnsi="宋体" w:eastAsia="宋体" w:cs="宋体"/>
                <w:b w:val="0"/>
                <w:color w:val="auto"/>
                <w:kern w:val="2"/>
                <w:sz w:val="24"/>
                <w:szCs w:val="24"/>
                <w:highlight w:val="none"/>
                <w:lang w:val="en-US" w:eastAsia="zh-CN" w:bidi="ar-SA"/>
              </w:rPr>
              <w:t>得</w:t>
            </w:r>
            <w:r>
              <w:rPr>
                <w:rFonts w:hint="eastAsia" w:cs="宋体"/>
                <w:b w:val="0"/>
                <w:bCs/>
                <w:color w:val="auto"/>
                <w:sz w:val="24"/>
                <w:szCs w:val="24"/>
                <w:highlight w:val="none"/>
                <w:lang w:val="en-US" w:eastAsia="zh-CN"/>
              </w:rPr>
              <w:t>8</w:t>
            </w:r>
            <w:r>
              <w:rPr>
                <w:rFonts w:hint="eastAsia" w:ascii="宋体" w:hAnsi="宋体" w:eastAsia="宋体" w:cs="宋体"/>
                <w:color w:val="auto"/>
                <w:sz w:val="24"/>
                <w:szCs w:val="24"/>
                <w:highlight w:val="none"/>
              </w:rPr>
              <w:t>分；应急响应方案</w:t>
            </w:r>
            <w:r>
              <w:rPr>
                <w:rFonts w:hint="eastAsia" w:ascii="宋体" w:hAnsi="宋体" w:eastAsia="宋体" w:cs="宋体"/>
                <w:color w:val="auto"/>
                <w:sz w:val="24"/>
                <w:szCs w:val="24"/>
                <w:highlight w:val="none"/>
                <w:lang w:val="en-US" w:eastAsia="zh-CN"/>
              </w:rPr>
              <w:t>基本</w:t>
            </w:r>
            <w:r>
              <w:rPr>
                <w:rFonts w:hint="eastAsia" w:ascii="宋体" w:hAnsi="宋体" w:eastAsia="宋体" w:cs="宋体"/>
                <w:color w:val="auto"/>
                <w:sz w:val="24"/>
                <w:szCs w:val="24"/>
                <w:highlight w:val="none"/>
              </w:rPr>
              <w:t>完善、可行、</w:t>
            </w:r>
            <w:r>
              <w:rPr>
                <w:rFonts w:hint="eastAsia" w:ascii="宋体" w:hAnsi="宋体" w:eastAsia="宋体" w:cs="宋体"/>
                <w:color w:val="auto"/>
                <w:sz w:val="24"/>
                <w:szCs w:val="24"/>
                <w:highlight w:val="none"/>
                <w:lang w:val="en-US" w:eastAsia="zh-CN"/>
              </w:rPr>
              <w:t>基本</w:t>
            </w:r>
            <w:r>
              <w:rPr>
                <w:rFonts w:hint="eastAsia" w:ascii="宋体" w:hAnsi="宋体" w:eastAsia="宋体" w:cs="宋体"/>
                <w:color w:val="auto"/>
                <w:sz w:val="24"/>
                <w:szCs w:val="24"/>
                <w:highlight w:val="none"/>
              </w:rPr>
              <w:t>合理</w:t>
            </w:r>
            <w:r>
              <w:rPr>
                <w:rFonts w:hint="eastAsia" w:ascii="宋体" w:hAnsi="宋体" w:eastAsia="宋体" w:cs="宋体"/>
                <w:b w:val="0"/>
                <w:color w:val="auto"/>
                <w:kern w:val="2"/>
                <w:sz w:val="24"/>
                <w:szCs w:val="24"/>
                <w:highlight w:val="none"/>
                <w:lang w:val="en-US" w:eastAsia="zh-CN" w:bidi="ar-SA"/>
              </w:rPr>
              <w:t>得</w:t>
            </w:r>
            <w:r>
              <w:rPr>
                <w:rFonts w:hint="eastAsia" w:cs="宋体"/>
                <w:b w:val="0"/>
                <w:bCs/>
                <w:color w:val="auto"/>
                <w:sz w:val="24"/>
                <w:szCs w:val="24"/>
                <w:highlight w:val="none"/>
                <w:lang w:val="en-US" w:eastAsia="zh-CN"/>
              </w:rPr>
              <w:t>6</w:t>
            </w:r>
            <w:r>
              <w:rPr>
                <w:rFonts w:hint="eastAsia" w:ascii="宋体" w:hAnsi="宋体" w:eastAsia="宋体" w:cs="宋体"/>
                <w:color w:val="auto"/>
                <w:sz w:val="24"/>
                <w:szCs w:val="24"/>
                <w:highlight w:val="none"/>
              </w:rPr>
              <w:t>分；应急响应方案可行性一般</w:t>
            </w:r>
            <w:r>
              <w:rPr>
                <w:rFonts w:hint="eastAsia" w:ascii="宋体" w:hAnsi="宋体" w:eastAsia="宋体" w:cs="宋体"/>
                <w:b w:val="0"/>
                <w:color w:val="auto"/>
                <w:kern w:val="2"/>
                <w:sz w:val="24"/>
                <w:szCs w:val="24"/>
                <w:highlight w:val="none"/>
                <w:lang w:val="en-US" w:eastAsia="zh-CN" w:bidi="ar-SA"/>
              </w:rPr>
              <w:t>得</w:t>
            </w:r>
            <w:r>
              <w:rPr>
                <w:rFonts w:hint="eastAsia" w:cs="宋体"/>
                <w:b w:val="0"/>
                <w:bCs/>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应急响应方案</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完善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合理</w:t>
            </w:r>
            <w:r>
              <w:rPr>
                <w:rFonts w:hint="eastAsia" w:ascii="宋体" w:hAnsi="宋体" w:eastAsia="宋体" w:cs="宋体"/>
                <w:b w:val="0"/>
                <w:color w:val="auto"/>
                <w:kern w:val="2"/>
                <w:sz w:val="24"/>
                <w:szCs w:val="24"/>
                <w:highlight w:val="none"/>
                <w:lang w:val="en-US" w:eastAsia="zh-CN" w:bidi="ar-SA"/>
              </w:rPr>
              <w:t>得</w:t>
            </w:r>
            <w:r>
              <w:rPr>
                <w:rFonts w:hint="eastAsia" w:cs="宋体"/>
                <w:b w:val="0"/>
                <w:bCs/>
                <w:color w:val="auto"/>
                <w:sz w:val="24"/>
                <w:szCs w:val="24"/>
                <w:highlight w:val="none"/>
                <w:lang w:val="en-US" w:eastAsia="zh-CN"/>
              </w:rPr>
              <w:t>2</w:t>
            </w:r>
            <w:r>
              <w:rPr>
                <w:rFonts w:hint="eastAsia" w:ascii="宋体" w:hAnsi="宋体" w:eastAsia="宋体" w:cs="宋体"/>
                <w:color w:val="auto"/>
                <w:sz w:val="24"/>
                <w:szCs w:val="24"/>
                <w:highlight w:val="none"/>
              </w:rPr>
              <w:t>分；应急响应方案</w:t>
            </w:r>
            <w:r>
              <w:rPr>
                <w:rFonts w:hint="eastAsia" w:ascii="宋体" w:hAnsi="宋体" w:eastAsia="宋体" w:cs="宋体"/>
                <w:b w:val="0"/>
                <w:color w:val="auto"/>
                <w:kern w:val="2"/>
                <w:sz w:val="24"/>
                <w:szCs w:val="24"/>
                <w:highlight w:val="none"/>
                <w:lang w:val="en-US" w:eastAsia="zh-CN" w:bidi="ar-SA"/>
              </w:rPr>
              <w:t>简单笼统，不够明确得1分；</w:t>
            </w:r>
            <w:r>
              <w:rPr>
                <w:rFonts w:hint="eastAsia" w:ascii="宋体" w:hAnsi="宋体" w:eastAsia="宋体" w:cs="宋体"/>
                <w:color w:val="auto"/>
                <w:sz w:val="24"/>
                <w:szCs w:val="24"/>
                <w:highlight w:val="none"/>
                <w:lang w:eastAsia="zh-CN"/>
              </w:rPr>
              <w:t>未提供不得分。</w:t>
            </w:r>
          </w:p>
        </w:tc>
      </w:tr>
      <w:tr w14:paraId="49E16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19" w:type="pct"/>
            <w:vAlign w:val="center"/>
          </w:tcPr>
          <w:p w14:paraId="0078F754">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6</w:t>
            </w:r>
          </w:p>
        </w:tc>
        <w:tc>
          <w:tcPr>
            <w:tcW w:w="512" w:type="pct"/>
            <w:vAlign w:val="center"/>
          </w:tcPr>
          <w:p w14:paraId="670A2D62">
            <w:pPr>
              <w:pStyle w:val="110"/>
              <w:keepNext w:val="0"/>
              <w:keepLines w:val="0"/>
              <w:pageBreakBefore w:val="0"/>
              <w:widowControl/>
              <w:kinsoku/>
              <w:wordWrap/>
              <w:overflowPunct/>
              <w:topLinePunct w:val="0"/>
              <w:autoSpaceDE/>
              <w:autoSpaceDN/>
              <w:bidi w:val="0"/>
              <w:adjustRightInd/>
              <w:snapToGrid/>
              <w:spacing w:line="288" w:lineRule="auto"/>
              <w:ind w:left="0" w:leftChars="0"/>
              <w:jc w:val="center"/>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体检管理制度及保密方案</w:t>
            </w:r>
          </w:p>
        </w:tc>
        <w:tc>
          <w:tcPr>
            <w:tcW w:w="285" w:type="pct"/>
            <w:vAlign w:val="center"/>
          </w:tcPr>
          <w:p w14:paraId="3D182326">
            <w:pPr>
              <w:bidi w:val="0"/>
              <w:jc w:val="center"/>
              <w:rPr>
                <w:rFonts w:hint="eastAsia" w:ascii="宋体" w:hAnsi="宋体" w:eastAsia="宋体" w:cs="宋体"/>
              </w:rPr>
            </w:pPr>
            <w:r>
              <w:rPr>
                <w:rFonts w:hint="eastAsia" w:ascii="宋体" w:hAnsi="宋体" w:eastAsia="宋体" w:cs="宋体"/>
                <w:sz w:val="24"/>
                <w:szCs w:val="24"/>
                <w:highlight w:val="none"/>
              </w:rPr>
              <w:t>7分</w:t>
            </w:r>
          </w:p>
        </w:tc>
        <w:tc>
          <w:tcPr>
            <w:tcW w:w="3982" w:type="pct"/>
            <w:vAlign w:val="center"/>
          </w:tcPr>
          <w:p w14:paraId="2AC2E6B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具有健全的体检管理制度及保密方案。</w:t>
            </w:r>
          </w:p>
          <w:p w14:paraId="6F6B49BC">
            <w:pPr>
              <w:pStyle w:val="110"/>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highlight w:val="none"/>
                <w:vertAlign w:val="baseline"/>
                <w:lang w:val="en-US" w:eastAsia="zh-CN"/>
              </w:rPr>
            </w:pPr>
            <w:r>
              <w:rPr>
                <w:rFonts w:hint="eastAsia" w:cs="宋体"/>
                <w:color w:val="auto"/>
                <w:sz w:val="24"/>
                <w:szCs w:val="24"/>
                <w:highlight w:val="none"/>
                <w:lang w:val="en-US" w:eastAsia="zh-CN"/>
              </w:rPr>
              <w:t>制度及</w:t>
            </w:r>
            <w:r>
              <w:rPr>
                <w:rFonts w:hint="eastAsia" w:ascii="宋体" w:hAnsi="宋体" w:eastAsia="宋体" w:cs="宋体"/>
                <w:color w:val="auto"/>
                <w:sz w:val="24"/>
                <w:szCs w:val="24"/>
                <w:highlight w:val="none"/>
              </w:rPr>
              <w:t>方案完善、切实可行、科学合理</w:t>
            </w:r>
            <w:r>
              <w:rPr>
                <w:rFonts w:hint="eastAsia" w:ascii="宋体" w:hAnsi="宋体" w:eastAsia="宋体" w:cs="宋体"/>
                <w:b w:val="0"/>
                <w:color w:val="auto"/>
                <w:kern w:val="2"/>
                <w:sz w:val="24"/>
                <w:szCs w:val="24"/>
                <w:highlight w:val="none"/>
                <w:lang w:val="en-US" w:eastAsia="zh-CN" w:bidi="ar-SA"/>
              </w:rPr>
              <w:t>得</w:t>
            </w:r>
            <w:r>
              <w:rPr>
                <w:rFonts w:hint="eastAsia" w:cs="宋体"/>
                <w:b w:val="0"/>
                <w:bCs/>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cs="宋体"/>
                <w:color w:val="auto"/>
                <w:sz w:val="24"/>
                <w:szCs w:val="24"/>
                <w:highlight w:val="none"/>
                <w:lang w:val="en-US" w:eastAsia="zh-CN"/>
              </w:rPr>
              <w:t>制度及</w:t>
            </w:r>
            <w:r>
              <w:rPr>
                <w:rFonts w:hint="eastAsia" w:ascii="宋体" w:hAnsi="宋体" w:eastAsia="宋体" w:cs="宋体"/>
                <w:color w:val="auto"/>
                <w:sz w:val="24"/>
                <w:szCs w:val="24"/>
                <w:highlight w:val="none"/>
              </w:rPr>
              <w:t>方案</w:t>
            </w:r>
            <w:r>
              <w:rPr>
                <w:rFonts w:hint="eastAsia" w:ascii="宋体" w:hAnsi="宋体" w:eastAsia="宋体" w:cs="宋体"/>
                <w:color w:val="auto"/>
                <w:sz w:val="24"/>
                <w:szCs w:val="24"/>
                <w:highlight w:val="none"/>
                <w:lang w:eastAsia="zh-CN"/>
              </w:rPr>
              <w:t>较</w:t>
            </w:r>
            <w:r>
              <w:rPr>
                <w:rFonts w:hint="eastAsia" w:ascii="宋体" w:hAnsi="宋体" w:eastAsia="宋体" w:cs="宋体"/>
                <w:color w:val="auto"/>
                <w:sz w:val="24"/>
                <w:szCs w:val="24"/>
                <w:highlight w:val="none"/>
              </w:rPr>
              <w:t>完善、可行、较合理</w:t>
            </w:r>
            <w:r>
              <w:rPr>
                <w:rFonts w:hint="eastAsia" w:ascii="宋体" w:hAnsi="宋体" w:eastAsia="宋体" w:cs="宋体"/>
                <w:b w:val="0"/>
                <w:color w:val="auto"/>
                <w:kern w:val="2"/>
                <w:sz w:val="24"/>
                <w:szCs w:val="24"/>
                <w:highlight w:val="none"/>
                <w:lang w:val="en-US" w:eastAsia="zh-CN" w:bidi="ar-SA"/>
              </w:rPr>
              <w:t>得得</w:t>
            </w:r>
            <w:r>
              <w:rPr>
                <w:rFonts w:hint="eastAsia" w:cs="宋体"/>
                <w:b w:val="0"/>
                <w:bCs/>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cs="宋体"/>
                <w:color w:val="auto"/>
                <w:sz w:val="24"/>
                <w:szCs w:val="24"/>
                <w:highlight w:val="none"/>
                <w:lang w:val="en-US" w:eastAsia="zh-CN"/>
              </w:rPr>
              <w:t>制度及</w:t>
            </w:r>
            <w:r>
              <w:rPr>
                <w:rFonts w:hint="eastAsia" w:ascii="宋体" w:hAnsi="宋体" w:eastAsia="宋体" w:cs="宋体"/>
                <w:color w:val="auto"/>
                <w:sz w:val="24"/>
                <w:szCs w:val="24"/>
                <w:highlight w:val="none"/>
              </w:rPr>
              <w:t>方案</w:t>
            </w:r>
            <w:r>
              <w:rPr>
                <w:rFonts w:hint="eastAsia" w:ascii="宋体" w:hAnsi="宋体" w:eastAsia="宋体" w:cs="宋体"/>
                <w:color w:val="auto"/>
                <w:sz w:val="24"/>
                <w:szCs w:val="24"/>
                <w:highlight w:val="none"/>
                <w:lang w:eastAsia="zh-CN"/>
              </w:rPr>
              <w:t>基本</w:t>
            </w:r>
            <w:r>
              <w:rPr>
                <w:rFonts w:hint="eastAsia" w:ascii="宋体" w:hAnsi="宋体" w:eastAsia="宋体" w:cs="宋体"/>
                <w:color w:val="auto"/>
                <w:sz w:val="24"/>
                <w:szCs w:val="24"/>
                <w:highlight w:val="none"/>
              </w:rPr>
              <w:t>合理</w:t>
            </w:r>
            <w:r>
              <w:rPr>
                <w:rFonts w:hint="eastAsia" w:cs="宋体"/>
                <w:color w:val="auto"/>
                <w:sz w:val="24"/>
                <w:szCs w:val="24"/>
                <w:highlight w:val="none"/>
                <w:lang w:val="en-US" w:eastAsia="zh-CN"/>
              </w:rPr>
              <w:t>得3</w:t>
            </w:r>
            <w:r>
              <w:rPr>
                <w:rFonts w:hint="eastAsia" w:ascii="宋体" w:hAnsi="宋体" w:eastAsia="宋体" w:cs="宋体"/>
                <w:color w:val="auto"/>
                <w:sz w:val="24"/>
                <w:szCs w:val="24"/>
                <w:highlight w:val="none"/>
              </w:rPr>
              <w:t>分</w:t>
            </w:r>
            <w:r>
              <w:rPr>
                <w:rFonts w:hint="eastAsia" w:cs="宋体"/>
                <w:color w:val="auto"/>
                <w:sz w:val="24"/>
                <w:szCs w:val="24"/>
                <w:highlight w:val="none"/>
                <w:lang w:eastAsia="zh-CN"/>
              </w:rPr>
              <w:t>；</w:t>
            </w:r>
            <w:r>
              <w:rPr>
                <w:rFonts w:hint="eastAsia" w:cs="宋体"/>
                <w:color w:val="auto"/>
                <w:sz w:val="24"/>
                <w:szCs w:val="24"/>
                <w:highlight w:val="none"/>
                <w:lang w:val="en-US" w:eastAsia="zh-CN"/>
              </w:rPr>
              <w:t>制度及</w:t>
            </w:r>
            <w:r>
              <w:rPr>
                <w:rFonts w:hint="eastAsia" w:ascii="宋体" w:hAnsi="宋体" w:eastAsia="宋体" w:cs="宋体"/>
                <w:color w:val="auto"/>
                <w:sz w:val="24"/>
                <w:szCs w:val="24"/>
                <w:highlight w:val="none"/>
              </w:rPr>
              <w:t>方案</w:t>
            </w:r>
            <w:r>
              <w:rPr>
                <w:rFonts w:hint="eastAsia" w:ascii="宋体" w:hAnsi="宋体" w:eastAsia="宋体" w:cs="宋体"/>
                <w:color w:val="auto"/>
                <w:sz w:val="24"/>
                <w:szCs w:val="24"/>
                <w:highlight w:val="none"/>
                <w:lang w:eastAsia="zh-CN"/>
              </w:rPr>
              <w:t>基本</w:t>
            </w:r>
            <w:r>
              <w:rPr>
                <w:rFonts w:hint="eastAsia" w:ascii="宋体" w:hAnsi="宋体" w:eastAsia="宋体" w:cs="宋体"/>
                <w:color w:val="auto"/>
                <w:sz w:val="24"/>
                <w:szCs w:val="24"/>
                <w:highlight w:val="none"/>
              </w:rPr>
              <w:t>合理</w:t>
            </w:r>
            <w:r>
              <w:rPr>
                <w:rFonts w:hint="eastAsia" w:cs="宋体"/>
                <w:color w:val="auto"/>
                <w:sz w:val="24"/>
                <w:szCs w:val="24"/>
                <w:highlight w:val="none"/>
                <w:lang w:val="en-US" w:eastAsia="zh-CN"/>
              </w:rPr>
              <w:t>得</w:t>
            </w:r>
            <w:r>
              <w:rPr>
                <w:rFonts w:hint="eastAsia" w:cs="宋体"/>
                <w:b w:val="0"/>
                <w:bCs/>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cs="宋体"/>
                <w:color w:val="auto"/>
                <w:sz w:val="24"/>
                <w:szCs w:val="24"/>
                <w:highlight w:val="none"/>
                <w:lang w:val="en-US" w:eastAsia="zh-CN"/>
              </w:rPr>
              <w:t>制度及</w:t>
            </w:r>
            <w:r>
              <w:rPr>
                <w:rFonts w:hint="eastAsia" w:ascii="宋体" w:hAnsi="宋体" w:eastAsia="宋体" w:cs="宋体"/>
                <w:color w:val="auto"/>
                <w:sz w:val="24"/>
                <w:szCs w:val="24"/>
                <w:highlight w:val="none"/>
              </w:rPr>
              <w:t>方案</w:t>
            </w:r>
            <w:r>
              <w:rPr>
                <w:rFonts w:hint="eastAsia" w:ascii="宋体" w:hAnsi="宋体" w:eastAsia="宋体" w:cs="宋体"/>
                <w:b w:val="0"/>
                <w:color w:val="auto"/>
                <w:kern w:val="2"/>
                <w:sz w:val="24"/>
                <w:szCs w:val="24"/>
                <w:highlight w:val="none"/>
                <w:lang w:val="en-US" w:eastAsia="zh-CN" w:bidi="ar-SA"/>
              </w:rPr>
              <w:t>简单笼统，不明确得1分；</w:t>
            </w:r>
            <w:r>
              <w:rPr>
                <w:rFonts w:hint="eastAsia" w:ascii="宋体" w:hAnsi="宋体" w:eastAsia="宋体" w:cs="宋体"/>
                <w:color w:val="auto"/>
                <w:sz w:val="24"/>
                <w:szCs w:val="24"/>
                <w:highlight w:val="none"/>
                <w:lang w:eastAsia="zh-CN"/>
              </w:rPr>
              <w:t>未提供不得分。</w:t>
            </w:r>
          </w:p>
        </w:tc>
      </w:tr>
      <w:tr w14:paraId="367BC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Merge w:val="restart"/>
            <w:vAlign w:val="center"/>
          </w:tcPr>
          <w:p w14:paraId="6D2CEF47">
            <w:pPr>
              <w:pStyle w:val="110"/>
              <w:keepNext w:val="0"/>
              <w:keepLines w:val="0"/>
              <w:pageBreakBefore w:val="0"/>
              <w:widowControl/>
              <w:kinsoku/>
              <w:wordWrap/>
              <w:overflowPunct/>
              <w:topLinePunct w:val="0"/>
              <w:autoSpaceDE/>
              <w:autoSpaceDN/>
              <w:bidi w:val="0"/>
              <w:adjustRightInd/>
              <w:snapToGrid/>
              <w:spacing w:line="312"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7</w:t>
            </w:r>
          </w:p>
        </w:tc>
        <w:tc>
          <w:tcPr>
            <w:tcW w:w="512" w:type="pct"/>
            <w:vMerge w:val="restart"/>
            <w:vAlign w:val="center"/>
          </w:tcPr>
          <w:p w14:paraId="1ACBFDAA">
            <w:pPr>
              <w:pStyle w:val="110"/>
              <w:keepNext w:val="0"/>
              <w:keepLines w:val="0"/>
              <w:pageBreakBefore w:val="0"/>
              <w:widowControl/>
              <w:kinsoku/>
              <w:wordWrap/>
              <w:overflowPunct/>
              <w:topLinePunct w:val="0"/>
              <w:autoSpaceDE/>
              <w:autoSpaceDN/>
              <w:bidi w:val="0"/>
              <w:adjustRightInd/>
              <w:snapToGrid/>
              <w:spacing w:line="288"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color w:val="auto"/>
                <w:sz w:val="24"/>
                <w:szCs w:val="24"/>
                <w:highlight w:val="none"/>
              </w:rPr>
              <w:t>体检报告</w:t>
            </w:r>
          </w:p>
        </w:tc>
        <w:tc>
          <w:tcPr>
            <w:tcW w:w="285" w:type="pct"/>
            <w:vAlign w:val="center"/>
          </w:tcPr>
          <w:p w14:paraId="0D00CA4C">
            <w:pPr>
              <w:bidi w:val="0"/>
              <w:jc w:val="center"/>
              <w:rPr>
                <w:rFonts w:hint="eastAsia" w:ascii="宋体" w:hAnsi="宋体" w:eastAsia="宋体" w:cs="宋体"/>
                <w:lang w:val="zh-CN"/>
              </w:rPr>
            </w:pPr>
            <w:r>
              <w:rPr>
                <w:rFonts w:hint="eastAsia" w:ascii="宋体" w:hAnsi="宋体" w:eastAsia="宋体" w:cs="宋体"/>
                <w:spacing w:val="0"/>
                <w:sz w:val="24"/>
                <w:szCs w:val="24"/>
                <w:highlight w:val="none"/>
                <w:lang w:val="en-US" w:eastAsia="zh-CN"/>
              </w:rPr>
              <w:t>3分</w:t>
            </w:r>
          </w:p>
        </w:tc>
        <w:tc>
          <w:tcPr>
            <w:tcW w:w="3982" w:type="pct"/>
            <w:vAlign w:val="center"/>
          </w:tcPr>
          <w:p w14:paraId="1F222C4C">
            <w:pPr>
              <w:keepNext w:val="0"/>
              <w:keepLines w:val="0"/>
              <w:pageBreakBefore w:val="0"/>
              <w:widowControl w:val="0"/>
              <w:kinsoku/>
              <w:wordWrap/>
              <w:overflowPunct/>
              <w:topLinePunct w:val="0"/>
              <w:autoSpaceDE/>
              <w:autoSpaceDN/>
              <w:bidi w:val="0"/>
              <w:adjustRightInd/>
              <w:snapToGrid/>
              <w:spacing w:line="240" w:lineRule="auto"/>
              <w:ind w:left="22"/>
              <w:jc w:val="left"/>
              <w:textAlignment w:val="auto"/>
              <w:rPr>
                <w:rFonts w:hint="eastAsia" w:ascii="宋体" w:hAnsi="宋体" w:eastAsia="宋体" w:cs="宋体"/>
                <w:color w:val="auto"/>
                <w:sz w:val="24"/>
                <w:szCs w:val="24"/>
                <w:highlight w:val="none"/>
                <w:lang w:val="zh-CN" w:bidi="zh-CN"/>
              </w:rPr>
            </w:pPr>
            <w:r>
              <w:rPr>
                <w:rFonts w:hint="eastAsia" w:ascii="宋体" w:hAnsi="宋体" w:eastAsia="宋体" w:cs="宋体"/>
                <w:color w:val="auto"/>
                <w:sz w:val="24"/>
                <w:szCs w:val="24"/>
                <w:highlight w:val="none"/>
                <w:lang w:val="zh-CN" w:bidi="zh-CN"/>
              </w:rPr>
              <w:t>1</w:t>
            </w:r>
            <w:r>
              <w:rPr>
                <w:rFonts w:hint="eastAsia" w:ascii="宋体" w:hAnsi="宋体" w:eastAsia="宋体" w:cs="宋体"/>
                <w:color w:val="auto"/>
                <w:sz w:val="24"/>
                <w:szCs w:val="24"/>
                <w:highlight w:val="none"/>
                <w:lang w:val="en-US" w:bidi="zh-CN"/>
              </w:rPr>
              <w:t>.</w:t>
            </w:r>
            <w:r>
              <w:rPr>
                <w:rFonts w:hint="eastAsia" w:ascii="宋体" w:hAnsi="宋体" w:eastAsia="宋体" w:cs="宋体"/>
                <w:color w:val="auto"/>
                <w:spacing w:val="-3"/>
                <w:sz w:val="24"/>
                <w:szCs w:val="24"/>
                <w:highlight w:val="none"/>
                <w:lang w:val="zh-CN" w:bidi="zh-CN"/>
              </w:rPr>
              <w:t>参选人能够提供体检书面报告（</w:t>
            </w:r>
            <w:r>
              <w:rPr>
                <w:rFonts w:hint="eastAsia" w:ascii="宋体" w:hAnsi="宋体" w:eastAsia="宋体" w:cs="宋体"/>
                <w:color w:val="auto"/>
                <w:spacing w:val="-16"/>
                <w:sz w:val="24"/>
                <w:szCs w:val="24"/>
                <w:highlight w:val="none"/>
                <w:lang w:val="en-US" w:bidi="zh-CN"/>
              </w:rPr>
              <w:t>提供相关证明材料或承诺函）</w:t>
            </w:r>
            <w:r>
              <w:rPr>
                <w:rFonts w:hint="eastAsia" w:ascii="宋体" w:hAnsi="宋体" w:eastAsia="宋体" w:cs="宋体"/>
                <w:color w:val="auto"/>
                <w:spacing w:val="-3"/>
                <w:sz w:val="24"/>
                <w:szCs w:val="24"/>
                <w:highlight w:val="none"/>
                <w:lang w:val="zh-CN" w:bidi="zh-CN"/>
              </w:rPr>
              <w:t>得</w:t>
            </w:r>
            <w:r>
              <w:rPr>
                <w:rFonts w:hint="eastAsia" w:ascii="宋体" w:hAnsi="宋体" w:eastAsia="宋体" w:cs="宋体"/>
                <w:color w:val="auto"/>
                <w:sz w:val="24"/>
                <w:szCs w:val="24"/>
                <w:highlight w:val="none"/>
                <w:lang w:val="zh-CN" w:bidi="zh-CN"/>
              </w:rPr>
              <w:t>1</w:t>
            </w:r>
            <w:r>
              <w:rPr>
                <w:rFonts w:hint="eastAsia" w:ascii="宋体" w:hAnsi="宋体" w:eastAsia="宋体" w:cs="宋体"/>
                <w:color w:val="auto"/>
                <w:spacing w:val="-16"/>
                <w:sz w:val="24"/>
                <w:szCs w:val="24"/>
                <w:highlight w:val="none"/>
                <w:lang w:val="zh-CN" w:bidi="zh-CN"/>
              </w:rPr>
              <w:t>分；</w:t>
            </w:r>
            <w:r>
              <w:rPr>
                <w:rFonts w:hint="eastAsia" w:ascii="宋体" w:hAnsi="宋体" w:eastAsia="宋体" w:cs="宋体"/>
                <w:color w:val="auto"/>
                <w:sz w:val="24"/>
                <w:szCs w:val="24"/>
                <w:highlight w:val="none"/>
                <w:lang w:eastAsia="zh-CN"/>
              </w:rPr>
              <w:t>未提供不得分。</w:t>
            </w:r>
          </w:p>
          <w:p w14:paraId="304E20DC">
            <w:pPr>
              <w:keepNext w:val="0"/>
              <w:keepLines w:val="0"/>
              <w:pageBreakBefore w:val="0"/>
              <w:widowControl w:val="0"/>
              <w:kinsoku/>
              <w:wordWrap/>
              <w:overflowPunct/>
              <w:topLinePunct w:val="0"/>
              <w:autoSpaceDE/>
              <w:autoSpaceDN/>
              <w:bidi w:val="0"/>
              <w:adjustRightInd/>
              <w:snapToGrid/>
              <w:spacing w:line="240" w:lineRule="auto"/>
              <w:ind w:left="22"/>
              <w:jc w:val="left"/>
              <w:textAlignment w:val="auto"/>
              <w:rPr>
                <w:rFonts w:hint="eastAsia" w:ascii="宋体" w:hAnsi="宋体" w:eastAsia="宋体" w:cs="宋体"/>
                <w:color w:val="auto"/>
                <w:sz w:val="24"/>
                <w:szCs w:val="24"/>
                <w:highlight w:val="none"/>
                <w:lang w:val="zh-CN" w:bidi="zh-CN"/>
              </w:rPr>
            </w:pPr>
            <w:r>
              <w:rPr>
                <w:rFonts w:hint="eastAsia" w:ascii="宋体" w:hAnsi="宋体" w:eastAsia="宋体" w:cs="宋体"/>
                <w:color w:val="auto"/>
                <w:sz w:val="24"/>
                <w:szCs w:val="24"/>
                <w:highlight w:val="none"/>
                <w:lang w:val="zh-CN" w:bidi="zh-CN"/>
              </w:rPr>
              <w:t>2</w:t>
            </w:r>
            <w:r>
              <w:rPr>
                <w:rFonts w:hint="eastAsia" w:ascii="宋体" w:hAnsi="宋体" w:eastAsia="宋体" w:cs="宋体"/>
                <w:color w:val="auto"/>
                <w:sz w:val="24"/>
                <w:szCs w:val="24"/>
                <w:highlight w:val="none"/>
                <w:lang w:val="en-US" w:bidi="zh-CN"/>
              </w:rPr>
              <w:t>.</w:t>
            </w:r>
            <w:r>
              <w:rPr>
                <w:rFonts w:hint="eastAsia" w:ascii="宋体" w:hAnsi="宋体" w:eastAsia="宋体" w:cs="宋体"/>
                <w:color w:val="auto"/>
                <w:spacing w:val="-4"/>
                <w:sz w:val="24"/>
                <w:szCs w:val="24"/>
                <w:highlight w:val="none"/>
                <w:lang w:val="zh-CN" w:bidi="zh-CN"/>
              </w:rPr>
              <w:t>参选人能够提供电子体检报告</w:t>
            </w:r>
            <w:r>
              <w:rPr>
                <w:rFonts w:hint="eastAsia" w:ascii="宋体" w:hAnsi="宋体" w:eastAsia="宋体" w:cs="宋体"/>
                <w:color w:val="auto"/>
                <w:spacing w:val="-3"/>
                <w:sz w:val="24"/>
                <w:szCs w:val="24"/>
                <w:highlight w:val="none"/>
                <w:lang w:val="zh-CN" w:bidi="zh-CN"/>
              </w:rPr>
              <w:t>（</w:t>
            </w:r>
            <w:r>
              <w:rPr>
                <w:rFonts w:hint="eastAsia" w:ascii="宋体" w:hAnsi="宋体" w:eastAsia="宋体" w:cs="宋体"/>
                <w:color w:val="auto"/>
                <w:spacing w:val="-16"/>
                <w:sz w:val="24"/>
                <w:szCs w:val="24"/>
                <w:highlight w:val="none"/>
                <w:lang w:val="en-US" w:bidi="zh-CN"/>
              </w:rPr>
              <w:t>提供相关证明材料或承诺函）</w:t>
            </w:r>
            <w:r>
              <w:rPr>
                <w:rFonts w:hint="eastAsia" w:ascii="宋体" w:hAnsi="宋体" w:eastAsia="宋体" w:cs="宋体"/>
                <w:color w:val="auto"/>
                <w:spacing w:val="-4"/>
                <w:sz w:val="24"/>
                <w:szCs w:val="24"/>
                <w:highlight w:val="none"/>
                <w:lang w:val="zh-CN" w:bidi="zh-CN"/>
              </w:rPr>
              <w:t>得</w:t>
            </w:r>
            <w:r>
              <w:rPr>
                <w:rFonts w:hint="eastAsia" w:ascii="宋体" w:hAnsi="宋体" w:eastAsia="宋体" w:cs="宋体"/>
                <w:color w:val="auto"/>
                <w:sz w:val="24"/>
                <w:szCs w:val="24"/>
                <w:highlight w:val="none"/>
                <w:lang w:val="zh-CN" w:bidi="zh-CN"/>
              </w:rPr>
              <w:t>1</w:t>
            </w:r>
            <w:r>
              <w:rPr>
                <w:rFonts w:hint="eastAsia" w:ascii="宋体" w:hAnsi="宋体" w:eastAsia="宋体" w:cs="宋体"/>
                <w:color w:val="auto"/>
                <w:spacing w:val="-16"/>
                <w:sz w:val="24"/>
                <w:szCs w:val="24"/>
                <w:highlight w:val="none"/>
                <w:lang w:val="zh-CN" w:bidi="zh-CN"/>
              </w:rPr>
              <w:t>分；</w:t>
            </w:r>
            <w:r>
              <w:rPr>
                <w:rFonts w:hint="eastAsia" w:ascii="宋体" w:hAnsi="宋体" w:eastAsia="宋体" w:cs="宋体"/>
                <w:color w:val="auto"/>
                <w:sz w:val="24"/>
                <w:szCs w:val="24"/>
                <w:highlight w:val="none"/>
                <w:lang w:eastAsia="zh-CN"/>
              </w:rPr>
              <w:t>未提供不得分。</w:t>
            </w:r>
          </w:p>
          <w:p w14:paraId="526113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color w:val="auto"/>
                <w:sz w:val="24"/>
                <w:szCs w:val="24"/>
                <w:highlight w:val="none"/>
                <w:lang w:val="zh-CN" w:bidi="zh-CN"/>
              </w:rPr>
              <w:t>3</w:t>
            </w:r>
            <w:r>
              <w:rPr>
                <w:rFonts w:hint="eastAsia" w:ascii="宋体" w:hAnsi="宋体" w:eastAsia="宋体" w:cs="宋体"/>
                <w:color w:val="auto"/>
                <w:sz w:val="24"/>
                <w:szCs w:val="24"/>
                <w:highlight w:val="none"/>
                <w:lang w:val="en-US" w:bidi="zh-CN"/>
              </w:rPr>
              <w:t>.</w:t>
            </w:r>
            <w:r>
              <w:rPr>
                <w:rFonts w:hint="eastAsia" w:ascii="宋体" w:hAnsi="宋体" w:eastAsia="宋体" w:cs="宋体"/>
                <w:color w:val="auto"/>
                <w:spacing w:val="-3"/>
                <w:sz w:val="24"/>
                <w:szCs w:val="24"/>
                <w:highlight w:val="none"/>
                <w:lang w:val="zh-CN" w:bidi="zh-CN"/>
              </w:rPr>
              <w:t>参选人能够出具体检结果分析方案（</w:t>
            </w:r>
            <w:r>
              <w:rPr>
                <w:rFonts w:hint="eastAsia" w:ascii="宋体" w:hAnsi="宋体" w:eastAsia="宋体" w:cs="宋体"/>
                <w:color w:val="auto"/>
                <w:spacing w:val="-16"/>
                <w:sz w:val="24"/>
                <w:szCs w:val="24"/>
                <w:highlight w:val="none"/>
                <w:lang w:val="en-US" w:bidi="zh-CN"/>
              </w:rPr>
              <w:t>提供相关证明材料或承诺函）</w:t>
            </w:r>
            <w:r>
              <w:rPr>
                <w:rFonts w:hint="eastAsia" w:ascii="宋体" w:hAnsi="宋体" w:eastAsia="宋体" w:cs="宋体"/>
                <w:color w:val="auto"/>
                <w:spacing w:val="-3"/>
                <w:sz w:val="24"/>
                <w:szCs w:val="24"/>
                <w:highlight w:val="none"/>
                <w:lang w:val="zh-CN" w:bidi="zh-CN"/>
              </w:rPr>
              <w:t>得</w:t>
            </w:r>
            <w:r>
              <w:rPr>
                <w:rFonts w:hint="eastAsia" w:ascii="宋体" w:hAnsi="宋体" w:eastAsia="宋体" w:cs="宋体"/>
                <w:color w:val="auto"/>
                <w:sz w:val="24"/>
                <w:szCs w:val="24"/>
                <w:highlight w:val="none"/>
                <w:lang w:val="zh-CN" w:bidi="zh-CN"/>
              </w:rPr>
              <w:t>1</w:t>
            </w:r>
            <w:r>
              <w:rPr>
                <w:rFonts w:hint="eastAsia" w:ascii="宋体" w:hAnsi="宋体" w:eastAsia="宋体" w:cs="宋体"/>
                <w:color w:val="auto"/>
                <w:spacing w:val="-16"/>
                <w:sz w:val="24"/>
                <w:szCs w:val="24"/>
                <w:highlight w:val="none"/>
                <w:lang w:val="zh-CN" w:bidi="zh-CN"/>
              </w:rPr>
              <w:t>分；</w:t>
            </w:r>
            <w:r>
              <w:rPr>
                <w:rFonts w:hint="eastAsia" w:ascii="宋体" w:hAnsi="宋体" w:eastAsia="宋体" w:cs="宋体"/>
                <w:color w:val="auto"/>
                <w:sz w:val="24"/>
                <w:szCs w:val="24"/>
                <w:highlight w:val="none"/>
                <w:lang w:eastAsia="zh-CN"/>
              </w:rPr>
              <w:t>未提供不得分。</w:t>
            </w:r>
          </w:p>
        </w:tc>
      </w:tr>
      <w:tr w14:paraId="5B41A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Merge w:val="continue"/>
            <w:vAlign w:val="center"/>
          </w:tcPr>
          <w:p w14:paraId="337F037B">
            <w:pPr>
              <w:pStyle w:val="110"/>
              <w:keepNext w:val="0"/>
              <w:keepLines w:val="0"/>
              <w:pageBreakBefore w:val="0"/>
              <w:widowControl/>
              <w:kinsoku/>
              <w:wordWrap/>
              <w:overflowPunct/>
              <w:topLinePunct w:val="0"/>
              <w:autoSpaceDE/>
              <w:autoSpaceDN/>
              <w:bidi w:val="0"/>
              <w:adjustRightInd/>
              <w:snapToGrid/>
              <w:spacing w:line="312" w:lineRule="auto"/>
              <w:ind w:left="0"/>
              <w:jc w:val="center"/>
              <w:textAlignment w:val="auto"/>
              <w:rPr>
                <w:rFonts w:hint="eastAsia" w:ascii="宋体" w:hAnsi="宋体" w:eastAsia="宋体" w:cs="宋体"/>
                <w:spacing w:val="0"/>
                <w:sz w:val="24"/>
                <w:szCs w:val="24"/>
                <w:highlight w:val="none"/>
                <w:lang w:val="en-US" w:eastAsia="zh-CN"/>
              </w:rPr>
            </w:pPr>
          </w:p>
        </w:tc>
        <w:tc>
          <w:tcPr>
            <w:tcW w:w="512" w:type="pct"/>
            <w:vMerge w:val="continue"/>
            <w:vAlign w:val="center"/>
          </w:tcPr>
          <w:p w14:paraId="6EC85D16">
            <w:pPr>
              <w:pStyle w:val="110"/>
              <w:keepNext w:val="0"/>
              <w:keepLines w:val="0"/>
              <w:pageBreakBefore w:val="0"/>
              <w:widowControl/>
              <w:kinsoku/>
              <w:wordWrap/>
              <w:overflowPunct/>
              <w:topLinePunct w:val="0"/>
              <w:autoSpaceDE/>
              <w:autoSpaceDN/>
              <w:bidi w:val="0"/>
              <w:adjustRightInd/>
              <w:snapToGrid/>
              <w:spacing w:line="288" w:lineRule="auto"/>
              <w:ind w:left="0" w:leftChars="0"/>
              <w:jc w:val="center"/>
              <w:textAlignment w:val="auto"/>
              <w:rPr>
                <w:rFonts w:hint="eastAsia" w:ascii="宋体" w:hAnsi="宋体" w:eastAsia="宋体" w:cs="宋体"/>
                <w:color w:val="auto"/>
                <w:sz w:val="24"/>
                <w:szCs w:val="24"/>
                <w:highlight w:val="none"/>
              </w:rPr>
            </w:pPr>
          </w:p>
        </w:tc>
        <w:tc>
          <w:tcPr>
            <w:tcW w:w="285" w:type="pct"/>
            <w:vAlign w:val="center"/>
          </w:tcPr>
          <w:p w14:paraId="484A30A6">
            <w:pPr>
              <w:bidi w:val="0"/>
              <w:jc w:val="center"/>
              <w:rPr>
                <w:rFonts w:hint="eastAsia" w:ascii="宋体" w:hAnsi="宋体" w:eastAsia="宋体" w:cs="宋体"/>
                <w:lang w:val="en-US" w:eastAsia="zh-CN"/>
              </w:rPr>
            </w:pPr>
            <w:r>
              <w:rPr>
                <w:rFonts w:hint="eastAsia" w:ascii="宋体" w:hAnsi="宋体" w:eastAsia="宋体" w:cs="宋体"/>
                <w:lang w:val="en-US" w:eastAsia="zh-CN"/>
              </w:rPr>
              <w:t>7分</w:t>
            </w:r>
          </w:p>
        </w:tc>
        <w:tc>
          <w:tcPr>
            <w:tcW w:w="3982" w:type="pct"/>
            <w:vAlign w:val="center"/>
          </w:tcPr>
          <w:p w14:paraId="68C3889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b w:val="0"/>
                <w:bCs/>
                <w:color w:val="auto"/>
                <w:sz w:val="24"/>
                <w:szCs w:val="24"/>
                <w:highlight w:val="none"/>
                <w:lang w:val="zh-CN" w:bidi="zh-CN"/>
              </w:rPr>
              <w:t>根据体检报告内容的全面性、体检结果分析程序的严谨性、问题处理流程的清晰度、体检后跟踪反馈机制的健全性等四项情况综合进行比较，报告方案合理可行、针对性强</w:t>
            </w:r>
            <w:r>
              <w:rPr>
                <w:rFonts w:hint="eastAsia" w:ascii="宋体" w:hAnsi="宋体" w:eastAsia="宋体" w:cs="宋体"/>
                <w:b w:val="0"/>
                <w:color w:val="auto"/>
                <w:kern w:val="2"/>
                <w:sz w:val="24"/>
                <w:szCs w:val="24"/>
                <w:highlight w:val="none"/>
                <w:lang w:val="en-US" w:eastAsia="zh-CN" w:bidi="ar-SA"/>
              </w:rPr>
              <w:t>得</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zh-CN" w:bidi="zh-CN"/>
              </w:rPr>
              <w:t>分；报告方案较合理、针对性较强</w:t>
            </w:r>
            <w:r>
              <w:rPr>
                <w:rFonts w:hint="eastAsia" w:ascii="宋体" w:hAnsi="宋体" w:eastAsia="宋体" w:cs="宋体"/>
                <w:b w:val="0"/>
                <w:color w:val="auto"/>
                <w:kern w:val="2"/>
                <w:sz w:val="24"/>
                <w:szCs w:val="24"/>
                <w:highlight w:val="none"/>
                <w:lang w:val="en-US" w:eastAsia="zh-CN" w:bidi="ar-SA"/>
              </w:rPr>
              <w:t>得</w:t>
            </w: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zh-CN" w:bidi="zh-CN"/>
              </w:rPr>
              <w:t>分；报告方案基本合理</w:t>
            </w:r>
            <w:r>
              <w:rPr>
                <w:rFonts w:hint="eastAsia" w:ascii="宋体" w:hAnsi="宋体" w:eastAsia="宋体" w:cs="宋体"/>
                <w:b w:val="0"/>
                <w:color w:val="auto"/>
                <w:kern w:val="2"/>
                <w:sz w:val="24"/>
                <w:szCs w:val="24"/>
                <w:highlight w:val="none"/>
                <w:lang w:val="en-US" w:eastAsia="zh-CN" w:bidi="ar-SA"/>
              </w:rPr>
              <w:t>得</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zh-CN" w:bidi="zh-CN"/>
              </w:rPr>
              <w:t>分；报告方案</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rPr>
              <w:t>完善</w:t>
            </w:r>
            <w:r>
              <w:rPr>
                <w:rFonts w:hint="eastAsia" w:cs="宋体"/>
                <w:color w:val="auto"/>
                <w:sz w:val="24"/>
                <w:szCs w:val="24"/>
                <w:highlight w:val="none"/>
                <w:lang w:val="en-US" w:eastAsia="zh-CN"/>
              </w:rPr>
              <w:t>的</w:t>
            </w:r>
            <w:r>
              <w:rPr>
                <w:rFonts w:hint="eastAsia" w:ascii="宋体" w:hAnsi="宋体" w:eastAsia="宋体" w:cs="宋体"/>
                <w:b w:val="0"/>
                <w:color w:val="auto"/>
                <w:kern w:val="2"/>
                <w:sz w:val="24"/>
                <w:szCs w:val="24"/>
                <w:highlight w:val="none"/>
                <w:lang w:val="en-US" w:eastAsia="zh-CN" w:bidi="ar-SA"/>
              </w:rPr>
              <w:t>得</w:t>
            </w:r>
            <w:r>
              <w:rPr>
                <w:rFonts w:hint="eastAsia" w:cs="宋体"/>
                <w:b w:val="0"/>
                <w:bCs/>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报告</w:t>
            </w:r>
            <w:r>
              <w:rPr>
                <w:rFonts w:hint="eastAsia" w:ascii="宋体" w:hAnsi="宋体" w:eastAsia="宋体" w:cs="宋体"/>
                <w:color w:val="auto"/>
                <w:sz w:val="24"/>
                <w:szCs w:val="24"/>
                <w:highlight w:val="none"/>
              </w:rPr>
              <w:t>方案</w:t>
            </w:r>
            <w:r>
              <w:rPr>
                <w:rFonts w:hint="eastAsia" w:ascii="宋体" w:hAnsi="宋体" w:eastAsia="宋体" w:cs="宋体"/>
                <w:b w:val="0"/>
                <w:color w:val="auto"/>
                <w:kern w:val="2"/>
                <w:sz w:val="24"/>
                <w:szCs w:val="24"/>
                <w:highlight w:val="none"/>
                <w:lang w:val="en-US" w:eastAsia="zh-CN" w:bidi="ar-SA"/>
              </w:rPr>
              <w:t>简单笼统，不够明确的得1分；</w:t>
            </w:r>
            <w:r>
              <w:rPr>
                <w:rFonts w:hint="eastAsia" w:ascii="宋体" w:hAnsi="宋体" w:eastAsia="宋体" w:cs="宋体"/>
                <w:color w:val="auto"/>
                <w:sz w:val="24"/>
                <w:szCs w:val="24"/>
                <w:highlight w:val="none"/>
                <w:lang w:eastAsia="zh-CN"/>
              </w:rPr>
              <w:t>未提供不得分。</w:t>
            </w:r>
          </w:p>
        </w:tc>
      </w:tr>
      <w:tr w14:paraId="4F078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5F011BE6">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8</w:t>
            </w:r>
          </w:p>
        </w:tc>
        <w:tc>
          <w:tcPr>
            <w:tcW w:w="512" w:type="pct"/>
            <w:vAlign w:val="center"/>
          </w:tcPr>
          <w:p w14:paraId="13D25B1A">
            <w:pPr>
              <w:pStyle w:val="110"/>
              <w:keepNext w:val="0"/>
              <w:keepLines w:val="0"/>
              <w:pageBreakBefore w:val="0"/>
              <w:widowControl/>
              <w:kinsoku/>
              <w:wordWrap/>
              <w:overflowPunct/>
              <w:topLinePunct w:val="0"/>
              <w:autoSpaceDE/>
              <w:autoSpaceDN/>
              <w:bidi w:val="0"/>
              <w:adjustRightInd/>
              <w:snapToGrid/>
              <w:spacing w:line="288"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color w:val="auto"/>
                <w:sz w:val="24"/>
                <w:szCs w:val="24"/>
                <w:highlight w:val="none"/>
              </w:rPr>
              <w:t>售后服务</w:t>
            </w:r>
          </w:p>
        </w:tc>
        <w:tc>
          <w:tcPr>
            <w:tcW w:w="285" w:type="pct"/>
            <w:vAlign w:val="center"/>
          </w:tcPr>
          <w:p w14:paraId="11A67759">
            <w:pPr>
              <w:bidi w:val="0"/>
              <w:jc w:val="center"/>
              <w:rPr>
                <w:rFonts w:hint="eastAsia" w:ascii="宋体" w:hAnsi="宋体" w:eastAsia="宋体" w:cs="宋体"/>
                <w:lang w:val="en-US" w:eastAsia="zh-CN"/>
              </w:rPr>
            </w:pPr>
            <w:r>
              <w:rPr>
                <w:rFonts w:hint="eastAsia" w:ascii="宋体" w:hAnsi="宋体" w:eastAsia="宋体" w:cs="宋体"/>
                <w:lang w:val="en-US" w:eastAsia="zh-CN"/>
              </w:rPr>
              <w:t>7分</w:t>
            </w:r>
          </w:p>
        </w:tc>
        <w:tc>
          <w:tcPr>
            <w:tcW w:w="3982" w:type="pct"/>
            <w:vAlign w:val="center"/>
          </w:tcPr>
          <w:p w14:paraId="0BC8148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color w:val="auto"/>
                <w:sz w:val="24"/>
                <w:szCs w:val="24"/>
                <w:highlight w:val="none"/>
                <w:lang w:val="zh-CN" w:bidi="zh-CN"/>
              </w:rPr>
            </w:pPr>
            <w:r>
              <w:rPr>
                <w:rFonts w:hint="eastAsia" w:ascii="宋体" w:hAnsi="宋体" w:eastAsia="宋体" w:cs="宋体"/>
                <w:b w:val="0"/>
                <w:bCs/>
                <w:color w:val="auto"/>
                <w:sz w:val="24"/>
                <w:szCs w:val="24"/>
                <w:highlight w:val="none"/>
                <w:lang w:val="zh-CN" w:bidi="zh-CN"/>
              </w:rPr>
              <w:t>具备详细</w:t>
            </w:r>
            <w:r>
              <w:rPr>
                <w:rFonts w:hint="eastAsia" w:ascii="宋体" w:hAnsi="宋体" w:eastAsia="宋体" w:cs="宋体"/>
                <w:b w:val="0"/>
                <w:bCs/>
                <w:color w:val="auto"/>
                <w:sz w:val="24"/>
                <w:szCs w:val="24"/>
                <w:highlight w:val="none"/>
                <w:lang w:val="en-US" w:eastAsia="zh-CN" w:bidi="zh-CN"/>
              </w:rPr>
              <w:t>的</w:t>
            </w:r>
            <w:r>
              <w:rPr>
                <w:rFonts w:hint="eastAsia" w:ascii="宋体" w:hAnsi="宋体" w:eastAsia="宋体" w:cs="宋体"/>
                <w:b w:val="0"/>
                <w:bCs/>
                <w:color w:val="auto"/>
                <w:sz w:val="24"/>
                <w:szCs w:val="24"/>
                <w:highlight w:val="none"/>
                <w:lang w:val="zh-CN" w:bidi="zh-CN"/>
              </w:rPr>
              <w:t>后期跟踪、健康管理建议、健康风险评估服务。</w:t>
            </w:r>
          </w:p>
          <w:p w14:paraId="222BA66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b w:val="0"/>
                <w:bCs/>
                <w:color w:val="auto"/>
                <w:sz w:val="24"/>
                <w:szCs w:val="24"/>
                <w:highlight w:val="none"/>
                <w:lang w:val="zh-CN" w:bidi="zh-CN"/>
              </w:rPr>
              <w:t>后期跟踪服务及时、健康管理建议及风险评估完善，为需进一步检查者可提供便利服务的</w:t>
            </w:r>
            <w:r>
              <w:rPr>
                <w:rFonts w:hint="eastAsia" w:ascii="宋体" w:hAnsi="宋体" w:eastAsia="宋体" w:cs="宋体"/>
                <w:b w:val="0"/>
                <w:bCs/>
                <w:color w:val="auto"/>
                <w:sz w:val="24"/>
                <w:szCs w:val="24"/>
                <w:highlight w:val="none"/>
                <w:lang w:val="en-US" w:eastAsia="zh-CN" w:bidi="zh-CN"/>
              </w:rPr>
              <w:t>得7</w:t>
            </w:r>
            <w:r>
              <w:rPr>
                <w:rFonts w:hint="eastAsia" w:ascii="宋体" w:hAnsi="宋体" w:eastAsia="宋体" w:cs="宋体"/>
                <w:b w:val="0"/>
                <w:bCs/>
                <w:color w:val="auto"/>
                <w:sz w:val="24"/>
                <w:szCs w:val="24"/>
                <w:highlight w:val="none"/>
                <w:lang w:val="zh-CN" w:bidi="zh-CN"/>
              </w:rPr>
              <w:t>分；后期跟踪服务</w:t>
            </w:r>
            <w:r>
              <w:rPr>
                <w:rFonts w:hint="eastAsia" w:ascii="宋体" w:hAnsi="宋体" w:eastAsia="宋体" w:cs="宋体"/>
                <w:b w:val="0"/>
                <w:bCs/>
                <w:color w:val="auto"/>
                <w:sz w:val="24"/>
                <w:szCs w:val="24"/>
                <w:highlight w:val="none"/>
                <w:lang w:val="zh-CN" w:eastAsia="zh-CN" w:bidi="zh-CN"/>
              </w:rPr>
              <w:t>较</w:t>
            </w:r>
            <w:r>
              <w:rPr>
                <w:rFonts w:hint="eastAsia" w:ascii="宋体" w:hAnsi="宋体" w:eastAsia="宋体" w:cs="宋体"/>
                <w:b w:val="0"/>
                <w:bCs/>
                <w:color w:val="auto"/>
                <w:sz w:val="24"/>
                <w:szCs w:val="24"/>
                <w:highlight w:val="none"/>
                <w:lang w:val="zh-CN" w:bidi="zh-CN"/>
              </w:rPr>
              <w:t>及时、健康管理建议及风险评估</w:t>
            </w:r>
            <w:r>
              <w:rPr>
                <w:rFonts w:hint="eastAsia" w:ascii="宋体" w:hAnsi="宋体" w:eastAsia="宋体" w:cs="宋体"/>
                <w:b w:val="0"/>
                <w:bCs/>
                <w:color w:val="auto"/>
                <w:sz w:val="24"/>
                <w:szCs w:val="24"/>
                <w:highlight w:val="none"/>
                <w:lang w:val="zh-CN" w:eastAsia="zh-CN" w:bidi="zh-CN"/>
              </w:rPr>
              <w:t>较</w:t>
            </w:r>
            <w:r>
              <w:rPr>
                <w:rFonts w:hint="eastAsia" w:ascii="宋体" w:hAnsi="宋体" w:eastAsia="宋体" w:cs="宋体"/>
                <w:b w:val="0"/>
                <w:bCs/>
                <w:color w:val="auto"/>
                <w:sz w:val="24"/>
                <w:szCs w:val="24"/>
                <w:highlight w:val="none"/>
                <w:lang w:val="zh-CN" w:bidi="zh-CN"/>
              </w:rPr>
              <w:t>完善，为需进一步检查者可提供</w:t>
            </w:r>
            <w:r>
              <w:rPr>
                <w:rFonts w:hint="eastAsia" w:ascii="宋体" w:hAnsi="宋体" w:eastAsia="宋体" w:cs="宋体"/>
                <w:b w:val="0"/>
                <w:bCs/>
                <w:color w:val="auto"/>
                <w:sz w:val="24"/>
                <w:szCs w:val="24"/>
                <w:highlight w:val="none"/>
                <w:lang w:val="zh-CN" w:eastAsia="zh-CN" w:bidi="zh-CN"/>
              </w:rPr>
              <w:t>较</w:t>
            </w:r>
            <w:r>
              <w:rPr>
                <w:rFonts w:hint="eastAsia" w:ascii="宋体" w:hAnsi="宋体" w:eastAsia="宋体" w:cs="宋体"/>
                <w:b w:val="0"/>
                <w:bCs/>
                <w:color w:val="auto"/>
                <w:sz w:val="24"/>
                <w:szCs w:val="24"/>
                <w:highlight w:val="none"/>
                <w:lang w:val="zh-CN" w:bidi="zh-CN"/>
              </w:rPr>
              <w:t>便利服务的</w:t>
            </w:r>
            <w:r>
              <w:rPr>
                <w:rFonts w:hint="eastAsia" w:ascii="宋体" w:hAnsi="宋体" w:eastAsia="宋体" w:cs="宋体"/>
                <w:b w:val="0"/>
                <w:bCs/>
                <w:color w:val="auto"/>
                <w:sz w:val="24"/>
                <w:szCs w:val="24"/>
                <w:highlight w:val="none"/>
                <w:lang w:val="en-US" w:eastAsia="zh-CN" w:bidi="zh-CN"/>
              </w:rPr>
              <w:t>得5</w:t>
            </w:r>
            <w:r>
              <w:rPr>
                <w:rFonts w:hint="eastAsia" w:ascii="宋体" w:hAnsi="宋体" w:eastAsia="宋体" w:cs="宋体"/>
                <w:b w:val="0"/>
                <w:bCs/>
                <w:color w:val="auto"/>
                <w:sz w:val="24"/>
                <w:szCs w:val="24"/>
                <w:highlight w:val="none"/>
                <w:lang w:val="zh-CN" w:bidi="zh-CN"/>
              </w:rPr>
              <w:t>分；后期跟踪服务及时性</w:t>
            </w:r>
            <w:r>
              <w:rPr>
                <w:rFonts w:hint="eastAsia" w:ascii="宋体" w:hAnsi="宋体" w:eastAsia="宋体" w:cs="宋体"/>
                <w:b w:val="0"/>
                <w:bCs/>
                <w:color w:val="auto"/>
                <w:sz w:val="24"/>
                <w:szCs w:val="24"/>
                <w:highlight w:val="none"/>
                <w:lang w:val="en-US" w:eastAsia="zh-CN" w:bidi="zh-CN"/>
              </w:rPr>
              <w:t>基本完善</w:t>
            </w:r>
            <w:r>
              <w:rPr>
                <w:rFonts w:hint="eastAsia" w:ascii="宋体" w:hAnsi="宋体" w:eastAsia="宋体" w:cs="宋体"/>
                <w:b w:val="0"/>
                <w:bCs/>
                <w:color w:val="auto"/>
                <w:sz w:val="24"/>
                <w:szCs w:val="24"/>
                <w:highlight w:val="none"/>
                <w:lang w:val="zh-CN" w:bidi="zh-CN"/>
              </w:rPr>
              <w:t>、健康管理建议及风险评估</w:t>
            </w:r>
            <w:r>
              <w:rPr>
                <w:rFonts w:hint="eastAsia" w:ascii="宋体" w:hAnsi="宋体" w:eastAsia="宋体" w:cs="宋体"/>
                <w:b w:val="0"/>
                <w:bCs/>
                <w:color w:val="auto"/>
                <w:sz w:val="24"/>
                <w:szCs w:val="24"/>
                <w:highlight w:val="none"/>
                <w:lang w:val="en-US" w:eastAsia="zh-CN" w:bidi="zh-CN"/>
              </w:rPr>
              <w:t>基本</w:t>
            </w:r>
            <w:r>
              <w:rPr>
                <w:rFonts w:hint="eastAsia" w:ascii="宋体" w:hAnsi="宋体" w:eastAsia="宋体" w:cs="宋体"/>
                <w:b w:val="0"/>
                <w:bCs/>
                <w:color w:val="auto"/>
                <w:sz w:val="24"/>
                <w:szCs w:val="24"/>
                <w:highlight w:val="none"/>
                <w:lang w:val="zh-CN" w:bidi="zh-CN"/>
              </w:rPr>
              <w:t>完善</w:t>
            </w:r>
            <w:r>
              <w:rPr>
                <w:rFonts w:hint="eastAsia" w:ascii="宋体" w:hAnsi="宋体" w:eastAsia="宋体" w:cs="宋体"/>
                <w:b w:val="0"/>
                <w:bCs/>
                <w:color w:val="auto"/>
                <w:sz w:val="24"/>
                <w:szCs w:val="24"/>
                <w:highlight w:val="none"/>
                <w:lang w:val="zh-CN" w:eastAsia="zh-CN" w:bidi="zh-CN"/>
              </w:rPr>
              <w:t>，</w:t>
            </w:r>
            <w:r>
              <w:rPr>
                <w:rFonts w:hint="eastAsia" w:ascii="宋体" w:hAnsi="宋体" w:eastAsia="宋体" w:cs="宋体"/>
                <w:b w:val="0"/>
                <w:bCs/>
                <w:color w:val="auto"/>
                <w:sz w:val="24"/>
                <w:szCs w:val="24"/>
                <w:highlight w:val="none"/>
                <w:lang w:val="zh-CN" w:bidi="zh-CN"/>
              </w:rPr>
              <w:t>为需进一步检查者提供的服务便利性</w:t>
            </w:r>
            <w:r>
              <w:rPr>
                <w:rFonts w:hint="eastAsia" w:ascii="宋体" w:hAnsi="宋体" w:eastAsia="宋体" w:cs="宋体"/>
                <w:b w:val="0"/>
                <w:bCs/>
                <w:color w:val="auto"/>
                <w:sz w:val="24"/>
                <w:szCs w:val="24"/>
                <w:highlight w:val="none"/>
                <w:lang w:val="zh-CN" w:eastAsia="zh-CN" w:bidi="zh-CN"/>
              </w:rPr>
              <w:t>一般</w:t>
            </w:r>
            <w:r>
              <w:rPr>
                <w:rFonts w:hint="eastAsia" w:ascii="宋体" w:hAnsi="宋体" w:eastAsia="宋体" w:cs="宋体"/>
                <w:b w:val="0"/>
                <w:bCs/>
                <w:color w:val="auto"/>
                <w:sz w:val="24"/>
                <w:szCs w:val="24"/>
                <w:highlight w:val="none"/>
                <w:lang w:val="en-US" w:eastAsia="zh-CN" w:bidi="zh-CN"/>
              </w:rPr>
              <w:t>的得3</w:t>
            </w:r>
            <w:r>
              <w:rPr>
                <w:rFonts w:hint="eastAsia" w:ascii="宋体" w:hAnsi="宋体" w:eastAsia="宋体" w:cs="宋体"/>
                <w:b w:val="0"/>
                <w:bCs/>
                <w:color w:val="auto"/>
                <w:sz w:val="24"/>
                <w:szCs w:val="24"/>
                <w:highlight w:val="none"/>
                <w:lang w:val="zh-CN" w:bidi="zh-CN"/>
              </w:rPr>
              <w:t>分</w:t>
            </w:r>
            <w:r>
              <w:rPr>
                <w:rFonts w:hint="eastAsia" w:ascii="宋体" w:hAnsi="宋体" w:eastAsia="宋体" w:cs="宋体"/>
                <w:b w:val="0"/>
                <w:bCs/>
                <w:color w:val="auto"/>
                <w:sz w:val="24"/>
                <w:szCs w:val="24"/>
                <w:highlight w:val="none"/>
                <w:lang w:val="zh-CN" w:eastAsia="zh-CN" w:bidi="zh-CN"/>
              </w:rPr>
              <w:t>；</w:t>
            </w:r>
            <w:r>
              <w:rPr>
                <w:rFonts w:hint="eastAsia" w:ascii="宋体" w:hAnsi="宋体" w:eastAsia="宋体" w:cs="宋体"/>
                <w:b w:val="0"/>
                <w:bCs/>
                <w:color w:val="auto"/>
                <w:sz w:val="24"/>
                <w:szCs w:val="24"/>
                <w:highlight w:val="none"/>
                <w:lang w:val="zh-CN" w:bidi="zh-CN"/>
              </w:rPr>
              <w:t>后期跟踪服务及时性</w:t>
            </w:r>
            <w:r>
              <w:rPr>
                <w:rFonts w:hint="eastAsia" w:ascii="宋体" w:hAnsi="宋体" w:eastAsia="宋体" w:cs="宋体"/>
                <w:b w:val="0"/>
                <w:bCs/>
                <w:color w:val="auto"/>
                <w:sz w:val="24"/>
                <w:szCs w:val="24"/>
                <w:highlight w:val="none"/>
                <w:lang w:val="en-US" w:eastAsia="zh-CN" w:bidi="zh-CN"/>
              </w:rPr>
              <w:t>部分完善</w:t>
            </w:r>
            <w:r>
              <w:rPr>
                <w:rFonts w:hint="eastAsia" w:ascii="宋体" w:hAnsi="宋体" w:eastAsia="宋体" w:cs="宋体"/>
                <w:b w:val="0"/>
                <w:bCs/>
                <w:color w:val="auto"/>
                <w:sz w:val="24"/>
                <w:szCs w:val="24"/>
                <w:highlight w:val="none"/>
                <w:lang w:val="zh-CN" w:bidi="zh-CN"/>
              </w:rPr>
              <w:t>、健康管理建议及风险评估</w:t>
            </w:r>
            <w:r>
              <w:rPr>
                <w:rFonts w:hint="eastAsia" w:ascii="宋体" w:hAnsi="宋体" w:eastAsia="宋体" w:cs="宋体"/>
                <w:b w:val="0"/>
                <w:bCs/>
                <w:color w:val="auto"/>
                <w:sz w:val="24"/>
                <w:szCs w:val="24"/>
                <w:highlight w:val="none"/>
                <w:lang w:val="zh-CN" w:eastAsia="zh-CN" w:bidi="zh-CN"/>
              </w:rPr>
              <w:t>部分</w:t>
            </w:r>
            <w:r>
              <w:rPr>
                <w:rFonts w:hint="eastAsia" w:ascii="宋体" w:hAnsi="宋体" w:eastAsia="宋体" w:cs="宋体"/>
                <w:b w:val="0"/>
                <w:bCs/>
                <w:color w:val="auto"/>
                <w:sz w:val="24"/>
                <w:szCs w:val="24"/>
                <w:highlight w:val="none"/>
                <w:lang w:val="zh-CN" w:bidi="zh-CN"/>
              </w:rPr>
              <w:t>完善</w:t>
            </w:r>
            <w:r>
              <w:rPr>
                <w:rFonts w:hint="eastAsia" w:ascii="宋体" w:hAnsi="宋体" w:eastAsia="宋体" w:cs="宋体"/>
                <w:b w:val="0"/>
                <w:bCs/>
                <w:color w:val="auto"/>
                <w:sz w:val="24"/>
                <w:szCs w:val="24"/>
                <w:highlight w:val="none"/>
                <w:lang w:val="en-US" w:eastAsia="zh-CN" w:bidi="zh-CN"/>
              </w:rPr>
              <w:t>的得2</w:t>
            </w:r>
            <w:r>
              <w:rPr>
                <w:rFonts w:hint="eastAsia" w:ascii="宋体" w:hAnsi="宋体" w:eastAsia="宋体" w:cs="宋体"/>
                <w:b w:val="0"/>
                <w:bCs/>
                <w:color w:val="auto"/>
                <w:sz w:val="24"/>
                <w:szCs w:val="24"/>
                <w:highlight w:val="none"/>
                <w:lang w:val="zh-CN" w:bidi="zh-CN"/>
              </w:rPr>
              <w:t>分</w:t>
            </w:r>
            <w:r>
              <w:rPr>
                <w:rFonts w:hint="eastAsia" w:ascii="宋体" w:hAnsi="宋体" w:eastAsia="宋体" w:cs="宋体"/>
                <w:b w:val="0"/>
                <w:bCs/>
                <w:color w:val="auto"/>
                <w:sz w:val="24"/>
                <w:szCs w:val="24"/>
                <w:highlight w:val="none"/>
                <w:lang w:val="zh-CN" w:eastAsia="zh-CN" w:bidi="zh-CN"/>
              </w:rPr>
              <w:t>；</w:t>
            </w:r>
            <w:r>
              <w:rPr>
                <w:rFonts w:hint="eastAsia" w:ascii="宋体" w:hAnsi="宋体" w:eastAsia="宋体" w:cs="宋体"/>
                <w:b w:val="0"/>
                <w:bCs/>
                <w:color w:val="auto"/>
                <w:sz w:val="24"/>
                <w:szCs w:val="24"/>
                <w:highlight w:val="none"/>
                <w:lang w:val="zh-CN" w:bidi="zh-CN"/>
              </w:rPr>
              <w:t>后期跟踪服务及时性</w:t>
            </w:r>
            <w:r>
              <w:rPr>
                <w:rFonts w:hint="eastAsia" w:ascii="宋体" w:hAnsi="宋体" w:eastAsia="宋体" w:cs="宋体"/>
                <w:b w:val="0"/>
                <w:bCs/>
                <w:color w:val="auto"/>
                <w:sz w:val="24"/>
                <w:szCs w:val="24"/>
                <w:highlight w:val="none"/>
                <w:lang w:val="zh-CN" w:eastAsia="zh-CN" w:bidi="zh-CN"/>
              </w:rPr>
              <w:t>、</w:t>
            </w:r>
            <w:r>
              <w:rPr>
                <w:rFonts w:hint="eastAsia" w:ascii="宋体" w:hAnsi="宋体" w:eastAsia="宋体" w:cs="宋体"/>
                <w:b w:val="0"/>
                <w:bCs/>
                <w:color w:val="auto"/>
                <w:sz w:val="24"/>
                <w:szCs w:val="24"/>
                <w:highlight w:val="none"/>
                <w:lang w:val="zh-CN" w:bidi="zh-CN"/>
              </w:rPr>
              <w:t>健康管理建议及风险评估</w:t>
            </w:r>
            <w:r>
              <w:rPr>
                <w:rFonts w:hint="eastAsia" w:ascii="宋体" w:hAnsi="宋体" w:eastAsia="宋体" w:cs="宋体"/>
                <w:b w:val="0"/>
                <w:bCs/>
                <w:color w:val="auto"/>
                <w:sz w:val="24"/>
                <w:szCs w:val="24"/>
                <w:highlight w:val="none"/>
                <w:lang w:val="en-US" w:eastAsia="zh-CN" w:bidi="zh-CN"/>
              </w:rPr>
              <w:t>简单笼统，不够明确的得1</w:t>
            </w:r>
            <w:r>
              <w:rPr>
                <w:rFonts w:hint="eastAsia" w:ascii="宋体" w:hAnsi="宋体" w:eastAsia="宋体" w:cs="宋体"/>
                <w:b w:val="0"/>
                <w:bCs/>
                <w:color w:val="auto"/>
                <w:sz w:val="24"/>
                <w:szCs w:val="24"/>
                <w:highlight w:val="none"/>
                <w:lang w:val="zh-CN" w:bidi="zh-CN"/>
              </w:rPr>
              <w:t>分</w:t>
            </w:r>
            <w:r>
              <w:rPr>
                <w:rFonts w:hint="eastAsia" w:ascii="宋体" w:hAnsi="宋体" w:eastAsia="宋体" w:cs="宋体"/>
                <w:b w:val="0"/>
                <w:bCs/>
                <w:color w:val="auto"/>
                <w:sz w:val="24"/>
                <w:szCs w:val="24"/>
                <w:highlight w:val="none"/>
                <w:lang w:val="zh-CN" w:eastAsia="zh-CN" w:bidi="zh-CN"/>
              </w:rPr>
              <w:t>；未提供不得分。</w:t>
            </w:r>
          </w:p>
        </w:tc>
      </w:tr>
      <w:tr w14:paraId="5F3EF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0D426BE5">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bidi="ar-SA"/>
              </w:rPr>
              <w:t>9</w:t>
            </w:r>
          </w:p>
        </w:tc>
        <w:tc>
          <w:tcPr>
            <w:tcW w:w="512" w:type="pct"/>
            <w:vAlign w:val="center"/>
          </w:tcPr>
          <w:p w14:paraId="3F8E90F9">
            <w:pPr>
              <w:pStyle w:val="110"/>
              <w:keepNext w:val="0"/>
              <w:keepLines w:val="0"/>
              <w:pageBreakBefore w:val="0"/>
              <w:widowControl/>
              <w:kinsoku/>
              <w:wordWrap/>
              <w:overflowPunct/>
              <w:topLinePunct w:val="0"/>
              <w:autoSpaceDE/>
              <w:autoSpaceDN/>
              <w:bidi w:val="0"/>
              <w:adjustRightInd/>
              <w:snapToGrid/>
              <w:spacing w:line="288"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color w:val="auto"/>
                <w:sz w:val="24"/>
                <w:szCs w:val="24"/>
                <w:highlight w:val="none"/>
              </w:rPr>
              <w:t>体检环境</w:t>
            </w:r>
          </w:p>
        </w:tc>
        <w:tc>
          <w:tcPr>
            <w:tcW w:w="285" w:type="pct"/>
            <w:vAlign w:val="center"/>
          </w:tcPr>
          <w:p w14:paraId="08269A58">
            <w:pPr>
              <w:bidi w:val="0"/>
              <w:jc w:val="center"/>
              <w:rPr>
                <w:rFonts w:hint="eastAsia" w:ascii="宋体" w:hAnsi="宋体" w:eastAsia="宋体" w:cs="宋体"/>
                <w:lang w:val="en-US" w:eastAsia="zh-CN"/>
              </w:rPr>
            </w:pPr>
            <w:r>
              <w:rPr>
                <w:rFonts w:hint="eastAsia" w:ascii="宋体" w:hAnsi="宋体" w:eastAsia="宋体" w:cs="宋体"/>
                <w:lang w:val="en-US" w:eastAsia="zh-CN"/>
              </w:rPr>
              <w:t>5分</w:t>
            </w:r>
          </w:p>
        </w:tc>
        <w:tc>
          <w:tcPr>
            <w:tcW w:w="3982" w:type="pct"/>
            <w:vAlign w:val="center"/>
          </w:tcPr>
          <w:p w14:paraId="4EC5BB8D">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color w:val="auto"/>
                <w:sz w:val="24"/>
                <w:szCs w:val="24"/>
                <w:highlight w:val="none"/>
                <w:lang w:eastAsia="zh-CN"/>
              </w:rPr>
              <w:t>体检场所环境、布局合理，医检分离、具有</w:t>
            </w:r>
            <w:r>
              <w:rPr>
                <w:rFonts w:hint="eastAsia" w:ascii="宋体" w:hAnsi="宋体" w:eastAsia="宋体" w:cs="宋体"/>
                <w:color w:val="auto"/>
                <w:sz w:val="24"/>
                <w:szCs w:val="24"/>
                <w:highlight w:val="none"/>
              </w:rPr>
              <w:t>独立</w:t>
            </w:r>
            <w:r>
              <w:rPr>
                <w:rFonts w:hint="eastAsia" w:ascii="宋体" w:hAnsi="宋体" w:eastAsia="宋体" w:cs="宋体"/>
                <w:color w:val="auto"/>
                <w:sz w:val="24"/>
                <w:szCs w:val="24"/>
                <w:highlight w:val="none"/>
                <w:lang w:eastAsia="zh-CN"/>
              </w:rPr>
              <w:t>体检中心场地，交通便利</w:t>
            </w:r>
            <w:r>
              <w:rPr>
                <w:rFonts w:hint="eastAsia" w:cs="宋体"/>
                <w:color w:val="auto"/>
                <w:sz w:val="24"/>
                <w:szCs w:val="24"/>
                <w:highlight w:val="none"/>
                <w:lang w:val="en-US" w:eastAsia="zh-CN"/>
              </w:rPr>
              <w:t>的得</w:t>
            </w:r>
            <w:r>
              <w:rPr>
                <w:rFonts w:hint="eastAsia" w:cs="宋体"/>
                <w:b w:val="0"/>
                <w:bCs/>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体检场所环境、布局</w:t>
            </w:r>
            <w:r>
              <w:rPr>
                <w:rFonts w:hint="eastAsia" w:cs="宋体"/>
                <w:color w:val="auto"/>
                <w:sz w:val="24"/>
                <w:szCs w:val="24"/>
                <w:highlight w:val="none"/>
                <w:lang w:val="en-US" w:eastAsia="zh-CN"/>
              </w:rPr>
              <w:t>较</w:t>
            </w:r>
            <w:r>
              <w:rPr>
                <w:rFonts w:hint="eastAsia" w:ascii="宋体" w:hAnsi="宋体" w:eastAsia="宋体" w:cs="宋体"/>
                <w:color w:val="auto"/>
                <w:sz w:val="24"/>
                <w:szCs w:val="24"/>
                <w:highlight w:val="none"/>
              </w:rPr>
              <w:t>合理，具有独立体检中心场地，交通</w:t>
            </w:r>
            <w:r>
              <w:rPr>
                <w:rFonts w:hint="eastAsia" w:cs="宋体"/>
                <w:color w:val="auto"/>
                <w:sz w:val="24"/>
                <w:szCs w:val="24"/>
                <w:highlight w:val="none"/>
                <w:lang w:val="en-US" w:eastAsia="zh-CN"/>
              </w:rPr>
              <w:t>较</w:t>
            </w:r>
            <w:r>
              <w:rPr>
                <w:rFonts w:hint="eastAsia" w:ascii="宋体" w:hAnsi="宋体" w:eastAsia="宋体" w:cs="宋体"/>
                <w:color w:val="auto"/>
                <w:sz w:val="24"/>
                <w:szCs w:val="24"/>
                <w:highlight w:val="none"/>
              </w:rPr>
              <w:t>便利</w:t>
            </w:r>
            <w:r>
              <w:rPr>
                <w:rFonts w:hint="eastAsia" w:cs="宋体"/>
                <w:color w:val="auto"/>
                <w:sz w:val="24"/>
                <w:szCs w:val="24"/>
                <w:highlight w:val="none"/>
                <w:lang w:val="en-US" w:eastAsia="zh-CN"/>
              </w:rPr>
              <w:t>的得</w:t>
            </w:r>
            <w:r>
              <w:rPr>
                <w:rFonts w:hint="eastAsia" w:cs="宋体"/>
                <w:b w:val="0"/>
                <w:bCs/>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体检场所环境、布局</w:t>
            </w:r>
            <w:r>
              <w:rPr>
                <w:rFonts w:hint="eastAsia" w:cs="宋体"/>
                <w:color w:val="auto"/>
                <w:sz w:val="24"/>
                <w:szCs w:val="24"/>
                <w:highlight w:val="none"/>
                <w:lang w:val="en-US" w:eastAsia="zh-CN"/>
              </w:rPr>
              <w:t>基本</w:t>
            </w:r>
            <w:r>
              <w:rPr>
                <w:rFonts w:hint="eastAsia" w:ascii="宋体" w:hAnsi="宋体" w:eastAsia="宋体" w:cs="宋体"/>
                <w:color w:val="auto"/>
                <w:sz w:val="24"/>
                <w:szCs w:val="24"/>
                <w:highlight w:val="none"/>
              </w:rPr>
              <w:t>合理，具有独立体检中心场地，交通</w:t>
            </w:r>
            <w:r>
              <w:rPr>
                <w:rFonts w:hint="eastAsia" w:cs="宋体"/>
                <w:color w:val="auto"/>
                <w:sz w:val="24"/>
                <w:szCs w:val="24"/>
                <w:highlight w:val="none"/>
                <w:lang w:val="en-US" w:eastAsia="zh-CN"/>
              </w:rPr>
              <w:t>基本</w:t>
            </w:r>
            <w:r>
              <w:rPr>
                <w:rFonts w:hint="eastAsia" w:ascii="宋体" w:hAnsi="宋体" w:eastAsia="宋体" w:cs="宋体"/>
                <w:color w:val="auto"/>
                <w:sz w:val="24"/>
                <w:szCs w:val="24"/>
                <w:highlight w:val="none"/>
              </w:rPr>
              <w:t>便利</w:t>
            </w:r>
            <w:r>
              <w:rPr>
                <w:rFonts w:hint="eastAsia" w:cs="宋体"/>
                <w:color w:val="auto"/>
                <w:sz w:val="24"/>
                <w:szCs w:val="24"/>
                <w:highlight w:val="none"/>
                <w:lang w:val="en-US" w:eastAsia="zh-CN"/>
              </w:rPr>
              <w:t>的得</w:t>
            </w:r>
            <w:r>
              <w:rPr>
                <w:rFonts w:hint="eastAsia" w:cs="宋体"/>
                <w:b w:val="0"/>
                <w:bCs/>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体检场所环境、布局</w:t>
            </w:r>
            <w:r>
              <w:rPr>
                <w:rFonts w:hint="eastAsia" w:cs="宋体"/>
                <w:color w:val="auto"/>
                <w:sz w:val="24"/>
                <w:szCs w:val="24"/>
                <w:highlight w:val="none"/>
                <w:lang w:val="en-US" w:eastAsia="zh-CN"/>
              </w:rPr>
              <w:t>部分</w:t>
            </w:r>
            <w:r>
              <w:rPr>
                <w:rFonts w:hint="eastAsia" w:ascii="宋体" w:hAnsi="宋体" w:eastAsia="宋体" w:cs="宋体"/>
                <w:color w:val="auto"/>
                <w:sz w:val="24"/>
                <w:szCs w:val="24"/>
                <w:highlight w:val="none"/>
              </w:rPr>
              <w:t>合理，体检中心场地</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，交通</w:t>
            </w:r>
            <w:r>
              <w:rPr>
                <w:rFonts w:hint="eastAsia" w:cs="宋体"/>
                <w:color w:val="auto"/>
                <w:sz w:val="24"/>
                <w:szCs w:val="24"/>
                <w:highlight w:val="none"/>
                <w:lang w:val="en-US" w:eastAsia="zh-CN"/>
              </w:rPr>
              <w:t>不够</w:t>
            </w:r>
            <w:r>
              <w:rPr>
                <w:rFonts w:hint="eastAsia" w:ascii="宋体" w:hAnsi="宋体" w:eastAsia="宋体" w:cs="宋体"/>
                <w:color w:val="auto"/>
                <w:sz w:val="24"/>
                <w:szCs w:val="24"/>
                <w:highlight w:val="none"/>
              </w:rPr>
              <w:t>便利</w:t>
            </w:r>
            <w:r>
              <w:rPr>
                <w:rFonts w:hint="eastAsia" w:cs="宋体"/>
                <w:color w:val="auto"/>
                <w:sz w:val="24"/>
                <w:szCs w:val="24"/>
                <w:highlight w:val="none"/>
                <w:lang w:val="en-US" w:eastAsia="zh-CN"/>
              </w:rPr>
              <w:t>的得</w:t>
            </w:r>
            <w:r>
              <w:rPr>
                <w:rFonts w:hint="eastAsia" w:cs="宋体"/>
                <w:b w:val="0"/>
                <w:bCs/>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体检场所环境、布局</w:t>
            </w:r>
            <w:r>
              <w:rPr>
                <w:rFonts w:hint="eastAsia" w:cs="宋体"/>
                <w:color w:val="auto"/>
                <w:sz w:val="24"/>
                <w:szCs w:val="24"/>
                <w:highlight w:val="none"/>
                <w:lang w:val="en-US" w:eastAsia="zh-CN"/>
              </w:rPr>
              <w:t>部分</w:t>
            </w:r>
            <w:r>
              <w:rPr>
                <w:rFonts w:hint="eastAsia" w:ascii="宋体" w:hAnsi="宋体" w:eastAsia="宋体" w:cs="宋体"/>
                <w:color w:val="auto"/>
                <w:sz w:val="24"/>
                <w:szCs w:val="24"/>
                <w:highlight w:val="none"/>
                <w:lang w:val="en-US" w:eastAsia="zh-CN"/>
              </w:rPr>
              <w:t>简单</w:t>
            </w:r>
            <w:r>
              <w:rPr>
                <w:rFonts w:hint="eastAsia" w:ascii="宋体" w:hAnsi="宋体" w:eastAsia="宋体" w:cs="宋体"/>
                <w:color w:val="auto"/>
                <w:sz w:val="24"/>
                <w:szCs w:val="24"/>
                <w:highlight w:val="none"/>
              </w:rPr>
              <w:t>，体检中心场地</w:t>
            </w:r>
            <w:r>
              <w:rPr>
                <w:rFonts w:hint="eastAsia" w:ascii="宋体" w:hAnsi="宋体" w:eastAsia="宋体" w:cs="宋体"/>
                <w:color w:val="auto"/>
                <w:sz w:val="24"/>
                <w:szCs w:val="24"/>
                <w:highlight w:val="none"/>
                <w:lang w:val="en-US" w:eastAsia="zh-CN"/>
              </w:rPr>
              <w:t>简单的得</w:t>
            </w:r>
            <w:r>
              <w:rPr>
                <w:rFonts w:hint="eastAsia" w:cs="宋体"/>
                <w:b w:val="0"/>
                <w:bCs/>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；未提供不得分。</w:t>
            </w:r>
          </w:p>
        </w:tc>
      </w:tr>
      <w:tr w14:paraId="2D206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55B3B358">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10</w:t>
            </w:r>
          </w:p>
        </w:tc>
        <w:tc>
          <w:tcPr>
            <w:tcW w:w="512" w:type="pct"/>
            <w:vAlign w:val="center"/>
          </w:tcPr>
          <w:p w14:paraId="7FC6BC0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auto"/>
                <w:sz w:val="24"/>
                <w:szCs w:val="24"/>
                <w:highlight w:val="none"/>
              </w:rPr>
              <w:t>服务承诺</w:t>
            </w:r>
          </w:p>
        </w:tc>
        <w:tc>
          <w:tcPr>
            <w:tcW w:w="285" w:type="pct"/>
            <w:vAlign w:val="center"/>
          </w:tcPr>
          <w:p w14:paraId="1B881EA9">
            <w:pPr>
              <w:bidi w:val="0"/>
              <w:jc w:val="center"/>
              <w:rPr>
                <w:rFonts w:hint="eastAsia" w:ascii="宋体" w:hAnsi="宋体" w:eastAsia="宋体" w:cs="宋体"/>
                <w:lang w:val="en-US" w:eastAsia="zh-CN"/>
              </w:rPr>
            </w:pPr>
            <w:r>
              <w:rPr>
                <w:rFonts w:hint="eastAsia" w:ascii="宋体" w:hAnsi="宋体" w:eastAsia="宋体" w:cs="宋体"/>
                <w:lang w:val="en-US" w:eastAsia="zh-CN"/>
              </w:rPr>
              <w:t>5分</w:t>
            </w:r>
          </w:p>
        </w:tc>
        <w:tc>
          <w:tcPr>
            <w:tcW w:w="3982" w:type="pct"/>
            <w:vAlign w:val="center"/>
          </w:tcPr>
          <w:p w14:paraId="1BA3805C">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供应商针对本项目有详细的服务承诺，在合同履行过程中为采购人提供的服务质量及对后期的服务等方面作出书面承诺。</w:t>
            </w:r>
          </w:p>
          <w:p w14:paraId="0667711C">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根据服务承诺明确、合理程度得5分；服务承诺较明确、较合理得4分；</w:t>
            </w:r>
          </w:p>
          <w:p w14:paraId="0D43617C">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服务承诺基本明确得3分；服务承诺部分合理得2分；服务承诺简单笼统，不明确得1分；未提供不得分。</w:t>
            </w:r>
          </w:p>
        </w:tc>
      </w:tr>
      <w:tr w14:paraId="65699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6BF45901">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11</w:t>
            </w:r>
          </w:p>
        </w:tc>
        <w:tc>
          <w:tcPr>
            <w:tcW w:w="512" w:type="pct"/>
            <w:vAlign w:val="center"/>
          </w:tcPr>
          <w:p w14:paraId="0EC069B7">
            <w:pPr>
              <w:pStyle w:val="110"/>
              <w:keepNext w:val="0"/>
              <w:keepLines w:val="0"/>
              <w:pageBreakBefore w:val="0"/>
              <w:widowControl/>
              <w:kinsoku/>
              <w:wordWrap/>
              <w:overflowPunct/>
              <w:topLinePunct w:val="0"/>
              <w:autoSpaceDE/>
              <w:autoSpaceDN/>
              <w:bidi w:val="0"/>
              <w:adjustRightInd/>
              <w:snapToGrid/>
              <w:spacing w:line="288"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color w:val="auto"/>
                <w:sz w:val="24"/>
                <w:szCs w:val="24"/>
                <w:highlight w:val="none"/>
              </w:rPr>
              <w:t>业绩</w:t>
            </w:r>
          </w:p>
        </w:tc>
        <w:tc>
          <w:tcPr>
            <w:tcW w:w="285" w:type="pct"/>
            <w:vAlign w:val="center"/>
          </w:tcPr>
          <w:p w14:paraId="47C5E0B0">
            <w:pPr>
              <w:bidi w:val="0"/>
              <w:jc w:val="center"/>
              <w:rPr>
                <w:rFonts w:hint="eastAsia" w:ascii="宋体" w:hAnsi="宋体" w:eastAsia="宋体" w:cs="宋体"/>
                <w:lang w:val="en-US" w:eastAsia="zh-CN"/>
              </w:rPr>
            </w:pPr>
            <w:r>
              <w:rPr>
                <w:rFonts w:hint="eastAsia" w:ascii="宋体" w:hAnsi="宋体" w:eastAsia="宋体" w:cs="宋体"/>
                <w:lang w:val="en-US" w:eastAsia="zh-CN"/>
              </w:rPr>
              <w:t>5分</w:t>
            </w:r>
          </w:p>
        </w:tc>
        <w:tc>
          <w:tcPr>
            <w:tcW w:w="3982" w:type="pct"/>
            <w:vAlign w:val="center"/>
          </w:tcPr>
          <w:p w14:paraId="0C1B800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供应商提供自20</w:t>
            </w: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1日</w:t>
            </w:r>
            <w:r>
              <w:rPr>
                <w:rFonts w:hint="eastAsia" w:ascii="宋体" w:hAnsi="宋体" w:eastAsia="宋体" w:cs="宋体"/>
                <w:color w:val="auto"/>
                <w:sz w:val="24"/>
                <w:highlight w:val="none"/>
              </w:rPr>
              <w:t>以来（以合同签订日期为准）类似项目业绩，一个</w:t>
            </w:r>
            <w:r>
              <w:rPr>
                <w:rFonts w:hint="eastAsia" w:ascii="宋体" w:hAnsi="宋体" w:eastAsia="宋体" w:cs="宋体"/>
                <w:color w:val="auto"/>
                <w:sz w:val="24"/>
                <w:highlight w:val="none"/>
                <w:lang w:eastAsia="zh-CN"/>
              </w:rPr>
              <w:t>得</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分，最高得</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分。</w:t>
            </w:r>
            <w:r>
              <w:rPr>
                <w:rFonts w:hint="eastAsia" w:ascii="宋体" w:hAnsi="宋体" w:eastAsia="宋体" w:cs="宋体"/>
                <w:color w:val="auto"/>
                <w:sz w:val="24"/>
                <w:highlight w:val="none"/>
                <w:lang w:eastAsia="zh-CN"/>
              </w:rPr>
              <w:t>未提供不得分。</w:t>
            </w:r>
          </w:p>
          <w:p w14:paraId="3139CCC2">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color w:val="auto"/>
                <w:sz w:val="24"/>
                <w:highlight w:val="none"/>
              </w:rPr>
              <w:t>注：须提供合同（包含合同首页、关键内容页及签署页）</w:t>
            </w:r>
            <w:r>
              <w:rPr>
                <w:rFonts w:hint="eastAsia" w:ascii="宋体" w:hAnsi="宋体" w:eastAsia="宋体" w:cs="宋体"/>
                <w:color w:val="auto"/>
                <w:sz w:val="24"/>
                <w:highlight w:val="none"/>
                <w:lang w:eastAsia="zh-CN"/>
              </w:rPr>
              <w:t>。</w:t>
            </w:r>
          </w:p>
        </w:tc>
      </w:tr>
      <w:tr w14:paraId="6F0A6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19" w:type="pct"/>
            <w:vAlign w:val="center"/>
          </w:tcPr>
          <w:p w14:paraId="54FCD964">
            <w:pPr>
              <w:pStyle w:val="110"/>
              <w:keepNext w:val="0"/>
              <w:keepLines w:val="0"/>
              <w:pageBreakBefore w:val="0"/>
              <w:widowControl/>
              <w:kinsoku/>
              <w:wordWrap/>
              <w:overflowPunct/>
              <w:topLinePunct w:val="0"/>
              <w:autoSpaceDE/>
              <w:autoSpaceDN/>
              <w:bidi w:val="0"/>
              <w:adjustRightInd/>
              <w:snapToGrid/>
              <w:spacing w:line="312"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12</w:t>
            </w:r>
          </w:p>
        </w:tc>
        <w:tc>
          <w:tcPr>
            <w:tcW w:w="512" w:type="pct"/>
            <w:vAlign w:val="center"/>
          </w:tcPr>
          <w:p w14:paraId="4F33C429">
            <w:pPr>
              <w:pStyle w:val="110"/>
              <w:keepNext w:val="0"/>
              <w:keepLines w:val="0"/>
              <w:pageBreakBefore w:val="0"/>
              <w:widowControl/>
              <w:kinsoku/>
              <w:wordWrap/>
              <w:overflowPunct/>
              <w:topLinePunct w:val="0"/>
              <w:autoSpaceDE/>
              <w:autoSpaceDN/>
              <w:bidi w:val="0"/>
              <w:adjustRightInd/>
              <w:snapToGrid/>
              <w:spacing w:line="288" w:lineRule="auto"/>
              <w:ind w:left="0"/>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color w:val="auto"/>
                <w:sz w:val="24"/>
                <w:szCs w:val="24"/>
                <w:highlight w:val="none"/>
                <w:lang w:eastAsia="zh-CN"/>
              </w:rPr>
              <w:t>增值服务</w:t>
            </w:r>
          </w:p>
        </w:tc>
        <w:tc>
          <w:tcPr>
            <w:tcW w:w="285" w:type="pct"/>
            <w:vAlign w:val="center"/>
          </w:tcPr>
          <w:p w14:paraId="17E922BC">
            <w:pPr>
              <w:bidi w:val="0"/>
              <w:jc w:val="center"/>
              <w:rPr>
                <w:rFonts w:hint="eastAsia" w:ascii="宋体" w:hAnsi="宋体" w:eastAsia="宋体" w:cs="宋体"/>
                <w:lang w:val="en-US" w:eastAsia="zh-CN"/>
              </w:rPr>
            </w:pPr>
            <w:r>
              <w:rPr>
                <w:rFonts w:hint="eastAsia" w:ascii="宋体" w:hAnsi="宋体" w:eastAsia="宋体" w:cs="宋体"/>
                <w:lang w:val="en-US" w:eastAsia="zh-CN"/>
              </w:rPr>
              <w:t>3分</w:t>
            </w:r>
          </w:p>
        </w:tc>
        <w:tc>
          <w:tcPr>
            <w:tcW w:w="3982" w:type="pct"/>
            <w:vAlign w:val="center"/>
          </w:tcPr>
          <w:p w14:paraId="6A350559">
            <w:pPr>
              <w:pStyle w:val="110"/>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color w:val="auto"/>
                <w:sz w:val="24"/>
                <w:szCs w:val="24"/>
                <w:highlight w:val="none"/>
              </w:rPr>
              <w:t>为采购人提供与本项目体检相关的增值服务，若符合采购人的需求，每项增值服务得1分，满分</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lang w:eastAsia="zh-CN"/>
              </w:rPr>
              <w:t>未提供不得分。</w:t>
            </w:r>
          </w:p>
        </w:tc>
      </w:tr>
    </w:tbl>
    <w:p w14:paraId="4DE7B371">
      <w:pPr>
        <w:pStyle w:val="96"/>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09E1B18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234D8C5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1C63D814">
      <w:pPr>
        <w:pStyle w:val="96"/>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6B7CA9E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7DFAEA7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4CF57C5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2AA4A16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28C18A8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3685813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7A5709E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6A49883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28C78E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5462D93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27542A8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6641FD6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317A8147">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1302276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7953FC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452C537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7E68D40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74D862B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八、中标</w:t>
      </w:r>
    </w:p>
    <w:p w14:paraId="714D896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5207712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w:t>
      </w:r>
      <w:r>
        <w:rPr>
          <w:rFonts w:hint="eastAsia" w:ascii="宋体" w:hAnsi="宋体" w:eastAsia="宋体" w:cs="宋体"/>
          <w:sz w:val="24"/>
          <w:szCs w:val="24"/>
          <w:lang w:val="en-US" w:eastAsia="zh-CN"/>
        </w:rPr>
        <w:t>5</w:t>
      </w:r>
      <w:r>
        <w:rPr>
          <w:rFonts w:hint="eastAsia" w:ascii="宋体" w:hAnsi="宋体" w:eastAsia="宋体" w:cs="宋体"/>
          <w:sz w:val="24"/>
          <w:szCs w:val="24"/>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4BFCBB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陕西省政府采购网</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6"/>
          <w:rFonts w:hint="eastAsia" w:ascii="宋体" w:hAnsi="宋体" w:eastAsia="宋体" w:cs="宋体"/>
          <w:color w:val="auto"/>
          <w:sz w:val="24"/>
          <w:szCs w:val="24"/>
          <w:u w:val="none"/>
        </w:rPr>
        <w:t>http://www.ccgp-shaanxi.gov.cn/</w:t>
      </w:r>
      <w:r>
        <w:rPr>
          <w:rStyle w:val="36"/>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659320D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43C9964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0FD172D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7AE08C5B">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九、合同签订、履行及验收</w:t>
      </w:r>
    </w:p>
    <w:p w14:paraId="772245F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6B58798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06E5E16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005EA93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3AF127B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032A205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1D9FF452">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5C6CD27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12225A5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5473E407">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1FD9D3C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1C8DA94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1C8925B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4E3AD0A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2CC4F4A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5F4EA9BA">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十、废标及重新招标</w:t>
      </w:r>
    </w:p>
    <w:p w14:paraId="2D57D86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A160BD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624307D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2F1AC77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3B3E684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016A8BD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3D27EC1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66681A5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203B4F8A">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64761A50">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14:paraId="36808D3D">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14:paraId="7A469569">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14:paraId="2CA2F971">
      <w:pPr>
        <w:pStyle w:val="103"/>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6EDD1ED6">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14:paraId="6A70874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14:paraId="2DE52CB2">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14:paraId="7869AF0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14:paraId="1F179152">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14:paraId="7E57B74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14:paraId="2562212B">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6C91D5DC">
      <w:pPr>
        <w:rPr>
          <w:rFonts w:hint="eastAsia" w:ascii="宋体" w:hAnsi="宋体"/>
          <w:b/>
          <w:sz w:val="24"/>
          <w:highlight w:val="none"/>
          <w:lang w:eastAsia="zh-CN"/>
        </w:rPr>
      </w:pPr>
      <w:r>
        <w:rPr>
          <w:rFonts w:hint="eastAsia" w:ascii="宋体" w:hAnsi="宋体"/>
          <w:b/>
          <w:sz w:val="24"/>
          <w:highlight w:val="none"/>
          <w:lang w:eastAsia="zh-CN"/>
        </w:rPr>
        <w:br w:type="page"/>
      </w:r>
    </w:p>
    <w:p w14:paraId="6FFD8AF1">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14:paraId="536C2863">
      <w:pPr>
        <w:rPr>
          <w:highlight w:val="none"/>
          <w:lang w:eastAsia="zh-CN"/>
        </w:rPr>
      </w:pPr>
      <w:r>
        <w:rPr>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504E8B6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14:paraId="5BAD2BB2">
      <w:pPr>
        <w:rPr>
          <w:highlight w:val="none"/>
          <w:lang w:eastAsia="zh-CN"/>
        </w:rPr>
      </w:pPr>
      <w:r>
        <w:rPr>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4B78BB42">
      <w:pPr>
        <w:rPr>
          <w:highlight w:val="none"/>
          <w:lang w:eastAsia="zh-CN"/>
        </w:rPr>
      </w:pPr>
      <w:r>
        <w:rPr>
          <w:highlight w:val="none"/>
          <w:lang w:eastAsia="zh-CN"/>
        </w:rPr>
        <w:br w:type="page"/>
      </w:r>
    </w:p>
    <w:p w14:paraId="718D6BF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14:paraId="2B47E199">
      <w:pPr>
        <w:rPr>
          <w:highlight w:val="none"/>
          <w:lang w:eastAsia="zh-CN"/>
        </w:rPr>
      </w:pPr>
      <w:r>
        <w:rPr>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07F34C7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14:paraId="28731FCF">
      <w:pPr>
        <w:rPr>
          <w:highlight w:val="none"/>
          <w:lang w:eastAsia="zh-CN"/>
        </w:rPr>
      </w:pPr>
      <w:r>
        <w:rPr>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highlight w:val="none"/>
          <w:lang w:eastAsia="zh-CN"/>
        </w:rPr>
        <w:br w:type="page"/>
      </w:r>
    </w:p>
    <w:p w14:paraId="6F9DCE20">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14:paraId="1D45C8C3">
      <w:pPr>
        <w:rPr>
          <w:highlight w:val="none"/>
          <w:lang w:eastAsia="zh-CN"/>
        </w:rPr>
      </w:pPr>
      <w:r>
        <w:rPr>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07C1423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14:paraId="2AA284CD">
      <w:pPr>
        <w:rPr>
          <w:highlight w:val="none"/>
          <w:lang w:eastAsia="zh-CN"/>
        </w:rPr>
      </w:pPr>
      <w:r>
        <w:rPr>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183FAD78">
      <w:pPr>
        <w:rPr>
          <w:highlight w:val="none"/>
          <w:lang w:eastAsia="zh-CN"/>
        </w:rPr>
      </w:pPr>
      <w:r>
        <w:rPr>
          <w:highlight w:val="none"/>
          <w:lang w:eastAsia="zh-CN"/>
        </w:rPr>
        <w:br w:type="page"/>
      </w:r>
    </w:p>
    <w:p w14:paraId="463F030B">
      <w:pPr>
        <w:pStyle w:val="103"/>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2F28E99F">
      <w:pPr>
        <w:pStyle w:val="103"/>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5CC076C5">
      <w:pPr>
        <w:spacing w:before="165" w:after="0" w:line="360" w:lineRule="auto"/>
        <w:ind w:left="0" w:right="0" w:firstLine="0"/>
        <w:jc w:val="left"/>
        <w:rPr>
          <w:rFonts w:hint="eastAsia" w:ascii="宋体" w:hAnsi="宋体" w:eastAsia="宋体" w:cs="宋体"/>
          <w:color w:val="000000"/>
          <w:spacing w:val="0"/>
          <w:sz w:val="24"/>
          <w:highlight w:val="none"/>
        </w:rPr>
      </w:pPr>
    </w:p>
    <w:p w14:paraId="53112C58">
      <w:pPr>
        <w:spacing w:before="165" w:after="0" w:line="360" w:lineRule="auto"/>
        <w:ind w:left="0" w:right="0" w:firstLine="480" w:firstLineChars="200"/>
        <w:jc w:val="left"/>
        <w:rPr>
          <w:rFonts w:hint="eastAsia" w:ascii="宋体" w:hAnsi="宋体" w:eastAsia="宋体" w:cs="宋体"/>
          <w:color w:val="000000"/>
          <w:spacing w:val="0"/>
          <w:sz w:val="24"/>
          <w:highlight w:val="cyan"/>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auto"/>
          <w:spacing w:val="0"/>
          <w:sz w:val="24"/>
          <w:highlight w:val="none"/>
          <w:lang w:eastAsia="zh-CN"/>
        </w:rPr>
        <w:t>王涛15029991040</w:t>
      </w:r>
    </w:p>
    <w:p w14:paraId="1DCD50A5">
      <w:pPr>
        <w:rPr>
          <w:rFonts w:hint="eastAsia"/>
        </w:rPr>
      </w:pPr>
    </w:p>
    <w:p w14:paraId="2000DE66">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73DDA747">
      <w:pPr>
        <w:pStyle w:val="2"/>
        <w:rPr>
          <w:rFonts w:hint="eastAsia" w:ascii="宋体" w:hAnsi="宋体" w:eastAsia="宋体" w:cs="宋体"/>
          <w:b/>
          <w:bCs/>
          <w:sz w:val="32"/>
          <w:szCs w:val="32"/>
          <w:highlight w:val="none"/>
        </w:rPr>
      </w:pPr>
      <w:bookmarkStart w:id="15" w:name="_Toc12670"/>
      <w:bookmarkStart w:id="16" w:name="_Toc26456"/>
      <w:r>
        <w:rPr>
          <w:rFonts w:hint="eastAsia" w:ascii="宋体" w:hAnsi="宋体" w:eastAsia="宋体" w:cs="宋体"/>
          <w:b/>
          <w:bCs/>
          <w:sz w:val="32"/>
          <w:szCs w:val="32"/>
          <w:highlight w:val="none"/>
        </w:rPr>
        <w:t>第三章  招标内容及要求</w:t>
      </w:r>
      <w:bookmarkEnd w:id="14"/>
      <w:bookmarkEnd w:id="15"/>
      <w:bookmarkEnd w:id="16"/>
    </w:p>
    <w:p w14:paraId="1F8667F9">
      <w:pPr>
        <w:pStyle w:val="16"/>
        <w:rPr>
          <w:rFonts w:hint="eastAsia" w:ascii="宋体" w:hAnsi="宋体" w:eastAsia="宋体" w:cs="宋体"/>
          <w:b/>
          <w:bCs/>
          <w:color w:val="000000" w:themeColor="text1"/>
          <w:sz w:val="24"/>
          <w:szCs w:val="24"/>
          <w:highlight w:val="none"/>
          <w14:textFill>
            <w14:solidFill>
              <w14:schemeClr w14:val="tx1"/>
            </w14:solidFill>
          </w14:textFill>
        </w:rPr>
      </w:pPr>
      <w:bookmarkStart w:id="17" w:name="_Toc100219615"/>
      <w:r>
        <w:rPr>
          <w:rFonts w:hint="eastAsia" w:ascii="宋体" w:hAnsi="宋体" w:eastAsia="宋体" w:cs="宋体"/>
          <w:b/>
          <w:bCs/>
          <w:color w:val="000000" w:themeColor="text1"/>
          <w:sz w:val="24"/>
          <w:szCs w:val="24"/>
          <w:highlight w:val="none"/>
          <w14:textFill>
            <w14:solidFill>
              <w14:schemeClr w14:val="tx1"/>
            </w14:solidFill>
          </w14:textFill>
        </w:rPr>
        <w:t>一、项目概况</w:t>
      </w:r>
    </w:p>
    <w:p w14:paraId="31FD25DD">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年度干部员工健康体检服务，体检人数约2230人（暂定）。</w:t>
      </w:r>
    </w:p>
    <w:p w14:paraId="5773B91F">
      <w:pPr>
        <w:pStyle w:val="16"/>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二、服务内容</w:t>
      </w:r>
    </w:p>
    <w:p w14:paraId="1F26C563">
      <w:pPr>
        <w:keepNext w:val="0"/>
        <w:keepLines w:val="0"/>
        <w:pageBreakBefore w:val="0"/>
        <w:widowControl w:val="0"/>
        <w:kinsoku/>
        <w:wordWrap/>
        <w:overflowPunct/>
        <w:topLinePunct w:val="0"/>
        <w:autoSpaceDE/>
        <w:autoSpaceDN/>
        <w:bidi w:val="0"/>
        <w:adjustRightInd/>
        <w:snapToGrid w:val="0"/>
        <w:spacing w:after="0" w:line="360" w:lineRule="auto"/>
        <w:jc w:val="left"/>
        <w:textAlignment w:val="auto"/>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套餐一：</w:t>
      </w:r>
    </w:p>
    <w:p w14:paraId="663732C8">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jc w:val="left"/>
        <w:textAlignment w:val="auto"/>
        <w:rPr>
          <w:rFonts w:hint="eastAsia" w:ascii="宋体" w:hAnsi="宋体" w:eastAsia="宋体" w:cs="宋体"/>
          <w:b w:val="0"/>
          <w:bCs w:val="0"/>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t>暂定体检人数：</w:t>
      </w:r>
      <w:r>
        <w:rPr>
          <w:rFonts w:hint="eastAsia" w:ascii="宋体" w:hAnsi="宋体" w:eastAsia="宋体" w:cs="宋体"/>
          <w:b w:val="0"/>
          <w:bCs w:val="0"/>
          <w:color w:val="000000" w:themeColor="text1"/>
          <w:kern w:val="2"/>
          <w:sz w:val="24"/>
          <w:szCs w:val="24"/>
          <w:highlight w:val="none"/>
          <w:u w:val="single"/>
          <w:lang w:val="zh-CN" w:eastAsia="zh-CN" w:bidi="ar-SA"/>
          <w14:textFill>
            <w14:solidFill>
              <w14:schemeClr w14:val="tx1"/>
            </w14:solidFill>
          </w14:textFill>
        </w:rPr>
        <w:t>男性</w:t>
      </w:r>
      <w:r>
        <w:rPr>
          <w:rFonts w:hint="eastAsia" w:ascii="宋体" w:hAnsi="宋体" w:eastAsia="宋体" w:cs="宋体"/>
          <w:b w:val="0"/>
          <w:bCs w:val="0"/>
          <w:color w:val="000000" w:themeColor="text1"/>
          <w:kern w:val="2"/>
          <w:sz w:val="24"/>
          <w:szCs w:val="24"/>
          <w:highlight w:val="none"/>
          <w:u w:val="single"/>
          <w:lang w:val="en-US" w:eastAsia="zh-CN" w:bidi="ar-SA"/>
          <w14:textFill>
            <w14:solidFill>
              <w14:schemeClr w14:val="tx1"/>
            </w14:solidFill>
          </w14:textFill>
        </w:rPr>
        <w:t>377</w:t>
      </w:r>
      <w:r>
        <w:rPr>
          <w:rFonts w:hint="eastAsia" w:ascii="宋体" w:hAnsi="宋体" w:eastAsia="宋体" w:cs="宋体"/>
          <w:b w:val="0"/>
          <w:bCs w:val="0"/>
          <w:color w:val="000000" w:themeColor="text1"/>
          <w:kern w:val="2"/>
          <w:sz w:val="24"/>
          <w:szCs w:val="24"/>
          <w:highlight w:val="none"/>
          <w:u w:val="single"/>
          <w:lang w:val="zh-CN" w:eastAsia="zh-CN" w:bidi="ar-SA"/>
          <w14:textFill>
            <w14:solidFill>
              <w14:schemeClr w14:val="tx1"/>
            </w14:solidFill>
          </w14:textFill>
        </w:rPr>
        <w:t>人、女性</w:t>
      </w:r>
      <w:r>
        <w:rPr>
          <w:rFonts w:hint="eastAsia" w:ascii="宋体" w:hAnsi="宋体" w:eastAsia="宋体" w:cs="宋体"/>
          <w:b w:val="0"/>
          <w:bCs w:val="0"/>
          <w:color w:val="000000" w:themeColor="text1"/>
          <w:kern w:val="2"/>
          <w:sz w:val="24"/>
          <w:szCs w:val="24"/>
          <w:highlight w:val="none"/>
          <w:u w:val="single"/>
          <w:lang w:val="en-US" w:eastAsia="zh-CN" w:bidi="ar-SA"/>
          <w14:textFill>
            <w14:solidFill>
              <w14:schemeClr w14:val="tx1"/>
            </w14:solidFill>
          </w14:textFill>
        </w:rPr>
        <w:t>250</w:t>
      </w:r>
      <w:r>
        <w:rPr>
          <w:rFonts w:hint="eastAsia" w:ascii="宋体" w:hAnsi="宋体" w:eastAsia="宋体" w:cs="宋体"/>
          <w:b w:val="0"/>
          <w:bCs w:val="0"/>
          <w:color w:val="000000" w:themeColor="text1"/>
          <w:kern w:val="2"/>
          <w:sz w:val="24"/>
          <w:szCs w:val="24"/>
          <w:highlight w:val="none"/>
          <w:u w:val="single"/>
          <w:lang w:val="zh-CN" w:eastAsia="zh-CN" w:bidi="ar-SA"/>
          <w14:textFill>
            <w14:solidFill>
              <w14:schemeClr w14:val="tx1"/>
            </w14:solidFill>
          </w14:textFill>
        </w:rPr>
        <w:t>人</w:t>
      </w:r>
      <w:r>
        <w:rPr>
          <w:rFonts w:hint="eastAsia" w:ascii="宋体" w:hAnsi="宋体" w:eastAsia="宋体" w:cs="宋体"/>
          <w:b w:val="0"/>
          <w:bCs w:val="0"/>
          <w:color w:val="000000" w:themeColor="text1"/>
          <w:kern w:val="2"/>
          <w:sz w:val="24"/>
          <w:szCs w:val="24"/>
          <w:highlight w:val="none"/>
          <w:lang w:val="zh-CN" w:eastAsia="zh-CN" w:bidi="ar-SA"/>
          <w14:textFill>
            <w14:solidFill>
              <w14:schemeClr w14:val="tx1"/>
            </w14:solidFill>
          </w14:textFill>
        </w:rPr>
        <w:t>（人数为暂定人数，最终结算时以实际体检人数为准）。</w:t>
      </w:r>
    </w:p>
    <w:p w14:paraId="738C7F26">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jc w:val="left"/>
        <w:textAlignment w:val="auto"/>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zh-CN" w:eastAsia="zh-CN" w:bidi="ar-SA"/>
          <w14:textFill>
            <w14:solidFill>
              <w14:schemeClr w14:val="tx1"/>
            </w14:solidFill>
          </w14:textFill>
        </w:rPr>
        <w:t>单价最高</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限价</w:t>
      </w:r>
      <w:r>
        <w:rPr>
          <w:rFonts w:hint="eastAsia" w:ascii="宋体" w:hAnsi="宋体" w:eastAsia="宋体" w:cs="宋体"/>
          <w:b w:val="0"/>
          <w:bCs w:val="0"/>
          <w:color w:val="000000" w:themeColor="text1"/>
          <w:kern w:val="2"/>
          <w:sz w:val="24"/>
          <w:szCs w:val="24"/>
          <w:highlight w:val="none"/>
          <w:lang w:val="zh-CN" w:eastAsia="zh-CN" w:bidi="ar-SA"/>
          <w14:textFill>
            <w14:solidFill>
              <w14:schemeClr w14:val="tx1"/>
            </w14:solidFill>
          </w14:textFill>
        </w:rPr>
        <w:t>：男性</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2043</w:t>
      </w:r>
      <w:r>
        <w:rPr>
          <w:rFonts w:hint="eastAsia" w:ascii="宋体" w:hAnsi="宋体" w:eastAsia="宋体" w:cs="宋体"/>
          <w:b w:val="0"/>
          <w:bCs w:val="0"/>
          <w:color w:val="000000" w:themeColor="text1"/>
          <w:kern w:val="2"/>
          <w:sz w:val="24"/>
          <w:szCs w:val="24"/>
          <w:highlight w:val="none"/>
          <w:lang w:val="zh-CN" w:eastAsia="zh-CN" w:bidi="ar-SA"/>
          <w14:textFill>
            <w14:solidFill>
              <w14:schemeClr w14:val="tx1"/>
            </w14:solidFill>
          </w14:textFill>
        </w:rPr>
        <w:t>元/人、女性</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2614</w:t>
      </w:r>
      <w:r>
        <w:rPr>
          <w:rFonts w:hint="eastAsia" w:ascii="宋体" w:hAnsi="宋体" w:eastAsia="宋体" w:cs="宋体"/>
          <w:b w:val="0"/>
          <w:bCs w:val="0"/>
          <w:color w:val="000000" w:themeColor="text1"/>
          <w:kern w:val="2"/>
          <w:sz w:val="24"/>
          <w:szCs w:val="24"/>
          <w:highlight w:val="none"/>
          <w:lang w:val="zh-CN" w:eastAsia="zh-CN" w:bidi="ar-SA"/>
          <w14:textFill>
            <w14:solidFill>
              <w14:schemeClr w14:val="tx1"/>
            </w14:solidFill>
          </w14:textFill>
        </w:rPr>
        <w:t>元/人</w:t>
      </w:r>
      <w:r>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t>；供应商报价不得超过其对应的最高单价，否则为无效报价。</w:t>
      </w:r>
    </w:p>
    <w:tbl>
      <w:tblPr>
        <w:tblStyle w:val="29"/>
        <w:tblW w:w="5000" w:type="pct"/>
        <w:tblInd w:w="0" w:type="dxa"/>
        <w:tblLayout w:type="autofit"/>
        <w:tblCellMar>
          <w:top w:w="0" w:type="dxa"/>
          <w:left w:w="108" w:type="dxa"/>
          <w:bottom w:w="0" w:type="dxa"/>
          <w:right w:w="108" w:type="dxa"/>
        </w:tblCellMar>
      </w:tblPr>
      <w:tblGrid>
        <w:gridCol w:w="955"/>
        <w:gridCol w:w="2149"/>
        <w:gridCol w:w="4347"/>
        <w:gridCol w:w="1235"/>
        <w:gridCol w:w="1270"/>
      </w:tblGrid>
      <w:tr w14:paraId="3C98E686">
        <w:tblPrEx>
          <w:tblCellMar>
            <w:top w:w="0" w:type="dxa"/>
            <w:left w:w="108" w:type="dxa"/>
            <w:bottom w:w="0" w:type="dxa"/>
            <w:right w:w="108" w:type="dxa"/>
          </w:tblCellMar>
        </w:tblPrEx>
        <w:trPr>
          <w:trHeight w:val="510"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236434DB">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健康体检套餐一</w:t>
            </w:r>
          </w:p>
        </w:tc>
      </w:tr>
      <w:tr w14:paraId="4B43FE4C">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01E2A820">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序号</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6C4A8D17">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项目名称</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2C7873A5">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具体内容</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7495C0D1">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男性</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5AAD9C0A">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女性</w:t>
            </w:r>
          </w:p>
        </w:tc>
      </w:tr>
      <w:tr w14:paraId="681BCAE4">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6F349DC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1FE8024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一般情况</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2FE7AF0B">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身高、体重、血压</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1F4B265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2B52E2E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340100B">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19C6BA3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714CDCD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内科</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4C3546AC">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测血压、听心肺、扪肝脾大小</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175E5C8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2B88386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31D206D8">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3AEA7F6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7E4044B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外科</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47847979">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检查甲状腺、淋巴结、四肢关节、脊柱等有无病变</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7CE7614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7A56BDA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47AB9FC4">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21599C3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4</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7BA5CDB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眼科</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5EFD4E70">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视力及眼科基础检查</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0B78A77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085BC16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39DCD249">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F9CA6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042471E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健康体检</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39C58D5B">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报告汇总、报告结论、健康建议、电子档案、报告解读</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1C12587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1CC65BB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2B1405DC">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9272B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3116553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耳鼻喉科</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23CD82AD">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检查听觉、平衡、嗅觉、呼吸、发声和吞咽等功能，筛查鼻窦炎、中耳炎、鼻咽喉阻塞等疾病。</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168A0EE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02AF7F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0D92E15">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44C8786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7</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6D8CE49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裂隙灯</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4FB745B3">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可以对角膜、虹膜、晶体作全面的观察；观察角膜的弯曲度及厚度，有无异物及角膜后沉积物，对眼部疾病筛查具有重要意义。</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2A48654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7E9369E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2592E3E">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254AB86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8</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288F26B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color w:val="000000" w:themeColor="text1"/>
                <w:kern w:val="2"/>
                <w:sz w:val="24"/>
                <w:szCs w:val="24"/>
                <w:lang w:val="en-US"/>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眼底检查</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5E883DA3">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筛查出青光眼、白内障、视神经炎、视神经萎缩、眼底动脉硬化等疾病，对眼底病变及全身系统性疾病、高血压病、糖尿病等的诊断及治疗提供重要的信息。</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6DB0611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4892147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72A28ED">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25EF9C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9</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5FD414F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十二导联心电图</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0B2A564B">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通过心电图机检查，可诊断心律失常、心绞痛、心肌梗塞、冠心病、心室肥厚、心肌缺血、心脏传导阻滞等心脏疾患，是健康体检不可缺少的一项检查。</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54ED5C0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6370E56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79B2D4C9">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09BE296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6D2FE43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核磁共振（头颅/颈椎/腰椎）（三选一）</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46428994">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头颅核磁筛查有无脑血管病、颅内肿瘤、颅脑损伤、脑萎缩等；颈椎核磁筛查有无椎间盘退行性改变、椎间盘突出、脊髓病变等；腰椎核磁用于检查有无腰椎间盘突出和膨出，以及椎间盘变性、脊髓病变、神经根受压等。</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19CB870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4C1A31B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00B7934E">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4447BF8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11</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636649C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胸部CT</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15C3B33A">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查肺部的情况，发现某些肺癌、肺炎及肺部结节等疾病</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2B5D23C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3483A74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0B0435F0">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2381F72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44F5BCD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highlight w:val="yellow"/>
                <w:lang w:val="en-US"/>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彩超（肝胆胰脾）</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18C90756">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highlight w:val="yellow"/>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筛查脂肪肝、结石、囊肿、肿瘤、血管瘤、肝硬化，是腹部脏器检查的重要项目。</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4F916D0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highlight w:val="yellow"/>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305339D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highlight w:val="yellow"/>
                <w14:textFill>
                  <w14:solidFill>
                    <w14:schemeClr w14:val="tx1"/>
                  </w14:solidFill>
                </w14:textFill>
              </w:rPr>
            </w:pP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w:t>
            </w:r>
          </w:p>
        </w:tc>
      </w:tr>
      <w:tr w14:paraId="576FA013">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4FA19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13</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2966B613">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彩超（双肾、输尿管、膀胱、前列腺）</w:t>
            </w:r>
          </w:p>
        </w:tc>
        <w:tc>
          <w:tcPr>
            <w:tcW w:w="4347" w:type="dxa"/>
            <w:tcBorders>
              <w:top w:val="single" w:color="auto" w:sz="4" w:space="0"/>
              <w:left w:val="single" w:color="auto" w:sz="4" w:space="0"/>
              <w:bottom w:val="single" w:color="auto" w:sz="4" w:space="0"/>
              <w:right w:val="single" w:color="auto" w:sz="4" w:space="0"/>
            </w:tcBorders>
            <w:noWrap w:val="0"/>
            <w:vAlign w:val="center"/>
          </w:tcPr>
          <w:p w14:paraId="5782A639">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筛查双肾实质性病变、输尿管结石、膀胱占位性病变等</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2225E520">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2C725FE7">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1D76222D">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9C85C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14</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53DD12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彩超（双肾、输尿管、膀胱）</w:t>
            </w:r>
          </w:p>
        </w:tc>
        <w:tc>
          <w:tcPr>
            <w:tcW w:w="4347" w:type="dxa"/>
            <w:tcBorders>
              <w:top w:val="single" w:color="auto" w:sz="4" w:space="0"/>
              <w:left w:val="single" w:color="auto" w:sz="4" w:space="0"/>
              <w:bottom w:val="single" w:color="auto" w:sz="4" w:space="0"/>
              <w:right w:val="single" w:color="auto" w:sz="4" w:space="0"/>
            </w:tcBorders>
            <w:noWrap w:val="0"/>
            <w:vAlign w:val="center"/>
          </w:tcPr>
          <w:p w14:paraId="17971648">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i w:val="0"/>
                <w:iCs w:val="0"/>
                <w:color w:val="000000" w:themeColor="text1"/>
                <w:kern w:val="0"/>
                <w:sz w:val="24"/>
                <w:szCs w:val="24"/>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筛查子宫肌瘤、内膜息肉及附件相关疾病。</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53E5E16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highlight w:val="yellow"/>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19A7CBB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highlight w:val="yellow"/>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A67E978">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6393B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35B4951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彩超（子宫、附件）</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66A7B919">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筛查子宫肌瘤、子宫癌、子宫内膜增生、卵巢囊肿、卵巢癌、膀胱占位性病变等疾病。</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7AE04B9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6EF3E4D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799DB20C">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7CCF6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16</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164781D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甲状腺B超</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44A3C192">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对诊断甲状腺肿大、甲状腺炎、甲状腺囊肿、甲状腺肿瘤等有较大意义。</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27F966E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466A4C9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5F1D5C03">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C05F9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17</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5B04870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双侧颈动脉B超</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1BAF1C06">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检测颈部血管的病变、确定血管狭窄程度及有无斑块形成，以防脑血管病的发生。</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6E81EA8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6F5C723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2163DF64">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E842A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18</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5DC0CD2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心脏彩超</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29728F99">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心血管疾病的重要诊断方法,对心肌病、冠心病、心肌梗塞并发症及肺心病有较大的诊断价值</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09C6C81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1E14D9A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63CEAC9C">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9489C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67310B1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双侧乳腺B超</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530FACEA">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筛查乳腺增生、早期乳腺癌等疾病，比红外线检查更详细更准确。</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7CBCECB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4A41AFA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44B283DC">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D6BBA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20</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6B2F3D9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甲功七项</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39CAD5EA">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检查甲状腺功能是否正常</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089555A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0AA52C0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41C1F6A6">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B70DD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21</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5C20566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血常规</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63F9FF12">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发现有无贫血、细菌感染、病毒感染、白血病、败血病等血液方面疾病，对机体其他器官的病变，也具有重要的诊断价值。</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3119FA5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2C5F472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78C68B39">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A3768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22</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59126C7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尿液分析+沉渣计数</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68D52E18">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可以诊断泌尿系统疾病，如泌尿系感染、肾炎、肿瘤、结石、血管病变，协助诊断其他系统疾病，如糖尿病、急性胰腺炎、急性或慢性溶血、肝胆疾病等。</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70CD281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6487E44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21FDFD13">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BE2D9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23</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1F60B70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肝功十项</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08998FDA">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筛查肝、胆功能异常、急（慢）性肝炎，黄疸肝炎、肝硬化、肝癌、心肌炎、肾炎等脏器疾病。</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5AF4F0E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003F684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525B6D43">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45D1A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24</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1098CBB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乙肝系列</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40D85B1E">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筛查是否患有乙型肝炎及是否有抗体</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1C99513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324C8EF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63003397">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80075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25</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78814B01">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肾功4项</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7BF75739">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筛查肾脏功能是否受损，是否有急慢性肾功能减退或肾衰。</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48F60D8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1149B92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55B37787">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47D65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26</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53C97A3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血糖</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7F21AF8A">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了解空腹时血液中葡萄糖的含量，是筛查糖尿病最基本的方法，也是判断糖尿病病情和控制程度的主要指标。</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5987515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6583A39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58C53891">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34EF2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27</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1A2606F1">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血脂4项</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54341D03">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筛查是否有高血脂症。对高血压、糖尿病、动脉硬化、心肌梗塞、脑卒中、肥胖症、冠心病、肾病综合症有较高的预测和诊断价值。</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66A63CA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5D5B253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7F14EE82">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5BBC9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28</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264A67F8">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同型半胱氨酸</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08543ED7">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高同型半胱氨酸血症易诱发高血压、心脑血管疾病</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7E1A2579">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29B94A5F">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73049EBC">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FC29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29</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135E3439">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糖化血红蛋白</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2B02B40C">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是血液中葡萄糖和血红蛋白相结合的稳定化合物，可反映过去2-3月的平均血糖水平</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5854FECD">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4D50CD48">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36011841">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25BDE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30</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3C5754E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碳13呼气试验</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6860C2A6">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检查有无幽门螺旋杆菌感染，协助诊断消化道疾病</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0DFA2A5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3FFAAC6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419FBBD9">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317D7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31</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3A5314E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癌胚抗原</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4F22770E">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筛查结肠癌、胃癌、胆囊癌、肺癌等。</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35DAA55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1053DF2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5F3AB93D">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F323F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32</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05880F30">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甲胎蛋白</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73318203">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肝癌标志物</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47778621">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37906FB9">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544299DD">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5E3E2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33</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582850F2">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妇科检查</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123AC8B8">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筛查：阴道炎、宫颈糜烂、附件炎、盆腔炎等疾病。</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6591A5C4">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5206B624">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2DE05342">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8BFDA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34</w:t>
            </w:r>
          </w:p>
        </w:tc>
        <w:tc>
          <w:tcPr>
            <w:tcW w:w="2149" w:type="dxa"/>
            <w:tcBorders>
              <w:top w:val="single" w:color="auto" w:sz="4" w:space="0"/>
              <w:left w:val="single" w:color="auto" w:sz="4" w:space="0"/>
              <w:bottom w:val="single" w:color="auto" w:sz="4" w:space="0"/>
              <w:right w:val="single" w:color="auto" w:sz="4" w:space="0"/>
            </w:tcBorders>
            <w:noWrap w:val="0"/>
            <w:vAlign w:val="center"/>
          </w:tcPr>
          <w:p w14:paraId="3BE298A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液基细胞检查</w:t>
            </w:r>
          </w:p>
        </w:tc>
        <w:tc>
          <w:tcPr>
            <w:tcW w:w="4347" w:type="dxa"/>
            <w:tcBorders>
              <w:top w:val="single" w:color="auto" w:sz="4" w:space="0"/>
              <w:left w:val="single" w:color="auto" w:sz="4" w:space="0"/>
              <w:bottom w:val="single" w:color="auto" w:sz="4" w:space="0"/>
              <w:right w:val="single" w:color="auto" w:sz="4" w:space="0"/>
            </w:tcBorders>
            <w:noWrap w:val="0"/>
            <w:vAlign w:val="center"/>
          </w:tcPr>
          <w:p w14:paraId="6CA10A18">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是目前广泛检查子宫颈癌最有效的诊断方法之一。</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31A6625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33CEA25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8CF8BD7">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BA822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t>35</w:t>
            </w:r>
          </w:p>
        </w:tc>
        <w:tc>
          <w:tcPr>
            <w:tcW w:w="2149" w:type="dxa"/>
            <w:tcBorders>
              <w:top w:val="single" w:color="auto" w:sz="4" w:space="0"/>
              <w:left w:val="single" w:color="auto" w:sz="4" w:space="0"/>
              <w:bottom w:val="single" w:color="auto" w:sz="4" w:space="0"/>
              <w:right w:val="single" w:color="auto" w:sz="4" w:space="0"/>
            </w:tcBorders>
            <w:noWrap w:val="0"/>
            <w:vAlign w:val="center"/>
          </w:tcPr>
          <w:p w14:paraId="51DB1B1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HPV</w:t>
            </w:r>
          </w:p>
        </w:tc>
        <w:tc>
          <w:tcPr>
            <w:tcW w:w="4347" w:type="dxa"/>
            <w:tcBorders>
              <w:top w:val="single" w:color="auto" w:sz="4" w:space="0"/>
              <w:left w:val="single" w:color="auto" w:sz="4" w:space="0"/>
              <w:bottom w:val="single" w:color="auto" w:sz="4" w:space="0"/>
              <w:right w:val="single" w:color="auto" w:sz="4" w:space="0"/>
            </w:tcBorders>
            <w:noWrap w:val="0"/>
            <w:vAlign w:val="center"/>
          </w:tcPr>
          <w:p w14:paraId="0C9D75E8">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HPV是导致宫颈癌的病原体，开展HPV分型检测能很好的预防宫颈癌</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5A0BF68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6EA80A4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6463242">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C28DB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t>36</w:t>
            </w:r>
          </w:p>
        </w:tc>
        <w:tc>
          <w:tcPr>
            <w:tcW w:w="2149" w:type="dxa"/>
            <w:tcBorders>
              <w:top w:val="single" w:color="auto" w:sz="4" w:space="0"/>
              <w:left w:val="single" w:color="auto" w:sz="4" w:space="0"/>
              <w:bottom w:val="single" w:color="auto" w:sz="4" w:space="0"/>
              <w:right w:val="single" w:color="auto" w:sz="4" w:space="0"/>
            </w:tcBorders>
            <w:noWrap w:val="0"/>
            <w:vAlign w:val="center"/>
          </w:tcPr>
          <w:p w14:paraId="5057055C">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妇科微生态</w:t>
            </w:r>
          </w:p>
        </w:tc>
        <w:tc>
          <w:tcPr>
            <w:tcW w:w="4347" w:type="dxa"/>
            <w:tcBorders>
              <w:top w:val="single" w:color="auto" w:sz="4" w:space="0"/>
              <w:left w:val="single" w:color="auto" w:sz="4" w:space="0"/>
              <w:bottom w:val="single" w:color="auto" w:sz="4" w:space="0"/>
              <w:right w:val="single" w:color="auto" w:sz="4" w:space="0"/>
            </w:tcBorders>
            <w:noWrap w:val="0"/>
            <w:vAlign w:val="center"/>
          </w:tcPr>
          <w:p w14:paraId="71964AE5">
            <w:pPr>
              <w:keepNext w:val="0"/>
              <w:keepLines w:val="0"/>
              <w:pageBreakBefore w:val="0"/>
              <w:widowControl/>
              <w:kinsoku/>
              <w:wordWrap/>
              <w:overflowPunct/>
              <w:topLinePunct w:val="0"/>
              <w:autoSpaceDE/>
              <w:autoSpaceDN/>
              <w:bidi w:val="0"/>
              <w:adjustRightInd/>
              <w:snapToGrid/>
              <w:spacing w:after="0" w:line="450" w:lineRule="exact"/>
              <w:jc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kern w:val="2"/>
                <w:sz w:val="24"/>
                <w:szCs w:val="24"/>
                <w:highlight w:val="none"/>
              </w:rPr>
              <w:t>筛查阴道炎、宫颈炎等妇科炎症。</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69BBEC70">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43AA39CD">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7687B192">
        <w:tblPrEx>
          <w:tblCellMar>
            <w:top w:w="0" w:type="dxa"/>
            <w:left w:w="108" w:type="dxa"/>
            <w:bottom w:w="0" w:type="dxa"/>
            <w:right w:w="108" w:type="dxa"/>
          </w:tblCellMar>
        </w:tblPrEx>
        <w:trPr>
          <w:trHeight w:val="510" w:hRule="atLeast"/>
        </w:trPr>
        <w:tc>
          <w:tcPr>
            <w:tcW w:w="480" w:type="pct"/>
            <w:tcBorders>
              <w:top w:val="single" w:color="auto" w:sz="4" w:space="0"/>
              <w:left w:val="single" w:color="auto" w:sz="4" w:space="0"/>
              <w:bottom w:val="single" w:color="auto" w:sz="4" w:space="0"/>
              <w:right w:val="single" w:color="auto" w:sz="4" w:space="0"/>
            </w:tcBorders>
            <w:noWrap/>
            <w:vAlign w:val="center"/>
          </w:tcPr>
          <w:p w14:paraId="73AB3CC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37</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3C4F6EB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早餐</w:t>
            </w:r>
          </w:p>
        </w:tc>
        <w:tc>
          <w:tcPr>
            <w:tcW w:w="2183" w:type="pct"/>
            <w:tcBorders>
              <w:top w:val="single" w:color="auto" w:sz="4" w:space="0"/>
              <w:left w:val="single" w:color="auto" w:sz="4" w:space="0"/>
              <w:bottom w:val="single" w:color="auto" w:sz="4" w:space="0"/>
              <w:right w:val="single" w:color="auto" w:sz="4" w:space="0"/>
            </w:tcBorders>
            <w:noWrap w:val="0"/>
            <w:vAlign w:val="center"/>
          </w:tcPr>
          <w:p w14:paraId="3619C0CF">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2"/>
                <w:sz w:val="24"/>
                <w:szCs w:val="24"/>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noWrap w:val="0"/>
            <w:vAlign w:val="center"/>
          </w:tcPr>
          <w:p w14:paraId="038FFD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36" w:type="pct"/>
            <w:tcBorders>
              <w:top w:val="single" w:color="auto" w:sz="4" w:space="0"/>
              <w:left w:val="single" w:color="auto" w:sz="4" w:space="0"/>
              <w:bottom w:val="single" w:color="auto" w:sz="4" w:space="0"/>
              <w:right w:val="single" w:color="auto" w:sz="4" w:space="0"/>
            </w:tcBorders>
            <w:noWrap w:val="0"/>
            <w:vAlign w:val="center"/>
          </w:tcPr>
          <w:p w14:paraId="1D9239A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bl>
    <w:p w14:paraId="3CD9BEA6">
      <w:pPr>
        <w:keepNext w:val="0"/>
        <w:keepLines w:val="0"/>
        <w:pageBreakBefore w:val="0"/>
        <w:widowControl w:val="0"/>
        <w:kinsoku/>
        <w:wordWrap/>
        <w:overflowPunct/>
        <w:topLinePunct w:val="0"/>
        <w:autoSpaceDE/>
        <w:autoSpaceDN/>
        <w:bidi w:val="0"/>
        <w:adjustRightInd/>
        <w:snapToGrid w:val="0"/>
        <w:spacing w:after="0" w:line="360" w:lineRule="auto"/>
        <w:jc w:val="left"/>
        <w:textAlignment w:val="auto"/>
        <w:rPr>
          <w:rFonts w:hint="eastAsia" w:ascii="宋体" w:hAnsi="宋体" w:eastAsia="宋体" w:cs="宋体"/>
          <w:b/>
          <w:bCs/>
          <w:color w:val="000000" w:themeColor="text1"/>
          <w:kern w:val="2"/>
          <w:sz w:val="24"/>
          <w:szCs w:val="24"/>
          <w:lang w:val="zh-CN" w:eastAsia="zh-CN" w:bidi="ar-SA"/>
          <w14:textFill>
            <w14:solidFill>
              <w14:schemeClr w14:val="tx1"/>
            </w14:solidFill>
          </w14:textFill>
        </w:rPr>
      </w:pPr>
      <w:r>
        <w:rPr>
          <w:rFonts w:hint="eastAsia" w:ascii="宋体" w:hAnsi="宋体" w:eastAsia="宋体" w:cs="宋体"/>
          <w:b/>
          <w:bCs/>
          <w:color w:val="000000" w:themeColor="text1"/>
          <w:kern w:val="2"/>
          <w:sz w:val="24"/>
          <w:szCs w:val="24"/>
          <w:lang w:val="zh-CN" w:eastAsia="zh-CN" w:bidi="ar-SA"/>
          <w14:textFill>
            <w14:solidFill>
              <w14:schemeClr w14:val="tx1"/>
            </w14:solidFill>
          </w14:textFill>
        </w:rPr>
        <w:t>套餐二：</w:t>
      </w:r>
    </w:p>
    <w:p w14:paraId="526B76EF">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jc w:val="left"/>
        <w:textAlignment w:val="auto"/>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t>暂定体检人数：</w:t>
      </w:r>
      <w:r>
        <w:rPr>
          <w:rFonts w:hint="eastAsia" w:ascii="宋体" w:hAnsi="宋体" w:eastAsia="宋体" w:cs="宋体"/>
          <w:b w:val="0"/>
          <w:bCs w:val="0"/>
          <w:color w:val="000000" w:themeColor="text1"/>
          <w:kern w:val="2"/>
          <w:sz w:val="24"/>
          <w:szCs w:val="24"/>
          <w:u w:val="single"/>
          <w:lang w:val="zh-CN" w:eastAsia="zh-CN" w:bidi="ar-SA"/>
          <w14:textFill>
            <w14:solidFill>
              <w14:schemeClr w14:val="tx1"/>
            </w14:solidFill>
          </w14:textFill>
        </w:rPr>
        <w:t>男性</w:t>
      </w:r>
      <w:r>
        <w:rPr>
          <w:rFonts w:hint="eastAsia" w:ascii="宋体" w:hAnsi="宋体" w:eastAsia="宋体" w:cs="宋体"/>
          <w:b w:val="0"/>
          <w:bCs w:val="0"/>
          <w:color w:val="000000" w:themeColor="text1"/>
          <w:kern w:val="2"/>
          <w:sz w:val="24"/>
          <w:szCs w:val="24"/>
          <w:u w:val="single"/>
          <w:lang w:val="en-US" w:eastAsia="zh-CN" w:bidi="ar-SA"/>
          <w14:textFill>
            <w14:solidFill>
              <w14:schemeClr w14:val="tx1"/>
            </w14:solidFill>
          </w14:textFill>
        </w:rPr>
        <w:t>1351</w:t>
      </w:r>
      <w:r>
        <w:rPr>
          <w:rFonts w:hint="eastAsia" w:ascii="宋体" w:hAnsi="宋体" w:eastAsia="宋体" w:cs="宋体"/>
          <w:b w:val="0"/>
          <w:bCs w:val="0"/>
          <w:color w:val="000000" w:themeColor="text1"/>
          <w:kern w:val="2"/>
          <w:sz w:val="24"/>
          <w:szCs w:val="24"/>
          <w:u w:val="single"/>
          <w:lang w:val="zh-CN" w:eastAsia="zh-CN" w:bidi="ar-SA"/>
          <w14:textFill>
            <w14:solidFill>
              <w14:schemeClr w14:val="tx1"/>
            </w14:solidFill>
          </w14:textFill>
        </w:rPr>
        <w:t>人、女性</w:t>
      </w:r>
      <w:r>
        <w:rPr>
          <w:rFonts w:hint="eastAsia" w:ascii="宋体" w:hAnsi="宋体" w:eastAsia="宋体" w:cs="宋体"/>
          <w:b w:val="0"/>
          <w:bCs w:val="0"/>
          <w:color w:val="000000" w:themeColor="text1"/>
          <w:kern w:val="2"/>
          <w:sz w:val="24"/>
          <w:szCs w:val="24"/>
          <w:u w:val="single"/>
          <w:lang w:val="en-US" w:eastAsia="zh-CN" w:bidi="ar-SA"/>
          <w14:textFill>
            <w14:solidFill>
              <w14:schemeClr w14:val="tx1"/>
            </w14:solidFill>
          </w14:textFill>
        </w:rPr>
        <w:t>252</w:t>
      </w:r>
      <w:r>
        <w:rPr>
          <w:rFonts w:hint="eastAsia" w:ascii="宋体" w:hAnsi="宋体" w:eastAsia="宋体" w:cs="宋体"/>
          <w:b w:val="0"/>
          <w:bCs w:val="0"/>
          <w:color w:val="000000" w:themeColor="text1"/>
          <w:kern w:val="2"/>
          <w:sz w:val="24"/>
          <w:szCs w:val="24"/>
          <w:u w:val="single"/>
          <w:lang w:val="zh-CN" w:eastAsia="zh-CN" w:bidi="ar-SA"/>
          <w14:textFill>
            <w14:solidFill>
              <w14:schemeClr w14:val="tx1"/>
            </w14:solidFill>
          </w14:textFill>
        </w:rPr>
        <w:t>人</w:t>
      </w:r>
      <w:r>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t>（人数暂定人数，最终结算时以实际体检人数为准）。</w:t>
      </w:r>
    </w:p>
    <w:p w14:paraId="603E4420">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jc w:val="left"/>
        <w:textAlignment w:val="auto"/>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zh-CN" w:eastAsia="zh-CN" w:bidi="ar-SA"/>
          <w14:textFill>
            <w14:solidFill>
              <w14:schemeClr w14:val="tx1"/>
            </w14:solidFill>
          </w14:textFill>
        </w:rPr>
        <w:t>单价最高</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限价</w:t>
      </w:r>
      <w:r>
        <w:rPr>
          <w:rFonts w:hint="eastAsia" w:ascii="宋体" w:hAnsi="宋体" w:eastAsia="宋体" w:cs="宋体"/>
          <w:b w:val="0"/>
          <w:bCs w:val="0"/>
          <w:color w:val="000000" w:themeColor="text1"/>
          <w:kern w:val="2"/>
          <w:sz w:val="24"/>
          <w:szCs w:val="24"/>
          <w:highlight w:val="none"/>
          <w:lang w:val="zh-CN" w:eastAsia="zh-CN" w:bidi="ar-SA"/>
          <w14:textFill>
            <w14:solidFill>
              <w14:schemeClr w14:val="tx1"/>
            </w14:solidFill>
          </w14:textFill>
        </w:rPr>
        <w:t>：男</w:t>
      </w:r>
      <w:r>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t>性</w:t>
      </w: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1643</w:t>
      </w:r>
      <w:r>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t>元/人、女性</w:t>
      </w: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2237</w:t>
      </w:r>
      <w:r>
        <w:rPr>
          <w:rFonts w:hint="eastAsia" w:ascii="宋体" w:hAnsi="宋体" w:eastAsia="宋体" w:cs="宋体"/>
          <w:b w:val="0"/>
          <w:bCs w:val="0"/>
          <w:color w:val="000000" w:themeColor="text1"/>
          <w:kern w:val="2"/>
          <w:sz w:val="24"/>
          <w:szCs w:val="24"/>
          <w:lang w:val="zh-CN" w:eastAsia="zh-CN" w:bidi="ar-SA"/>
          <w14:textFill>
            <w14:solidFill>
              <w14:schemeClr w14:val="tx1"/>
            </w14:solidFill>
          </w14:textFill>
        </w:rPr>
        <w:t>元/人；供应商报价不得超过其对应的最高单价，否则为无效报价。</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2149"/>
        <w:gridCol w:w="4347"/>
        <w:gridCol w:w="1241"/>
        <w:gridCol w:w="1292"/>
      </w:tblGrid>
      <w:tr w14:paraId="4160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5"/>
            <w:noWrap/>
            <w:vAlign w:val="center"/>
          </w:tcPr>
          <w:p w14:paraId="2522D32B">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健康体检套餐二</w:t>
            </w:r>
          </w:p>
        </w:tc>
      </w:tr>
      <w:tr w14:paraId="257C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257E6267">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序号</w:t>
            </w:r>
          </w:p>
        </w:tc>
        <w:tc>
          <w:tcPr>
            <w:tcW w:w="1079" w:type="pct"/>
            <w:noWrap w:val="0"/>
            <w:vAlign w:val="center"/>
          </w:tcPr>
          <w:p w14:paraId="22221242">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项目名称</w:t>
            </w:r>
          </w:p>
        </w:tc>
        <w:tc>
          <w:tcPr>
            <w:tcW w:w="2183" w:type="pct"/>
            <w:noWrap w:val="0"/>
            <w:vAlign w:val="center"/>
          </w:tcPr>
          <w:p w14:paraId="11F3A020">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具体内容</w:t>
            </w:r>
          </w:p>
        </w:tc>
        <w:tc>
          <w:tcPr>
            <w:tcW w:w="623" w:type="pct"/>
            <w:noWrap w:val="0"/>
            <w:vAlign w:val="center"/>
          </w:tcPr>
          <w:p w14:paraId="0C4EC29F">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男性</w:t>
            </w:r>
          </w:p>
        </w:tc>
        <w:tc>
          <w:tcPr>
            <w:tcW w:w="647" w:type="pct"/>
            <w:noWrap w:val="0"/>
            <w:vAlign w:val="center"/>
          </w:tcPr>
          <w:p w14:paraId="3E100F72">
            <w:pPr>
              <w:keepNext w:val="0"/>
              <w:keepLines w:val="0"/>
              <w:pageBreakBefore w:val="0"/>
              <w:widowControl/>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女性</w:t>
            </w:r>
          </w:p>
        </w:tc>
      </w:tr>
      <w:tr w14:paraId="02DF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5CCFCBC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w:t>
            </w:r>
          </w:p>
        </w:tc>
        <w:tc>
          <w:tcPr>
            <w:tcW w:w="1079" w:type="pct"/>
            <w:noWrap w:val="0"/>
            <w:vAlign w:val="center"/>
          </w:tcPr>
          <w:p w14:paraId="67F4C7A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一般情况</w:t>
            </w:r>
          </w:p>
        </w:tc>
        <w:tc>
          <w:tcPr>
            <w:tcW w:w="2183" w:type="pct"/>
            <w:noWrap w:val="0"/>
            <w:vAlign w:val="center"/>
          </w:tcPr>
          <w:p w14:paraId="2A81A17C">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身高、体重、血压</w:t>
            </w:r>
          </w:p>
        </w:tc>
        <w:tc>
          <w:tcPr>
            <w:tcW w:w="623" w:type="pct"/>
            <w:noWrap w:val="0"/>
            <w:vAlign w:val="center"/>
          </w:tcPr>
          <w:p w14:paraId="5441CCF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5C69AD8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067D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7359EBF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w:t>
            </w:r>
          </w:p>
        </w:tc>
        <w:tc>
          <w:tcPr>
            <w:tcW w:w="1079" w:type="pct"/>
            <w:noWrap w:val="0"/>
            <w:vAlign w:val="center"/>
          </w:tcPr>
          <w:p w14:paraId="5DC7DD6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内科</w:t>
            </w:r>
          </w:p>
        </w:tc>
        <w:tc>
          <w:tcPr>
            <w:tcW w:w="2183" w:type="pct"/>
            <w:noWrap w:val="0"/>
            <w:vAlign w:val="center"/>
          </w:tcPr>
          <w:p w14:paraId="71EB157A">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测血压、听心肺、扪肝脾大小</w:t>
            </w:r>
          </w:p>
        </w:tc>
        <w:tc>
          <w:tcPr>
            <w:tcW w:w="623" w:type="pct"/>
            <w:noWrap w:val="0"/>
            <w:vAlign w:val="center"/>
          </w:tcPr>
          <w:p w14:paraId="4C4AA09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4530179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CA6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032FF2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w:t>
            </w:r>
          </w:p>
        </w:tc>
        <w:tc>
          <w:tcPr>
            <w:tcW w:w="1079" w:type="pct"/>
            <w:noWrap w:val="0"/>
            <w:vAlign w:val="center"/>
          </w:tcPr>
          <w:p w14:paraId="50D956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外科</w:t>
            </w:r>
          </w:p>
        </w:tc>
        <w:tc>
          <w:tcPr>
            <w:tcW w:w="2183" w:type="pct"/>
            <w:noWrap w:val="0"/>
            <w:vAlign w:val="center"/>
          </w:tcPr>
          <w:p w14:paraId="74E41437">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检查甲状腺、淋巴结、四肢关节、脊柱等有无病变</w:t>
            </w:r>
          </w:p>
        </w:tc>
        <w:tc>
          <w:tcPr>
            <w:tcW w:w="623" w:type="pct"/>
            <w:noWrap w:val="0"/>
            <w:vAlign w:val="center"/>
          </w:tcPr>
          <w:p w14:paraId="3D7271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36A1E57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5ADD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2B9B1CD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4</w:t>
            </w:r>
          </w:p>
        </w:tc>
        <w:tc>
          <w:tcPr>
            <w:tcW w:w="1079" w:type="pct"/>
            <w:noWrap w:val="0"/>
            <w:vAlign w:val="center"/>
          </w:tcPr>
          <w:p w14:paraId="7DAF206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眼科</w:t>
            </w:r>
          </w:p>
        </w:tc>
        <w:tc>
          <w:tcPr>
            <w:tcW w:w="2183" w:type="pct"/>
            <w:noWrap w:val="0"/>
            <w:vAlign w:val="center"/>
          </w:tcPr>
          <w:p w14:paraId="36FFFA2B">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视力及眼科基础检查</w:t>
            </w:r>
          </w:p>
        </w:tc>
        <w:tc>
          <w:tcPr>
            <w:tcW w:w="623" w:type="pct"/>
            <w:noWrap w:val="0"/>
            <w:vAlign w:val="center"/>
          </w:tcPr>
          <w:p w14:paraId="17E53BE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7A99629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5693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2AF0A9D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w:t>
            </w:r>
          </w:p>
        </w:tc>
        <w:tc>
          <w:tcPr>
            <w:tcW w:w="1079" w:type="pct"/>
            <w:noWrap w:val="0"/>
            <w:vAlign w:val="center"/>
          </w:tcPr>
          <w:p w14:paraId="4BA2BC7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健康体检</w:t>
            </w:r>
          </w:p>
        </w:tc>
        <w:tc>
          <w:tcPr>
            <w:tcW w:w="2183" w:type="pct"/>
            <w:noWrap w:val="0"/>
            <w:vAlign w:val="center"/>
          </w:tcPr>
          <w:p w14:paraId="7C6923BF">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报告汇总、报告结论、健康建议、电子档案、报告解读</w:t>
            </w:r>
          </w:p>
        </w:tc>
        <w:tc>
          <w:tcPr>
            <w:tcW w:w="623" w:type="pct"/>
            <w:noWrap w:val="0"/>
            <w:vAlign w:val="center"/>
          </w:tcPr>
          <w:p w14:paraId="72F040C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693733E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2472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1A91614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w:t>
            </w:r>
          </w:p>
        </w:tc>
        <w:tc>
          <w:tcPr>
            <w:tcW w:w="1079" w:type="pct"/>
            <w:noWrap w:val="0"/>
            <w:vAlign w:val="center"/>
          </w:tcPr>
          <w:p w14:paraId="371953A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耳鼻喉科</w:t>
            </w:r>
          </w:p>
        </w:tc>
        <w:tc>
          <w:tcPr>
            <w:tcW w:w="2183" w:type="pct"/>
            <w:noWrap w:val="0"/>
            <w:vAlign w:val="center"/>
          </w:tcPr>
          <w:p w14:paraId="7D74B64B">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检查听觉、平衡、嗅觉、呼吸、发声和吞咽等功能，筛查鼻窦炎、中耳炎、鼻咽喉阻塞等疾病。</w:t>
            </w:r>
          </w:p>
        </w:tc>
        <w:tc>
          <w:tcPr>
            <w:tcW w:w="623" w:type="pct"/>
            <w:noWrap w:val="0"/>
            <w:vAlign w:val="center"/>
          </w:tcPr>
          <w:p w14:paraId="17C0CC2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6736650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7EFB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05EB3AA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7</w:t>
            </w:r>
          </w:p>
        </w:tc>
        <w:tc>
          <w:tcPr>
            <w:tcW w:w="1079" w:type="pct"/>
            <w:noWrap w:val="0"/>
            <w:vAlign w:val="center"/>
          </w:tcPr>
          <w:p w14:paraId="3DC7A03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裂隙灯</w:t>
            </w:r>
          </w:p>
        </w:tc>
        <w:tc>
          <w:tcPr>
            <w:tcW w:w="2183" w:type="pct"/>
            <w:noWrap w:val="0"/>
            <w:vAlign w:val="center"/>
          </w:tcPr>
          <w:p w14:paraId="73EE69F6">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可以对角膜、虹膜、晶体作全面的观察；观察角膜的弯曲度及厚度，有无异物及角膜后沉积物，对眼部疾病筛查具有重要意义。</w:t>
            </w:r>
          </w:p>
        </w:tc>
        <w:tc>
          <w:tcPr>
            <w:tcW w:w="623" w:type="pct"/>
            <w:noWrap w:val="0"/>
            <w:vAlign w:val="center"/>
          </w:tcPr>
          <w:p w14:paraId="3F88CFF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638C5FB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06B4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5108BF9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8</w:t>
            </w:r>
          </w:p>
        </w:tc>
        <w:tc>
          <w:tcPr>
            <w:tcW w:w="1079" w:type="pct"/>
            <w:noWrap w:val="0"/>
            <w:vAlign w:val="center"/>
          </w:tcPr>
          <w:p w14:paraId="11B7563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眼底检查</w:t>
            </w:r>
          </w:p>
        </w:tc>
        <w:tc>
          <w:tcPr>
            <w:tcW w:w="2183" w:type="pct"/>
            <w:noWrap w:val="0"/>
            <w:vAlign w:val="center"/>
          </w:tcPr>
          <w:p w14:paraId="2065CDFA">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筛查出青光眼、白内障、视神经炎、视神经萎缩、眼底动脉硬化等疾病，对眼底病变及全身系统性疾病、高血压病、糖尿病等的诊断及治疗提供重要的信息。</w:t>
            </w:r>
          </w:p>
        </w:tc>
        <w:tc>
          <w:tcPr>
            <w:tcW w:w="623" w:type="pct"/>
            <w:noWrap w:val="0"/>
            <w:vAlign w:val="center"/>
          </w:tcPr>
          <w:p w14:paraId="61300A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6B3DBE3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29A2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1BB60A3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9</w:t>
            </w:r>
          </w:p>
        </w:tc>
        <w:tc>
          <w:tcPr>
            <w:tcW w:w="1079" w:type="pct"/>
            <w:noWrap w:val="0"/>
            <w:vAlign w:val="center"/>
          </w:tcPr>
          <w:p w14:paraId="2261485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十二导联心电图</w:t>
            </w:r>
          </w:p>
        </w:tc>
        <w:tc>
          <w:tcPr>
            <w:tcW w:w="2183" w:type="pct"/>
            <w:noWrap w:val="0"/>
            <w:vAlign w:val="center"/>
          </w:tcPr>
          <w:p w14:paraId="21272FBE">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通过心电图机检查，可诊断心律失常、心绞痛、心肌梗塞、冠心病、心室肥厚、心肌缺血、心脏传导阻滞等心脏疾患，是健康体检不可缺少的一项检查。</w:t>
            </w:r>
          </w:p>
        </w:tc>
        <w:tc>
          <w:tcPr>
            <w:tcW w:w="623" w:type="pct"/>
            <w:noWrap w:val="0"/>
            <w:vAlign w:val="center"/>
          </w:tcPr>
          <w:p w14:paraId="4043AF3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0E69393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75F1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06C338A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w:t>
            </w:r>
          </w:p>
        </w:tc>
        <w:tc>
          <w:tcPr>
            <w:tcW w:w="1079" w:type="pct"/>
            <w:noWrap w:val="0"/>
            <w:vAlign w:val="center"/>
          </w:tcPr>
          <w:p w14:paraId="118DDA9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胸部CT</w:t>
            </w:r>
          </w:p>
        </w:tc>
        <w:tc>
          <w:tcPr>
            <w:tcW w:w="2183" w:type="pct"/>
            <w:noWrap w:val="0"/>
            <w:vAlign w:val="center"/>
          </w:tcPr>
          <w:p w14:paraId="0BA2898D">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查肺部的情况，发现某些肺癌、肺炎及肺部结节等疾病</w:t>
            </w:r>
          </w:p>
        </w:tc>
        <w:tc>
          <w:tcPr>
            <w:tcW w:w="623" w:type="pct"/>
            <w:noWrap w:val="0"/>
            <w:vAlign w:val="center"/>
          </w:tcPr>
          <w:p w14:paraId="013C1A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0DC69F7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4C45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0EFBB4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11</w:t>
            </w:r>
          </w:p>
        </w:tc>
        <w:tc>
          <w:tcPr>
            <w:tcW w:w="1079" w:type="pct"/>
            <w:noWrap w:val="0"/>
            <w:vAlign w:val="center"/>
          </w:tcPr>
          <w:p w14:paraId="65034FD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彩超（肝胆胰脾）</w:t>
            </w:r>
          </w:p>
        </w:tc>
        <w:tc>
          <w:tcPr>
            <w:tcW w:w="2183" w:type="pct"/>
            <w:noWrap w:val="0"/>
            <w:vAlign w:val="center"/>
          </w:tcPr>
          <w:p w14:paraId="28119F6D">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i w:val="0"/>
                <w:iCs w:val="0"/>
                <w:color w:val="000000" w:themeColor="text1"/>
                <w:kern w:val="0"/>
                <w:sz w:val="24"/>
                <w:szCs w:val="24"/>
                <w:highlight w:val="yellow"/>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筛查脂肪肝、结石、囊肿、肿瘤、血管瘤、肝硬化，是腹部脏器检查的重要项目。</w:t>
            </w:r>
          </w:p>
        </w:tc>
        <w:tc>
          <w:tcPr>
            <w:tcW w:w="623" w:type="pct"/>
            <w:noWrap w:val="0"/>
            <w:vAlign w:val="center"/>
          </w:tcPr>
          <w:p w14:paraId="25AF7A2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highlight w:val="yellow"/>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6336AE1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highlight w:val="yellow"/>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w:t>
            </w:r>
          </w:p>
        </w:tc>
      </w:tr>
      <w:tr w14:paraId="23FE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336B3D8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w:t>
            </w:r>
          </w:p>
        </w:tc>
        <w:tc>
          <w:tcPr>
            <w:tcW w:w="1079" w:type="pct"/>
            <w:noWrap w:val="0"/>
            <w:vAlign w:val="center"/>
          </w:tcPr>
          <w:p w14:paraId="2C1D48E8">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彩超（双肾、输尿管、膀胱、前列腺）</w:t>
            </w:r>
          </w:p>
        </w:tc>
        <w:tc>
          <w:tcPr>
            <w:tcW w:w="2183" w:type="pct"/>
            <w:noWrap w:val="0"/>
            <w:vAlign w:val="center"/>
          </w:tcPr>
          <w:p w14:paraId="1D19ABDD">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筛查双肾实质性病变，前列腺肥大、前列腺癌、前列腺囊肿、前列腺钙化，膀胱占位性病变。</w:t>
            </w:r>
          </w:p>
        </w:tc>
        <w:tc>
          <w:tcPr>
            <w:tcW w:w="623" w:type="pct"/>
            <w:noWrap w:val="0"/>
            <w:vAlign w:val="center"/>
          </w:tcPr>
          <w:p w14:paraId="249C7B74">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647" w:type="pct"/>
            <w:noWrap w:val="0"/>
            <w:vAlign w:val="center"/>
          </w:tcPr>
          <w:p w14:paraId="1C4455F1">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1343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1BE7867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13</w:t>
            </w:r>
          </w:p>
        </w:tc>
        <w:tc>
          <w:tcPr>
            <w:tcW w:w="1079" w:type="pct"/>
            <w:noWrap w:val="0"/>
            <w:vAlign w:val="center"/>
          </w:tcPr>
          <w:p w14:paraId="03AE6368">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彩超（双肾、输尿管、膀胱）</w:t>
            </w:r>
          </w:p>
        </w:tc>
        <w:tc>
          <w:tcPr>
            <w:tcW w:w="2183" w:type="pct"/>
            <w:noWrap w:val="0"/>
            <w:vAlign w:val="center"/>
          </w:tcPr>
          <w:p w14:paraId="738BF59C">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筛查双肾实质性病变、输尿管结石、膀胱占位性病变等</w:t>
            </w:r>
          </w:p>
        </w:tc>
        <w:tc>
          <w:tcPr>
            <w:tcW w:w="623" w:type="pct"/>
            <w:noWrap w:val="0"/>
            <w:vAlign w:val="center"/>
          </w:tcPr>
          <w:p w14:paraId="4811DE63">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647" w:type="pct"/>
            <w:noWrap w:val="0"/>
            <w:vAlign w:val="center"/>
          </w:tcPr>
          <w:p w14:paraId="4A16EA52">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6B05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7D6B269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14</w:t>
            </w:r>
          </w:p>
        </w:tc>
        <w:tc>
          <w:tcPr>
            <w:tcW w:w="1079" w:type="pct"/>
            <w:noWrap w:val="0"/>
            <w:vAlign w:val="center"/>
          </w:tcPr>
          <w:p w14:paraId="1BDEDD4D">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彩超（子宫、附件）</w:t>
            </w:r>
          </w:p>
        </w:tc>
        <w:tc>
          <w:tcPr>
            <w:tcW w:w="2183" w:type="pct"/>
            <w:noWrap w:val="0"/>
            <w:vAlign w:val="center"/>
          </w:tcPr>
          <w:p w14:paraId="3A4D3AE5">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筛查子宫肌瘤、内膜息肉及附件相关疾病。</w:t>
            </w:r>
          </w:p>
        </w:tc>
        <w:tc>
          <w:tcPr>
            <w:tcW w:w="623" w:type="pct"/>
            <w:noWrap w:val="0"/>
            <w:vAlign w:val="center"/>
          </w:tcPr>
          <w:p w14:paraId="330C2912">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w:t>
            </w:r>
          </w:p>
        </w:tc>
        <w:tc>
          <w:tcPr>
            <w:tcW w:w="647" w:type="pct"/>
            <w:noWrap w:val="0"/>
            <w:vAlign w:val="center"/>
          </w:tcPr>
          <w:p w14:paraId="4A87DC2A">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w:t>
            </w:r>
          </w:p>
        </w:tc>
      </w:tr>
      <w:tr w14:paraId="2F50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6F81771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w:t>
            </w:r>
          </w:p>
        </w:tc>
        <w:tc>
          <w:tcPr>
            <w:tcW w:w="1079" w:type="pct"/>
            <w:noWrap w:val="0"/>
            <w:vAlign w:val="center"/>
          </w:tcPr>
          <w:p w14:paraId="4EB8D08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甲状腺B超</w:t>
            </w:r>
          </w:p>
        </w:tc>
        <w:tc>
          <w:tcPr>
            <w:tcW w:w="2183" w:type="pct"/>
            <w:noWrap w:val="0"/>
            <w:vAlign w:val="center"/>
          </w:tcPr>
          <w:p w14:paraId="70148190">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对诊断甲状腺肿大、甲状腺炎、甲状腺囊肿、甲状腺肿瘤等有较大意义。</w:t>
            </w:r>
          </w:p>
        </w:tc>
        <w:tc>
          <w:tcPr>
            <w:tcW w:w="623" w:type="pct"/>
            <w:noWrap w:val="0"/>
            <w:vAlign w:val="center"/>
          </w:tcPr>
          <w:p w14:paraId="5EFDEC9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67CE410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365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0EA4002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16</w:t>
            </w:r>
          </w:p>
        </w:tc>
        <w:tc>
          <w:tcPr>
            <w:tcW w:w="1079" w:type="pct"/>
            <w:noWrap w:val="0"/>
            <w:vAlign w:val="center"/>
          </w:tcPr>
          <w:p w14:paraId="4B10B86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双侧颈动脉B超</w:t>
            </w:r>
          </w:p>
        </w:tc>
        <w:tc>
          <w:tcPr>
            <w:tcW w:w="2183" w:type="pct"/>
            <w:noWrap w:val="0"/>
            <w:vAlign w:val="center"/>
          </w:tcPr>
          <w:p w14:paraId="5D889EC6">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检测颈部血管的病变、确定血管狭窄程度及有无斑块形成，以防脑血管病的发生。</w:t>
            </w:r>
          </w:p>
        </w:tc>
        <w:tc>
          <w:tcPr>
            <w:tcW w:w="623" w:type="pct"/>
            <w:noWrap w:val="0"/>
            <w:vAlign w:val="center"/>
          </w:tcPr>
          <w:p w14:paraId="04791F1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71244C9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6649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7E24473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17</w:t>
            </w:r>
          </w:p>
        </w:tc>
        <w:tc>
          <w:tcPr>
            <w:tcW w:w="1079" w:type="pct"/>
            <w:noWrap w:val="0"/>
            <w:vAlign w:val="center"/>
          </w:tcPr>
          <w:p w14:paraId="2CD3F61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心脏彩超</w:t>
            </w:r>
          </w:p>
        </w:tc>
        <w:tc>
          <w:tcPr>
            <w:tcW w:w="2183" w:type="pct"/>
            <w:noWrap w:val="0"/>
            <w:vAlign w:val="center"/>
          </w:tcPr>
          <w:p w14:paraId="4842F0CC">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心血管疾病的重要诊断方法,对心肌病、冠心病、心肌梗塞并发症及肺心病有较大的诊断价值</w:t>
            </w:r>
          </w:p>
        </w:tc>
        <w:tc>
          <w:tcPr>
            <w:tcW w:w="623" w:type="pct"/>
            <w:noWrap w:val="0"/>
            <w:vAlign w:val="center"/>
          </w:tcPr>
          <w:p w14:paraId="5E26FE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59CB05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172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4116E07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18</w:t>
            </w:r>
          </w:p>
        </w:tc>
        <w:tc>
          <w:tcPr>
            <w:tcW w:w="1079" w:type="pct"/>
            <w:noWrap w:val="0"/>
            <w:vAlign w:val="center"/>
          </w:tcPr>
          <w:p w14:paraId="70FE52A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双侧乳腺B超</w:t>
            </w:r>
          </w:p>
        </w:tc>
        <w:tc>
          <w:tcPr>
            <w:tcW w:w="2183" w:type="pct"/>
            <w:noWrap w:val="0"/>
            <w:vAlign w:val="center"/>
          </w:tcPr>
          <w:p w14:paraId="6B9255C7">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筛查乳腺增生、早期乳腺癌等疾病，比红外线检查更详细更准确。</w:t>
            </w:r>
          </w:p>
        </w:tc>
        <w:tc>
          <w:tcPr>
            <w:tcW w:w="623" w:type="pct"/>
            <w:noWrap w:val="0"/>
            <w:vAlign w:val="center"/>
          </w:tcPr>
          <w:p w14:paraId="37C3EC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5C53184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4725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15637EB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w:t>
            </w:r>
          </w:p>
        </w:tc>
        <w:tc>
          <w:tcPr>
            <w:tcW w:w="1079" w:type="pct"/>
            <w:noWrap w:val="0"/>
            <w:vAlign w:val="center"/>
          </w:tcPr>
          <w:p w14:paraId="0E36272D">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甲功七项</w:t>
            </w:r>
          </w:p>
        </w:tc>
        <w:tc>
          <w:tcPr>
            <w:tcW w:w="2183" w:type="pct"/>
            <w:noWrap w:val="0"/>
            <w:vAlign w:val="center"/>
          </w:tcPr>
          <w:p w14:paraId="5B0CA6D2">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检查甲状腺功能是否正常</w:t>
            </w:r>
          </w:p>
        </w:tc>
        <w:tc>
          <w:tcPr>
            <w:tcW w:w="623" w:type="pct"/>
            <w:noWrap w:val="0"/>
            <w:vAlign w:val="center"/>
          </w:tcPr>
          <w:p w14:paraId="2B4F0070">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c>
          <w:tcPr>
            <w:tcW w:w="647" w:type="pct"/>
            <w:noWrap w:val="0"/>
            <w:vAlign w:val="center"/>
          </w:tcPr>
          <w:p w14:paraId="37EEC3DF">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w:t>
            </w:r>
          </w:p>
        </w:tc>
      </w:tr>
      <w:tr w14:paraId="6C61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6996E40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20</w:t>
            </w:r>
          </w:p>
        </w:tc>
        <w:tc>
          <w:tcPr>
            <w:tcW w:w="1079" w:type="pct"/>
            <w:noWrap w:val="0"/>
            <w:vAlign w:val="center"/>
          </w:tcPr>
          <w:p w14:paraId="6ECF8CE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血常规</w:t>
            </w:r>
          </w:p>
        </w:tc>
        <w:tc>
          <w:tcPr>
            <w:tcW w:w="2183" w:type="pct"/>
            <w:noWrap w:val="0"/>
            <w:vAlign w:val="center"/>
          </w:tcPr>
          <w:p w14:paraId="333BCDDA">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发现有无贫血、细菌感染、病毒感染、白血病、败血病等血液方面疾病，对机体其他器官的病变，也具有重要的诊断价值。</w:t>
            </w:r>
          </w:p>
        </w:tc>
        <w:tc>
          <w:tcPr>
            <w:tcW w:w="623" w:type="pct"/>
            <w:noWrap w:val="0"/>
            <w:vAlign w:val="center"/>
          </w:tcPr>
          <w:p w14:paraId="45381E1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3B66DB0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40C0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6915B3A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21</w:t>
            </w:r>
          </w:p>
        </w:tc>
        <w:tc>
          <w:tcPr>
            <w:tcW w:w="1079" w:type="pct"/>
            <w:noWrap w:val="0"/>
            <w:vAlign w:val="center"/>
          </w:tcPr>
          <w:p w14:paraId="6D9DE6F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尿液分析+沉渣计数</w:t>
            </w:r>
          </w:p>
        </w:tc>
        <w:tc>
          <w:tcPr>
            <w:tcW w:w="2183" w:type="pct"/>
            <w:noWrap w:val="0"/>
            <w:vAlign w:val="center"/>
          </w:tcPr>
          <w:p w14:paraId="6F9BB243">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可以诊断泌尿系统疾病，如泌尿系感染、肾炎、肿瘤、结石、血管病变，协助诊断其他系统疾病，如糖尿病、急性胰腺炎、急性或慢性溶血、肝胆疾病等。</w:t>
            </w:r>
          </w:p>
        </w:tc>
        <w:tc>
          <w:tcPr>
            <w:tcW w:w="623" w:type="pct"/>
            <w:noWrap w:val="0"/>
            <w:vAlign w:val="center"/>
          </w:tcPr>
          <w:p w14:paraId="47B3E17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1CF8693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0039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4117BFE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22</w:t>
            </w:r>
          </w:p>
        </w:tc>
        <w:tc>
          <w:tcPr>
            <w:tcW w:w="1079" w:type="pct"/>
            <w:noWrap w:val="0"/>
            <w:vAlign w:val="center"/>
          </w:tcPr>
          <w:p w14:paraId="0E136FD7">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肝功十项</w:t>
            </w:r>
          </w:p>
        </w:tc>
        <w:tc>
          <w:tcPr>
            <w:tcW w:w="2183" w:type="pct"/>
            <w:noWrap w:val="0"/>
            <w:vAlign w:val="center"/>
          </w:tcPr>
          <w:p w14:paraId="2AFE2940">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筛查肝、胆功能异常、急（慢）性肝炎，黄疸肝炎、肝硬化、肝癌、心肌炎、肾炎等脏器疾病。</w:t>
            </w:r>
          </w:p>
        </w:tc>
        <w:tc>
          <w:tcPr>
            <w:tcW w:w="623" w:type="pct"/>
            <w:noWrap w:val="0"/>
            <w:vAlign w:val="center"/>
          </w:tcPr>
          <w:p w14:paraId="0D1CBB19">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c>
          <w:tcPr>
            <w:tcW w:w="647" w:type="pct"/>
            <w:noWrap w:val="0"/>
            <w:vAlign w:val="center"/>
          </w:tcPr>
          <w:p w14:paraId="48257D7F">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r>
      <w:tr w14:paraId="5C1C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3EB8E3B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23</w:t>
            </w:r>
          </w:p>
        </w:tc>
        <w:tc>
          <w:tcPr>
            <w:tcW w:w="1079" w:type="pct"/>
            <w:noWrap w:val="0"/>
            <w:vAlign w:val="center"/>
          </w:tcPr>
          <w:p w14:paraId="65E13B4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乙肝系列</w:t>
            </w:r>
          </w:p>
        </w:tc>
        <w:tc>
          <w:tcPr>
            <w:tcW w:w="2183" w:type="pct"/>
            <w:noWrap w:val="0"/>
            <w:vAlign w:val="center"/>
          </w:tcPr>
          <w:p w14:paraId="2D0A9FBC">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筛查是否患有乙型肝炎及是否有抗体</w:t>
            </w:r>
          </w:p>
        </w:tc>
        <w:tc>
          <w:tcPr>
            <w:tcW w:w="623" w:type="pct"/>
            <w:noWrap w:val="0"/>
            <w:vAlign w:val="center"/>
          </w:tcPr>
          <w:p w14:paraId="608FD08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5A9E5E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20D1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5BC4E1A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24</w:t>
            </w:r>
          </w:p>
        </w:tc>
        <w:tc>
          <w:tcPr>
            <w:tcW w:w="1079" w:type="pct"/>
            <w:noWrap w:val="0"/>
            <w:vAlign w:val="center"/>
          </w:tcPr>
          <w:p w14:paraId="099F672A">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肾功4项</w:t>
            </w:r>
          </w:p>
        </w:tc>
        <w:tc>
          <w:tcPr>
            <w:tcW w:w="2183" w:type="pct"/>
            <w:noWrap w:val="0"/>
            <w:vAlign w:val="center"/>
          </w:tcPr>
          <w:p w14:paraId="780123F6">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筛查肾脏功能是否受损，是否有急慢性肾功能减退或肾衰。</w:t>
            </w:r>
          </w:p>
        </w:tc>
        <w:tc>
          <w:tcPr>
            <w:tcW w:w="623" w:type="pct"/>
            <w:noWrap w:val="0"/>
            <w:vAlign w:val="center"/>
          </w:tcPr>
          <w:p w14:paraId="660BBE36">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c>
          <w:tcPr>
            <w:tcW w:w="647" w:type="pct"/>
            <w:noWrap w:val="0"/>
            <w:vAlign w:val="center"/>
          </w:tcPr>
          <w:p w14:paraId="7E1D6B7B">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r>
      <w:tr w14:paraId="5D1E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3E85579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25</w:t>
            </w:r>
          </w:p>
        </w:tc>
        <w:tc>
          <w:tcPr>
            <w:tcW w:w="1079" w:type="pct"/>
            <w:noWrap w:val="0"/>
            <w:vAlign w:val="center"/>
          </w:tcPr>
          <w:p w14:paraId="30E1D8D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血糖</w:t>
            </w:r>
          </w:p>
        </w:tc>
        <w:tc>
          <w:tcPr>
            <w:tcW w:w="2183" w:type="pct"/>
            <w:noWrap w:val="0"/>
            <w:vAlign w:val="center"/>
          </w:tcPr>
          <w:p w14:paraId="7BFDEE5E">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了解空腹时血液中葡萄糖的含量，是筛查糖尿病最基本的方法，也是判断糖尿病病情和控制程度的主要指标。</w:t>
            </w:r>
          </w:p>
        </w:tc>
        <w:tc>
          <w:tcPr>
            <w:tcW w:w="623" w:type="pct"/>
            <w:noWrap w:val="0"/>
            <w:vAlign w:val="center"/>
          </w:tcPr>
          <w:p w14:paraId="5BDFB2E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21EF32D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7189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32E3D79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26</w:t>
            </w:r>
          </w:p>
        </w:tc>
        <w:tc>
          <w:tcPr>
            <w:tcW w:w="1079" w:type="pct"/>
            <w:noWrap w:val="0"/>
            <w:vAlign w:val="center"/>
          </w:tcPr>
          <w:p w14:paraId="4467565A">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血脂4项</w:t>
            </w:r>
          </w:p>
        </w:tc>
        <w:tc>
          <w:tcPr>
            <w:tcW w:w="2183" w:type="pct"/>
            <w:noWrap w:val="0"/>
            <w:vAlign w:val="center"/>
          </w:tcPr>
          <w:p w14:paraId="166A2581">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筛查是否有高血脂症。对高血压、糖尿病、动脉硬化、心肌梗塞、脑卒中、肥胖症、冠心病、肾病综合症有较高的预测和诊断价值。</w:t>
            </w:r>
          </w:p>
        </w:tc>
        <w:tc>
          <w:tcPr>
            <w:tcW w:w="623" w:type="pct"/>
            <w:noWrap w:val="0"/>
            <w:vAlign w:val="center"/>
          </w:tcPr>
          <w:p w14:paraId="59D0D95E">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c>
          <w:tcPr>
            <w:tcW w:w="647" w:type="pct"/>
            <w:noWrap w:val="0"/>
            <w:vAlign w:val="center"/>
          </w:tcPr>
          <w:p w14:paraId="06D04470">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r>
      <w:tr w14:paraId="414D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18BA6D0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27</w:t>
            </w:r>
          </w:p>
        </w:tc>
        <w:tc>
          <w:tcPr>
            <w:tcW w:w="1079" w:type="pct"/>
            <w:noWrap w:val="0"/>
            <w:vAlign w:val="center"/>
          </w:tcPr>
          <w:p w14:paraId="4C608C4D">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心肌酶谱</w:t>
            </w:r>
          </w:p>
        </w:tc>
        <w:tc>
          <w:tcPr>
            <w:tcW w:w="2183" w:type="pct"/>
            <w:noWrap w:val="0"/>
            <w:vAlign w:val="center"/>
          </w:tcPr>
          <w:p w14:paraId="3AAAB01D">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是心肌损伤的标志物，对心肌炎、急性心肌梗死的诊断有重要意义</w:t>
            </w:r>
          </w:p>
        </w:tc>
        <w:tc>
          <w:tcPr>
            <w:tcW w:w="623" w:type="pct"/>
            <w:noWrap w:val="0"/>
            <w:vAlign w:val="center"/>
          </w:tcPr>
          <w:p w14:paraId="7700140D">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t>
            </w:r>
          </w:p>
        </w:tc>
        <w:tc>
          <w:tcPr>
            <w:tcW w:w="647" w:type="pct"/>
            <w:noWrap w:val="0"/>
            <w:vAlign w:val="center"/>
          </w:tcPr>
          <w:p w14:paraId="5177E26D">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t>
            </w:r>
          </w:p>
        </w:tc>
      </w:tr>
      <w:tr w14:paraId="4E7A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69E831A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28</w:t>
            </w:r>
          </w:p>
        </w:tc>
        <w:tc>
          <w:tcPr>
            <w:tcW w:w="1079" w:type="pct"/>
            <w:noWrap w:val="0"/>
            <w:vAlign w:val="center"/>
          </w:tcPr>
          <w:p w14:paraId="2653767F">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糖化血红蛋白</w:t>
            </w:r>
          </w:p>
        </w:tc>
        <w:tc>
          <w:tcPr>
            <w:tcW w:w="2183" w:type="pct"/>
            <w:noWrap w:val="0"/>
            <w:vAlign w:val="center"/>
          </w:tcPr>
          <w:p w14:paraId="3D71B82C">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是血液中葡萄糖和血红蛋白相结合的稳定化合物，可反映过去2-3月的平均血糖水平</w:t>
            </w:r>
          </w:p>
        </w:tc>
        <w:tc>
          <w:tcPr>
            <w:tcW w:w="623" w:type="pct"/>
            <w:noWrap w:val="0"/>
            <w:vAlign w:val="center"/>
          </w:tcPr>
          <w:p w14:paraId="5D2BAC57">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t>
            </w:r>
          </w:p>
        </w:tc>
        <w:tc>
          <w:tcPr>
            <w:tcW w:w="647" w:type="pct"/>
            <w:noWrap w:val="0"/>
            <w:vAlign w:val="center"/>
          </w:tcPr>
          <w:p w14:paraId="63946959">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t>
            </w:r>
          </w:p>
        </w:tc>
      </w:tr>
      <w:tr w14:paraId="5F2D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2C352F6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29</w:t>
            </w:r>
          </w:p>
        </w:tc>
        <w:tc>
          <w:tcPr>
            <w:tcW w:w="1079" w:type="pct"/>
            <w:noWrap w:val="0"/>
            <w:vAlign w:val="center"/>
          </w:tcPr>
          <w:p w14:paraId="106BCD0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碳13呼气试验</w:t>
            </w:r>
          </w:p>
        </w:tc>
        <w:tc>
          <w:tcPr>
            <w:tcW w:w="2183" w:type="pct"/>
            <w:noWrap w:val="0"/>
            <w:vAlign w:val="center"/>
          </w:tcPr>
          <w:p w14:paraId="7654C507">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检查有无幽门螺旋杆菌感染，协助诊断消化道疾病</w:t>
            </w:r>
          </w:p>
        </w:tc>
        <w:tc>
          <w:tcPr>
            <w:tcW w:w="623" w:type="pct"/>
            <w:noWrap w:val="0"/>
            <w:vAlign w:val="center"/>
          </w:tcPr>
          <w:p w14:paraId="2D6090E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06C34C1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2502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54EC27B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30</w:t>
            </w:r>
          </w:p>
        </w:tc>
        <w:tc>
          <w:tcPr>
            <w:tcW w:w="1079" w:type="pct"/>
            <w:noWrap w:val="0"/>
            <w:vAlign w:val="center"/>
          </w:tcPr>
          <w:p w14:paraId="3FE9AEF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癌胚抗原</w:t>
            </w:r>
          </w:p>
        </w:tc>
        <w:tc>
          <w:tcPr>
            <w:tcW w:w="2183" w:type="pct"/>
            <w:noWrap w:val="0"/>
            <w:vAlign w:val="center"/>
          </w:tcPr>
          <w:p w14:paraId="0BE81C4E">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筛查结肠癌、胃癌、胆囊癌、肺癌等。</w:t>
            </w:r>
          </w:p>
        </w:tc>
        <w:tc>
          <w:tcPr>
            <w:tcW w:w="623" w:type="pct"/>
            <w:noWrap w:val="0"/>
            <w:vAlign w:val="center"/>
          </w:tcPr>
          <w:p w14:paraId="1C6F54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18C64F5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51A7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214F113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31</w:t>
            </w:r>
          </w:p>
        </w:tc>
        <w:tc>
          <w:tcPr>
            <w:tcW w:w="1079" w:type="pct"/>
            <w:noWrap w:val="0"/>
            <w:vAlign w:val="center"/>
          </w:tcPr>
          <w:p w14:paraId="76A4120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甲胎蛋白</w:t>
            </w:r>
          </w:p>
        </w:tc>
        <w:tc>
          <w:tcPr>
            <w:tcW w:w="2183" w:type="pct"/>
            <w:noWrap w:val="0"/>
            <w:vAlign w:val="center"/>
          </w:tcPr>
          <w:p w14:paraId="325DDAD4">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筛查病毒性肝炎、肝癌、肝硬化等疾病，是早期肝癌的标志物检查。</w:t>
            </w:r>
          </w:p>
        </w:tc>
        <w:tc>
          <w:tcPr>
            <w:tcW w:w="623" w:type="pct"/>
            <w:noWrap w:val="0"/>
            <w:vAlign w:val="center"/>
          </w:tcPr>
          <w:p w14:paraId="62BD0FB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1BE14CA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164E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1B0AC1C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32</w:t>
            </w:r>
          </w:p>
        </w:tc>
        <w:tc>
          <w:tcPr>
            <w:tcW w:w="1079" w:type="pct"/>
            <w:noWrap w:val="0"/>
            <w:vAlign w:val="center"/>
          </w:tcPr>
          <w:p w14:paraId="4C5A0A1F">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颈椎正侧位片</w:t>
            </w:r>
          </w:p>
        </w:tc>
        <w:tc>
          <w:tcPr>
            <w:tcW w:w="2183" w:type="pct"/>
            <w:noWrap w:val="0"/>
            <w:vAlign w:val="center"/>
          </w:tcPr>
          <w:p w14:paraId="541B1F74">
            <w:pPr>
              <w:keepNext w:val="0"/>
              <w:keepLines w:val="0"/>
              <w:pageBreakBefore w:val="0"/>
              <w:widowControl/>
              <w:suppressLineNumbers w:val="0"/>
              <w:kinsoku/>
              <w:wordWrap/>
              <w:overflowPunct/>
              <w:topLinePunct w:val="0"/>
              <w:autoSpaceDE/>
              <w:autoSpaceDN/>
              <w:bidi w:val="0"/>
              <w:adjustRightInd/>
              <w:snapToGrid/>
              <w:spacing w:after="0" w:line="450" w:lineRule="exact"/>
              <w:jc w:val="left"/>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了解颈椎有无骨质病变、椎间孔是否变小、椎间隙是否狭窄、颈椎生理曲度是否存在等</w:t>
            </w:r>
          </w:p>
        </w:tc>
        <w:tc>
          <w:tcPr>
            <w:tcW w:w="623" w:type="pct"/>
            <w:noWrap w:val="0"/>
            <w:vAlign w:val="center"/>
          </w:tcPr>
          <w:p w14:paraId="771F486F">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c>
          <w:tcPr>
            <w:tcW w:w="647" w:type="pct"/>
            <w:noWrap w:val="0"/>
            <w:vAlign w:val="center"/>
          </w:tcPr>
          <w:p w14:paraId="6C5F8955">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r>
      <w:tr w14:paraId="2902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6C48971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33</w:t>
            </w:r>
          </w:p>
        </w:tc>
        <w:tc>
          <w:tcPr>
            <w:tcW w:w="1079" w:type="pct"/>
            <w:shd w:val="clear" w:color="auto" w:fill="auto"/>
            <w:noWrap w:val="0"/>
            <w:vAlign w:val="center"/>
          </w:tcPr>
          <w:p w14:paraId="4CFDAA3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妇科检查</w:t>
            </w:r>
          </w:p>
        </w:tc>
        <w:tc>
          <w:tcPr>
            <w:tcW w:w="2183" w:type="pct"/>
            <w:shd w:val="clear" w:color="auto" w:fill="auto"/>
            <w:noWrap w:val="0"/>
            <w:vAlign w:val="center"/>
          </w:tcPr>
          <w:p w14:paraId="4DAFDCB5">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筛查：阴道炎、宫颈糜烂、附件炎、盆腔炎等疾病。</w:t>
            </w:r>
          </w:p>
        </w:tc>
        <w:tc>
          <w:tcPr>
            <w:tcW w:w="623" w:type="pct"/>
            <w:shd w:val="clear" w:color="auto" w:fill="auto"/>
            <w:noWrap w:val="0"/>
            <w:vAlign w:val="center"/>
          </w:tcPr>
          <w:p w14:paraId="76A0BA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shd w:val="clear" w:color="auto" w:fill="auto"/>
            <w:noWrap w:val="0"/>
            <w:vAlign w:val="center"/>
          </w:tcPr>
          <w:p w14:paraId="21496CF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7ED4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shd w:val="clear" w:color="auto" w:fill="auto"/>
            <w:noWrap/>
            <w:vAlign w:val="center"/>
          </w:tcPr>
          <w:p w14:paraId="081B910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34</w:t>
            </w:r>
          </w:p>
        </w:tc>
        <w:tc>
          <w:tcPr>
            <w:tcW w:w="1079" w:type="pct"/>
            <w:shd w:val="clear" w:color="auto" w:fill="auto"/>
            <w:noWrap w:val="0"/>
            <w:vAlign w:val="center"/>
          </w:tcPr>
          <w:p w14:paraId="16064F6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液基细胞检查</w:t>
            </w:r>
          </w:p>
        </w:tc>
        <w:tc>
          <w:tcPr>
            <w:tcW w:w="2183" w:type="pct"/>
            <w:shd w:val="clear" w:color="auto" w:fill="auto"/>
            <w:noWrap w:val="0"/>
            <w:vAlign w:val="center"/>
          </w:tcPr>
          <w:p w14:paraId="66B14367">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是目前广泛检查子宫颈癌最有效的诊断方法之一。</w:t>
            </w:r>
          </w:p>
        </w:tc>
        <w:tc>
          <w:tcPr>
            <w:tcW w:w="623" w:type="pct"/>
            <w:shd w:val="clear" w:color="auto" w:fill="auto"/>
            <w:noWrap w:val="0"/>
            <w:vAlign w:val="center"/>
          </w:tcPr>
          <w:p w14:paraId="113C6F3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shd w:val="clear" w:color="auto" w:fill="auto"/>
            <w:noWrap w:val="0"/>
            <w:vAlign w:val="center"/>
          </w:tcPr>
          <w:p w14:paraId="1F2FB7F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4574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7DD390B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t>35</w:t>
            </w:r>
          </w:p>
        </w:tc>
        <w:tc>
          <w:tcPr>
            <w:tcW w:w="1079" w:type="pct"/>
            <w:shd w:val="clear" w:color="auto" w:fill="auto"/>
            <w:noWrap w:val="0"/>
            <w:vAlign w:val="center"/>
          </w:tcPr>
          <w:p w14:paraId="476EA33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HPV</w:t>
            </w:r>
          </w:p>
        </w:tc>
        <w:tc>
          <w:tcPr>
            <w:tcW w:w="2183" w:type="pct"/>
            <w:shd w:val="clear" w:color="auto" w:fill="auto"/>
            <w:noWrap w:val="0"/>
            <w:vAlign w:val="center"/>
          </w:tcPr>
          <w:p w14:paraId="5ACD9C27">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HPV是导致宫颈癌的病原体，开展HPV分型检测能很好的预防宫颈癌</w:t>
            </w:r>
          </w:p>
        </w:tc>
        <w:tc>
          <w:tcPr>
            <w:tcW w:w="623" w:type="pct"/>
            <w:shd w:val="clear" w:color="auto" w:fill="auto"/>
            <w:noWrap w:val="0"/>
            <w:vAlign w:val="center"/>
          </w:tcPr>
          <w:p w14:paraId="1FFE385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shd w:val="clear" w:color="auto" w:fill="auto"/>
            <w:noWrap w:val="0"/>
            <w:vAlign w:val="center"/>
          </w:tcPr>
          <w:p w14:paraId="6DF3B53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r w14:paraId="305D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760F2EB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t>36</w:t>
            </w:r>
          </w:p>
        </w:tc>
        <w:tc>
          <w:tcPr>
            <w:tcW w:w="2150" w:type="dxa"/>
            <w:noWrap w:val="0"/>
            <w:vAlign w:val="center"/>
          </w:tcPr>
          <w:p w14:paraId="29B04A03">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妇科微生态</w:t>
            </w:r>
          </w:p>
        </w:tc>
        <w:tc>
          <w:tcPr>
            <w:tcW w:w="4347" w:type="dxa"/>
            <w:noWrap w:val="0"/>
            <w:vAlign w:val="center"/>
          </w:tcPr>
          <w:p w14:paraId="0C169F12">
            <w:pPr>
              <w:keepNext w:val="0"/>
              <w:keepLines w:val="0"/>
              <w:pageBreakBefore w:val="0"/>
              <w:widowControl/>
              <w:kinsoku/>
              <w:wordWrap/>
              <w:overflowPunct/>
              <w:topLinePunct w:val="0"/>
              <w:autoSpaceDE/>
              <w:autoSpaceDN/>
              <w:bidi w:val="0"/>
              <w:adjustRightInd/>
              <w:snapToGrid/>
              <w:spacing w:after="0" w:line="450" w:lineRule="exact"/>
              <w:jc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kern w:val="2"/>
                <w:sz w:val="24"/>
                <w:szCs w:val="24"/>
              </w:rPr>
              <w:t>筛查阴道炎、宫颈炎等妇科炎症。</w:t>
            </w:r>
          </w:p>
        </w:tc>
        <w:tc>
          <w:tcPr>
            <w:tcW w:w="1241" w:type="dxa"/>
            <w:noWrap w:val="0"/>
            <w:vAlign w:val="center"/>
          </w:tcPr>
          <w:p w14:paraId="31BFDCB0">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2"/>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c>
          <w:tcPr>
            <w:tcW w:w="1290" w:type="dxa"/>
            <w:noWrap w:val="0"/>
            <w:vAlign w:val="center"/>
          </w:tcPr>
          <w:p w14:paraId="5893F7CB">
            <w:pPr>
              <w:keepNext w:val="0"/>
              <w:keepLines w:val="0"/>
              <w:pageBreakBefore w:val="0"/>
              <w:widowControl/>
              <w:suppressLineNumbers w:val="0"/>
              <w:kinsoku/>
              <w:wordWrap/>
              <w:overflowPunct/>
              <w:topLinePunct w:val="0"/>
              <w:autoSpaceDE/>
              <w:autoSpaceDN/>
              <w:bidi w:val="0"/>
              <w:adjustRightInd/>
              <w:snapToGrid/>
              <w:spacing w:after="0" w:line="450" w:lineRule="exact"/>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p>
        </w:tc>
      </w:tr>
      <w:tr w14:paraId="2306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6" w:type="pct"/>
            <w:noWrap/>
            <w:vAlign w:val="center"/>
          </w:tcPr>
          <w:p w14:paraId="674429E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37</w:t>
            </w:r>
          </w:p>
        </w:tc>
        <w:tc>
          <w:tcPr>
            <w:tcW w:w="1079" w:type="pct"/>
            <w:noWrap w:val="0"/>
            <w:vAlign w:val="center"/>
          </w:tcPr>
          <w:p w14:paraId="7D4C717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早餐</w:t>
            </w:r>
          </w:p>
        </w:tc>
        <w:tc>
          <w:tcPr>
            <w:tcW w:w="2183" w:type="pct"/>
            <w:noWrap w:val="0"/>
            <w:vAlign w:val="center"/>
          </w:tcPr>
          <w:p w14:paraId="4889EAAD">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b w:val="0"/>
                <w:bCs w:val="0"/>
                <w:color w:val="000000" w:themeColor="text1"/>
                <w:kern w:val="2"/>
                <w:sz w:val="24"/>
                <w:szCs w:val="24"/>
                <w14:textFill>
                  <w14:solidFill>
                    <w14:schemeClr w14:val="tx1"/>
                  </w14:solidFill>
                </w14:textFill>
              </w:rPr>
            </w:pPr>
          </w:p>
        </w:tc>
        <w:tc>
          <w:tcPr>
            <w:tcW w:w="623" w:type="pct"/>
            <w:noWrap w:val="0"/>
            <w:vAlign w:val="center"/>
          </w:tcPr>
          <w:p w14:paraId="393263B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c>
          <w:tcPr>
            <w:tcW w:w="647" w:type="pct"/>
            <w:noWrap w:val="0"/>
            <w:vAlign w:val="center"/>
          </w:tcPr>
          <w:p w14:paraId="03E5175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w:t>
            </w:r>
          </w:p>
        </w:tc>
      </w:tr>
    </w:tbl>
    <w:p w14:paraId="5A5C4580">
      <w:pPr>
        <w:pStyle w:val="16"/>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三</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eastAsia="zh-CN"/>
          <w14:textFill>
            <w14:solidFill>
              <w14:schemeClr w14:val="tx1"/>
            </w14:solidFill>
          </w14:textFill>
        </w:rPr>
        <w:t>服务</w:t>
      </w:r>
      <w:r>
        <w:rPr>
          <w:rFonts w:hint="eastAsia" w:ascii="宋体" w:hAnsi="宋体" w:eastAsia="宋体" w:cs="宋体"/>
          <w:b/>
          <w:bCs/>
          <w:color w:val="000000" w:themeColor="text1"/>
          <w:sz w:val="24"/>
          <w:szCs w:val="24"/>
          <w14:textFill>
            <w14:solidFill>
              <w14:schemeClr w14:val="tx1"/>
            </w14:solidFill>
          </w14:textFill>
        </w:rPr>
        <w:t>要求</w:t>
      </w:r>
    </w:p>
    <w:p w14:paraId="297B7C83">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供应商须按照体检项目内容及要求做好服务工作；</w:t>
      </w:r>
    </w:p>
    <w:p w14:paraId="40A45AD0">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供应商须在体检前将体检应注意的事项通知采购人；</w:t>
      </w:r>
    </w:p>
    <w:p w14:paraId="5676A677">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3</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供应商在体检中不得擅自修改体检项目；</w:t>
      </w:r>
    </w:p>
    <w:p w14:paraId="164F1EA3">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4</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体检过程中所需要的设备和耗材，全部由成交供应商提供，相关医疗器具必须符合国家规定标准；</w:t>
      </w:r>
    </w:p>
    <w:p w14:paraId="27BB903E">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5</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供应商负责组织具有医疗资质的医务人员对采购人确定的人员进行体检；</w:t>
      </w:r>
    </w:p>
    <w:p w14:paraId="6F1EE784">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6</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供应商须按本项目要求组织体检，提供现场引导、指导服务，根据不同人群做出针对性编排，确保体检现场井然有序，便利高效</w:t>
      </w:r>
      <w:r>
        <w:rPr>
          <w:rFonts w:hint="eastAsia" w:ascii="宋体" w:hAnsi="宋体" w:eastAsia="宋体" w:cs="宋体"/>
          <w:b w:val="0"/>
          <w:bCs w:val="0"/>
          <w:color w:val="000000" w:themeColor="text1"/>
          <w:sz w:val="24"/>
          <w:szCs w:val="24"/>
          <w:lang w:eastAsia="zh-CN"/>
          <w14:textFill>
            <w14:solidFill>
              <w14:schemeClr w14:val="tx1"/>
            </w14:solidFill>
          </w14:textFill>
        </w:rPr>
        <w:t>；</w:t>
      </w:r>
    </w:p>
    <w:p w14:paraId="032A35BA">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7</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供应商须提供高质量营养早餐，未发生过不良体检事件和重大医疗事故；</w:t>
      </w:r>
    </w:p>
    <w:p w14:paraId="1AC811F6">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8</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员工进行集中体检，体检地点在成交的体检机构，因工作原因未集体参加体检的，员工可自行进行体检，供应商应为体检员工保留此名额或兑换等额的体检卡；</w:t>
      </w:r>
    </w:p>
    <w:p w14:paraId="193B1F2F">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9</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可针对体检人员中“三高”人群,免费提供慢性病的健康管理服务，并根据个人体检情况逐人提供个性化健康指导方案；</w:t>
      </w:r>
    </w:p>
    <w:p w14:paraId="5D6F0F1D">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10</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体检人员要求自行增加体检项目的，可以予以增加，相关费用由体检人员自行支付；</w:t>
      </w:r>
    </w:p>
    <w:p w14:paraId="16EC7FAD">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11</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体检结束后15日历日内，向采购人提交体检报告；</w:t>
      </w:r>
    </w:p>
    <w:p w14:paraId="1B453C40">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12</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供应商在体检期间需驻派一名具有内科副主任医师及以上医生作为现场咨询专家，要求专家耐心细致，能认真回答被检查人的相关问题，并且在出具体检报告后为体检员工提供报告解读服务；</w:t>
      </w:r>
    </w:p>
    <w:p w14:paraId="0F880077">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13</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14:textFill>
            <w14:solidFill>
              <w14:schemeClr w14:val="tx1"/>
            </w14:solidFill>
          </w14:textFill>
        </w:rPr>
        <w:t>按采购人要求完成相应的员工健康档案的填写，交采购人存档，并为采购人完成员工终检统计表</w:t>
      </w:r>
      <w:r>
        <w:rPr>
          <w:rFonts w:hint="eastAsia" w:ascii="宋体" w:hAnsi="宋体" w:eastAsia="宋体" w:cs="宋体"/>
          <w:b w:val="0"/>
          <w:bCs w:val="0"/>
          <w:color w:val="000000" w:themeColor="text1"/>
          <w:sz w:val="24"/>
          <w:szCs w:val="24"/>
          <w:lang w:eastAsia="zh-CN"/>
          <w14:textFill>
            <w14:solidFill>
              <w14:schemeClr w14:val="tx1"/>
            </w14:solidFill>
          </w14:textFill>
        </w:rPr>
        <w:t>。</w:t>
      </w:r>
    </w:p>
    <w:p w14:paraId="3F1231A8">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14.</w:t>
      </w:r>
      <w:r>
        <w:rPr>
          <w:rFonts w:hint="eastAsia" w:ascii="宋体" w:hAnsi="宋体" w:eastAsia="宋体" w:cs="宋体"/>
          <w:b w:val="0"/>
          <w:bCs/>
          <w:color w:val="auto"/>
          <w:sz w:val="24"/>
          <w:highlight w:val="none"/>
        </w:rPr>
        <w:t>供应商与采购</w:t>
      </w:r>
      <w:r>
        <w:rPr>
          <w:rFonts w:hint="eastAsia" w:ascii="宋体" w:hAnsi="宋体" w:eastAsia="宋体" w:cs="宋体"/>
          <w:b w:val="0"/>
          <w:bCs/>
          <w:color w:val="auto"/>
          <w:sz w:val="24"/>
          <w:highlight w:val="none"/>
          <w:lang w:eastAsia="zh-CN"/>
        </w:rPr>
        <w:t>人</w:t>
      </w:r>
      <w:r>
        <w:rPr>
          <w:rFonts w:hint="eastAsia" w:ascii="宋体" w:hAnsi="宋体" w:eastAsia="宋体" w:cs="宋体"/>
          <w:b w:val="0"/>
          <w:bCs/>
          <w:color w:val="auto"/>
          <w:sz w:val="24"/>
          <w:highlight w:val="none"/>
        </w:rPr>
        <w:t>有互相保密的义务，未经允许不得将对方的相关情况私自泄露或者告知第三人。</w:t>
      </w:r>
    </w:p>
    <w:p w14:paraId="6E0DB6E2">
      <w:pPr>
        <w:pStyle w:val="16"/>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注：供应商所提供的服务必须满足或优于以上要求。</w:t>
      </w:r>
    </w:p>
    <w:p w14:paraId="24396CCE">
      <w:pPr>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br w:type="page"/>
      </w:r>
    </w:p>
    <w:bookmarkEnd w:id="17"/>
    <w:p w14:paraId="696265C7">
      <w:pPr>
        <w:pStyle w:val="2"/>
        <w:rPr>
          <w:rFonts w:hint="eastAsia" w:ascii="宋体" w:hAnsi="宋体" w:eastAsia="宋体" w:cs="宋体"/>
          <w:b/>
          <w:bCs/>
          <w:sz w:val="32"/>
          <w:szCs w:val="32"/>
          <w:highlight w:val="none"/>
        </w:rPr>
      </w:pPr>
      <w:bookmarkStart w:id="18" w:name="_Toc5471"/>
      <w:bookmarkStart w:id="19" w:name="_Toc5152"/>
      <w:bookmarkStart w:id="20" w:name="_Toc100219616"/>
      <w:bookmarkStart w:id="21" w:name="_Toc7322"/>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3B7F799A">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246E1F11">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（一）服务期：自合同签订之日起至体检服务完成之日止。</w:t>
      </w:r>
    </w:p>
    <w:p w14:paraId="0001EB12">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3443B96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（三）质量要求：符合国家及行业有关现行规范、标准的要求</w:t>
      </w:r>
    </w:p>
    <w:p w14:paraId="13C20860">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1885031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合同为固定单价合同，报价包括但不限于指项目完成并经验收合格的所有费用，包括体检服务所发生的劳务费用、管理费用、运输费用、人员工资、材料费用、水电费用、风险费用、招标代理服务费、利润、税金以及本次服务的体检项目所需的一次性消耗品、检查仪器、人员、运输等所有费用等在内的一切费用。</w:t>
      </w:r>
    </w:p>
    <w:p w14:paraId="1A06074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183E9D8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0CF82B9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10382CC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全部体检完成并出具专业的体检报告，经采购人确定供应商无违约行为后据实结算并支付。</w:t>
      </w:r>
    </w:p>
    <w:p w14:paraId="75658443">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注：供应商应向采购人出具符合国家财税规定的增值税发票，否则采购人有权延迟履行付款义务。如因供应商缘故（如开具增值税发票延误等）导致采购人无法按时付款，采购人不承担违约责任。如遇突发事件，付款日期则以实际付款日期为准。</w:t>
      </w:r>
    </w:p>
    <w:p w14:paraId="5D3E6187">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57C03FD6">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highlight w:val="none"/>
        </w:rPr>
      </w:pPr>
    </w:p>
    <w:p w14:paraId="78A6DE8D">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highlight w:val="none"/>
        </w:rPr>
      </w:pPr>
    </w:p>
    <w:p w14:paraId="18D18960">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lang w:val="en-US" w:eastAsia="zh-CN"/>
        </w:rPr>
        <w:t>年度干部员工健康体检服务</w:t>
      </w:r>
    </w:p>
    <w:p w14:paraId="6EE38528">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4"/>
          <w:highlight w:val="none"/>
        </w:rPr>
      </w:pPr>
    </w:p>
    <w:p w14:paraId="1B71B777">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4"/>
          <w:highlight w:val="none"/>
        </w:rPr>
      </w:pPr>
    </w:p>
    <w:p w14:paraId="35F4ADAF">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4"/>
          <w:highlight w:val="none"/>
        </w:rPr>
      </w:pPr>
    </w:p>
    <w:p w14:paraId="113046EF">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4"/>
          <w:highlight w:val="none"/>
        </w:rPr>
      </w:pPr>
    </w:p>
    <w:p w14:paraId="54174665">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4"/>
          <w:highlight w:val="none"/>
        </w:rPr>
      </w:pPr>
    </w:p>
    <w:p w14:paraId="154C59CD">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Cs w:val="24"/>
          <w:highlight w:val="none"/>
        </w:rPr>
      </w:pPr>
    </w:p>
    <w:p w14:paraId="58327D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rPr>
        <w:t>合同</w:t>
      </w:r>
      <w:r>
        <w:rPr>
          <w:rFonts w:hint="eastAsia" w:ascii="宋体" w:hAnsi="宋体" w:eastAsia="宋体" w:cs="宋体"/>
          <w:b/>
          <w:bCs/>
          <w:color w:val="auto"/>
          <w:sz w:val="36"/>
          <w:szCs w:val="36"/>
          <w:highlight w:val="none"/>
          <w:lang w:eastAsia="zh-CN"/>
        </w:rPr>
        <w:t>参考格式</w:t>
      </w:r>
    </w:p>
    <w:p w14:paraId="769B0131">
      <w:pPr>
        <w:pStyle w:val="17"/>
        <w:spacing w:line="360" w:lineRule="auto"/>
        <w:ind w:firstLine="480" w:firstLineChars="200"/>
        <w:rPr>
          <w:rFonts w:hint="eastAsia" w:ascii="宋体" w:hAnsi="宋体" w:eastAsia="宋体" w:cs="宋体"/>
          <w:color w:val="auto"/>
          <w:szCs w:val="24"/>
          <w:highlight w:val="none"/>
        </w:rPr>
      </w:pPr>
    </w:p>
    <w:p w14:paraId="77906378">
      <w:pPr>
        <w:pStyle w:val="17"/>
        <w:spacing w:line="360" w:lineRule="auto"/>
        <w:ind w:firstLine="480" w:firstLineChars="200"/>
        <w:rPr>
          <w:rFonts w:hint="eastAsia" w:ascii="宋体" w:hAnsi="宋体" w:eastAsia="宋体" w:cs="宋体"/>
          <w:color w:val="auto"/>
          <w:szCs w:val="24"/>
          <w:highlight w:val="none"/>
        </w:rPr>
      </w:pPr>
    </w:p>
    <w:p w14:paraId="7C4588D9">
      <w:pPr>
        <w:pStyle w:val="17"/>
        <w:spacing w:line="360" w:lineRule="auto"/>
        <w:rPr>
          <w:rFonts w:hint="eastAsia" w:ascii="宋体" w:hAnsi="宋体" w:eastAsia="宋体" w:cs="宋体"/>
          <w:color w:val="auto"/>
          <w:szCs w:val="24"/>
          <w:highlight w:val="none"/>
        </w:rPr>
      </w:pPr>
    </w:p>
    <w:p w14:paraId="31C77939">
      <w:pPr>
        <w:rPr>
          <w:rFonts w:hint="eastAsia"/>
        </w:rPr>
      </w:pPr>
    </w:p>
    <w:p w14:paraId="017C2769">
      <w:pPr>
        <w:pStyle w:val="17"/>
        <w:spacing w:line="360" w:lineRule="auto"/>
        <w:ind w:firstLine="480" w:firstLineChars="20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合同编号：____________________</w:t>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rPr>
        <w:tab/>
      </w:r>
      <w:r>
        <w:rPr>
          <w:rFonts w:hint="eastAsia" w:ascii="宋体" w:hAnsi="宋体" w:eastAsia="宋体" w:cs="宋体"/>
          <w:color w:val="auto"/>
          <w:szCs w:val="24"/>
          <w:highlight w:val="none"/>
        </w:rPr>
        <w:tab/>
      </w:r>
    </w:p>
    <w:p w14:paraId="1CAAF259">
      <w:pPr>
        <w:pStyle w:val="17"/>
        <w:spacing w:line="360" w:lineRule="auto"/>
        <w:jc w:val="both"/>
        <w:rPr>
          <w:rFonts w:hint="eastAsia" w:ascii="宋体" w:hAnsi="宋体" w:eastAsia="宋体" w:cs="宋体"/>
          <w:color w:val="auto"/>
          <w:szCs w:val="24"/>
          <w:highlight w:val="none"/>
        </w:rPr>
      </w:pPr>
    </w:p>
    <w:p w14:paraId="5AE1B6F3">
      <w:pPr>
        <w:pStyle w:val="17"/>
        <w:spacing w:line="360" w:lineRule="auto"/>
        <w:ind w:firstLine="480" w:firstLineChars="20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甲　　方：____________________(采购人名称)</w:t>
      </w:r>
    </w:p>
    <w:p w14:paraId="0F20B936">
      <w:pPr>
        <w:pStyle w:val="17"/>
        <w:spacing w:line="360" w:lineRule="auto"/>
        <w:jc w:val="both"/>
        <w:rPr>
          <w:rFonts w:hint="eastAsia" w:ascii="宋体" w:hAnsi="宋体" w:eastAsia="宋体" w:cs="宋体"/>
          <w:color w:val="auto"/>
          <w:szCs w:val="24"/>
          <w:highlight w:val="none"/>
        </w:rPr>
      </w:pPr>
    </w:p>
    <w:p w14:paraId="634752D6">
      <w:pPr>
        <w:pStyle w:val="17"/>
        <w:spacing w:line="360" w:lineRule="auto"/>
        <w:ind w:firstLine="480" w:firstLineChars="20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乙　　方：____________________(供应商名称)</w:t>
      </w:r>
    </w:p>
    <w:p w14:paraId="0FF70E72">
      <w:pPr>
        <w:keepNext w:val="0"/>
        <w:keepLines w:val="0"/>
        <w:pageBreakBefore w:val="0"/>
        <w:kinsoku/>
        <w:wordWrap/>
        <w:overflowPunct/>
        <w:topLinePunct w:val="0"/>
        <w:autoSpaceDE/>
        <w:autoSpaceDN/>
        <w:bidi w:val="0"/>
        <w:adjustRightInd/>
        <w:spacing w:line="312" w:lineRule="auto"/>
        <w:jc w:val="center"/>
        <w:rPr>
          <w:rFonts w:hint="eastAsia" w:ascii="宋体" w:hAnsi="宋体" w:eastAsia="宋体" w:cs="宋体"/>
          <w:b/>
          <w:bCs/>
          <w:color w:val="auto"/>
          <w:sz w:val="28"/>
          <w:szCs w:val="28"/>
          <w:highlight w:val="none"/>
        </w:rPr>
      </w:pPr>
      <w:r>
        <w:rPr>
          <w:rFonts w:hint="eastAsia" w:ascii="宋体" w:hAnsi="宋体" w:eastAsia="宋体" w:cs="宋体"/>
          <w:color w:val="auto"/>
          <w:szCs w:val="24"/>
          <w:highlight w:val="none"/>
        </w:rPr>
        <w:br w:type="page"/>
      </w:r>
      <w:r>
        <w:rPr>
          <w:rFonts w:hint="eastAsia" w:ascii="宋体" w:hAnsi="宋体" w:eastAsia="宋体" w:cs="宋体"/>
          <w:b/>
          <w:bCs/>
          <w:color w:val="auto"/>
          <w:sz w:val="28"/>
          <w:szCs w:val="28"/>
          <w:highlight w:val="none"/>
        </w:rPr>
        <w:t>合同草案条款</w:t>
      </w:r>
    </w:p>
    <w:p w14:paraId="6550316D">
      <w:pPr>
        <w:keepNext w:val="0"/>
        <w:keepLines w:val="0"/>
        <w:pageBreakBefore w:val="0"/>
        <w:kinsoku/>
        <w:wordWrap/>
        <w:overflowPunct/>
        <w:topLinePunct w:val="0"/>
        <w:autoSpaceDE/>
        <w:autoSpaceDN/>
        <w:bidi w:val="0"/>
        <w:adjustRightInd/>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一、总    则</w:t>
      </w:r>
    </w:p>
    <w:p w14:paraId="67F39E6D">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甲方（采购人）：       </w:t>
      </w:r>
    </w:p>
    <w:p w14:paraId="36654C75">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乙方（成交人）：</w:t>
      </w:r>
      <w:r>
        <w:rPr>
          <w:rFonts w:hint="eastAsia" w:ascii="宋体" w:hAnsi="宋体" w:eastAsia="宋体" w:cs="宋体"/>
          <w:color w:val="auto"/>
          <w:sz w:val="24"/>
          <w:szCs w:val="24"/>
          <w:highlight w:val="none"/>
        </w:rPr>
        <w:t xml:space="preserve">       </w:t>
      </w:r>
    </w:p>
    <w:p w14:paraId="71045855">
      <w:pPr>
        <w:keepNext w:val="0"/>
        <w:keepLines w:val="0"/>
        <w:pageBreakBefore w:val="0"/>
        <w:kinsoku/>
        <w:wordWrap/>
        <w:overflowPunct/>
        <w:topLinePunct w:val="0"/>
        <w:bidi w:val="0"/>
        <w:spacing w:line="324" w:lineRule="auto"/>
        <w:ind w:firstLine="480"/>
        <w:rPr>
          <w:rFonts w:hint="eastAsia" w:ascii="宋体" w:hAnsi="宋体" w:eastAsia="宋体" w:cs="宋体"/>
          <w:color w:val="auto"/>
          <w:sz w:val="24"/>
          <w:highlight w:val="none"/>
        </w:rPr>
      </w:pPr>
      <w:r>
        <w:rPr>
          <w:rFonts w:hint="eastAsia" w:ascii="宋体" w:hAnsi="宋体" w:eastAsia="宋体" w:cs="宋体"/>
          <w:kern w:val="0"/>
          <w:sz w:val="24"/>
          <w:szCs w:val="24"/>
        </w:rPr>
        <w:t>依照《中华人民共和国民法典》及其他有关法律、法规，遵循平等、自愿、公平和诚信的原则，双方就本项目范围与相关服务事项协商一致，订立本合同。</w:t>
      </w:r>
    </w:p>
    <w:p w14:paraId="4C549FFF">
      <w:pPr>
        <w:keepNext w:val="0"/>
        <w:keepLines w:val="0"/>
        <w:pageBreakBefore w:val="0"/>
        <w:widowControl/>
        <w:kinsoku/>
        <w:wordWrap/>
        <w:overflowPunct/>
        <w:topLinePunct w:val="0"/>
        <w:autoSpaceDE w:val="0"/>
        <w:autoSpaceDN w:val="0"/>
        <w:bidi w:val="0"/>
        <w:adjustRightInd w:val="0"/>
        <w:snapToGrid/>
        <w:spacing w:line="324" w:lineRule="auto"/>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 xml:space="preserve">第一条 </w:t>
      </w:r>
      <w:r>
        <w:rPr>
          <w:rFonts w:hint="eastAsia" w:ascii="宋体" w:hAnsi="宋体" w:eastAsia="宋体" w:cs="宋体"/>
          <w:b/>
          <w:color w:val="auto"/>
          <w:sz w:val="24"/>
          <w:highlight w:val="none"/>
        </w:rPr>
        <w:t>合同组成</w:t>
      </w:r>
    </w:p>
    <w:p w14:paraId="723AF2F1">
      <w:pPr>
        <w:keepNext w:val="0"/>
        <w:keepLines w:val="0"/>
        <w:pageBreakBefore w:val="0"/>
        <w:kinsoku/>
        <w:wordWrap/>
        <w:overflowPunct/>
        <w:topLinePunct w:val="0"/>
        <w:autoSpaceDE w:val="0"/>
        <w:autoSpaceDN w:val="0"/>
        <w:bidi w:val="0"/>
        <w:adjustRightInd w:val="0"/>
        <w:snapToGrid/>
        <w:spacing w:line="324" w:lineRule="auto"/>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zh-CN"/>
        </w:rPr>
        <w:t>下述文件是构成本合同不可分割的部分</w:t>
      </w:r>
      <w:r>
        <w:rPr>
          <w:rFonts w:hint="eastAsia" w:ascii="宋体" w:hAnsi="宋体" w:eastAsia="宋体" w:cs="宋体"/>
          <w:color w:val="auto"/>
          <w:sz w:val="24"/>
          <w:highlight w:val="none"/>
        </w:rPr>
        <w:t>:</w:t>
      </w:r>
    </w:p>
    <w:p w14:paraId="3626188A">
      <w:pPr>
        <w:keepNext w:val="0"/>
        <w:keepLines w:val="0"/>
        <w:pageBreakBefore w:val="0"/>
        <w:kinsoku/>
        <w:wordWrap/>
        <w:overflowPunct/>
        <w:topLinePunct w:val="0"/>
        <w:autoSpaceDE w:val="0"/>
        <w:autoSpaceDN w:val="0"/>
        <w:bidi w:val="0"/>
        <w:adjustRightInd w:val="0"/>
        <w:snapToGrid/>
        <w:spacing w:line="324" w:lineRule="auto"/>
        <w:ind w:left="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zh-CN"/>
        </w:rPr>
        <w:t>本合同条款及其所有附件。</w:t>
      </w:r>
    </w:p>
    <w:p w14:paraId="06FA2F52">
      <w:pPr>
        <w:keepNext w:val="0"/>
        <w:keepLines w:val="0"/>
        <w:pageBreakBefore w:val="0"/>
        <w:kinsoku/>
        <w:wordWrap/>
        <w:overflowPunct/>
        <w:topLinePunct w:val="0"/>
        <w:autoSpaceDE w:val="0"/>
        <w:autoSpaceDN w:val="0"/>
        <w:bidi w:val="0"/>
        <w:adjustRightInd w:val="0"/>
        <w:snapToGrid/>
        <w:spacing w:line="324" w:lineRule="auto"/>
        <w:ind w:left="0"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甲方的</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lang w:val="zh-CN"/>
        </w:rPr>
        <w:t>及澄清文件。</w:t>
      </w:r>
    </w:p>
    <w:p w14:paraId="7492F5E3">
      <w:pPr>
        <w:keepNext w:val="0"/>
        <w:keepLines w:val="0"/>
        <w:pageBreakBefore w:val="0"/>
        <w:kinsoku/>
        <w:wordWrap/>
        <w:overflowPunct/>
        <w:topLinePunct w:val="0"/>
        <w:autoSpaceDE w:val="0"/>
        <w:autoSpaceDN w:val="0"/>
        <w:bidi w:val="0"/>
        <w:adjustRightInd w:val="0"/>
        <w:snapToGrid/>
        <w:spacing w:line="324" w:lineRule="auto"/>
        <w:ind w:left="0"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zh-CN"/>
        </w:rPr>
        <w:t>乙方的</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lang w:val="zh-CN"/>
        </w:rPr>
        <w:t>文件及质疑解答文件。</w:t>
      </w:r>
    </w:p>
    <w:p w14:paraId="40641D55">
      <w:pPr>
        <w:keepNext w:val="0"/>
        <w:keepLines w:val="0"/>
        <w:pageBreakBefore w:val="0"/>
        <w:kinsoku/>
        <w:wordWrap/>
        <w:overflowPunct/>
        <w:topLinePunct w:val="0"/>
        <w:autoSpaceDE w:val="0"/>
        <w:autoSpaceDN w:val="0"/>
        <w:bidi w:val="0"/>
        <w:adjustRightInd w:val="0"/>
        <w:snapToGrid/>
        <w:spacing w:line="324" w:lineRule="auto"/>
        <w:ind w:left="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lang w:val="zh-CN"/>
        </w:rPr>
        <w:t>通知书。</w:t>
      </w:r>
    </w:p>
    <w:p w14:paraId="0A2B541C">
      <w:pPr>
        <w:keepNext w:val="0"/>
        <w:keepLines w:val="0"/>
        <w:pageBreakBefore w:val="0"/>
        <w:kinsoku/>
        <w:wordWrap/>
        <w:overflowPunct/>
        <w:topLinePunct w:val="0"/>
        <w:autoSpaceDE w:val="0"/>
        <w:autoSpaceDN w:val="0"/>
        <w:bidi w:val="0"/>
        <w:adjustRightInd w:val="0"/>
        <w:snapToGrid/>
        <w:spacing w:line="324" w:lineRule="auto"/>
        <w:ind w:left="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val="zh-CN"/>
        </w:rPr>
        <w:t>法定代表人授权书。</w:t>
      </w:r>
    </w:p>
    <w:p w14:paraId="4A67F6EF">
      <w:pPr>
        <w:keepNext w:val="0"/>
        <w:keepLines w:val="0"/>
        <w:pageBreakBefore w:val="0"/>
        <w:kinsoku/>
        <w:wordWrap/>
        <w:overflowPunct/>
        <w:topLinePunct w:val="0"/>
        <w:bidi w:val="0"/>
        <w:snapToGrid/>
        <w:spacing w:line="324" w:lineRule="auto"/>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（6）双方与合同有关的往来信函、传真经双方法定代表人或其授权代表签字并加盖单位公章确认后视为本合同的组成部分。</w:t>
      </w:r>
    </w:p>
    <w:p w14:paraId="7F20A83A">
      <w:pPr>
        <w:keepNext w:val="0"/>
        <w:keepLines w:val="0"/>
        <w:pageBreakBefore w:val="0"/>
        <w:kinsoku/>
        <w:wordWrap/>
        <w:overflowPunct/>
        <w:topLinePunct w:val="0"/>
        <w:autoSpaceDE w:val="0"/>
        <w:autoSpaceDN w:val="0"/>
        <w:bidi w:val="0"/>
        <w:adjustRightInd w:val="0"/>
        <w:snapToGrid/>
        <w:spacing w:line="324" w:lineRule="auto"/>
        <w:ind w:left="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（7）经双方法定代表人或其授权代表签字并加盖单位公章确认的补充协议。</w:t>
      </w:r>
    </w:p>
    <w:p w14:paraId="112AFD0E">
      <w:pPr>
        <w:keepNext w:val="0"/>
        <w:keepLines w:val="0"/>
        <w:pageBreakBefore w:val="0"/>
        <w:widowControl w:val="0"/>
        <w:kinsoku/>
        <w:wordWrap/>
        <w:overflowPunct/>
        <w:topLinePunct w:val="0"/>
        <w:autoSpaceDE/>
        <w:autoSpaceDN/>
        <w:bidi w:val="0"/>
        <w:adjustRightInd/>
        <w:snapToGrid/>
        <w:spacing w:line="324" w:lineRule="auto"/>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如果乙方的</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lang w:val="zh-CN"/>
        </w:rPr>
        <w:t>文件及质疑解答文件内容违背或低于甲方</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lang w:val="zh-CN"/>
        </w:rPr>
        <w:t>要求或任何可能导致影响当次采购目的的情形，均应当被视为乙方自动放弃</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lang w:val="zh-CN"/>
        </w:rPr>
        <w:t>文件及质疑解答文件中相应部分而同意以</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lang w:val="zh-CN"/>
        </w:rPr>
        <w:t>相应内容为准。如果乙方的</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lang w:val="zh-CN"/>
        </w:rPr>
        <w:t>文件及质疑解答文件内容高于甲方</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lang w:val="zh-CN"/>
        </w:rPr>
        <w:t>要求，则以乙方的</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lang w:val="zh-CN"/>
        </w:rPr>
        <w:t>文件及质疑解答文件内容为准。如果合同条款与合同附件有矛盾之处，以合同条款内容为准。</w:t>
      </w:r>
      <w:r>
        <w:rPr>
          <w:rFonts w:hint="eastAsia" w:ascii="宋体" w:hAnsi="宋体" w:eastAsia="宋体" w:cs="宋体"/>
          <w:color w:val="auto"/>
          <w:sz w:val="24"/>
          <w:highlight w:val="none"/>
        </w:rPr>
        <w:t>如果合同附件之间有矛盾之处，以有利于甲方的附件内容为准。</w:t>
      </w:r>
    </w:p>
    <w:p w14:paraId="57A3EDE4">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上述合同文件应能够相互解释、相互说明。如合同文件之间出现不一致，除本合同另有约定外，第（1）款至（6）款的排列顺序就是合同文件的优先解释顺序。对于第（7）款中双方达成的补充协议与原合同（包括（1）-（6）款中所列的所有文件）存在不一致，以签订日期在后的补充协议为准。</w:t>
      </w:r>
    </w:p>
    <w:p w14:paraId="653993B3">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第二条</w:t>
      </w:r>
      <w:r>
        <w:rPr>
          <w:rFonts w:hint="eastAsia" w:ascii="宋体" w:hAnsi="宋体" w:eastAsia="宋体" w:cs="宋体"/>
          <w:color w:val="auto"/>
          <w:sz w:val="24"/>
          <w:szCs w:val="24"/>
          <w:highlight w:val="none"/>
        </w:rPr>
        <w:t xml:space="preserve">  乙方提供服务的受益人为甲方，甲乙双方均应对履行本合同承担相应的责任。</w:t>
      </w:r>
    </w:p>
    <w:p w14:paraId="2CA60D23">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二、服务事项</w:t>
      </w:r>
    </w:p>
    <w:p w14:paraId="14528EC4">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第三条</w:t>
      </w:r>
      <w:r>
        <w:rPr>
          <w:rFonts w:hint="eastAsia" w:ascii="宋体" w:hAnsi="宋体" w:eastAsia="宋体" w:cs="宋体"/>
          <w:color w:val="auto"/>
          <w:sz w:val="24"/>
          <w:szCs w:val="24"/>
          <w:highlight w:val="none"/>
        </w:rPr>
        <w:t xml:space="preserve">  服务内容</w:t>
      </w:r>
    </w:p>
    <w:p w14:paraId="2AEEBB56">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1.甲方委托乙方为甲方单位职工提供体检服务。</w:t>
      </w:r>
    </w:p>
    <w:p w14:paraId="275E4AA0">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2.乙方根据甲方参加体检职工的性别相关情况制定体检项目目录，并按照体检项目目录展开体检。</w:t>
      </w:r>
    </w:p>
    <w:p w14:paraId="59B6D26F">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三、服务期</w:t>
      </w:r>
    </w:p>
    <w:p w14:paraId="0D7139A3">
      <w:pPr>
        <w:keepNext w:val="0"/>
        <w:keepLines w:val="0"/>
        <w:pageBreakBefore w:val="0"/>
        <w:kinsoku/>
        <w:wordWrap/>
        <w:overflowPunct/>
        <w:topLinePunct w:val="0"/>
        <w:autoSpaceDE/>
        <w:autoSpaceDN/>
        <w:bidi w:val="0"/>
        <w:adjustRightInd/>
        <w:spacing w:line="324" w:lineRule="auto"/>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rPr>
        <w:t>第四条</w:t>
      </w:r>
      <w:r>
        <w:rPr>
          <w:rFonts w:hint="eastAsia" w:ascii="宋体" w:hAnsi="宋体" w:eastAsia="宋体" w:cs="宋体"/>
          <w:color w:val="auto"/>
          <w:sz w:val="24"/>
          <w:szCs w:val="24"/>
          <w:highlight w:val="none"/>
        </w:rPr>
        <w:t xml:space="preserve">  服务期</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u w:val="single"/>
          <w:lang w:val="en-US" w:eastAsia="zh-CN"/>
        </w:rPr>
        <w:t xml:space="preserve">               </w:t>
      </w:r>
    </w:p>
    <w:p w14:paraId="3D408C42">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四、双方权利义务</w:t>
      </w:r>
    </w:p>
    <w:p w14:paraId="13359E6A">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第五条</w:t>
      </w:r>
      <w:r>
        <w:rPr>
          <w:rFonts w:hint="eastAsia" w:ascii="宋体" w:hAnsi="宋体" w:eastAsia="宋体" w:cs="宋体"/>
          <w:color w:val="auto"/>
          <w:sz w:val="24"/>
          <w:szCs w:val="24"/>
          <w:highlight w:val="none"/>
        </w:rPr>
        <w:t xml:space="preserve">  甲方权利</w:t>
      </w:r>
    </w:p>
    <w:p w14:paraId="47EDDDA7">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1.甲方有权利对体检的医疗质量和服务质量进行监督，有权利要求乙方设体检专场以保证体检服务按时保质保量完成。</w:t>
      </w:r>
    </w:p>
    <w:p w14:paraId="05CDA12A">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2.甲方体检人员在体检当天可以享有不少于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80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个车位。</w:t>
      </w:r>
    </w:p>
    <w:p w14:paraId="7A6DB29D">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.甲方有权在每批体检后的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天内收到由乙方盖章的以个人为单位的密封体检报告。</w:t>
      </w:r>
    </w:p>
    <w:p w14:paraId="6830E28D">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.甲方有权利要求乙方完成相应的员工健康档案的填写，交采购人存档，并为采购人完成员工终检统计表。</w:t>
      </w:r>
    </w:p>
    <w:p w14:paraId="14521228">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.甲方有权要求乙方在服务期间赔偿由于乙方责任造成甲方的一切损失。</w:t>
      </w:r>
    </w:p>
    <w:p w14:paraId="5845052C">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.乙方未按服务项目要求完成或完成不彻底，甲方有权要求重新安排体检，且有权减扣合同付款金额直至终止合约，由此造成的一切后果由乙方承担。</w:t>
      </w:r>
    </w:p>
    <w:p w14:paraId="437A0BCD">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.在体检过程中有怀疑病情时，甲方有权要求乙方增加完成一些额外体检项目。额外体检的项目所需费用由职工自行结算。</w:t>
      </w:r>
    </w:p>
    <w:p w14:paraId="54EB98D9">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.甲方不承诺乙方在合同有效期内能够参加体检的甲方员工人数。</w:t>
      </w:r>
    </w:p>
    <w:p w14:paraId="25B9076F">
      <w:pPr>
        <w:keepNext w:val="0"/>
        <w:keepLines w:val="0"/>
        <w:pageBreakBefore w:val="0"/>
        <w:kinsoku/>
        <w:wordWrap/>
        <w:overflowPunct/>
        <w:topLinePunct w:val="0"/>
        <w:autoSpaceDE/>
        <w:autoSpaceDN/>
        <w:bidi w:val="0"/>
        <w:adjustRightInd/>
        <w:spacing w:line="324" w:lineRule="auto"/>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第六条  </w:t>
      </w:r>
      <w:r>
        <w:rPr>
          <w:rFonts w:hint="eastAsia" w:ascii="宋体" w:hAnsi="宋体" w:eastAsia="宋体" w:cs="宋体"/>
          <w:b w:val="0"/>
          <w:bCs w:val="0"/>
          <w:color w:val="auto"/>
          <w:sz w:val="24"/>
          <w:szCs w:val="24"/>
          <w:highlight w:val="none"/>
        </w:rPr>
        <w:t>甲方义务</w:t>
      </w:r>
    </w:p>
    <w:p w14:paraId="4D8FC8FC">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1.甲方有义务将参加体检职工的单位名称、所属部门、姓名、性别、年龄等相关资料及体检单位联系人的姓名和联系方式提前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天提供给乙方。</w:t>
      </w:r>
    </w:p>
    <w:p w14:paraId="21A5065B">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2.在体检现场，甲方体检人员应配合乙方医务人员的指导。</w:t>
      </w:r>
    </w:p>
    <w:p w14:paraId="77639401">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3.甲方应按合同约定，及时向乙方办理支付体检费用手续。结算时按实际体检人数、每人体检项目和体检项目收费标准计算出实际体检费用。</w:t>
      </w:r>
    </w:p>
    <w:p w14:paraId="71A1810A">
      <w:pPr>
        <w:keepNext w:val="0"/>
        <w:keepLines w:val="0"/>
        <w:pageBreakBefore w:val="0"/>
        <w:widowControl w:val="0"/>
        <w:kinsoku/>
        <w:wordWrap/>
        <w:overflowPunct/>
        <w:topLinePunct w:val="0"/>
        <w:autoSpaceDE/>
        <w:autoSpaceDN/>
        <w:bidi w:val="0"/>
        <w:adjustRightInd/>
        <w:snapToGrid/>
        <w:spacing w:line="324" w:lineRule="auto"/>
        <w:ind w:firstLine="480"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第七条 </w:t>
      </w:r>
      <w:r>
        <w:rPr>
          <w:rFonts w:hint="eastAsia" w:ascii="宋体" w:hAnsi="宋体" w:eastAsia="宋体" w:cs="宋体"/>
          <w:b w:val="0"/>
          <w:bCs w:val="0"/>
          <w:color w:val="auto"/>
          <w:sz w:val="24"/>
          <w:szCs w:val="24"/>
          <w:highlight w:val="none"/>
        </w:rPr>
        <w:t xml:space="preserve"> 乙方权利</w:t>
      </w:r>
    </w:p>
    <w:p w14:paraId="5A0887E2">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1.乙方有权督促甲方将参加体检职工的单位名称、所属部门、姓名、性别、年龄等相关资料及体检单位联系人的姓名和联系方式提前</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天提供给乙方。</w:t>
      </w:r>
    </w:p>
    <w:p w14:paraId="4621DB48">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2.乙方医务人员有权利在体检现场要求甲方体检人员配合体检指导。</w:t>
      </w:r>
    </w:p>
    <w:p w14:paraId="61837D7A">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3.乙方有权要求甲方按合同约定，及时办理支付体检费用手续。结算时按实际体检人数、每人体检项目和体检项目收费标准计算出实际体检费用。</w:t>
      </w:r>
    </w:p>
    <w:p w14:paraId="7A97C494">
      <w:pPr>
        <w:keepNext w:val="0"/>
        <w:keepLines w:val="0"/>
        <w:pageBreakBefore w:val="0"/>
        <w:widowControl w:val="0"/>
        <w:kinsoku/>
        <w:wordWrap/>
        <w:overflowPunct/>
        <w:topLinePunct w:val="0"/>
        <w:autoSpaceDE/>
        <w:autoSpaceDN/>
        <w:bidi w:val="0"/>
        <w:adjustRightInd/>
        <w:snapToGrid/>
        <w:spacing w:line="324" w:lineRule="auto"/>
        <w:ind w:firstLine="480"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第八条  </w:t>
      </w:r>
      <w:r>
        <w:rPr>
          <w:rFonts w:hint="eastAsia" w:ascii="宋体" w:hAnsi="宋体" w:eastAsia="宋体" w:cs="宋体"/>
          <w:b w:val="0"/>
          <w:bCs w:val="0"/>
          <w:color w:val="auto"/>
          <w:sz w:val="24"/>
          <w:szCs w:val="24"/>
          <w:highlight w:val="none"/>
        </w:rPr>
        <w:t>乙方义务</w:t>
      </w:r>
    </w:p>
    <w:p w14:paraId="304D3F64">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1.乙方须设甲方体检专场，每天能安排检查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人左右，每周安排</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人左右，且每天体检须在当天</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none"/>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开始，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前完成。</w:t>
      </w:r>
    </w:p>
    <w:p w14:paraId="3D569032">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2.在乙方的体检中心范围内须有清晰准确的体检引导标志牌及体检导诊员。</w:t>
      </w:r>
    </w:p>
    <w:p w14:paraId="4EBEE1FF">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.乙方需为当天参与体检人员提供不少于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80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个车位。</w:t>
      </w:r>
    </w:p>
    <w:p w14:paraId="1CE5F522">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.医护人员不少于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名，其中副主任级别以上医生不少于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名。</w:t>
      </w:r>
    </w:p>
    <w:p w14:paraId="38E84E61">
      <w:pPr>
        <w:keepNext w:val="0"/>
        <w:keepLines w:val="0"/>
        <w:pageBreakBefore w:val="0"/>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.体检中发现特殊情况时，如检出急性传染病、恶性肿瘤等应立即通知甲方负责人。对当场发觉可疑病例要免费对其进行复查，并将复查名单及内容通知其及甲方负责人。</w:t>
      </w:r>
    </w:p>
    <w:p w14:paraId="519441FB">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乙方须将体检全部数据，包括化验单、检查结果制成体检表格，个人的体检总评报告应由具有副主任级或以上的医生填写体检结论（包括体检结果、健康评价、健康处方及建议），由乙方盖章出具，并将个人体检结果用信封密封，在每批体检后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天内送达甲方。</w:t>
      </w:r>
    </w:p>
    <w:p w14:paraId="596A0A3A">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.体检全部结束后，乙方应根据参检单位、参检人员的体检情况，写出分析报告并提出相关建议（附上各病种异常率、疾病发病率的人员统计等）。</w:t>
      </w:r>
    </w:p>
    <w:p w14:paraId="761D4103">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.按本项目要求组织体检，提供现场引导、指导服务，根据不同人群做出针对性编排，确保体检现场井然有序，便利高效;</w:t>
      </w:r>
    </w:p>
    <w:p w14:paraId="159571E1">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.乙方在服务期间由于自身责任造成甲方的一切损失，由乙方负责赔偿。</w:t>
      </w:r>
    </w:p>
    <w:p w14:paraId="2CCDFAA5">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.乙方未按服务项目要求完成或完成不彻底，须按要求重新安排体检</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且甲方有权减扣合同付款金额直至终止合约，由此造成的一切后果由乙方承担。</w:t>
      </w:r>
    </w:p>
    <w:p w14:paraId="3CCF08DF">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.在体检过程中有怀疑病情时，甲方有权要求乙方增加完成一些额外体检项目，乙方应予以支持。额外体检的项目所需费用由职工自行结算。</w:t>
      </w:r>
    </w:p>
    <w:p w14:paraId="1ED6951F">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.乙方负责做好体检资料的制作、管理和发放(包括体检表，体检须知)，甲方人员不慎遗失体检表或因工作调动等原因造成甲方漏报体检人员，乙方应予及时补发。</w:t>
      </w:r>
    </w:p>
    <w:p w14:paraId="6DCD376C">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.乙方应提前告知甲方体检须知等重要事项，并严格做好甲方及甲方参检人员信息的保密工作。</w:t>
      </w:r>
    </w:p>
    <w:p w14:paraId="36F30EC2">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五、服务金额及付款方式</w:t>
      </w:r>
    </w:p>
    <w:p w14:paraId="2997EF9F">
      <w:pPr>
        <w:keepNext w:val="0"/>
        <w:keepLines w:val="0"/>
        <w:pageBreakBefore w:val="0"/>
        <w:kinsoku/>
        <w:wordWrap/>
        <w:overflowPunct/>
        <w:topLinePunct w:val="0"/>
        <w:autoSpaceDE/>
        <w:autoSpaceDN/>
        <w:bidi w:val="0"/>
        <w:adjustRightInd/>
        <w:spacing w:line="324"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第九条 </w:t>
      </w:r>
      <w:r>
        <w:rPr>
          <w:rFonts w:hint="eastAsia" w:ascii="宋体" w:hAnsi="宋体" w:eastAsia="宋体" w:cs="宋体"/>
          <w:b w:val="0"/>
          <w:bCs w:val="0"/>
          <w:color w:val="auto"/>
          <w:sz w:val="24"/>
          <w:szCs w:val="24"/>
          <w:highlight w:val="none"/>
        </w:rPr>
        <w:t xml:space="preserve"> 服务金额</w:t>
      </w:r>
    </w:p>
    <w:p w14:paraId="67AE9ECD">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本项目为固定单价合同（按照实际体检人数据实结算）。</w:t>
      </w:r>
    </w:p>
    <w:p w14:paraId="5F7A7979">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2.合同总价：本合同</w:t>
      </w:r>
      <w:r>
        <w:rPr>
          <w:rFonts w:hint="eastAsia" w:asciiTheme="minorEastAsia" w:hAnsiTheme="minorEastAsia" w:eastAsiaTheme="minorEastAsia" w:cstheme="minorEastAsia"/>
          <w:sz w:val="24"/>
          <w:szCs w:val="24"/>
          <w:highlight w:val="none"/>
          <w:lang w:val="en-US" w:eastAsia="zh-CN"/>
        </w:rPr>
        <w:t>暂定</w:t>
      </w:r>
      <w:r>
        <w:rPr>
          <w:rFonts w:hint="eastAsia" w:asciiTheme="minorEastAsia" w:hAnsiTheme="minorEastAsia" w:eastAsiaTheme="minorEastAsia" w:cstheme="minorEastAsia"/>
          <w:sz w:val="24"/>
          <w:szCs w:val="24"/>
          <w:highlight w:val="none"/>
        </w:rPr>
        <w:t>总价为： ￥</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元（大写：人民币</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w:t>
      </w:r>
      <w:r>
        <w:rPr>
          <w:rFonts w:hint="eastAsia" w:asciiTheme="minorEastAsia" w:hAnsiTheme="minorEastAsia" w:cstheme="minorEastAsia"/>
          <w:sz w:val="24"/>
          <w:szCs w:val="24"/>
          <w:highlight w:val="none"/>
          <w:lang w:val="en-US" w:eastAsia="zh-CN"/>
        </w:rPr>
        <w:t>含税</w:t>
      </w:r>
      <w:r>
        <w:rPr>
          <w:rFonts w:hint="eastAsia" w:asciiTheme="minorEastAsia" w:hAnsiTheme="minorEastAsia" w:eastAsiaTheme="minorEastAsia" w:cstheme="minorEastAsia"/>
          <w:sz w:val="24"/>
          <w:szCs w:val="24"/>
          <w:highlight w:val="none"/>
        </w:rPr>
        <w:t>）；</w:t>
      </w:r>
    </w:p>
    <w:p w14:paraId="509B5A21">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3.合同费用明细：</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508"/>
        <w:gridCol w:w="2055"/>
        <w:gridCol w:w="2344"/>
        <w:gridCol w:w="2193"/>
      </w:tblGrid>
      <w:tr w14:paraId="6877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pct"/>
            <w:gridSpan w:val="2"/>
            <w:vAlign w:val="center"/>
          </w:tcPr>
          <w:p w14:paraId="601BE4C6">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合同内容</w:t>
            </w:r>
          </w:p>
        </w:tc>
        <w:tc>
          <w:tcPr>
            <w:tcW w:w="1033" w:type="pct"/>
            <w:vAlign w:val="center"/>
          </w:tcPr>
          <w:p w14:paraId="7467CEAA">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暂定人数（人）</w:t>
            </w:r>
          </w:p>
        </w:tc>
        <w:tc>
          <w:tcPr>
            <w:tcW w:w="1178" w:type="pct"/>
            <w:vAlign w:val="center"/>
          </w:tcPr>
          <w:p w14:paraId="74ED10E5">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合同单价（元）</w:t>
            </w:r>
          </w:p>
        </w:tc>
        <w:tc>
          <w:tcPr>
            <w:tcW w:w="1100" w:type="pct"/>
            <w:vAlign w:val="center"/>
          </w:tcPr>
          <w:p w14:paraId="0F6B51B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小计（元）</w:t>
            </w:r>
          </w:p>
        </w:tc>
      </w:tr>
      <w:tr w14:paraId="0B14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Merge w:val="restart"/>
            <w:vAlign w:val="center"/>
          </w:tcPr>
          <w:p w14:paraId="254C4B9A">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套餐一</w:t>
            </w:r>
          </w:p>
        </w:tc>
        <w:tc>
          <w:tcPr>
            <w:tcW w:w="758" w:type="pct"/>
            <w:vAlign w:val="center"/>
          </w:tcPr>
          <w:p w14:paraId="6D9521AD">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男性</w:t>
            </w:r>
          </w:p>
        </w:tc>
        <w:tc>
          <w:tcPr>
            <w:tcW w:w="1033" w:type="pct"/>
          </w:tcPr>
          <w:p w14:paraId="5BFB011C">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377</w:t>
            </w:r>
          </w:p>
        </w:tc>
        <w:tc>
          <w:tcPr>
            <w:tcW w:w="1178" w:type="pct"/>
          </w:tcPr>
          <w:p w14:paraId="654FBDB3">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rPr>
            </w:pPr>
          </w:p>
        </w:tc>
        <w:tc>
          <w:tcPr>
            <w:tcW w:w="1100" w:type="pct"/>
          </w:tcPr>
          <w:p w14:paraId="3613A708">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rPr>
            </w:pPr>
          </w:p>
        </w:tc>
      </w:tr>
      <w:tr w14:paraId="3023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Merge w:val="continue"/>
            <w:vAlign w:val="center"/>
          </w:tcPr>
          <w:p w14:paraId="5F79EA76">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sz w:val="24"/>
                <w:szCs w:val="24"/>
                <w:highlight w:val="none"/>
                <w:vertAlign w:val="baseline"/>
              </w:rPr>
            </w:pPr>
          </w:p>
        </w:tc>
        <w:tc>
          <w:tcPr>
            <w:tcW w:w="758" w:type="pct"/>
            <w:vAlign w:val="center"/>
          </w:tcPr>
          <w:p w14:paraId="7D2301AD">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女性</w:t>
            </w:r>
          </w:p>
        </w:tc>
        <w:tc>
          <w:tcPr>
            <w:tcW w:w="1033" w:type="pct"/>
          </w:tcPr>
          <w:p w14:paraId="7E6FCDC8">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250</w:t>
            </w:r>
          </w:p>
        </w:tc>
        <w:tc>
          <w:tcPr>
            <w:tcW w:w="1178" w:type="pct"/>
          </w:tcPr>
          <w:p w14:paraId="7BB00E74">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rPr>
            </w:pPr>
          </w:p>
        </w:tc>
        <w:tc>
          <w:tcPr>
            <w:tcW w:w="1100" w:type="pct"/>
          </w:tcPr>
          <w:p w14:paraId="15F9B6C8">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rPr>
            </w:pPr>
          </w:p>
        </w:tc>
      </w:tr>
      <w:tr w14:paraId="5BA7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Merge w:val="restart"/>
            <w:vAlign w:val="center"/>
          </w:tcPr>
          <w:p w14:paraId="061FAB13">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套餐二</w:t>
            </w:r>
          </w:p>
        </w:tc>
        <w:tc>
          <w:tcPr>
            <w:tcW w:w="758" w:type="pct"/>
            <w:vAlign w:val="center"/>
          </w:tcPr>
          <w:p w14:paraId="67D63EB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sz w:val="24"/>
                <w:szCs w:val="24"/>
                <w:highlight w:val="none"/>
                <w:vertAlign w:val="baseline"/>
              </w:rPr>
            </w:pPr>
            <w:r>
              <w:rPr>
                <w:rFonts w:hint="eastAsia" w:ascii="宋体" w:hAnsi="宋体" w:cs="宋体"/>
                <w:sz w:val="24"/>
                <w:szCs w:val="24"/>
                <w:highlight w:val="none"/>
                <w:vertAlign w:val="baseline"/>
                <w:lang w:val="en-US" w:eastAsia="zh-CN"/>
              </w:rPr>
              <w:t>男性</w:t>
            </w:r>
          </w:p>
        </w:tc>
        <w:tc>
          <w:tcPr>
            <w:tcW w:w="1033" w:type="pct"/>
          </w:tcPr>
          <w:p w14:paraId="43415747">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1351</w:t>
            </w:r>
          </w:p>
        </w:tc>
        <w:tc>
          <w:tcPr>
            <w:tcW w:w="1178" w:type="pct"/>
          </w:tcPr>
          <w:p w14:paraId="4F57FE90">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rPr>
            </w:pPr>
          </w:p>
        </w:tc>
        <w:tc>
          <w:tcPr>
            <w:tcW w:w="1100" w:type="pct"/>
          </w:tcPr>
          <w:p w14:paraId="136AEA61">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rPr>
            </w:pPr>
          </w:p>
        </w:tc>
      </w:tr>
      <w:tr w14:paraId="2A3A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Merge w:val="continue"/>
            <w:vAlign w:val="center"/>
          </w:tcPr>
          <w:p w14:paraId="148DA239">
            <w:pPr>
              <w:keepNext w:val="0"/>
              <w:keepLines w:val="0"/>
              <w:pageBreakBefore w:val="0"/>
              <w:widowControl w:val="0"/>
              <w:kinsoku/>
              <w:wordWrap/>
              <w:overflowPunct/>
              <w:topLinePunct w:val="0"/>
              <w:autoSpaceDE/>
              <w:autoSpaceDN/>
              <w:bidi w:val="0"/>
              <w:adjustRightInd/>
              <w:snapToGrid/>
              <w:spacing w:line="324" w:lineRule="auto"/>
              <w:jc w:val="both"/>
              <w:textAlignment w:val="auto"/>
              <w:rPr>
                <w:rFonts w:hint="eastAsia" w:ascii="宋体" w:hAnsi="宋体" w:cs="宋体"/>
                <w:sz w:val="24"/>
                <w:szCs w:val="24"/>
                <w:highlight w:val="none"/>
                <w:vertAlign w:val="baseline"/>
              </w:rPr>
            </w:pPr>
          </w:p>
        </w:tc>
        <w:tc>
          <w:tcPr>
            <w:tcW w:w="758" w:type="pct"/>
            <w:vAlign w:val="center"/>
          </w:tcPr>
          <w:p w14:paraId="6678FDF8">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eastAsia" w:ascii="宋体" w:hAnsi="宋体" w:cs="宋体"/>
                <w:sz w:val="24"/>
                <w:szCs w:val="24"/>
                <w:highlight w:val="none"/>
                <w:vertAlign w:val="baseline"/>
              </w:rPr>
            </w:pPr>
            <w:r>
              <w:rPr>
                <w:rFonts w:hint="eastAsia" w:ascii="宋体" w:hAnsi="宋体" w:cs="宋体"/>
                <w:sz w:val="24"/>
                <w:szCs w:val="24"/>
                <w:highlight w:val="none"/>
                <w:vertAlign w:val="baseline"/>
                <w:lang w:val="en-US" w:eastAsia="zh-CN"/>
              </w:rPr>
              <w:t>女性</w:t>
            </w:r>
          </w:p>
        </w:tc>
        <w:tc>
          <w:tcPr>
            <w:tcW w:w="1033" w:type="pct"/>
          </w:tcPr>
          <w:p w14:paraId="30FED620">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252</w:t>
            </w:r>
          </w:p>
        </w:tc>
        <w:tc>
          <w:tcPr>
            <w:tcW w:w="1178" w:type="pct"/>
          </w:tcPr>
          <w:p w14:paraId="6628E4AB">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rPr>
            </w:pPr>
          </w:p>
        </w:tc>
        <w:tc>
          <w:tcPr>
            <w:tcW w:w="1100" w:type="pct"/>
          </w:tcPr>
          <w:p w14:paraId="6DF9D2D4">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rPr>
            </w:pPr>
          </w:p>
        </w:tc>
      </w:tr>
      <w:tr w14:paraId="0848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000" w:type="pct"/>
            <w:gridSpan w:val="5"/>
          </w:tcPr>
          <w:p w14:paraId="5D4A8DFF">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合同总价：大写：人民币</w:t>
            </w:r>
            <w:r>
              <w:rPr>
                <w:rFonts w:hint="eastAsia" w:ascii="宋体" w:hAnsi="宋体" w:cs="宋体"/>
                <w:sz w:val="24"/>
                <w:szCs w:val="24"/>
                <w:highlight w:val="none"/>
                <w:u w:val="single"/>
                <w:vertAlign w:val="baseline"/>
                <w:lang w:val="en-US" w:eastAsia="zh-CN"/>
              </w:rPr>
              <w:t xml:space="preserve">                          </w:t>
            </w:r>
            <w:r>
              <w:rPr>
                <w:rFonts w:hint="eastAsia" w:ascii="宋体" w:hAnsi="宋体" w:cs="宋体"/>
                <w:sz w:val="24"/>
                <w:szCs w:val="24"/>
                <w:highlight w:val="none"/>
                <w:vertAlign w:val="baseline"/>
                <w:lang w:val="en-US" w:eastAsia="zh-CN"/>
              </w:rPr>
              <w:t>元</w:t>
            </w:r>
          </w:p>
          <w:p w14:paraId="1838E1CF">
            <w:pPr>
              <w:keepNext w:val="0"/>
              <w:keepLines w:val="0"/>
              <w:pageBreakBefore w:val="0"/>
              <w:widowControl w:val="0"/>
              <w:kinsoku/>
              <w:wordWrap/>
              <w:overflowPunct/>
              <w:topLinePunct w:val="0"/>
              <w:autoSpaceDE/>
              <w:autoSpaceDN/>
              <w:bidi w:val="0"/>
              <w:adjustRightInd/>
              <w:snapToGrid/>
              <w:spacing w:line="324" w:lineRule="auto"/>
              <w:ind w:firstLine="1200" w:firstLineChars="500"/>
              <w:textAlignment w:val="auto"/>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小写：</w:t>
            </w:r>
            <w:r>
              <w:rPr>
                <w:rFonts w:hint="eastAsia" w:ascii="宋体" w:hAnsi="宋体" w:cs="宋体"/>
                <w:sz w:val="24"/>
                <w:szCs w:val="24"/>
                <w:highlight w:val="none"/>
                <w:u w:val="single"/>
                <w:vertAlign w:val="baseline"/>
                <w:lang w:val="en-US" w:eastAsia="zh-CN"/>
              </w:rPr>
              <w:t xml:space="preserve">                                </w:t>
            </w:r>
            <w:r>
              <w:rPr>
                <w:rFonts w:hint="eastAsia" w:ascii="宋体" w:hAnsi="宋体" w:cs="宋体"/>
                <w:sz w:val="24"/>
                <w:szCs w:val="24"/>
                <w:highlight w:val="none"/>
                <w:u w:val="none"/>
                <w:vertAlign w:val="baseline"/>
                <w:lang w:val="en-US" w:eastAsia="zh-CN"/>
              </w:rPr>
              <w:t>元</w:t>
            </w:r>
          </w:p>
        </w:tc>
      </w:tr>
    </w:tbl>
    <w:p w14:paraId="67CDBA3F">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注：以上人数为暂定人数，最终结算以实际体检人数为准。</w:t>
      </w:r>
    </w:p>
    <w:p w14:paraId="1D04A9EC">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highlight w:val="none"/>
        </w:rPr>
        <w:t>合同中的全部费用包括但不限于</w:t>
      </w:r>
      <w:r>
        <w:rPr>
          <w:rFonts w:hint="eastAsia" w:ascii="宋体" w:hAnsi="宋体" w:eastAsia="宋体" w:cs="宋体"/>
          <w:color w:val="auto"/>
          <w:sz w:val="24"/>
          <w:szCs w:val="24"/>
          <w:highlight w:val="none"/>
        </w:rPr>
        <w:t>：体检服务所发生的劳务费用、管理费用、运输费用、人员工资、材料费用、水电费用、风险费用、招标代理服务费、利润、税金以及本次服务的体检项目所需的一次性消耗品、检查仪器、人员、运输等所有费用等在内的一切费用。</w:t>
      </w:r>
    </w:p>
    <w:p w14:paraId="07E351E7">
      <w:pPr>
        <w:keepNext w:val="0"/>
        <w:keepLines w:val="0"/>
        <w:pageBreakBefore w:val="0"/>
        <w:kinsoku/>
        <w:wordWrap/>
        <w:overflowPunct/>
        <w:topLinePunct w:val="0"/>
        <w:autoSpaceDE/>
        <w:autoSpaceDN/>
        <w:bidi w:val="0"/>
        <w:adjustRightInd/>
        <w:spacing w:line="324"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第十条  </w:t>
      </w:r>
      <w:r>
        <w:rPr>
          <w:rFonts w:hint="eastAsia" w:ascii="宋体" w:hAnsi="宋体" w:eastAsia="宋体" w:cs="宋体"/>
          <w:b w:val="0"/>
          <w:bCs w:val="0"/>
          <w:color w:val="auto"/>
          <w:sz w:val="24"/>
          <w:szCs w:val="24"/>
          <w:highlight w:val="none"/>
        </w:rPr>
        <w:t>付款方式及结算方式</w:t>
      </w:r>
    </w:p>
    <w:p w14:paraId="0A59AB50">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1.付款方式：</w:t>
      </w:r>
    </w:p>
    <w:p w14:paraId="30E9DA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24" w:lineRule="auto"/>
        <w:ind w:left="0" w:right="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2477973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24"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6576DE1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24"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全部体检完成并出具专业的体检报告，经甲方确定乙方无违约行为后据实结算并支付。</w:t>
      </w:r>
    </w:p>
    <w:p w14:paraId="0F9A7C69">
      <w:pPr>
        <w:keepNext w:val="0"/>
        <w:keepLines w:val="0"/>
        <w:pageBreakBefore w:val="0"/>
        <w:widowControl/>
        <w:kinsoku/>
        <w:wordWrap/>
        <w:overflowPunct/>
        <w:topLinePunct w:val="0"/>
        <w:autoSpaceDE/>
        <w:autoSpaceDN/>
        <w:bidi w:val="0"/>
        <w:adjustRightInd/>
        <w:spacing w:line="32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注：供应商应向采购人出具符合国家财税规定的增值税发票，否则采购人有权延迟履行付款义务。如因供应商缘故（如开具增值税发票延误等）导致采购人无法按时付款，采购人不承担违约责任。如遇突发事件，付款日期则以实际付款日期为准。</w:t>
      </w:r>
    </w:p>
    <w:p w14:paraId="64FC5321">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六、违约责任</w:t>
      </w:r>
    </w:p>
    <w:p w14:paraId="6A24B5DB">
      <w:pPr>
        <w:keepNext w:val="0"/>
        <w:keepLines w:val="0"/>
        <w:pageBreakBefore w:val="0"/>
        <w:widowControl/>
        <w:kinsoku/>
        <w:wordWrap/>
        <w:overflowPunct/>
        <w:topLinePunct w:val="0"/>
        <w:autoSpaceDE/>
        <w:autoSpaceDN/>
        <w:bidi w:val="0"/>
        <w:adjustRightInd/>
        <w:snapToGrid/>
        <w:spacing w:line="324" w:lineRule="auto"/>
        <w:ind w:firstLine="480" w:firstLineChars="200"/>
        <w:jc w:val="left"/>
        <w:textAlignment w:val="auto"/>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第十一条</w:t>
      </w:r>
      <w:r>
        <w:rPr>
          <w:rFonts w:hint="eastAsia" w:ascii="宋体" w:hAnsi="宋体" w:eastAsia="宋体" w:cs="宋体"/>
          <w:b w:val="0"/>
          <w:bCs w:val="0"/>
          <w:color w:val="auto"/>
          <w:sz w:val="24"/>
          <w:szCs w:val="24"/>
          <w:highlight w:val="none"/>
          <w:lang w:val="en-US" w:eastAsia="zh-CN" w:bidi="ar-SA"/>
        </w:rPr>
        <w:t xml:space="preserve"> 甲乙双方如出现违约的，违约方自违约之日起，每日按合同总价的 5‰向守约方承担违约责任并且及时采取有效补救措施，违约金总额不超过本合同总价的 5%，并继续履行本合同所规定的义务。 </w:t>
      </w:r>
    </w:p>
    <w:p w14:paraId="0D6FD6D0">
      <w:pPr>
        <w:keepNext w:val="0"/>
        <w:keepLines w:val="0"/>
        <w:pageBreakBefore w:val="0"/>
        <w:widowControl/>
        <w:kinsoku/>
        <w:wordWrap/>
        <w:overflowPunct/>
        <w:topLinePunct w:val="0"/>
        <w:autoSpaceDE/>
        <w:autoSpaceDN/>
        <w:bidi w:val="0"/>
        <w:adjustRightInd/>
        <w:snapToGrid/>
        <w:spacing w:line="324" w:lineRule="auto"/>
        <w:ind w:firstLine="480" w:firstLineChars="200"/>
        <w:jc w:val="left"/>
        <w:textAlignment w:val="auto"/>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第十二条</w:t>
      </w:r>
      <w:r>
        <w:rPr>
          <w:rFonts w:hint="eastAsia" w:ascii="宋体" w:hAnsi="宋体" w:eastAsia="宋体" w:cs="宋体"/>
          <w:b w:val="0"/>
          <w:bCs w:val="0"/>
          <w:color w:val="auto"/>
          <w:sz w:val="24"/>
          <w:szCs w:val="24"/>
          <w:highlight w:val="none"/>
          <w:lang w:val="en-US" w:eastAsia="zh-CN" w:bidi="ar-SA"/>
        </w:rPr>
        <w:t xml:space="preserve"> 乙方违约超过 15 日的，则甲方有权解除合同，乙方应依甲方要求并按合同总价的 10%向甲方承担违约责任，并将工作资料、已取得工作成果和其他相关的资料一并移交甲方，乙方不得以任何理由拒绝或拖延提交有关资料，或提供不真实、不准确、不完整的资料。</w:t>
      </w:r>
    </w:p>
    <w:p w14:paraId="0D6D440A">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七、不可抗力</w:t>
      </w:r>
    </w:p>
    <w:p w14:paraId="23E81256">
      <w:pPr>
        <w:pStyle w:val="107"/>
        <w:keepNext w:val="0"/>
        <w:keepLines w:val="0"/>
        <w:pageBreakBefore w:val="0"/>
        <w:kinsoku/>
        <w:wordWrap/>
        <w:overflowPunct/>
        <w:topLinePunct w:val="0"/>
        <w:bidi w:val="0"/>
        <w:snapToGrid/>
        <w:spacing w:line="324" w:lineRule="auto"/>
        <w:ind w:firstLine="480"/>
        <w:textAlignment w:val="auto"/>
        <w:rPr>
          <w:rFonts w:hint="eastAsia" w:ascii="宋体" w:hAnsi="宋体" w:eastAsia="宋体" w:cs="宋体"/>
          <w:bCs/>
          <w:color w:val="auto"/>
          <w:sz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 xml:space="preserve">条 </w:t>
      </w:r>
      <w:r>
        <w:rPr>
          <w:rFonts w:hint="eastAsia" w:ascii="宋体" w:hAnsi="宋体" w:eastAsia="宋体" w:cs="宋体"/>
          <w:color w:val="auto"/>
          <w:sz w:val="24"/>
          <w:highlight w:val="none"/>
        </w:rPr>
        <w:t>如果双方任何一方由于遭受诸如战争、严重火灾、洪水、台风、地震等重大自然灾害、以及双方同意的其他不可抗力的事故，致使影响合同履行，履行合同的期限应予以延长，延长的期限应相当于事故所影响的时间。不可抗力事故系指甲乙双方在缔结合同时所不能预见的，并且它的发生及其后果是无法避免和无法克服的事故。</w:t>
      </w:r>
    </w:p>
    <w:p w14:paraId="39F993F2">
      <w:pPr>
        <w:keepNext w:val="0"/>
        <w:keepLines w:val="0"/>
        <w:pageBreakBefore w:val="0"/>
        <w:kinsoku/>
        <w:wordWrap/>
        <w:overflowPunct/>
        <w:topLinePunct w:val="0"/>
        <w:bidi w:val="0"/>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bidi="ar-SA"/>
        </w:rPr>
        <w:t>第十四条</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遭受不可抗</w:t>
      </w:r>
      <w:r>
        <w:rPr>
          <w:rFonts w:hint="eastAsia" w:ascii="宋体" w:hAnsi="宋体" w:eastAsia="宋体" w:cs="宋体"/>
          <w:color w:val="auto"/>
          <w:sz w:val="24"/>
          <w:highlight w:val="none"/>
          <w:lang w:eastAsia="zh-CN"/>
        </w:rPr>
        <w:t>力的</w:t>
      </w:r>
      <w:r>
        <w:rPr>
          <w:rFonts w:hint="eastAsia" w:ascii="宋体" w:hAnsi="宋体" w:eastAsia="宋体" w:cs="宋体"/>
          <w:color w:val="auto"/>
          <w:sz w:val="24"/>
          <w:highlight w:val="none"/>
        </w:rPr>
        <w:t>一方应在不可抗力事故发生后尽快以书面形式通知另一方；并在事故发生后</w:t>
      </w:r>
      <w:r>
        <w:rPr>
          <w:rFonts w:hint="eastAsia" w:ascii="宋体" w:hAnsi="宋体" w:eastAsia="宋体" w:cs="宋体"/>
          <w:color w:val="auto"/>
          <w:sz w:val="24"/>
          <w:highlight w:val="none"/>
          <w:u w:val="single"/>
        </w:rPr>
        <w:t>十（10）</w:t>
      </w:r>
      <w:r>
        <w:rPr>
          <w:rFonts w:hint="eastAsia" w:ascii="宋体" w:hAnsi="宋体" w:eastAsia="宋体" w:cs="宋体"/>
          <w:color w:val="auto"/>
          <w:sz w:val="24"/>
          <w:highlight w:val="none"/>
        </w:rPr>
        <w:t>个日历日内，将有关部门出具的证明文件、详细情况报告以及不可抗力对合同影响程度的说明用特快专递或挂号信的形式寄给另一方。如果不可抗力影响时间延续</w:t>
      </w:r>
      <w:r>
        <w:rPr>
          <w:rFonts w:hint="eastAsia" w:ascii="宋体" w:hAnsi="宋体" w:eastAsia="宋体" w:cs="宋体"/>
          <w:color w:val="auto"/>
          <w:sz w:val="24"/>
          <w:highlight w:val="none"/>
          <w:u w:val="single"/>
        </w:rPr>
        <w:t>二十（20）</w:t>
      </w:r>
      <w:r>
        <w:rPr>
          <w:rFonts w:hint="eastAsia" w:ascii="宋体" w:hAnsi="宋体" w:eastAsia="宋体" w:cs="宋体"/>
          <w:color w:val="auto"/>
          <w:sz w:val="24"/>
          <w:highlight w:val="none"/>
        </w:rPr>
        <w:t>个日历日以上，双方应通过友好协商在合理的时间内达成进一步履行合同或终止合同的协议。</w:t>
      </w:r>
    </w:p>
    <w:p w14:paraId="37D789AC">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八、合同终止</w:t>
      </w:r>
    </w:p>
    <w:p w14:paraId="5133EAE7">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 xml:space="preserve">条 </w:t>
      </w:r>
      <w:r>
        <w:rPr>
          <w:rFonts w:hint="eastAsia" w:ascii="宋体" w:hAnsi="宋体" w:eastAsia="宋体" w:cs="宋体"/>
          <w:color w:val="auto"/>
          <w:sz w:val="24"/>
          <w:szCs w:val="24"/>
          <w:highlight w:val="none"/>
        </w:rPr>
        <w:t xml:space="preserve"> 如果一方严重违反合同，并在收到对方违约通知书后在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天内仍未能改正违约的，另一方可立即终止本合同。违约方应负责由此给履约方造成的损失。</w:t>
      </w:r>
    </w:p>
    <w:p w14:paraId="2FD3BE96">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本合同终止后，甲乙双方应做好债权债务的处理，包括已体检费用的清算。</w:t>
      </w:r>
    </w:p>
    <w:p w14:paraId="614EA7DC">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九、争议及解决办法</w:t>
      </w:r>
    </w:p>
    <w:p w14:paraId="4C17FA21">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rPr>
        <w:t>条</w:t>
      </w:r>
      <w:r>
        <w:rPr>
          <w:rFonts w:hint="eastAsia" w:ascii="宋体" w:hAnsi="宋体" w:eastAsia="宋体" w:cs="宋体"/>
          <w:color w:val="auto"/>
          <w:sz w:val="24"/>
          <w:szCs w:val="24"/>
          <w:highlight w:val="none"/>
        </w:rPr>
        <w:t xml:space="preserve">  本合同发生争议，由双方协商或由政府采购监管部门调解解决，协商或调解不成时按以下第</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种方式解决，违约方应承担守约方为主张权利支付的诉讼费、律师费、鉴定费等相关所有费用。</w:t>
      </w:r>
    </w:p>
    <w:p w14:paraId="46CBBE94">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1.西安市仲裁委员会仲裁；</w:t>
      </w:r>
    </w:p>
    <w:p w14:paraId="0D34D6ED">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2.向甲方所在地人民法院提起诉讼。</w:t>
      </w:r>
    </w:p>
    <w:p w14:paraId="6C140245">
      <w:pPr>
        <w:keepNext w:val="0"/>
        <w:keepLines w:val="0"/>
        <w:pageBreakBefore w:val="0"/>
        <w:kinsoku/>
        <w:wordWrap/>
        <w:overflowPunct/>
        <w:topLinePunct w:val="0"/>
        <w:autoSpaceDE/>
        <w:autoSpaceDN/>
        <w:bidi w:val="0"/>
        <w:adjustRightInd/>
        <w:spacing w:line="324"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十、其   他</w:t>
      </w:r>
    </w:p>
    <w:p w14:paraId="50A3AAF8">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rPr>
        <w:t>条</w:t>
      </w:r>
      <w:r>
        <w:rPr>
          <w:rFonts w:hint="eastAsia" w:ascii="宋体" w:hAnsi="宋体" w:eastAsia="宋体" w:cs="宋体"/>
          <w:color w:val="auto"/>
          <w:sz w:val="24"/>
          <w:szCs w:val="24"/>
          <w:highlight w:val="none"/>
        </w:rPr>
        <w:t xml:space="preserve">  本合同所有附件均为合同的有效组成部分，合同与附件之间内容应认为是互为补充和解释，但如有模棱两可或互相矛盾之处,以时间在后的文件为准。</w:t>
      </w:r>
    </w:p>
    <w:p w14:paraId="3724F6BC">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未经甲方事前书面同意，乙方不得转让本合同或本合同中的任何权利义务，或者将其应尽义务委托给其他第三方。</w:t>
      </w:r>
    </w:p>
    <w:p w14:paraId="4F98D0A1">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rPr>
        <w:t>条</w:t>
      </w:r>
      <w:r>
        <w:rPr>
          <w:rFonts w:hint="eastAsia" w:ascii="宋体" w:hAnsi="宋体" w:eastAsia="宋体" w:cs="宋体"/>
          <w:color w:val="auto"/>
          <w:sz w:val="24"/>
          <w:szCs w:val="24"/>
          <w:highlight w:val="none"/>
        </w:rPr>
        <w:t xml:space="preserve">  双方可对本合同条款进行补充，以书面形式由双方授权代表合法签署补充协议，补充协议与本合同具有同等法律效力。</w:t>
      </w:r>
    </w:p>
    <w:p w14:paraId="63CA3214">
      <w:pPr>
        <w:keepNext w:val="0"/>
        <w:keepLines w:val="0"/>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十九</w:t>
      </w:r>
      <w:r>
        <w:rPr>
          <w:rFonts w:hint="eastAsia" w:ascii="宋体" w:hAnsi="宋体" w:eastAsia="宋体" w:cs="宋体"/>
          <w:b/>
          <w:bCs/>
          <w:color w:val="auto"/>
          <w:sz w:val="24"/>
          <w:szCs w:val="24"/>
          <w:highlight w:val="none"/>
        </w:rPr>
        <w:t>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highlight w:val="none"/>
        </w:rPr>
        <w:t>本合同正本一式</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份，副本一式</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份，均以中文书写，在双方代表签字盖章后生效，甲方执正本</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份、副本</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份；乙方执正本</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份，副本</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份；政府采购管理部门备案副本一份，均具有同等法律效力。</w:t>
      </w:r>
    </w:p>
    <w:p w14:paraId="6EE1FE8E">
      <w:pPr>
        <w:keepNext w:val="0"/>
        <w:keepLines w:val="0"/>
        <w:pageBreakBefore w:val="0"/>
        <w:widowControl w:val="0"/>
        <w:kinsoku/>
        <w:wordWrap/>
        <w:overflowPunct/>
        <w:topLinePunct w:val="0"/>
        <w:autoSpaceDE w:val="0"/>
        <w:autoSpaceDN w:val="0"/>
        <w:bidi w:val="0"/>
        <w:adjustRightInd/>
        <w:spacing w:line="324" w:lineRule="auto"/>
        <w:ind w:firstLine="480" w:firstLineChars="200"/>
        <w:textAlignment w:val="auto"/>
        <w:rPr>
          <w:rFonts w:hint="eastAsia" w:ascii="宋体" w:hAnsi="宋体" w:cs="宋体"/>
          <w:sz w:val="24"/>
          <w:lang w:val="en-US" w:eastAsia="zh-CN"/>
        </w:rPr>
      </w:pPr>
      <w:r>
        <w:rPr>
          <w:rFonts w:hint="eastAsia" w:ascii="宋体" w:hAnsi="宋体" w:eastAsia="宋体" w:cs="宋体"/>
          <w:b/>
          <w:bCs/>
          <w:color w:val="auto"/>
          <w:sz w:val="24"/>
          <w:szCs w:val="24"/>
          <w:highlight w:val="none"/>
        </w:rPr>
        <w:t>第二十条</w:t>
      </w:r>
      <w:r>
        <w:rPr>
          <w:rFonts w:hint="eastAsia" w:ascii="宋体" w:hAnsi="宋体" w:eastAsia="宋体" w:cs="宋体"/>
          <w:color w:val="auto"/>
          <w:sz w:val="24"/>
          <w:szCs w:val="24"/>
          <w:highlight w:val="none"/>
        </w:rPr>
        <w:t xml:space="preserve">  </w:t>
      </w:r>
      <w:r>
        <w:rPr>
          <w:rFonts w:hint="eastAsia" w:ascii="宋体" w:hAnsi="宋体" w:cs="宋体"/>
          <w:sz w:val="24"/>
          <w:lang w:val="en-US" w:eastAsia="zh-CN"/>
        </w:rPr>
        <w:t>采购人需追加与合同标的相同的货物、工程或者服务的，在不改变合同其他条款的前提下，可以与供应商协商签订补充合同，但所有补充合同的采购金额不得超过原合同采购金额的百分之十。</w:t>
      </w:r>
    </w:p>
    <w:tbl>
      <w:tblPr>
        <w:tblStyle w:val="29"/>
        <w:tblpPr w:leftFromText="180" w:rightFromText="180" w:vertAnchor="text" w:horzAnchor="page" w:tblpX="1937" w:tblpY="99"/>
        <w:tblOverlap w:val="never"/>
        <w:tblW w:w="8403" w:type="dxa"/>
        <w:tblInd w:w="0" w:type="dxa"/>
        <w:tblLayout w:type="fixed"/>
        <w:tblCellMar>
          <w:top w:w="0" w:type="dxa"/>
          <w:left w:w="108" w:type="dxa"/>
          <w:bottom w:w="0" w:type="dxa"/>
          <w:right w:w="108" w:type="dxa"/>
        </w:tblCellMar>
      </w:tblPr>
      <w:tblGrid>
        <w:gridCol w:w="4201"/>
        <w:gridCol w:w="4202"/>
      </w:tblGrid>
      <w:tr w14:paraId="250090FF">
        <w:trPr>
          <w:trHeight w:val="454" w:hRule="atLeast"/>
        </w:trPr>
        <w:tc>
          <w:tcPr>
            <w:tcW w:w="4201" w:type="dxa"/>
            <w:vAlign w:val="center"/>
          </w:tcPr>
          <w:p w14:paraId="7FDBBEC5">
            <w:pPr>
              <w:spacing w:line="240" w:lineRule="auto"/>
              <w:ind w:firstLine="480" w:firstLineChars="200"/>
              <w:rPr>
                <w:rFonts w:ascii="宋体"/>
                <w:sz w:val="24"/>
              </w:rPr>
            </w:pPr>
            <w:r>
              <w:rPr>
                <w:rFonts w:hint="eastAsia" w:ascii="宋体" w:hAnsi="宋体" w:cs="宋体"/>
                <w:sz w:val="24"/>
              </w:rPr>
              <w:t>甲</w:t>
            </w:r>
            <w:r>
              <w:rPr>
                <w:rFonts w:ascii="宋体" w:hAnsi="宋体" w:cs="宋体"/>
                <w:sz w:val="24"/>
              </w:rPr>
              <w:t xml:space="preserve">  </w:t>
            </w:r>
            <w:r>
              <w:rPr>
                <w:rFonts w:hint="eastAsia" w:ascii="宋体" w:hAnsi="宋体" w:cs="宋体"/>
                <w:sz w:val="24"/>
              </w:rPr>
              <w:t>方</w:t>
            </w:r>
          </w:p>
        </w:tc>
        <w:tc>
          <w:tcPr>
            <w:tcW w:w="4202" w:type="dxa"/>
            <w:vAlign w:val="center"/>
          </w:tcPr>
          <w:p w14:paraId="49B6541D">
            <w:pPr>
              <w:spacing w:line="240" w:lineRule="auto"/>
              <w:ind w:firstLine="480" w:firstLineChars="200"/>
              <w:rPr>
                <w:rFonts w:ascii="宋体"/>
                <w:sz w:val="24"/>
              </w:rPr>
            </w:pPr>
            <w:r>
              <w:rPr>
                <w:rFonts w:hint="eastAsia" w:ascii="宋体" w:hAnsi="宋体" w:cs="宋体"/>
                <w:sz w:val="24"/>
              </w:rPr>
              <w:t>乙</w:t>
            </w:r>
            <w:r>
              <w:rPr>
                <w:rFonts w:ascii="宋体" w:hAnsi="宋体" w:cs="宋体"/>
                <w:sz w:val="24"/>
              </w:rPr>
              <w:t xml:space="preserve">  </w:t>
            </w:r>
            <w:r>
              <w:rPr>
                <w:rFonts w:hint="eastAsia" w:ascii="宋体" w:hAnsi="宋体" w:cs="宋体"/>
                <w:sz w:val="24"/>
              </w:rPr>
              <w:t>方</w:t>
            </w:r>
          </w:p>
        </w:tc>
      </w:tr>
      <w:tr w14:paraId="0165710F">
        <w:tblPrEx>
          <w:tblCellMar>
            <w:top w:w="0" w:type="dxa"/>
            <w:left w:w="108" w:type="dxa"/>
            <w:bottom w:w="0" w:type="dxa"/>
            <w:right w:w="108" w:type="dxa"/>
          </w:tblCellMar>
        </w:tblPrEx>
        <w:trPr>
          <w:trHeight w:val="454" w:hRule="atLeast"/>
        </w:trPr>
        <w:tc>
          <w:tcPr>
            <w:tcW w:w="4201" w:type="dxa"/>
            <w:vAlign w:val="center"/>
          </w:tcPr>
          <w:p w14:paraId="09DA2A10">
            <w:pPr>
              <w:spacing w:line="240" w:lineRule="auto"/>
              <w:ind w:firstLine="480" w:firstLineChars="200"/>
              <w:rPr>
                <w:rFonts w:ascii="宋体"/>
                <w:sz w:val="24"/>
              </w:rPr>
            </w:pPr>
            <w:r>
              <w:rPr>
                <w:rFonts w:hint="eastAsia" w:ascii="宋体" w:hAnsi="宋体" w:cs="宋体"/>
                <w:sz w:val="24"/>
              </w:rPr>
              <w:t>（盖章）</w:t>
            </w:r>
          </w:p>
        </w:tc>
        <w:tc>
          <w:tcPr>
            <w:tcW w:w="4202" w:type="dxa"/>
            <w:vAlign w:val="center"/>
          </w:tcPr>
          <w:p w14:paraId="24FE76BE">
            <w:pPr>
              <w:spacing w:line="240" w:lineRule="auto"/>
              <w:ind w:firstLine="480" w:firstLineChars="200"/>
              <w:rPr>
                <w:rFonts w:ascii="宋体"/>
                <w:sz w:val="24"/>
              </w:rPr>
            </w:pPr>
            <w:r>
              <w:rPr>
                <w:rFonts w:hint="eastAsia" w:ascii="宋体" w:hAnsi="宋体" w:cs="宋体"/>
                <w:sz w:val="24"/>
              </w:rPr>
              <w:t>（盖章）</w:t>
            </w:r>
          </w:p>
        </w:tc>
      </w:tr>
      <w:tr w14:paraId="29119B7D">
        <w:tblPrEx>
          <w:tblCellMar>
            <w:top w:w="0" w:type="dxa"/>
            <w:left w:w="108" w:type="dxa"/>
            <w:bottom w:w="0" w:type="dxa"/>
            <w:right w:w="108" w:type="dxa"/>
          </w:tblCellMar>
        </w:tblPrEx>
        <w:trPr>
          <w:trHeight w:val="454" w:hRule="atLeast"/>
        </w:trPr>
        <w:tc>
          <w:tcPr>
            <w:tcW w:w="4201" w:type="dxa"/>
            <w:vAlign w:val="center"/>
          </w:tcPr>
          <w:p w14:paraId="7DD2AFAC">
            <w:pPr>
              <w:spacing w:line="240" w:lineRule="auto"/>
              <w:ind w:firstLine="480" w:firstLineChars="200"/>
              <w:rPr>
                <w:rFonts w:ascii="宋体" w:hAnsi="宋体" w:cs="宋体"/>
                <w:sz w:val="24"/>
              </w:rPr>
            </w:pPr>
            <w:r>
              <w:rPr>
                <w:rFonts w:hint="eastAsia" w:ascii="宋体" w:hAnsi="宋体" w:cs="宋体"/>
                <w:sz w:val="24"/>
              </w:rPr>
              <w:t>地址：</w:t>
            </w:r>
            <w:r>
              <w:rPr>
                <w:rFonts w:ascii="宋体" w:hAnsi="宋体" w:cs="宋体"/>
                <w:sz w:val="24"/>
              </w:rPr>
              <w:t xml:space="preserve"> </w:t>
            </w:r>
          </w:p>
        </w:tc>
        <w:tc>
          <w:tcPr>
            <w:tcW w:w="4202" w:type="dxa"/>
            <w:vAlign w:val="center"/>
          </w:tcPr>
          <w:p w14:paraId="0AD1B634">
            <w:pPr>
              <w:spacing w:line="240" w:lineRule="auto"/>
              <w:ind w:firstLine="480" w:firstLineChars="200"/>
              <w:rPr>
                <w:rFonts w:ascii="宋体"/>
                <w:sz w:val="24"/>
              </w:rPr>
            </w:pPr>
            <w:r>
              <w:rPr>
                <w:rFonts w:hint="eastAsia" w:ascii="宋体" w:hAnsi="宋体" w:cs="宋体"/>
                <w:sz w:val="24"/>
              </w:rPr>
              <w:t>地址：</w:t>
            </w:r>
          </w:p>
        </w:tc>
      </w:tr>
      <w:tr w14:paraId="7439D4C5">
        <w:tblPrEx>
          <w:tblCellMar>
            <w:top w:w="0" w:type="dxa"/>
            <w:left w:w="108" w:type="dxa"/>
            <w:bottom w:w="0" w:type="dxa"/>
            <w:right w:w="108" w:type="dxa"/>
          </w:tblCellMar>
        </w:tblPrEx>
        <w:trPr>
          <w:trHeight w:val="454" w:hRule="atLeast"/>
        </w:trPr>
        <w:tc>
          <w:tcPr>
            <w:tcW w:w="4201" w:type="dxa"/>
            <w:vAlign w:val="center"/>
          </w:tcPr>
          <w:p w14:paraId="782CCFD1">
            <w:pPr>
              <w:spacing w:line="240" w:lineRule="auto"/>
              <w:ind w:firstLine="480" w:firstLineChars="200"/>
              <w:rPr>
                <w:rFonts w:ascii="宋体"/>
                <w:sz w:val="24"/>
              </w:rPr>
            </w:pPr>
            <w:r>
              <w:rPr>
                <w:rFonts w:hint="eastAsia" w:ascii="宋体" w:hAnsi="宋体" w:cs="宋体"/>
                <w:sz w:val="24"/>
              </w:rPr>
              <w:t>邮编：</w:t>
            </w:r>
          </w:p>
        </w:tc>
        <w:tc>
          <w:tcPr>
            <w:tcW w:w="4202" w:type="dxa"/>
            <w:vAlign w:val="center"/>
          </w:tcPr>
          <w:p w14:paraId="27C2820B">
            <w:pPr>
              <w:spacing w:line="240" w:lineRule="auto"/>
              <w:ind w:firstLine="480" w:firstLineChars="200"/>
              <w:rPr>
                <w:rFonts w:ascii="宋体"/>
                <w:sz w:val="24"/>
              </w:rPr>
            </w:pPr>
            <w:r>
              <w:rPr>
                <w:rFonts w:hint="eastAsia" w:ascii="宋体" w:hAnsi="宋体" w:cs="宋体"/>
                <w:sz w:val="24"/>
              </w:rPr>
              <w:t>邮编：</w:t>
            </w:r>
          </w:p>
        </w:tc>
      </w:tr>
      <w:tr w14:paraId="3F7D9885">
        <w:tblPrEx>
          <w:tblCellMar>
            <w:top w:w="0" w:type="dxa"/>
            <w:left w:w="108" w:type="dxa"/>
            <w:bottom w:w="0" w:type="dxa"/>
            <w:right w:w="108" w:type="dxa"/>
          </w:tblCellMar>
        </w:tblPrEx>
        <w:trPr>
          <w:trHeight w:val="454" w:hRule="atLeast"/>
        </w:trPr>
        <w:tc>
          <w:tcPr>
            <w:tcW w:w="4201" w:type="dxa"/>
            <w:vAlign w:val="center"/>
          </w:tcPr>
          <w:p w14:paraId="1B589CE2">
            <w:pPr>
              <w:spacing w:line="240" w:lineRule="auto"/>
              <w:ind w:firstLine="480" w:firstLineChars="200"/>
              <w:rPr>
                <w:rFonts w:ascii="宋体" w:hAnsi="宋体" w:cs="宋体"/>
                <w:sz w:val="24"/>
              </w:rPr>
            </w:pPr>
            <w:r>
              <w:rPr>
                <w:rFonts w:hint="eastAsia" w:ascii="宋体" w:hAnsi="宋体" w:cs="宋体"/>
                <w:sz w:val="24"/>
              </w:rPr>
              <w:t>法定代表人：</w:t>
            </w:r>
            <w:r>
              <w:rPr>
                <w:rFonts w:ascii="宋体" w:hAnsi="宋体" w:cs="宋体"/>
                <w:sz w:val="24"/>
              </w:rPr>
              <w:t xml:space="preserve"> </w:t>
            </w:r>
          </w:p>
        </w:tc>
        <w:tc>
          <w:tcPr>
            <w:tcW w:w="4202" w:type="dxa"/>
            <w:vAlign w:val="center"/>
          </w:tcPr>
          <w:p w14:paraId="0668D13F">
            <w:pPr>
              <w:spacing w:line="240" w:lineRule="auto"/>
              <w:ind w:firstLine="480" w:firstLineChars="200"/>
              <w:rPr>
                <w:rFonts w:ascii="宋体"/>
                <w:sz w:val="24"/>
              </w:rPr>
            </w:pPr>
            <w:r>
              <w:rPr>
                <w:rFonts w:hint="eastAsia" w:ascii="宋体" w:hAnsi="宋体" w:cs="宋体"/>
                <w:sz w:val="24"/>
              </w:rPr>
              <w:t>法定代表人：</w:t>
            </w:r>
          </w:p>
        </w:tc>
      </w:tr>
      <w:tr w14:paraId="05DAB700">
        <w:tblPrEx>
          <w:tblCellMar>
            <w:top w:w="0" w:type="dxa"/>
            <w:left w:w="108" w:type="dxa"/>
            <w:bottom w:w="0" w:type="dxa"/>
            <w:right w:w="108" w:type="dxa"/>
          </w:tblCellMar>
        </w:tblPrEx>
        <w:trPr>
          <w:trHeight w:val="454" w:hRule="atLeast"/>
        </w:trPr>
        <w:tc>
          <w:tcPr>
            <w:tcW w:w="4201" w:type="dxa"/>
            <w:vAlign w:val="center"/>
          </w:tcPr>
          <w:p w14:paraId="046B2FF4">
            <w:pPr>
              <w:spacing w:line="240" w:lineRule="auto"/>
              <w:ind w:firstLine="480" w:firstLineChars="200"/>
              <w:rPr>
                <w:rFonts w:ascii="宋体"/>
                <w:sz w:val="24"/>
              </w:rPr>
            </w:pPr>
            <w:r>
              <w:rPr>
                <w:rFonts w:hint="eastAsia" w:ascii="宋体" w:hAnsi="宋体" w:cs="宋体"/>
                <w:sz w:val="24"/>
              </w:rPr>
              <w:t>委托代理人：</w:t>
            </w:r>
          </w:p>
        </w:tc>
        <w:tc>
          <w:tcPr>
            <w:tcW w:w="4202" w:type="dxa"/>
            <w:vAlign w:val="center"/>
          </w:tcPr>
          <w:p w14:paraId="61BCB452">
            <w:pPr>
              <w:spacing w:line="240" w:lineRule="auto"/>
              <w:ind w:firstLine="480" w:firstLineChars="200"/>
              <w:rPr>
                <w:rFonts w:ascii="宋体"/>
                <w:sz w:val="24"/>
              </w:rPr>
            </w:pPr>
            <w:r>
              <w:rPr>
                <w:rFonts w:hint="eastAsia" w:ascii="宋体" w:hAnsi="宋体" w:cs="宋体"/>
                <w:sz w:val="24"/>
              </w:rPr>
              <w:t>委托代理人：</w:t>
            </w:r>
          </w:p>
        </w:tc>
      </w:tr>
      <w:tr w14:paraId="1F06418B">
        <w:tblPrEx>
          <w:tblCellMar>
            <w:top w:w="0" w:type="dxa"/>
            <w:left w:w="108" w:type="dxa"/>
            <w:bottom w:w="0" w:type="dxa"/>
            <w:right w:w="108" w:type="dxa"/>
          </w:tblCellMar>
        </w:tblPrEx>
        <w:trPr>
          <w:trHeight w:val="454" w:hRule="atLeast"/>
        </w:trPr>
        <w:tc>
          <w:tcPr>
            <w:tcW w:w="4201" w:type="dxa"/>
            <w:vAlign w:val="center"/>
          </w:tcPr>
          <w:p w14:paraId="4C2DB44B">
            <w:pPr>
              <w:spacing w:line="240" w:lineRule="auto"/>
              <w:ind w:firstLine="480" w:firstLineChars="200"/>
              <w:rPr>
                <w:rFonts w:ascii="宋体"/>
                <w:sz w:val="24"/>
              </w:rPr>
            </w:pPr>
            <w:r>
              <w:rPr>
                <w:rFonts w:hint="eastAsia" w:ascii="宋体" w:hAnsi="宋体" w:cs="宋体"/>
                <w:sz w:val="24"/>
              </w:rPr>
              <w:t>电话：</w:t>
            </w:r>
          </w:p>
        </w:tc>
        <w:tc>
          <w:tcPr>
            <w:tcW w:w="4202" w:type="dxa"/>
            <w:vAlign w:val="center"/>
          </w:tcPr>
          <w:p w14:paraId="6B5D5A3F">
            <w:pPr>
              <w:spacing w:line="240" w:lineRule="auto"/>
              <w:ind w:firstLine="480" w:firstLineChars="200"/>
              <w:rPr>
                <w:rFonts w:ascii="宋体"/>
                <w:sz w:val="24"/>
              </w:rPr>
            </w:pPr>
            <w:r>
              <w:rPr>
                <w:rFonts w:hint="eastAsia" w:ascii="宋体" w:hAnsi="宋体" w:cs="宋体"/>
                <w:sz w:val="24"/>
              </w:rPr>
              <w:t>电话：</w:t>
            </w:r>
          </w:p>
        </w:tc>
      </w:tr>
      <w:tr w14:paraId="6BFEEB99">
        <w:tblPrEx>
          <w:tblCellMar>
            <w:top w:w="0" w:type="dxa"/>
            <w:left w:w="108" w:type="dxa"/>
            <w:bottom w:w="0" w:type="dxa"/>
            <w:right w:w="108" w:type="dxa"/>
          </w:tblCellMar>
        </w:tblPrEx>
        <w:trPr>
          <w:trHeight w:val="454" w:hRule="atLeast"/>
        </w:trPr>
        <w:tc>
          <w:tcPr>
            <w:tcW w:w="4201" w:type="dxa"/>
            <w:vAlign w:val="center"/>
          </w:tcPr>
          <w:p w14:paraId="69A83C84">
            <w:pPr>
              <w:spacing w:line="240" w:lineRule="auto"/>
              <w:ind w:firstLine="480" w:firstLineChars="200"/>
              <w:rPr>
                <w:rFonts w:ascii="宋体"/>
                <w:sz w:val="24"/>
              </w:rPr>
            </w:pPr>
            <w:r>
              <w:rPr>
                <w:rFonts w:hint="eastAsia" w:ascii="宋体" w:hAnsi="宋体" w:cs="宋体"/>
                <w:sz w:val="24"/>
              </w:rPr>
              <w:t>传真：</w:t>
            </w:r>
          </w:p>
        </w:tc>
        <w:tc>
          <w:tcPr>
            <w:tcW w:w="4202" w:type="dxa"/>
            <w:vAlign w:val="center"/>
          </w:tcPr>
          <w:p w14:paraId="05113E82">
            <w:pPr>
              <w:spacing w:line="240" w:lineRule="auto"/>
              <w:ind w:firstLine="480" w:firstLineChars="200"/>
              <w:rPr>
                <w:rFonts w:ascii="宋体"/>
                <w:sz w:val="24"/>
              </w:rPr>
            </w:pPr>
            <w:r>
              <w:rPr>
                <w:rFonts w:hint="eastAsia" w:ascii="宋体" w:hAnsi="宋体" w:cs="宋体"/>
                <w:sz w:val="24"/>
              </w:rPr>
              <w:t>传真：</w:t>
            </w:r>
          </w:p>
        </w:tc>
      </w:tr>
      <w:tr w14:paraId="0BC700DD">
        <w:tblPrEx>
          <w:tblCellMar>
            <w:top w:w="0" w:type="dxa"/>
            <w:left w:w="108" w:type="dxa"/>
            <w:bottom w:w="0" w:type="dxa"/>
            <w:right w:w="108" w:type="dxa"/>
          </w:tblCellMar>
        </w:tblPrEx>
        <w:trPr>
          <w:trHeight w:val="454" w:hRule="atLeast"/>
        </w:trPr>
        <w:tc>
          <w:tcPr>
            <w:tcW w:w="4201" w:type="dxa"/>
            <w:vAlign w:val="center"/>
          </w:tcPr>
          <w:p w14:paraId="4FDD1347">
            <w:pPr>
              <w:spacing w:line="240" w:lineRule="auto"/>
              <w:ind w:firstLine="480" w:firstLineChars="200"/>
              <w:rPr>
                <w:rFonts w:ascii="宋体"/>
                <w:sz w:val="24"/>
              </w:rPr>
            </w:pPr>
            <w:r>
              <w:rPr>
                <w:rFonts w:hint="eastAsia" w:ascii="宋体" w:hAnsi="宋体" w:cs="宋体"/>
                <w:sz w:val="24"/>
              </w:rPr>
              <w:t>开户银行：</w:t>
            </w:r>
          </w:p>
        </w:tc>
        <w:tc>
          <w:tcPr>
            <w:tcW w:w="4202" w:type="dxa"/>
            <w:vAlign w:val="center"/>
          </w:tcPr>
          <w:p w14:paraId="511B502E">
            <w:pPr>
              <w:spacing w:line="240" w:lineRule="auto"/>
              <w:ind w:firstLine="480" w:firstLineChars="200"/>
              <w:rPr>
                <w:rFonts w:ascii="宋体"/>
                <w:sz w:val="24"/>
              </w:rPr>
            </w:pPr>
            <w:r>
              <w:rPr>
                <w:rFonts w:hint="eastAsia" w:ascii="宋体" w:hAnsi="宋体" w:cs="宋体"/>
                <w:sz w:val="24"/>
              </w:rPr>
              <w:t>开户银行：</w:t>
            </w:r>
          </w:p>
        </w:tc>
      </w:tr>
      <w:tr w14:paraId="2BB15605">
        <w:tblPrEx>
          <w:tblCellMar>
            <w:top w:w="0" w:type="dxa"/>
            <w:left w:w="108" w:type="dxa"/>
            <w:bottom w:w="0" w:type="dxa"/>
            <w:right w:w="108" w:type="dxa"/>
          </w:tblCellMar>
        </w:tblPrEx>
        <w:trPr>
          <w:trHeight w:val="454" w:hRule="atLeast"/>
        </w:trPr>
        <w:tc>
          <w:tcPr>
            <w:tcW w:w="4201" w:type="dxa"/>
            <w:vAlign w:val="center"/>
          </w:tcPr>
          <w:p w14:paraId="4FCA366F">
            <w:pPr>
              <w:spacing w:line="240" w:lineRule="auto"/>
              <w:ind w:firstLine="480" w:firstLineChars="200"/>
              <w:rPr>
                <w:rFonts w:ascii="宋体"/>
                <w:sz w:val="24"/>
              </w:rPr>
            </w:pPr>
            <w:r>
              <w:rPr>
                <w:rFonts w:hint="eastAsia" w:ascii="宋体" w:hAnsi="宋体" w:cs="宋体"/>
                <w:sz w:val="24"/>
              </w:rPr>
              <w:t>日期：</w:t>
            </w:r>
          </w:p>
        </w:tc>
        <w:tc>
          <w:tcPr>
            <w:tcW w:w="4202" w:type="dxa"/>
            <w:vAlign w:val="center"/>
          </w:tcPr>
          <w:p w14:paraId="6134C91A">
            <w:pPr>
              <w:spacing w:line="240" w:lineRule="auto"/>
              <w:ind w:firstLine="480" w:firstLineChars="200"/>
              <w:rPr>
                <w:rFonts w:ascii="宋体"/>
                <w:sz w:val="24"/>
              </w:rPr>
            </w:pPr>
            <w:r>
              <w:rPr>
                <w:rFonts w:hint="eastAsia" w:ascii="宋体" w:hAnsi="宋体" w:cs="宋体"/>
                <w:sz w:val="24"/>
              </w:rPr>
              <w:t>日期：</w:t>
            </w:r>
          </w:p>
        </w:tc>
      </w:tr>
    </w:tbl>
    <w:p w14:paraId="65DF95C1">
      <w:pPr>
        <w:pStyle w:val="16"/>
        <w:rPr>
          <w:rFonts w:ascii="Lucida Sans Unicode" w:hAnsi="Lucida Sans Unicode" w:eastAsia="Lucida Sans Unicode" w:cs="Lucida Sans Unicode"/>
          <w:sz w:val="19"/>
          <w:szCs w:val="19"/>
        </w:rPr>
      </w:pPr>
    </w:p>
    <w:p w14:paraId="19F6DF51"/>
    <w:p w14:paraId="7ED95B76">
      <w:pPr>
        <w:rPr>
          <w:rFonts w:ascii="Lucida Sans Unicode" w:hAnsi="Lucida Sans Unicode" w:eastAsia="Lucida Sans Unicode" w:cs="Lucida Sans Unicode"/>
          <w:sz w:val="19"/>
          <w:szCs w:val="19"/>
        </w:rPr>
      </w:pPr>
    </w:p>
    <w:p w14:paraId="28DB726D">
      <w:pPr>
        <w:rPr>
          <w:rFonts w:ascii="Lucida Sans Unicode" w:hAnsi="Lucida Sans Unicode" w:eastAsia="Lucida Sans Unicode" w:cs="Lucida Sans Unicode"/>
          <w:sz w:val="19"/>
          <w:szCs w:val="19"/>
        </w:rPr>
      </w:pPr>
    </w:p>
    <w:p w14:paraId="1D8D8457">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color w:val="auto"/>
          <w:sz w:val="28"/>
          <w:szCs w:val="28"/>
          <w:highlight w:val="none"/>
        </w:rPr>
      </w:pPr>
    </w:p>
    <w:p w14:paraId="75DBF3BB">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rPr>
          <w:rFonts w:hint="eastAsia" w:ascii="宋体" w:hAnsi="宋体" w:eastAsia="宋体" w:cs="宋体"/>
          <w:b/>
          <w:bCs/>
          <w:color w:val="auto"/>
          <w:sz w:val="28"/>
          <w:szCs w:val="28"/>
          <w:highlight w:val="none"/>
        </w:rPr>
      </w:pPr>
    </w:p>
    <w:p w14:paraId="08520CA9">
      <w:pPr>
        <w:rPr>
          <w:rFonts w:hint="eastAsia" w:ascii="宋体" w:hAnsi="宋体" w:eastAsia="宋体" w:cs="宋体"/>
        </w:rPr>
      </w:pPr>
      <w:r>
        <w:rPr>
          <w:rFonts w:hint="eastAsia" w:ascii="宋体" w:hAnsi="宋体" w:eastAsia="宋体" w:cs="宋体"/>
        </w:rPr>
        <w:br w:type="page"/>
      </w:r>
    </w:p>
    <w:p w14:paraId="72BECD88">
      <w:pPr>
        <w:pStyle w:val="16"/>
        <w:rPr>
          <w:rFonts w:hint="eastAsia" w:ascii="宋体" w:hAnsi="宋体" w:eastAsia="宋体" w:cs="宋体"/>
        </w:rPr>
      </w:pPr>
    </w:p>
    <w:p w14:paraId="3025CB14">
      <w:pPr>
        <w:pStyle w:val="2"/>
        <w:rPr>
          <w:rFonts w:hint="eastAsia" w:ascii="宋体" w:hAnsi="宋体" w:eastAsia="宋体" w:cs="宋体"/>
          <w:b/>
          <w:bCs/>
          <w:sz w:val="32"/>
          <w:szCs w:val="32"/>
        </w:rPr>
      </w:pPr>
      <w:bookmarkStart w:id="22" w:name="_Toc24544"/>
      <w:r>
        <w:rPr>
          <w:rFonts w:hint="eastAsia" w:ascii="宋体" w:hAnsi="宋体" w:eastAsia="宋体" w:cs="宋体"/>
          <w:b/>
          <w:bCs/>
          <w:sz w:val="32"/>
          <w:szCs w:val="32"/>
        </w:rPr>
        <w:t>第五章  投标文件构成及格式</w:t>
      </w:r>
      <w:bookmarkEnd w:id="20"/>
      <w:bookmarkEnd w:id="21"/>
      <w:bookmarkEnd w:id="22"/>
    </w:p>
    <w:p w14:paraId="7F4917BA">
      <w:pPr>
        <w:spacing w:line="560" w:lineRule="exact"/>
        <w:ind w:firstLine="640" w:firstLineChars="200"/>
        <w:jc w:val="both"/>
        <w:rPr>
          <w:rFonts w:hint="eastAsia" w:ascii="宋体" w:hAnsi="宋体" w:eastAsia="宋体" w:cs="宋体"/>
          <w:sz w:val="32"/>
          <w:szCs w:val="32"/>
        </w:rPr>
      </w:pPr>
    </w:p>
    <w:p w14:paraId="776F76C1">
      <w:pPr>
        <w:spacing w:line="560" w:lineRule="exact"/>
        <w:ind w:firstLine="640" w:firstLineChars="200"/>
        <w:jc w:val="both"/>
        <w:rPr>
          <w:rFonts w:hint="eastAsia" w:ascii="宋体" w:hAnsi="宋体" w:eastAsia="宋体" w:cs="宋体"/>
          <w:sz w:val="32"/>
          <w:szCs w:val="32"/>
        </w:rPr>
      </w:pPr>
    </w:p>
    <w:p w14:paraId="4C987A3B">
      <w:pPr>
        <w:spacing w:line="560" w:lineRule="exact"/>
        <w:jc w:val="both"/>
        <w:rPr>
          <w:rFonts w:hint="eastAsia" w:ascii="宋体" w:hAnsi="宋体" w:eastAsia="宋体" w:cs="宋体"/>
          <w:sz w:val="32"/>
          <w:szCs w:val="32"/>
        </w:rPr>
      </w:pPr>
    </w:p>
    <w:p w14:paraId="7F3127A9">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年度干部员工健康体检服务</w:t>
      </w:r>
    </w:p>
    <w:p w14:paraId="1DEE87DB">
      <w:pPr>
        <w:pStyle w:val="20"/>
        <w:jc w:val="center"/>
        <w:rPr>
          <w:rFonts w:hint="eastAsia" w:ascii="宋体" w:hAnsi="宋体" w:eastAsia="宋体" w:cs="宋体"/>
          <w:b/>
          <w:color w:val="auto"/>
          <w:kern w:val="2"/>
          <w:sz w:val="52"/>
          <w:szCs w:val="52"/>
          <w:highlight w:val="none"/>
          <w:lang w:val="en-US" w:eastAsia="zh-CN" w:bidi="ar-SA"/>
        </w:rPr>
      </w:pPr>
    </w:p>
    <w:p w14:paraId="310991DB">
      <w:pPr>
        <w:bidi w:val="0"/>
        <w:rPr>
          <w:rFonts w:hint="eastAsia" w:ascii="宋体" w:hAnsi="宋体" w:eastAsia="宋体" w:cs="宋体"/>
        </w:rPr>
      </w:pPr>
    </w:p>
    <w:p w14:paraId="5D2A6C24">
      <w:pPr>
        <w:bidi w:val="0"/>
        <w:rPr>
          <w:rFonts w:hint="eastAsia"/>
        </w:rPr>
      </w:pPr>
    </w:p>
    <w:p w14:paraId="5B11E9C4">
      <w:pPr>
        <w:jc w:val="center"/>
        <w:outlineLvl w:val="9"/>
        <w:rPr>
          <w:rFonts w:hint="eastAsia" w:ascii="宋体" w:hAnsi="宋体" w:eastAsia="宋体" w:cs="宋体"/>
          <w:sz w:val="32"/>
          <w:szCs w:val="32"/>
        </w:rPr>
      </w:pPr>
      <w:r>
        <w:rPr>
          <w:rFonts w:hint="eastAsia" w:ascii="宋体" w:hAnsi="宋体" w:eastAsia="宋体" w:cs="宋体"/>
          <w:b/>
          <w:bCs/>
          <w:sz w:val="72"/>
          <w:szCs w:val="72"/>
        </w:rPr>
        <w:t>投标文件</w:t>
      </w:r>
    </w:p>
    <w:p w14:paraId="4D8F2FC6">
      <w:pPr>
        <w:rPr>
          <w:rFonts w:hint="eastAsia" w:ascii="宋体" w:hAnsi="宋体" w:eastAsia="宋体" w:cs="宋体"/>
        </w:rPr>
      </w:pPr>
    </w:p>
    <w:p w14:paraId="601440EA">
      <w:pPr>
        <w:rPr>
          <w:rFonts w:hint="eastAsia" w:ascii="宋体" w:hAnsi="宋体" w:eastAsia="宋体" w:cs="宋体"/>
        </w:rPr>
      </w:pPr>
    </w:p>
    <w:p w14:paraId="066950AA">
      <w:pPr>
        <w:rPr>
          <w:rFonts w:hint="eastAsia" w:ascii="宋体" w:hAnsi="宋体" w:eastAsia="宋体" w:cs="宋体"/>
        </w:rPr>
      </w:pPr>
    </w:p>
    <w:p w14:paraId="0A982321">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CGZC-2025-185</w:t>
      </w:r>
      <w:r>
        <w:rPr>
          <w:rFonts w:hint="eastAsia" w:ascii="宋体" w:hAnsi="宋体" w:eastAsia="宋体" w:cs="宋体"/>
          <w:b/>
          <w:bCs/>
          <w:sz w:val="32"/>
          <w:szCs w:val="32"/>
        </w:rPr>
        <w:t>）</w:t>
      </w:r>
    </w:p>
    <w:p w14:paraId="645D0C82">
      <w:pPr>
        <w:spacing w:line="560" w:lineRule="exact"/>
        <w:ind w:firstLine="640" w:firstLineChars="200"/>
        <w:jc w:val="both"/>
        <w:rPr>
          <w:rFonts w:hint="eastAsia" w:ascii="宋体" w:hAnsi="宋体" w:eastAsia="宋体" w:cs="宋体"/>
          <w:sz w:val="32"/>
          <w:szCs w:val="32"/>
        </w:rPr>
      </w:pPr>
    </w:p>
    <w:p w14:paraId="60155886">
      <w:pPr>
        <w:spacing w:line="560" w:lineRule="exact"/>
        <w:ind w:firstLine="640" w:firstLineChars="200"/>
        <w:jc w:val="both"/>
        <w:rPr>
          <w:rFonts w:hint="eastAsia" w:ascii="宋体" w:hAnsi="宋体" w:eastAsia="宋体" w:cs="宋体"/>
          <w:sz w:val="32"/>
          <w:szCs w:val="32"/>
        </w:rPr>
      </w:pPr>
    </w:p>
    <w:p w14:paraId="05A05C09">
      <w:pPr>
        <w:spacing w:line="560" w:lineRule="exact"/>
        <w:ind w:firstLine="640" w:firstLineChars="200"/>
        <w:jc w:val="both"/>
        <w:rPr>
          <w:rFonts w:hint="eastAsia" w:ascii="宋体" w:hAnsi="宋体" w:eastAsia="宋体" w:cs="宋体"/>
          <w:sz w:val="32"/>
          <w:szCs w:val="32"/>
        </w:rPr>
      </w:pPr>
    </w:p>
    <w:p w14:paraId="222FE4D3">
      <w:pPr>
        <w:spacing w:line="560" w:lineRule="exact"/>
        <w:ind w:firstLine="640" w:firstLineChars="200"/>
        <w:jc w:val="both"/>
        <w:rPr>
          <w:rFonts w:hint="eastAsia" w:ascii="宋体" w:hAnsi="宋体" w:eastAsia="宋体" w:cs="宋体"/>
          <w:sz w:val="32"/>
          <w:szCs w:val="32"/>
        </w:rPr>
      </w:pPr>
    </w:p>
    <w:p w14:paraId="0EA97200">
      <w:pPr>
        <w:spacing w:line="560" w:lineRule="exact"/>
        <w:ind w:firstLine="640" w:firstLineChars="200"/>
        <w:jc w:val="both"/>
        <w:rPr>
          <w:rFonts w:hint="eastAsia" w:ascii="宋体" w:hAnsi="宋体" w:eastAsia="宋体" w:cs="宋体"/>
          <w:sz w:val="32"/>
          <w:szCs w:val="32"/>
        </w:rPr>
      </w:pPr>
    </w:p>
    <w:p w14:paraId="60C0F5BC">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0895BB0B">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3766F386">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7D91B81D">
      <w:pPr>
        <w:spacing w:line="560" w:lineRule="exact"/>
        <w:ind w:firstLine="880" w:firstLineChars="200"/>
        <w:jc w:val="center"/>
        <w:rPr>
          <w:rFonts w:hint="eastAsia" w:ascii="宋体" w:hAnsi="宋体" w:eastAsia="宋体" w:cs="宋体"/>
          <w:sz w:val="44"/>
          <w:szCs w:val="44"/>
        </w:rPr>
      </w:pPr>
    </w:p>
    <w:p w14:paraId="1A127DFA">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2A50BC8D">
      <w:pPr>
        <w:spacing w:line="560" w:lineRule="exact"/>
        <w:ind w:firstLine="640" w:firstLineChars="200"/>
        <w:jc w:val="both"/>
        <w:rPr>
          <w:rFonts w:hint="eastAsia" w:ascii="宋体" w:hAnsi="宋体" w:eastAsia="宋体" w:cs="宋体"/>
          <w:sz w:val="32"/>
          <w:szCs w:val="32"/>
        </w:rPr>
      </w:pPr>
    </w:p>
    <w:p w14:paraId="464BF93D">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7AA60282">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017C99B0">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30BBF943">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61026C8B">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61986346">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465F39C4">
      <w:pPr>
        <w:rPr>
          <w:rFonts w:hint="eastAsia" w:ascii="宋体" w:hAnsi="宋体" w:eastAsia="宋体" w:cs="宋体"/>
          <w:sz w:val="32"/>
          <w:szCs w:val="32"/>
        </w:rPr>
      </w:pPr>
      <w:r>
        <w:rPr>
          <w:rFonts w:hint="eastAsia" w:ascii="宋体" w:hAnsi="宋体" w:eastAsia="宋体" w:cs="宋体"/>
        </w:rPr>
        <w:br w:type="page"/>
      </w:r>
    </w:p>
    <w:p w14:paraId="50231711">
      <w:pPr>
        <w:pStyle w:val="3"/>
        <w:jc w:val="center"/>
        <w:rPr>
          <w:rFonts w:hint="eastAsia" w:ascii="宋体" w:hAnsi="宋体" w:eastAsia="宋体" w:cs="宋体"/>
          <w:b/>
          <w:bCs/>
        </w:rPr>
      </w:pPr>
      <w:r>
        <w:rPr>
          <w:rFonts w:hint="eastAsia" w:ascii="宋体" w:hAnsi="宋体" w:eastAsia="宋体" w:cs="宋体"/>
          <w:b/>
          <w:bCs/>
        </w:rPr>
        <w:t>第一部分  投标函</w:t>
      </w:r>
    </w:p>
    <w:p w14:paraId="11AED754">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4EBDA5F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themeColor="text1"/>
          <w:u w:val="single"/>
          <w14:textFill>
            <w14:solidFill>
              <w14:schemeClr w14:val="tx1"/>
            </w14:solidFill>
          </w14:textFill>
        </w:rPr>
        <w:t>〈项目名称〉</w:t>
      </w:r>
      <w:r>
        <w:rPr>
          <w:rFonts w:hint="eastAsia" w:ascii="宋体" w:hAnsi="宋体" w:eastAsia="宋体" w:cs="宋体"/>
          <w:color w:val="000000" w:themeColor="text1"/>
          <w14:textFill>
            <w14:solidFill>
              <w14:schemeClr w14:val="tx1"/>
            </w14:solidFill>
          </w14:textFill>
        </w:rPr>
        <w:t>（项目编号：</w:t>
      </w:r>
      <w:r>
        <w:rPr>
          <w:rFonts w:hint="eastAsia" w:ascii="宋体" w:hAnsi="宋体" w:eastAsia="宋体" w:cs="宋体"/>
          <w:color w:val="000000" w:themeColor="text1"/>
          <w:u w:val="single"/>
          <w14:textFill>
            <w14:solidFill>
              <w14:schemeClr w14:val="tx1"/>
            </w14:solidFill>
          </w14:textFill>
        </w:rPr>
        <w:t>〈项目编号〉</w:t>
      </w:r>
      <w:r>
        <w:rPr>
          <w:rFonts w:hint="eastAsia" w:ascii="宋体" w:hAnsi="宋体" w:eastAsia="宋体" w:cs="宋体"/>
          <w:color w:val="000000" w:themeColor="text1"/>
          <w14:textFill>
            <w14:solidFill>
              <w14:schemeClr w14:val="tx1"/>
            </w14:solidFill>
          </w14:textFill>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6CB47E8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1A084F89">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7F084F8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5D89DAE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38C350B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rPr>
        <w:t>5．我方投标文件在开启之日</w:t>
      </w:r>
      <w:r>
        <w:rPr>
          <w:rFonts w:hint="eastAsia" w:ascii="宋体" w:hAnsi="宋体" w:eastAsia="宋体" w:cs="宋体"/>
          <w:color w:val="000000" w:themeColor="text1"/>
          <w14:textFill>
            <w14:solidFill>
              <w14:schemeClr w14:val="tx1"/>
            </w14:solidFill>
          </w14:textFill>
        </w:rPr>
        <w:t>起</w:t>
      </w:r>
      <w:r>
        <w:rPr>
          <w:rFonts w:hint="eastAsia" w:ascii="宋体" w:hAnsi="宋体" w:eastAsia="宋体" w:cs="宋体"/>
          <w:color w:val="000000" w:themeColor="text1"/>
          <w:u w:val="single"/>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个日历日（应不少于90个日历日）内有效。</w:t>
      </w:r>
    </w:p>
    <w:p w14:paraId="26EFB18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lang w:eastAsia="zh-CN"/>
          <w14:textFill>
            <w14:solidFill>
              <w14:schemeClr w14:val="tx1"/>
            </w14:solidFill>
          </w14:textFill>
        </w:rPr>
        <w:t>中标</w:t>
      </w:r>
      <w:r>
        <w:rPr>
          <w:rFonts w:hint="eastAsia" w:ascii="宋体" w:hAnsi="宋体" w:eastAsia="宋体" w:cs="宋体"/>
          <w:color w:val="000000" w:themeColor="text1"/>
          <w14:textFill>
            <w14:solidFill>
              <w14:schemeClr w14:val="tx1"/>
            </w14:solidFill>
          </w14:textFill>
        </w:rPr>
        <w:t>通知书后提交纸质投标文件一正两副；（3）遵照招标文件中的要求，完成本项目的合同责任和义务。</w:t>
      </w:r>
    </w:p>
    <w:p w14:paraId="180B12A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7．所有关于此次招标活动的函电，请按下列方式联系：</w:t>
      </w:r>
    </w:p>
    <w:p w14:paraId="0DA520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0"/>
          <w:kern w:val="0"/>
          <w:fitText w:val="960" w:id="1740457068"/>
          <w14:textFill>
            <w14:solidFill>
              <w14:schemeClr w14:val="tx1"/>
            </w14:solidFill>
          </w14:textFill>
        </w:rPr>
        <w:t>供应</w:t>
      </w:r>
      <w:r>
        <w:rPr>
          <w:rFonts w:hint="eastAsia" w:ascii="宋体" w:hAnsi="宋体" w:eastAsia="宋体" w:cs="宋体"/>
          <w:color w:val="000000" w:themeColor="text1"/>
          <w:spacing w:val="0"/>
          <w:kern w:val="0"/>
          <w:fitText w:val="960" w:id="1740457068"/>
          <w14:textFill>
            <w14:solidFill>
              <w14:schemeClr w14:val="tx1"/>
            </w14:solidFill>
          </w14:textFill>
        </w:rPr>
        <w:t>商</w:t>
      </w:r>
      <w:r>
        <w:rPr>
          <w:rFonts w:hint="eastAsia" w:ascii="宋体" w:hAnsi="宋体" w:eastAsia="宋体" w:cs="宋体"/>
          <w:color w:val="000000" w:themeColor="text1"/>
          <w14:textFill>
            <w14:solidFill>
              <w14:schemeClr w14:val="tx1"/>
            </w14:solidFill>
          </w14:textFill>
        </w:rPr>
        <w:t>：（供应商全称并加盖公章）</w:t>
      </w:r>
    </w:p>
    <w:p w14:paraId="02AD1BA1">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法定代表人或委托代理人：（签字或盖章）</w:t>
      </w:r>
    </w:p>
    <w:p w14:paraId="0078CE0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0EC057C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09B13C9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791147A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1535833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32"/>
          <w:szCs w:val="32"/>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r>
        <w:rPr>
          <w:rFonts w:hint="eastAsia" w:ascii="宋体" w:hAnsi="宋体" w:eastAsia="宋体" w:cs="宋体"/>
        </w:rPr>
        <w:br w:type="page"/>
      </w:r>
    </w:p>
    <w:p w14:paraId="7FE0E825">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b/>
          <w:bCs/>
          <w:sz w:val="32"/>
          <w:szCs w:val="32"/>
          <w:highlight w:val="none"/>
          <w:lang w:val="en-US" w:eastAsia="zh-CN" w:bidi="ar-SA"/>
        </w:rPr>
        <w:t>第二部分</w:t>
      </w:r>
      <w:r>
        <w:rPr>
          <w:rFonts w:hint="eastAsia" w:ascii="宋体" w:hAnsi="宋体" w:eastAsia="宋体" w:cs="宋体"/>
          <w:b/>
          <w:bCs/>
          <w:highlight w:val="none"/>
        </w:rPr>
        <w:t xml:space="preserve"> </w:t>
      </w:r>
      <w:r>
        <w:rPr>
          <w:rFonts w:hint="eastAsia" w:ascii="宋体" w:hAnsi="宋体" w:eastAsia="宋体" w:cs="宋体"/>
          <w:b/>
          <w:bCs/>
          <w:highlight w:val="none"/>
          <w:lang w:val="en-US" w:eastAsia="zh-CN"/>
        </w:rPr>
        <w:t xml:space="preserve"> </w:t>
      </w:r>
      <w:r>
        <w:rPr>
          <w:rFonts w:hint="eastAsia" w:ascii="宋体" w:hAnsi="宋体" w:eastAsia="宋体" w:cs="宋体"/>
          <w:b/>
          <w:bCs/>
          <w:highlight w:val="none"/>
        </w:rPr>
        <w:t>开标一览表</w:t>
      </w:r>
    </w:p>
    <w:p w14:paraId="58DCDB96">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2F5635EB">
      <w:pPr>
        <w:numPr>
          <w:ilvl w:val="0"/>
          <w:numId w:val="0"/>
        </w:numPr>
        <w:rPr>
          <w:rFonts w:hint="eastAsia"/>
          <w:u w:val="single"/>
          <w:lang w:val="en-US" w:eastAsia="zh-CN"/>
        </w:rPr>
      </w:pPr>
      <w:r>
        <w:rPr>
          <w:rFonts w:hint="eastAsia"/>
          <w:lang w:eastAsia="zh-CN"/>
        </w:rPr>
        <w:t>项目编号：</w:t>
      </w:r>
      <w:r>
        <w:rPr>
          <w:rFonts w:hint="eastAsia"/>
          <w:u w:val="single"/>
          <w:lang w:val="en-US" w:eastAsia="zh-CN"/>
        </w:rPr>
        <w:t xml:space="preserve">                        </w:t>
      </w:r>
    </w:p>
    <w:p w14:paraId="6ACE25CD">
      <w:pPr>
        <w:numPr>
          <w:ilvl w:val="0"/>
          <w:numId w:val="0"/>
        </w:numPr>
        <w:rPr>
          <w:rFonts w:hint="default"/>
          <w:u w:val="single"/>
          <w:lang w:val="en-US"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766"/>
        <w:gridCol w:w="1100"/>
        <w:gridCol w:w="1250"/>
        <w:gridCol w:w="1050"/>
        <w:gridCol w:w="1117"/>
        <w:gridCol w:w="1283"/>
        <w:gridCol w:w="1634"/>
        <w:gridCol w:w="816"/>
      </w:tblGrid>
      <w:tr w14:paraId="3175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gridSpan w:val="2"/>
            <w:vAlign w:val="center"/>
          </w:tcPr>
          <w:p w14:paraId="19A4AA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采购内容</w:t>
            </w:r>
          </w:p>
        </w:tc>
        <w:tc>
          <w:tcPr>
            <w:tcW w:w="1100" w:type="dxa"/>
            <w:vAlign w:val="center"/>
          </w:tcPr>
          <w:p w14:paraId="155CD2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暂定人数（人）</w:t>
            </w:r>
          </w:p>
        </w:tc>
        <w:tc>
          <w:tcPr>
            <w:tcW w:w="1250" w:type="dxa"/>
            <w:vAlign w:val="center"/>
          </w:tcPr>
          <w:p w14:paraId="56AE15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投标单价（元）</w:t>
            </w:r>
          </w:p>
        </w:tc>
        <w:tc>
          <w:tcPr>
            <w:tcW w:w="1050" w:type="dxa"/>
            <w:vAlign w:val="center"/>
          </w:tcPr>
          <w:p w14:paraId="649F33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小计（元）</w:t>
            </w:r>
          </w:p>
        </w:tc>
        <w:tc>
          <w:tcPr>
            <w:tcW w:w="1117" w:type="dxa"/>
            <w:vAlign w:val="center"/>
          </w:tcPr>
          <w:p w14:paraId="6FA06D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服务期</w:t>
            </w:r>
          </w:p>
        </w:tc>
        <w:tc>
          <w:tcPr>
            <w:tcW w:w="1283" w:type="dxa"/>
            <w:vAlign w:val="center"/>
          </w:tcPr>
          <w:p w14:paraId="6E5759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体检报告完成期限</w:t>
            </w:r>
          </w:p>
        </w:tc>
        <w:tc>
          <w:tcPr>
            <w:tcW w:w="1634" w:type="dxa"/>
            <w:vAlign w:val="center"/>
          </w:tcPr>
          <w:p w14:paraId="734F2D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质量标准（合格/不合格）</w:t>
            </w:r>
          </w:p>
        </w:tc>
        <w:tc>
          <w:tcPr>
            <w:tcW w:w="816" w:type="dxa"/>
            <w:vAlign w:val="center"/>
          </w:tcPr>
          <w:p w14:paraId="5CF5B2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备注</w:t>
            </w:r>
          </w:p>
        </w:tc>
      </w:tr>
      <w:tr w14:paraId="5E86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vAlign w:val="center"/>
          </w:tcPr>
          <w:p w14:paraId="7372A1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套餐一</w:t>
            </w:r>
          </w:p>
        </w:tc>
        <w:tc>
          <w:tcPr>
            <w:tcW w:w="766" w:type="dxa"/>
            <w:vAlign w:val="center"/>
          </w:tcPr>
          <w:p w14:paraId="791E8B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男性</w:t>
            </w:r>
          </w:p>
        </w:tc>
        <w:tc>
          <w:tcPr>
            <w:tcW w:w="1100" w:type="dxa"/>
          </w:tcPr>
          <w:p w14:paraId="344DBF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250" w:type="dxa"/>
          </w:tcPr>
          <w:p w14:paraId="6E9019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050" w:type="dxa"/>
          </w:tcPr>
          <w:p w14:paraId="165A25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117" w:type="dxa"/>
          </w:tcPr>
          <w:p w14:paraId="4BC906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283" w:type="dxa"/>
          </w:tcPr>
          <w:p w14:paraId="6399F2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634" w:type="dxa"/>
          </w:tcPr>
          <w:p w14:paraId="1CA2E2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816" w:type="dxa"/>
          </w:tcPr>
          <w:p w14:paraId="70B54B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r>
      <w:tr w14:paraId="229C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vAlign w:val="center"/>
          </w:tcPr>
          <w:p w14:paraId="4FC04D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highlight w:val="none"/>
                <w:vertAlign w:val="baseline"/>
              </w:rPr>
            </w:pPr>
          </w:p>
        </w:tc>
        <w:tc>
          <w:tcPr>
            <w:tcW w:w="766" w:type="dxa"/>
            <w:vAlign w:val="center"/>
          </w:tcPr>
          <w:p w14:paraId="280AD8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女性</w:t>
            </w:r>
          </w:p>
        </w:tc>
        <w:tc>
          <w:tcPr>
            <w:tcW w:w="1100" w:type="dxa"/>
          </w:tcPr>
          <w:p w14:paraId="7DD5A0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250" w:type="dxa"/>
          </w:tcPr>
          <w:p w14:paraId="5EA660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050" w:type="dxa"/>
          </w:tcPr>
          <w:p w14:paraId="13E441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117" w:type="dxa"/>
          </w:tcPr>
          <w:p w14:paraId="0909E9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283" w:type="dxa"/>
          </w:tcPr>
          <w:p w14:paraId="6564EE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634" w:type="dxa"/>
          </w:tcPr>
          <w:p w14:paraId="2C7EE2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816" w:type="dxa"/>
          </w:tcPr>
          <w:p w14:paraId="717500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r>
      <w:tr w14:paraId="38C2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vAlign w:val="center"/>
          </w:tcPr>
          <w:p w14:paraId="6A0BED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eastAsiaTheme="minorEastAsia"/>
                <w:sz w:val="24"/>
                <w:szCs w:val="24"/>
                <w:highlight w:val="none"/>
                <w:vertAlign w:val="baseline"/>
                <w:lang w:val="en-US" w:eastAsia="zh-CN"/>
              </w:rPr>
            </w:pPr>
            <w:r>
              <w:rPr>
                <w:rFonts w:hint="eastAsia" w:ascii="宋体" w:hAnsi="宋体" w:cs="宋体"/>
                <w:sz w:val="24"/>
                <w:szCs w:val="24"/>
                <w:highlight w:val="none"/>
                <w:vertAlign w:val="baseline"/>
                <w:lang w:val="en-US" w:eastAsia="zh-CN"/>
              </w:rPr>
              <w:t>套餐二</w:t>
            </w:r>
          </w:p>
        </w:tc>
        <w:tc>
          <w:tcPr>
            <w:tcW w:w="766" w:type="dxa"/>
            <w:vAlign w:val="center"/>
          </w:tcPr>
          <w:p w14:paraId="05CB4F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highlight w:val="none"/>
                <w:vertAlign w:val="baseline"/>
              </w:rPr>
            </w:pPr>
            <w:r>
              <w:rPr>
                <w:rFonts w:hint="eastAsia" w:ascii="宋体" w:hAnsi="宋体" w:cs="宋体"/>
                <w:sz w:val="24"/>
                <w:szCs w:val="24"/>
                <w:highlight w:val="none"/>
                <w:vertAlign w:val="baseline"/>
                <w:lang w:val="en-US" w:eastAsia="zh-CN"/>
              </w:rPr>
              <w:t>男性</w:t>
            </w:r>
          </w:p>
        </w:tc>
        <w:tc>
          <w:tcPr>
            <w:tcW w:w="1100" w:type="dxa"/>
          </w:tcPr>
          <w:p w14:paraId="5F0460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250" w:type="dxa"/>
          </w:tcPr>
          <w:p w14:paraId="357F55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050" w:type="dxa"/>
          </w:tcPr>
          <w:p w14:paraId="4E7CC9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117" w:type="dxa"/>
          </w:tcPr>
          <w:p w14:paraId="2598ED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283" w:type="dxa"/>
          </w:tcPr>
          <w:p w14:paraId="15F1AA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634" w:type="dxa"/>
          </w:tcPr>
          <w:p w14:paraId="67594E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816" w:type="dxa"/>
          </w:tcPr>
          <w:p w14:paraId="6307C5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r>
      <w:tr w14:paraId="4137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vAlign w:val="center"/>
          </w:tcPr>
          <w:p w14:paraId="152386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highlight w:val="none"/>
                <w:vertAlign w:val="baseline"/>
              </w:rPr>
            </w:pPr>
          </w:p>
        </w:tc>
        <w:tc>
          <w:tcPr>
            <w:tcW w:w="766" w:type="dxa"/>
            <w:vAlign w:val="center"/>
          </w:tcPr>
          <w:p w14:paraId="54560F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highlight w:val="none"/>
                <w:vertAlign w:val="baseline"/>
              </w:rPr>
            </w:pPr>
            <w:r>
              <w:rPr>
                <w:rFonts w:hint="eastAsia" w:ascii="宋体" w:hAnsi="宋体" w:cs="宋体"/>
                <w:sz w:val="24"/>
                <w:szCs w:val="24"/>
                <w:highlight w:val="none"/>
                <w:vertAlign w:val="baseline"/>
                <w:lang w:val="en-US" w:eastAsia="zh-CN"/>
              </w:rPr>
              <w:t>女性</w:t>
            </w:r>
          </w:p>
        </w:tc>
        <w:tc>
          <w:tcPr>
            <w:tcW w:w="1100" w:type="dxa"/>
          </w:tcPr>
          <w:p w14:paraId="53DBA8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250" w:type="dxa"/>
          </w:tcPr>
          <w:p w14:paraId="1CEA73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050" w:type="dxa"/>
          </w:tcPr>
          <w:p w14:paraId="0CC0E4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117" w:type="dxa"/>
          </w:tcPr>
          <w:p w14:paraId="44E181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283" w:type="dxa"/>
          </w:tcPr>
          <w:p w14:paraId="412100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1634" w:type="dxa"/>
          </w:tcPr>
          <w:p w14:paraId="4A6049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c>
          <w:tcPr>
            <w:tcW w:w="816" w:type="dxa"/>
          </w:tcPr>
          <w:p w14:paraId="051587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rPr>
            </w:pPr>
          </w:p>
        </w:tc>
      </w:tr>
      <w:tr w14:paraId="696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9956" w:type="dxa"/>
            <w:gridSpan w:val="9"/>
          </w:tcPr>
          <w:p w14:paraId="264F86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投标总价：大写：人民币</w:t>
            </w:r>
            <w:r>
              <w:rPr>
                <w:rFonts w:hint="eastAsia" w:ascii="宋体" w:hAnsi="宋体" w:cs="宋体"/>
                <w:sz w:val="24"/>
                <w:szCs w:val="24"/>
                <w:highlight w:val="none"/>
                <w:u w:val="single"/>
                <w:vertAlign w:val="baseline"/>
                <w:lang w:val="en-US" w:eastAsia="zh-CN"/>
              </w:rPr>
              <w:t xml:space="preserve">                     </w:t>
            </w:r>
            <w:r>
              <w:rPr>
                <w:rFonts w:hint="eastAsia" w:ascii="宋体" w:hAnsi="宋体" w:cs="宋体"/>
                <w:sz w:val="24"/>
                <w:szCs w:val="24"/>
                <w:highlight w:val="none"/>
                <w:vertAlign w:val="baseline"/>
                <w:lang w:val="en-US" w:eastAsia="zh-CN"/>
              </w:rPr>
              <w:t>元</w:t>
            </w:r>
          </w:p>
          <w:p w14:paraId="382C7560">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小写：</w:t>
            </w:r>
            <w:r>
              <w:rPr>
                <w:rFonts w:hint="eastAsia" w:ascii="宋体" w:hAnsi="宋体" w:cs="宋体"/>
                <w:sz w:val="24"/>
                <w:szCs w:val="24"/>
                <w:highlight w:val="none"/>
                <w:u w:val="single"/>
                <w:vertAlign w:val="baseline"/>
                <w:lang w:val="en-US" w:eastAsia="zh-CN"/>
              </w:rPr>
              <w:t xml:space="preserve">                           </w:t>
            </w:r>
            <w:r>
              <w:rPr>
                <w:rFonts w:hint="eastAsia" w:ascii="宋体" w:hAnsi="宋体" w:cs="宋体"/>
                <w:sz w:val="24"/>
                <w:szCs w:val="24"/>
                <w:highlight w:val="none"/>
                <w:u w:val="none"/>
                <w:vertAlign w:val="baseline"/>
                <w:lang w:val="en-US" w:eastAsia="zh-CN"/>
              </w:rPr>
              <w:t>元</w:t>
            </w:r>
          </w:p>
        </w:tc>
      </w:tr>
    </w:tbl>
    <w:p w14:paraId="563111F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cs="宋体" w:eastAsiaTheme="minorEastAsia"/>
          <w:b/>
          <w:bCs/>
          <w:sz w:val="24"/>
          <w:szCs w:val="24"/>
          <w:highlight w:val="none"/>
          <w:lang w:val="en-US" w:eastAsia="zh-CN"/>
        </w:rPr>
      </w:pPr>
      <w:r>
        <w:rPr>
          <w:rFonts w:hint="eastAsia" w:ascii="宋体" w:hAnsi="宋体" w:cs="宋体"/>
          <w:b/>
          <w:bCs/>
          <w:sz w:val="24"/>
          <w:szCs w:val="24"/>
          <w:highlight w:val="none"/>
          <w:lang w:val="en-US" w:eastAsia="zh-CN"/>
        </w:rPr>
        <w:t>注：以上人数为暂定人数，最终结算以实际体检人数为准。</w:t>
      </w:r>
    </w:p>
    <w:p w14:paraId="0BC7B51A">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0FD70F79">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75070F38">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55075971">
      <w:pPr>
        <w:spacing w:line="480" w:lineRule="auto"/>
        <w:ind w:firstLine="3840" w:firstLineChars="1600"/>
        <w:rPr>
          <w:rFonts w:hint="eastAsia"/>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651579FD">
      <w:pPr>
        <w:rPr>
          <w:rFonts w:hint="eastAsia" w:ascii="宋体" w:hAnsi="宋体" w:eastAsia="宋体" w:cs="宋体"/>
          <w:sz w:val="32"/>
          <w:szCs w:val="32"/>
        </w:rPr>
      </w:pPr>
      <w:r>
        <w:rPr>
          <w:rFonts w:hint="eastAsia" w:ascii="宋体" w:hAnsi="宋体" w:eastAsia="宋体" w:cs="宋体"/>
          <w:sz w:val="32"/>
          <w:szCs w:val="32"/>
        </w:rPr>
        <w:br w:type="page"/>
      </w:r>
    </w:p>
    <w:p w14:paraId="23D22454">
      <w:pPr>
        <w:pStyle w:val="16"/>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分项报价表</w:t>
      </w:r>
    </w:p>
    <w:p w14:paraId="74162953">
      <w:pPr>
        <w:spacing w:line="500" w:lineRule="exact"/>
        <w:jc w:val="center"/>
        <w:rPr>
          <w:rFonts w:hint="default" w:ascii="宋体" w:hAnsi="宋体" w:eastAsiaTheme="minorEastAsia"/>
          <w:b/>
          <w:bCs/>
          <w:color w:val="auto"/>
          <w:sz w:val="32"/>
          <w:szCs w:val="32"/>
          <w:highlight w:val="none"/>
          <w:lang w:val="en-US" w:eastAsia="zh-CN"/>
        </w:rPr>
      </w:pPr>
      <w:r>
        <w:rPr>
          <w:rFonts w:hint="eastAsia" w:ascii="宋体" w:hAnsi="宋体"/>
          <w:b/>
          <w:bCs/>
          <w:color w:val="auto"/>
          <w:sz w:val="32"/>
          <w:szCs w:val="32"/>
          <w:highlight w:val="none"/>
          <w:lang w:val="en-US" w:eastAsia="zh-CN"/>
        </w:rPr>
        <w:t>投标单价分项报价表（套餐一）</w:t>
      </w:r>
    </w:p>
    <w:p w14:paraId="1F732C50">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361FF7E6">
      <w:pPr>
        <w:spacing w:line="500" w:lineRule="exact"/>
        <w:rPr>
          <w:rFonts w:hint="default" w:ascii="宋体" w:hAnsi="宋体" w:eastAsiaTheme="minorEastAsia"/>
          <w:color w:val="auto"/>
          <w:sz w:val="24"/>
          <w:highlight w:val="none"/>
          <w:lang w:val="en-US" w:eastAsia="zh-CN"/>
        </w:rPr>
      </w:pPr>
      <w:r>
        <w:rPr>
          <w:rFonts w:hint="eastAsia" w:ascii="宋体" w:hAnsi="宋体"/>
          <w:color w:val="auto"/>
          <w:sz w:val="24"/>
          <w:highlight w:val="none"/>
        </w:rPr>
        <w:t xml:space="preserve">项目编号：                                              </w:t>
      </w:r>
      <w:r>
        <w:rPr>
          <w:rFonts w:hint="eastAsia" w:ascii="宋体" w:hAnsi="宋体"/>
          <w:color w:val="auto"/>
          <w:sz w:val="24"/>
          <w:highlight w:val="none"/>
          <w:lang w:val="en-US" w:eastAsia="zh-CN"/>
        </w:rPr>
        <w:t>报价单位：人民币     元</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5015"/>
        <w:gridCol w:w="2879"/>
        <w:gridCol w:w="1126"/>
      </w:tblGrid>
      <w:tr w14:paraId="0BFC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3304F57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序号</w:t>
            </w:r>
          </w:p>
        </w:tc>
        <w:tc>
          <w:tcPr>
            <w:tcW w:w="5015" w:type="dxa"/>
          </w:tcPr>
          <w:p w14:paraId="656740D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体检内容</w:t>
            </w:r>
          </w:p>
        </w:tc>
        <w:tc>
          <w:tcPr>
            <w:tcW w:w="2879" w:type="dxa"/>
          </w:tcPr>
          <w:p w14:paraId="5FB9484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报价</w:t>
            </w:r>
          </w:p>
        </w:tc>
        <w:tc>
          <w:tcPr>
            <w:tcW w:w="1126" w:type="dxa"/>
          </w:tcPr>
          <w:p w14:paraId="586F38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备注</w:t>
            </w:r>
          </w:p>
        </w:tc>
      </w:tr>
      <w:tr w14:paraId="07C1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6" w:type="dxa"/>
            <w:gridSpan w:val="4"/>
          </w:tcPr>
          <w:p w14:paraId="4B1CB05F">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eastAsiaTheme="minorEastAsia"/>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一、男性</w:t>
            </w:r>
          </w:p>
        </w:tc>
      </w:tr>
      <w:tr w14:paraId="2032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5BFD8C83">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vertAlign w:val="baseline"/>
                <w:lang w:val="en-US" w:eastAsia="zh-CN"/>
              </w:rPr>
            </w:pPr>
            <w:r>
              <w:rPr>
                <w:rFonts w:hint="eastAsia" w:ascii="宋体" w:hAnsi="宋体"/>
                <w:color w:val="auto"/>
                <w:sz w:val="24"/>
                <w:highlight w:val="none"/>
                <w:vertAlign w:val="baseline"/>
                <w:lang w:val="en-US" w:eastAsia="zh-CN"/>
              </w:rPr>
              <w:t>1</w:t>
            </w:r>
          </w:p>
        </w:tc>
        <w:tc>
          <w:tcPr>
            <w:tcW w:w="5015" w:type="dxa"/>
          </w:tcPr>
          <w:p w14:paraId="2AC79FBE">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68496161">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3EFB9FA7">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7A33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4F261B9E">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vertAlign w:val="baseline"/>
                <w:lang w:val="en-US" w:eastAsia="zh-CN"/>
              </w:rPr>
            </w:pPr>
            <w:r>
              <w:rPr>
                <w:rFonts w:hint="eastAsia" w:ascii="宋体" w:hAnsi="宋体"/>
                <w:color w:val="auto"/>
                <w:sz w:val="24"/>
                <w:highlight w:val="none"/>
                <w:vertAlign w:val="baseline"/>
                <w:lang w:val="en-US" w:eastAsia="zh-CN"/>
              </w:rPr>
              <w:t>2</w:t>
            </w:r>
          </w:p>
        </w:tc>
        <w:tc>
          <w:tcPr>
            <w:tcW w:w="5015" w:type="dxa"/>
          </w:tcPr>
          <w:p w14:paraId="7BD6E4AE">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2316E8D1">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79F326A1">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352D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27D085FB">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vertAlign w:val="baseline"/>
                <w:lang w:val="en-US" w:eastAsia="zh-CN"/>
              </w:rPr>
            </w:pPr>
            <w:r>
              <w:rPr>
                <w:rFonts w:hint="eastAsia" w:ascii="宋体" w:hAnsi="宋体"/>
                <w:color w:val="auto"/>
                <w:sz w:val="24"/>
                <w:highlight w:val="none"/>
                <w:vertAlign w:val="baseline"/>
                <w:lang w:val="en-US" w:eastAsia="zh-CN"/>
              </w:rPr>
              <w:t>3</w:t>
            </w:r>
          </w:p>
        </w:tc>
        <w:tc>
          <w:tcPr>
            <w:tcW w:w="5015" w:type="dxa"/>
          </w:tcPr>
          <w:p w14:paraId="1F56EF4D">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279A6E51">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230ADF93">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0D20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52F47AAA">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vertAlign w:val="baseline"/>
                <w:lang w:val="en-US" w:eastAsia="zh-CN"/>
              </w:rPr>
            </w:pPr>
            <w:r>
              <w:rPr>
                <w:rFonts w:hint="eastAsia" w:ascii="宋体" w:hAnsi="宋体"/>
                <w:color w:val="auto"/>
                <w:sz w:val="24"/>
                <w:highlight w:val="none"/>
                <w:vertAlign w:val="baseline"/>
                <w:lang w:val="en-US" w:eastAsia="zh-CN"/>
              </w:rPr>
              <w:t>4</w:t>
            </w:r>
          </w:p>
        </w:tc>
        <w:tc>
          <w:tcPr>
            <w:tcW w:w="5015" w:type="dxa"/>
          </w:tcPr>
          <w:p w14:paraId="2967262A">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69172240">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14CFABFE">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5740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0210FE7F">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5</w:t>
            </w:r>
          </w:p>
        </w:tc>
        <w:tc>
          <w:tcPr>
            <w:tcW w:w="5015" w:type="dxa"/>
          </w:tcPr>
          <w:p w14:paraId="15CDE2A0">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7A576CBD">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388D6172">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7584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03596C1C">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w:t>
            </w:r>
          </w:p>
        </w:tc>
        <w:tc>
          <w:tcPr>
            <w:tcW w:w="5015" w:type="dxa"/>
          </w:tcPr>
          <w:p w14:paraId="2C793C7F">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7E84ECC2">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279A039F">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1175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1" w:type="dxa"/>
            <w:gridSpan w:val="2"/>
          </w:tcPr>
          <w:p w14:paraId="3D34B120">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b/>
                <w:bCs/>
                <w:color w:val="auto"/>
                <w:sz w:val="24"/>
                <w:highlight w:val="none"/>
                <w:vertAlign w:val="baseline"/>
              </w:rPr>
            </w:pPr>
            <w:r>
              <w:rPr>
                <w:rFonts w:hint="eastAsia" w:ascii="宋体" w:hAnsi="宋体"/>
                <w:b/>
                <w:bCs/>
                <w:color w:val="auto"/>
                <w:sz w:val="24"/>
                <w:highlight w:val="none"/>
                <w:vertAlign w:val="baseline"/>
              </w:rPr>
              <w:t>合计（</w:t>
            </w:r>
            <w:r>
              <w:rPr>
                <w:rFonts w:hint="eastAsia" w:ascii="宋体" w:hAnsi="宋体"/>
                <w:b/>
                <w:bCs/>
                <w:color w:val="auto"/>
                <w:sz w:val="24"/>
                <w:highlight w:val="none"/>
                <w:vertAlign w:val="baseline"/>
                <w:lang w:val="en-US" w:eastAsia="zh-CN"/>
              </w:rPr>
              <w:t>开标</w:t>
            </w:r>
            <w:r>
              <w:rPr>
                <w:rFonts w:hint="eastAsia" w:ascii="宋体" w:hAnsi="宋体"/>
                <w:b/>
                <w:bCs/>
                <w:color w:val="auto"/>
                <w:sz w:val="24"/>
                <w:highlight w:val="none"/>
                <w:vertAlign w:val="baseline"/>
              </w:rPr>
              <w:t>一览表中对应的男性投标单价）</w:t>
            </w:r>
          </w:p>
        </w:tc>
        <w:tc>
          <w:tcPr>
            <w:tcW w:w="4005" w:type="dxa"/>
            <w:gridSpan w:val="2"/>
          </w:tcPr>
          <w:p w14:paraId="5D319276">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b/>
                <w:bCs/>
                <w:color w:val="auto"/>
                <w:sz w:val="24"/>
                <w:highlight w:val="none"/>
                <w:vertAlign w:val="baseline"/>
              </w:rPr>
            </w:pPr>
            <w:r>
              <w:rPr>
                <w:rFonts w:hint="eastAsia" w:ascii="宋体" w:hAnsi="宋体"/>
                <w:b/>
                <w:bCs/>
                <w:color w:val="auto"/>
                <w:sz w:val="24"/>
                <w:highlight w:val="none"/>
                <w:vertAlign w:val="baseline"/>
              </w:rPr>
              <w:tab/>
            </w:r>
            <w:r>
              <w:rPr>
                <w:rFonts w:hint="eastAsia" w:ascii="宋体" w:hAnsi="宋体"/>
                <w:b/>
                <w:bCs/>
                <w:color w:val="auto"/>
                <w:sz w:val="24"/>
                <w:highlight w:val="none"/>
                <w:vertAlign w:val="baseline"/>
                <w:lang w:val="en-US" w:eastAsia="zh-CN"/>
              </w:rPr>
              <w:t xml:space="preserve">                   </w:t>
            </w:r>
            <w:r>
              <w:rPr>
                <w:rFonts w:hint="eastAsia" w:ascii="宋体" w:hAnsi="宋体"/>
                <w:b/>
                <w:bCs/>
                <w:color w:val="auto"/>
                <w:sz w:val="24"/>
                <w:highlight w:val="none"/>
                <w:vertAlign w:val="baseline"/>
              </w:rPr>
              <w:t>元/人</w:t>
            </w:r>
          </w:p>
        </w:tc>
      </w:tr>
      <w:tr w14:paraId="57CA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6" w:type="dxa"/>
            <w:gridSpan w:val="4"/>
          </w:tcPr>
          <w:p w14:paraId="193E305E">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eastAsiaTheme="minorEastAsia"/>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二、女性</w:t>
            </w:r>
          </w:p>
        </w:tc>
      </w:tr>
      <w:tr w14:paraId="4034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7603D2DF">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1</w:t>
            </w:r>
          </w:p>
        </w:tc>
        <w:tc>
          <w:tcPr>
            <w:tcW w:w="5015" w:type="dxa"/>
          </w:tcPr>
          <w:p w14:paraId="4473F686">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455A0B96">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71791637">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57F3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39A2601C">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2</w:t>
            </w:r>
          </w:p>
        </w:tc>
        <w:tc>
          <w:tcPr>
            <w:tcW w:w="5015" w:type="dxa"/>
          </w:tcPr>
          <w:p w14:paraId="60C1A23A">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450B539E">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0FC75397">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2884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1E11BFE1">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3</w:t>
            </w:r>
          </w:p>
        </w:tc>
        <w:tc>
          <w:tcPr>
            <w:tcW w:w="5015" w:type="dxa"/>
          </w:tcPr>
          <w:p w14:paraId="128B39BD">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663820BD">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5B118A5A">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537F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1364B438">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4</w:t>
            </w:r>
          </w:p>
        </w:tc>
        <w:tc>
          <w:tcPr>
            <w:tcW w:w="5015" w:type="dxa"/>
          </w:tcPr>
          <w:p w14:paraId="640ADBB8">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0DA84FF0">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5FE52ACC">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082F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7C728CCA">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5</w:t>
            </w:r>
          </w:p>
        </w:tc>
        <w:tc>
          <w:tcPr>
            <w:tcW w:w="5015" w:type="dxa"/>
          </w:tcPr>
          <w:p w14:paraId="375FA417">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2560C9CB">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75DDFC78">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4439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554A4297">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w:t>
            </w:r>
          </w:p>
        </w:tc>
        <w:tc>
          <w:tcPr>
            <w:tcW w:w="5015" w:type="dxa"/>
          </w:tcPr>
          <w:p w14:paraId="7CD8305E">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6DCE3253">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37583520">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6C8D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1" w:type="dxa"/>
            <w:gridSpan w:val="2"/>
            <w:vAlign w:val="top"/>
          </w:tcPr>
          <w:p w14:paraId="5A9DD8DF">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b/>
                <w:bCs/>
                <w:color w:val="auto"/>
                <w:sz w:val="24"/>
                <w:highlight w:val="none"/>
                <w:vertAlign w:val="baseline"/>
              </w:rPr>
            </w:pPr>
            <w:r>
              <w:rPr>
                <w:rFonts w:hint="eastAsia" w:ascii="宋体" w:hAnsi="宋体"/>
                <w:b/>
                <w:bCs/>
                <w:color w:val="auto"/>
                <w:sz w:val="24"/>
                <w:highlight w:val="none"/>
                <w:vertAlign w:val="baseline"/>
              </w:rPr>
              <w:t>合计（</w:t>
            </w:r>
            <w:r>
              <w:rPr>
                <w:rFonts w:hint="eastAsia" w:ascii="宋体" w:hAnsi="宋体"/>
                <w:b/>
                <w:bCs/>
                <w:color w:val="auto"/>
                <w:sz w:val="24"/>
                <w:highlight w:val="none"/>
                <w:vertAlign w:val="baseline"/>
                <w:lang w:val="en-US" w:eastAsia="zh-CN"/>
              </w:rPr>
              <w:t>开标</w:t>
            </w:r>
            <w:r>
              <w:rPr>
                <w:rFonts w:hint="eastAsia" w:ascii="宋体" w:hAnsi="宋体"/>
                <w:b/>
                <w:bCs/>
                <w:color w:val="auto"/>
                <w:sz w:val="24"/>
                <w:highlight w:val="none"/>
                <w:vertAlign w:val="baseline"/>
              </w:rPr>
              <w:t>一览表中对应的</w:t>
            </w:r>
            <w:r>
              <w:rPr>
                <w:rFonts w:hint="eastAsia" w:ascii="宋体" w:hAnsi="宋体"/>
                <w:b/>
                <w:bCs/>
                <w:color w:val="auto"/>
                <w:sz w:val="24"/>
                <w:highlight w:val="none"/>
                <w:vertAlign w:val="baseline"/>
                <w:lang w:val="en-US" w:eastAsia="zh-CN"/>
              </w:rPr>
              <w:t>女</w:t>
            </w:r>
            <w:r>
              <w:rPr>
                <w:rFonts w:hint="eastAsia" w:ascii="宋体" w:hAnsi="宋体"/>
                <w:b/>
                <w:bCs/>
                <w:color w:val="auto"/>
                <w:sz w:val="24"/>
                <w:highlight w:val="none"/>
                <w:vertAlign w:val="baseline"/>
              </w:rPr>
              <w:t>性投标单价）</w:t>
            </w:r>
          </w:p>
        </w:tc>
        <w:tc>
          <w:tcPr>
            <w:tcW w:w="4005" w:type="dxa"/>
            <w:gridSpan w:val="2"/>
            <w:vAlign w:val="top"/>
          </w:tcPr>
          <w:p w14:paraId="3E189656">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b/>
                <w:bCs/>
                <w:color w:val="auto"/>
                <w:sz w:val="24"/>
                <w:highlight w:val="none"/>
                <w:vertAlign w:val="baseline"/>
              </w:rPr>
            </w:pPr>
            <w:r>
              <w:rPr>
                <w:rFonts w:hint="eastAsia" w:ascii="宋体" w:hAnsi="宋体"/>
                <w:b/>
                <w:bCs/>
                <w:color w:val="auto"/>
                <w:sz w:val="24"/>
                <w:highlight w:val="none"/>
                <w:vertAlign w:val="baseline"/>
              </w:rPr>
              <w:tab/>
            </w:r>
            <w:r>
              <w:rPr>
                <w:rFonts w:hint="eastAsia" w:ascii="宋体" w:hAnsi="宋体"/>
                <w:b/>
                <w:bCs/>
                <w:color w:val="auto"/>
                <w:sz w:val="24"/>
                <w:highlight w:val="none"/>
                <w:vertAlign w:val="baseline"/>
                <w:lang w:val="en-US" w:eastAsia="zh-CN"/>
              </w:rPr>
              <w:t xml:space="preserve">                   </w:t>
            </w:r>
            <w:r>
              <w:rPr>
                <w:rFonts w:hint="eastAsia" w:ascii="宋体" w:hAnsi="宋体"/>
                <w:b/>
                <w:bCs/>
                <w:color w:val="auto"/>
                <w:sz w:val="24"/>
                <w:highlight w:val="none"/>
                <w:vertAlign w:val="baseline"/>
              </w:rPr>
              <w:t>元/人</w:t>
            </w:r>
          </w:p>
        </w:tc>
      </w:tr>
    </w:tbl>
    <w:p w14:paraId="5EB18849">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rPr>
      </w:pPr>
    </w:p>
    <w:p w14:paraId="5EF205A5">
      <w:pPr>
        <w:keepNext w:val="0"/>
        <w:keepLines w:val="0"/>
        <w:pageBreakBefore w:val="0"/>
        <w:widowControl/>
        <w:kinsoku/>
        <w:wordWrap/>
        <w:overflowPunct/>
        <w:topLinePunct w:val="0"/>
        <w:autoSpaceDE/>
        <w:autoSpaceDN/>
        <w:bidi w:val="0"/>
        <w:adjustRightInd/>
        <w:snapToGrid/>
        <w:spacing w:line="288" w:lineRule="auto"/>
        <w:textAlignment w:val="auto"/>
        <w:rPr>
          <w:rFonts w:ascii="宋体" w:hAnsi="宋体" w:eastAsia="宋体" w:cs="宋体"/>
          <w:color w:val="auto"/>
          <w:sz w:val="24"/>
          <w:szCs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若表格不够用，各供应商可按此表复制。</w:t>
      </w:r>
    </w:p>
    <w:p w14:paraId="0CF659FE">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2F267FAB">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7CB4C641">
      <w:pPr>
        <w:spacing w:line="480" w:lineRule="auto"/>
        <w:ind w:firstLine="3840" w:firstLineChars="1600"/>
        <w:rPr>
          <w:rFonts w:hint="eastAsia"/>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51EEB5E3">
      <w:pPr>
        <w:bidi w:val="0"/>
        <w:rPr>
          <w:rFonts w:hint="eastAsia"/>
          <w:lang w:val="en-US" w:eastAsia="zh-CN"/>
        </w:rPr>
      </w:pPr>
    </w:p>
    <w:p w14:paraId="43CDD2D8">
      <w:pPr>
        <w:spacing w:line="500" w:lineRule="exact"/>
        <w:jc w:val="center"/>
        <w:rPr>
          <w:rFonts w:hint="default" w:ascii="宋体" w:hAnsi="宋体" w:eastAsiaTheme="minorEastAsia"/>
          <w:b/>
          <w:bCs/>
          <w:color w:val="auto"/>
          <w:sz w:val="32"/>
          <w:szCs w:val="32"/>
          <w:highlight w:val="none"/>
          <w:lang w:val="en-US" w:eastAsia="zh-CN"/>
        </w:rPr>
      </w:pPr>
      <w:r>
        <w:rPr>
          <w:rFonts w:hint="eastAsia" w:ascii="宋体" w:hAnsi="宋体"/>
          <w:b/>
          <w:bCs/>
          <w:color w:val="auto"/>
          <w:sz w:val="32"/>
          <w:szCs w:val="32"/>
          <w:highlight w:val="none"/>
          <w:lang w:val="en-US" w:eastAsia="zh-CN"/>
        </w:rPr>
        <w:t>投标单价分项报价表（套餐二）</w:t>
      </w:r>
    </w:p>
    <w:p w14:paraId="1EDAED44">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2DBF13C0">
      <w:pPr>
        <w:spacing w:line="500" w:lineRule="exact"/>
        <w:rPr>
          <w:rFonts w:hint="default" w:ascii="宋体" w:hAnsi="宋体" w:eastAsiaTheme="minorEastAsia"/>
          <w:color w:val="auto"/>
          <w:sz w:val="24"/>
          <w:highlight w:val="none"/>
          <w:lang w:val="en-US" w:eastAsia="zh-CN"/>
        </w:rPr>
      </w:pPr>
      <w:r>
        <w:rPr>
          <w:rFonts w:hint="eastAsia" w:ascii="宋体" w:hAnsi="宋体"/>
          <w:color w:val="auto"/>
          <w:sz w:val="24"/>
          <w:highlight w:val="none"/>
        </w:rPr>
        <w:t xml:space="preserve">项目编号：                                              </w:t>
      </w:r>
      <w:r>
        <w:rPr>
          <w:rFonts w:hint="eastAsia" w:ascii="宋体" w:hAnsi="宋体"/>
          <w:color w:val="auto"/>
          <w:sz w:val="24"/>
          <w:highlight w:val="none"/>
          <w:lang w:val="en-US" w:eastAsia="zh-CN"/>
        </w:rPr>
        <w:t>报价单位：人民币     元</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5015"/>
        <w:gridCol w:w="2879"/>
        <w:gridCol w:w="1126"/>
      </w:tblGrid>
      <w:tr w14:paraId="0EA5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033BA12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序号</w:t>
            </w:r>
          </w:p>
        </w:tc>
        <w:tc>
          <w:tcPr>
            <w:tcW w:w="5015" w:type="dxa"/>
          </w:tcPr>
          <w:p w14:paraId="5319FD8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体检内容</w:t>
            </w:r>
          </w:p>
        </w:tc>
        <w:tc>
          <w:tcPr>
            <w:tcW w:w="2879" w:type="dxa"/>
          </w:tcPr>
          <w:p w14:paraId="18BF27B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报价</w:t>
            </w:r>
          </w:p>
        </w:tc>
        <w:tc>
          <w:tcPr>
            <w:tcW w:w="1126" w:type="dxa"/>
          </w:tcPr>
          <w:p w14:paraId="0614D18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备注</w:t>
            </w:r>
          </w:p>
        </w:tc>
      </w:tr>
      <w:tr w14:paraId="18E8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6" w:type="dxa"/>
            <w:gridSpan w:val="4"/>
          </w:tcPr>
          <w:p w14:paraId="07F0B258">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一、男性</w:t>
            </w:r>
          </w:p>
        </w:tc>
      </w:tr>
      <w:tr w14:paraId="01F7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4B7718D8">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vertAlign w:val="baseline"/>
                <w:lang w:val="en-US" w:eastAsia="zh-CN"/>
              </w:rPr>
            </w:pPr>
            <w:r>
              <w:rPr>
                <w:rFonts w:hint="eastAsia" w:ascii="宋体" w:hAnsi="宋体"/>
                <w:color w:val="auto"/>
                <w:sz w:val="24"/>
                <w:highlight w:val="none"/>
                <w:vertAlign w:val="baseline"/>
                <w:lang w:val="en-US" w:eastAsia="zh-CN"/>
              </w:rPr>
              <w:t>1</w:t>
            </w:r>
          </w:p>
        </w:tc>
        <w:tc>
          <w:tcPr>
            <w:tcW w:w="5015" w:type="dxa"/>
          </w:tcPr>
          <w:p w14:paraId="48A86438">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2BD30EBD">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3E15B5B3">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3745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30FD5B48">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vertAlign w:val="baseline"/>
                <w:lang w:val="en-US" w:eastAsia="zh-CN"/>
              </w:rPr>
            </w:pPr>
            <w:r>
              <w:rPr>
                <w:rFonts w:hint="eastAsia" w:ascii="宋体" w:hAnsi="宋体"/>
                <w:color w:val="auto"/>
                <w:sz w:val="24"/>
                <w:highlight w:val="none"/>
                <w:vertAlign w:val="baseline"/>
                <w:lang w:val="en-US" w:eastAsia="zh-CN"/>
              </w:rPr>
              <w:t>2</w:t>
            </w:r>
          </w:p>
        </w:tc>
        <w:tc>
          <w:tcPr>
            <w:tcW w:w="5015" w:type="dxa"/>
          </w:tcPr>
          <w:p w14:paraId="5B15EC58">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0CB8F361">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6ECE758C">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63A2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2AD7E1A5">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vertAlign w:val="baseline"/>
                <w:lang w:val="en-US" w:eastAsia="zh-CN"/>
              </w:rPr>
            </w:pPr>
            <w:r>
              <w:rPr>
                <w:rFonts w:hint="eastAsia" w:ascii="宋体" w:hAnsi="宋体"/>
                <w:color w:val="auto"/>
                <w:sz w:val="24"/>
                <w:highlight w:val="none"/>
                <w:vertAlign w:val="baseline"/>
                <w:lang w:val="en-US" w:eastAsia="zh-CN"/>
              </w:rPr>
              <w:t>3</w:t>
            </w:r>
          </w:p>
        </w:tc>
        <w:tc>
          <w:tcPr>
            <w:tcW w:w="5015" w:type="dxa"/>
          </w:tcPr>
          <w:p w14:paraId="06ED9A00">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138C94FA">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4C38A60B">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0289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32B7CFB4">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Theme="minorEastAsia"/>
                <w:color w:val="auto"/>
                <w:sz w:val="24"/>
                <w:highlight w:val="none"/>
                <w:vertAlign w:val="baseline"/>
                <w:lang w:val="en-US" w:eastAsia="zh-CN"/>
              </w:rPr>
            </w:pPr>
            <w:r>
              <w:rPr>
                <w:rFonts w:hint="eastAsia" w:ascii="宋体" w:hAnsi="宋体"/>
                <w:color w:val="auto"/>
                <w:sz w:val="24"/>
                <w:highlight w:val="none"/>
                <w:vertAlign w:val="baseline"/>
                <w:lang w:val="en-US" w:eastAsia="zh-CN"/>
              </w:rPr>
              <w:t>4</w:t>
            </w:r>
          </w:p>
        </w:tc>
        <w:tc>
          <w:tcPr>
            <w:tcW w:w="5015" w:type="dxa"/>
          </w:tcPr>
          <w:p w14:paraId="4742FF0A">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761D3579">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4D8FE69C">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7CD3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4D73FB22">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5</w:t>
            </w:r>
          </w:p>
        </w:tc>
        <w:tc>
          <w:tcPr>
            <w:tcW w:w="5015" w:type="dxa"/>
          </w:tcPr>
          <w:p w14:paraId="602B415E">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2E9D8D0F">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13827933">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714C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23C7EF44">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w:t>
            </w:r>
          </w:p>
        </w:tc>
        <w:tc>
          <w:tcPr>
            <w:tcW w:w="5015" w:type="dxa"/>
          </w:tcPr>
          <w:p w14:paraId="10486141">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2E07FCCB">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32C996D0">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72AA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51" w:type="dxa"/>
            <w:gridSpan w:val="2"/>
          </w:tcPr>
          <w:p w14:paraId="11476E68">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b/>
                <w:bCs/>
                <w:color w:val="auto"/>
                <w:sz w:val="24"/>
                <w:highlight w:val="none"/>
                <w:vertAlign w:val="baseline"/>
              </w:rPr>
            </w:pPr>
            <w:r>
              <w:rPr>
                <w:rFonts w:hint="eastAsia" w:ascii="宋体" w:hAnsi="宋体"/>
                <w:b/>
                <w:bCs/>
                <w:color w:val="auto"/>
                <w:sz w:val="24"/>
                <w:highlight w:val="none"/>
                <w:vertAlign w:val="baseline"/>
              </w:rPr>
              <w:t>合计（</w:t>
            </w:r>
            <w:r>
              <w:rPr>
                <w:rFonts w:hint="eastAsia" w:ascii="宋体" w:hAnsi="宋体"/>
                <w:b/>
                <w:bCs/>
                <w:color w:val="auto"/>
                <w:sz w:val="24"/>
                <w:highlight w:val="none"/>
                <w:vertAlign w:val="baseline"/>
                <w:lang w:val="en-US" w:eastAsia="zh-CN"/>
              </w:rPr>
              <w:t>开标</w:t>
            </w:r>
            <w:r>
              <w:rPr>
                <w:rFonts w:hint="eastAsia" w:ascii="宋体" w:hAnsi="宋体"/>
                <w:b/>
                <w:bCs/>
                <w:color w:val="auto"/>
                <w:sz w:val="24"/>
                <w:highlight w:val="none"/>
                <w:vertAlign w:val="baseline"/>
              </w:rPr>
              <w:t>一览表中对应的男性投标单价）</w:t>
            </w:r>
          </w:p>
        </w:tc>
        <w:tc>
          <w:tcPr>
            <w:tcW w:w="4005" w:type="dxa"/>
            <w:gridSpan w:val="2"/>
          </w:tcPr>
          <w:p w14:paraId="3637CBF9">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b/>
                <w:bCs/>
                <w:color w:val="auto"/>
                <w:sz w:val="24"/>
                <w:highlight w:val="none"/>
                <w:vertAlign w:val="baseline"/>
              </w:rPr>
            </w:pPr>
            <w:r>
              <w:rPr>
                <w:rFonts w:hint="eastAsia" w:ascii="宋体" w:hAnsi="宋体"/>
                <w:b/>
                <w:bCs/>
                <w:color w:val="auto"/>
                <w:sz w:val="24"/>
                <w:highlight w:val="none"/>
                <w:vertAlign w:val="baseline"/>
              </w:rPr>
              <w:tab/>
            </w:r>
            <w:r>
              <w:rPr>
                <w:rFonts w:hint="eastAsia" w:ascii="宋体" w:hAnsi="宋体"/>
                <w:b/>
                <w:bCs/>
                <w:color w:val="auto"/>
                <w:sz w:val="24"/>
                <w:highlight w:val="none"/>
                <w:vertAlign w:val="baseline"/>
                <w:lang w:val="en-US" w:eastAsia="zh-CN"/>
              </w:rPr>
              <w:t xml:space="preserve">                   </w:t>
            </w:r>
            <w:r>
              <w:rPr>
                <w:rFonts w:hint="eastAsia" w:ascii="宋体" w:hAnsi="宋体"/>
                <w:b/>
                <w:bCs/>
                <w:color w:val="auto"/>
                <w:sz w:val="24"/>
                <w:highlight w:val="none"/>
                <w:vertAlign w:val="baseline"/>
              </w:rPr>
              <w:t>元/人</w:t>
            </w:r>
          </w:p>
        </w:tc>
      </w:tr>
      <w:tr w14:paraId="1F73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6" w:type="dxa"/>
            <w:gridSpan w:val="4"/>
          </w:tcPr>
          <w:p w14:paraId="1989F8AF">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eastAsiaTheme="minorEastAsia"/>
                <w:b/>
                <w:bCs/>
                <w:color w:val="auto"/>
                <w:sz w:val="24"/>
                <w:highlight w:val="none"/>
                <w:vertAlign w:val="baseline"/>
                <w:lang w:val="en-US" w:eastAsia="zh-CN"/>
              </w:rPr>
            </w:pPr>
            <w:r>
              <w:rPr>
                <w:rFonts w:hint="eastAsia" w:ascii="宋体" w:hAnsi="宋体"/>
                <w:b/>
                <w:bCs/>
                <w:color w:val="auto"/>
                <w:sz w:val="24"/>
                <w:highlight w:val="none"/>
                <w:vertAlign w:val="baseline"/>
                <w:lang w:val="en-US" w:eastAsia="zh-CN"/>
              </w:rPr>
              <w:t>二、女性</w:t>
            </w:r>
          </w:p>
        </w:tc>
      </w:tr>
      <w:tr w14:paraId="077D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023DC03E">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1</w:t>
            </w:r>
          </w:p>
        </w:tc>
        <w:tc>
          <w:tcPr>
            <w:tcW w:w="5015" w:type="dxa"/>
          </w:tcPr>
          <w:p w14:paraId="0B0A5765">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33C81E5E">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42F87C61">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37CD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13B55428">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2</w:t>
            </w:r>
          </w:p>
        </w:tc>
        <w:tc>
          <w:tcPr>
            <w:tcW w:w="5015" w:type="dxa"/>
          </w:tcPr>
          <w:p w14:paraId="1A3AE992">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3FF42727">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3FAB2F94">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31A2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20A30C0B">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3</w:t>
            </w:r>
          </w:p>
        </w:tc>
        <w:tc>
          <w:tcPr>
            <w:tcW w:w="5015" w:type="dxa"/>
          </w:tcPr>
          <w:p w14:paraId="7D51E0CD">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24AA4A0A">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14E84720">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6D31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5345BDF0">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4</w:t>
            </w:r>
          </w:p>
        </w:tc>
        <w:tc>
          <w:tcPr>
            <w:tcW w:w="5015" w:type="dxa"/>
          </w:tcPr>
          <w:p w14:paraId="15667181">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7F69FA09">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1B85E6BA">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36AF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1743AC2F">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5</w:t>
            </w:r>
          </w:p>
        </w:tc>
        <w:tc>
          <w:tcPr>
            <w:tcW w:w="5015" w:type="dxa"/>
          </w:tcPr>
          <w:p w14:paraId="2389ED92">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2F5194A3">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120BDAD5">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697E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14:paraId="04CD1BA7">
            <w:pPr>
              <w:keepNext w:val="0"/>
              <w:keepLines w:val="0"/>
              <w:pageBreakBefore w:val="0"/>
              <w:widowControl/>
              <w:kinsoku/>
              <w:wordWrap/>
              <w:overflowPunct/>
              <w:topLinePunct w:val="0"/>
              <w:autoSpaceDE/>
              <w:autoSpaceDN/>
              <w:bidi w:val="0"/>
              <w:adjustRightInd/>
              <w:snapToGrid/>
              <w:spacing w:line="288" w:lineRule="auto"/>
              <w:textAlignment w:val="auto"/>
              <w:rPr>
                <w:rFonts w:hint="default" w:ascii="宋体" w:hAnsi="宋体"/>
                <w:color w:val="auto"/>
                <w:sz w:val="24"/>
                <w:highlight w:val="none"/>
                <w:vertAlign w:val="baseline"/>
                <w:lang w:val="en-US" w:eastAsia="zh-CN"/>
              </w:rPr>
            </w:pPr>
            <w:r>
              <w:rPr>
                <w:rFonts w:hint="eastAsia" w:ascii="宋体" w:hAnsi="宋体"/>
                <w:color w:val="auto"/>
                <w:sz w:val="24"/>
                <w:highlight w:val="none"/>
                <w:vertAlign w:val="baseline"/>
                <w:lang w:val="en-US" w:eastAsia="zh-CN"/>
              </w:rPr>
              <w:t>......</w:t>
            </w:r>
          </w:p>
        </w:tc>
        <w:tc>
          <w:tcPr>
            <w:tcW w:w="5015" w:type="dxa"/>
          </w:tcPr>
          <w:p w14:paraId="11A74EC5">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2879" w:type="dxa"/>
          </w:tcPr>
          <w:p w14:paraId="70FB4269">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c>
          <w:tcPr>
            <w:tcW w:w="1126" w:type="dxa"/>
          </w:tcPr>
          <w:p w14:paraId="43F3B794">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vertAlign w:val="baseline"/>
              </w:rPr>
            </w:pPr>
          </w:p>
        </w:tc>
      </w:tr>
      <w:tr w14:paraId="4765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1" w:type="dxa"/>
            <w:gridSpan w:val="2"/>
            <w:vAlign w:val="top"/>
          </w:tcPr>
          <w:p w14:paraId="0004F252">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b/>
                <w:bCs/>
                <w:color w:val="auto"/>
                <w:sz w:val="24"/>
                <w:highlight w:val="none"/>
                <w:vertAlign w:val="baseline"/>
              </w:rPr>
            </w:pPr>
            <w:r>
              <w:rPr>
                <w:rFonts w:hint="eastAsia" w:ascii="宋体" w:hAnsi="宋体"/>
                <w:b/>
                <w:bCs/>
                <w:color w:val="auto"/>
                <w:sz w:val="24"/>
                <w:highlight w:val="none"/>
                <w:vertAlign w:val="baseline"/>
              </w:rPr>
              <w:t>合计（</w:t>
            </w:r>
            <w:r>
              <w:rPr>
                <w:rFonts w:hint="eastAsia" w:ascii="宋体" w:hAnsi="宋体"/>
                <w:b/>
                <w:bCs/>
                <w:color w:val="auto"/>
                <w:sz w:val="24"/>
                <w:highlight w:val="none"/>
                <w:vertAlign w:val="baseline"/>
                <w:lang w:val="en-US" w:eastAsia="zh-CN"/>
              </w:rPr>
              <w:t>开标</w:t>
            </w:r>
            <w:r>
              <w:rPr>
                <w:rFonts w:hint="eastAsia" w:ascii="宋体" w:hAnsi="宋体"/>
                <w:b/>
                <w:bCs/>
                <w:color w:val="auto"/>
                <w:sz w:val="24"/>
                <w:highlight w:val="none"/>
                <w:vertAlign w:val="baseline"/>
              </w:rPr>
              <w:t>一览表中对应的</w:t>
            </w:r>
            <w:r>
              <w:rPr>
                <w:rFonts w:hint="eastAsia" w:ascii="宋体" w:hAnsi="宋体"/>
                <w:b/>
                <w:bCs/>
                <w:color w:val="auto"/>
                <w:sz w:val="24"/>
                <w:highlight w:val="none"/>
                <w:vertAlign w:val="baseline"/>
                <w:lang w:val="en-US" w:eastAsia="zh-CN"/>
              </w:rPr>
              <w:t>女</w:t>
            </w:r>
            <w:r>
              <w:rPr>
                <w:rFonts w:hint="eastAsia" w:ascii="宋体" w:hAnsi="宋体"/>
                <w:b/>
                <w:bCs/>
                <w:color w:val="auto"/>
                <w:sz w:val="24"/>
                <w:highlight w:val="none"/>
                <w:vertAlign w:val="baseline"/>
              </w:rPr>
              <w:t>性投标单价）</w:t>
            </w:r>
          </w:p>
        </w:tc>
        <w:tc>
          <w:tcPr>
            <w:tcW w:w="4005" w:type="dxa"/>
            <w:gridSpan w:val="2"/>
            <w:vAlign w:val="top"/>
          </w:tcPr>
          <w:p w14:paraId="328C3163">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b/>
                <w:bCs/>
                <w:color w:val="auto"/>
                <w:sz w:val="24"/>
                <w:highlight w:val="none"/>
                <w:vertAlign w:val="baseline"/>
              </w:rPr>
            </w:pPr>
            <w:r>
              <w:rPr>
                <w:rFonts w:hint="eastAsia" w:ascii="宋体" w:hAnsi="宋体"/>
                <w:b/>
                <w:bCs/>
                <w:color w:val="auto"/>
                <w:sz w:val="24"/>
                <w:highlight w:val="none"/>
                <w:vertAlign w:val="baseline"/>
              </w:rPr>
              <w:tab/>
            </w:r>
            <w:r>
              <w:rPr>
                <w:rFonts w:hint="eastAsia" w:ascii="宋体" w:hAnsi="宋体"/>
                <w:b/>
                <w:bCs/>
                <w:color w:val="auto"/>
                <w:sz w:val="24"/>
                <w:highlight w:val="none"/>
                <w:vertAlign w:val="baseline"/>
                <w:lang w:val="en-US" w:eastAsia="zh-CN"/>
              </w:rPr>
              <w:t xml:space="preserve">                   </w:t>
            </w:r>
            <w:r>
              <w:rPr>
                <w:rFonts w:hint="eastAsia" w:ascii="宋体" w:hAnsi="宋体"/>
                <w:b/>
                <w:bCs/>
                <w:color w:val="auto"/>
                <w:sz w:val="24"/>
                <w:highlight w:val="none"/>
                <w:vertAlign w:val="baseline"/>
              </w:rPr>
              <w:t>元/人</w:t>
            </w:r>
          </w:p>
        </w:tc>
      </w:tr>
    </w:tbl>
    <w:p w14:paraId="448FCD43">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color w:val="auto"/>
          <w:sz w:val="24"/>
          <w:highlight w:val="none"/>
        </w:rPr>
      </w:pPr>
    </w:p>
    <w:p w14:paraId="475F0772">
      <w:pPr>
        <w:keepNext w:val="0"/>
        <w:keepLines w:val="0"/>
        <w:pageBreakBefore w:val="0"/>
        <w:widowControl/>
        <w:kinsoku/>
        <w:wordWrap/>
        <w:overflowPunct/>
        <w:topLinePunct w:val="0"/>
        <w:autoSpaceDE/>
        <w:autoSpaceDN/>
        <w:bidi w:val="0"/>
        <w:adjustRightInd/>
        <w:snapToGrid/>
        <w:spacing w:line="288" w:lineRule="auto"/>
        <w:textAlignment w:val="auto"/>
        <w:rPr>
          <w:rFonts w:ascii="宋体" w:hAnsi="宋体" w:eastAsia="宋体" w:cs="宋体"/>
          <w:color w:val="auto"/>
          <w:sz w:val="24"/>
          <w:szCs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若表格不够用，各供应商可按此表复制。</w:t>
      </w:r>
    </w:p>
    <w:p w14:paraId="03A327AE">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695ECF37">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45CCC02A">
      <w:pPr>
        <w:spacing w:line="480" w:lineRule="auto"/>
        <w:ind w:firstLine="3840" w:firstLineChars="1600"/>
        <w:rPr>
          <w:rFonts w:hint="eastAsia"/>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7358F5E">
      <w:pPr>
        <w:pStyle w:val="3"/>
        <w:jc w:val="center"/>
        <w:rPr>
          <w:rFonts w:hint="eastAsia" w:ascii="宋体" w:hAnsi="宋体" w:eastAsia="宋体" w:cs="宋体"/>
          <w:b/>
          <w:bCs/>
        </w:rPr>
      </w:pPr>
      <w:r>
        <w:rPr>
          <w:rFonts w:hint="eastAsia" w:ascii="宋体" w:hAnsi="宋体" w:eastAsia="宋体" w:cs="宋体"/>
          <w:b/>
          <w:bCs/>
        </w:rPr>
        <w:t>第三部分  资格证明文件</w:t>
      </w:r>
    </w:p>
    <w:p w14:paraId="7606F1FA">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21EE8255">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7E0A48E">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7AF0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08B8E43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496EEC8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780AD496">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1DDA84C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CAC26C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2A79667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3982F7E7">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6959AC60">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80F5D86">
      <w:pPr>
        <w:spacing w:line="480" w:lineRule="auto"/>
        <w:ind w:firstLine="3840" w:firstLineChars="1600"/>
        <w:rPr>
          <w:rFonts w:hint="eastAsia"/>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58AEEF95">
      <w:pPr>
        <w:rPr>
          <w:rFonts w:hint="eastAsia" w:ascii="宋体" w:hAnsi="宋体" w:cs="宋体"/>
          <w:color w:val="000000"/>
          <w:sz w:val="24"/>
          <w:highlight w:val="none"/>
          <w:lang w:val="en-US" w:eastAsia="zh-CN"/>
        </w:rPr>
      </w:pPr>
    </w:p>
    <w:p w14:paraId="644B409C">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r>
        <w:rPr>
          <w:rFonts w:hint="eastAsia" w:ascii="宋体" w:hAnsi="宋体" w:eastAsia="宋体" w:cs="宋体"/>
          <w:b/>
          <w:bCs/>
          <w:color w:val="auto"/>
          <w:sz w:val="24"/>
          <w:highlight w:val="none"/>
        </w:rPr>
        <w:t>；</w:t>
      </w:r>
    </w:p>
    <w:p w14:paraId="0345CED3">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0EDD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20548526">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2B0D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1938D77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00CE326D">
            <w:pPr>
              <w:tabs>
                <w:tab w:val="left" w:pos="210"/>
              </w:tabs>
              <w:spacing w:line="320" w:lineRule="exact"/>
              <w:jc w:val="center"/>
              <w:rPr>
                <w:rFonts w:hint="eastAsia" w:ascii="宋体" w:hAnsi="宋体" w:eastAsia="宋体" w:cs="宋体"/>
                <w:color w:val="auto"/>
                <w:kern w:val="0"/>
                <w:sz w:val="24"/>
                <w:highlight w:val="none"/>
              </w:rPr>
            </w:pPr>
          </w:p>
          <w:p w14:paraId="2C4F6DD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4335D7AD">
            <w:pPr>
              <w:tabs>
                <w:tab w:val="left" w:pos="210"/>
              </w:tabs>
              <w:spacing w:line="320" w:lineRule="exact"/>
              <w:jc w:val="center"/>
              <w:rPr>
                <w:rFonts w:hint="eastAsia" w:ascii="宋体" w:hAnsi="宋体" w:eastAsia="宋体" w:cs="宋体"/>
                <w:color w:val="auto"/>
                <w:kern w:val="0"/>
                <w:sz w:val="24"/>
                <w:highlight w:val="none"/>
              </w:rPr>
            </w:pPr>
          </w:p>
          <w:p w14:paraId="7A1C547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75FD519">
            <w:pPr>
              <w:tabs>
                <w:tab w:val="left" w:pos="210"/>
              </w:tabs>
              <w:spacing w:line="320" w:lineRule="exact"/>
              <w:jc w:val="center"/>
              <w:rPr>
                <w:rFonts w:hint="eastAsia" w:ascii="宋体" w:hAnsi="宋体" w:eastAsia="宋体" w:cs="宋体"/>
                <w:color w:val="auto"/>
                <w:kern w:val="0"/>
                <w:sz w:val="24"/>
                <w:highlight w:val="none"/>
              </w:rPr>
            </w:pPr>
          </w:p>
          <w:p w14:paraId="42FA8F5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10D9783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54BBB946">
            <w:pPr>
              <w:tabs>
                <w:tab w:val="left" w:pos="210"/>
              </w:tabs>
              <w:spacing w:line="320" w:lineRule="exact"/>
              <w:jc w:val="center"/>
              <w:rPr>
                <w:rFonts w:hint="eastAsia" w:ascii="宋体" w:hAnsi="宋体" w:eastAsia="宋体" w:cs="宋体"/>
                <w:color w:val="auto"/>
                <w:kern w:val="0"/>
                <w:sz w:val="24"/>
                <w:highlight w:val="none"/>
              </w:rPr>
            </w:pPr>
          </w:p>
        </w:tc>
      </w:tr>
      <w:tr w14:paraId="5AFE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1E0ACA8A">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B80C9D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09D0D639">
            <w:pPr>
              <w:tabs>
                <w:tab w:val="left" w:pos="210"/>
              </w:tabs>
              <w:spacing w:line="320" w:lineRule="exact"/>
              <w:jc w:val="center"/>
              <w:rPr>
                <w:rFonts w:hint="eastAsia" w:ascii="宋体" w:hAnsi="宋体" w:eastAsia="宋体" w:cs="宋体"/>
                <w:color w:val="auto"/>
                <w:kern w:val="0"/>
                <w:sz w:val="24"/>
                <w:highlight w:val="none"/>
              </w:rPr>
            </w:pPr>
          </w:p>
        </w:tc>
      </w:tr>
      <w:tr w14:paraId="24B8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C46631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E93575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EE64BB3">
            <w:pPr>
              <w:tabs>
                <w:tab w:val="left" w:pos="210"/>
              </w:tabs>
              <w:spacing w:line="320" w:lineRule="exact"/>
              <w:jc w:val="center"/>
              <w:rPr>
                <w:rFonts w:hint="eastAsia" w:ascii="宋体" w:hAnsi="宋体" w:eastAsia="宋体" w:cs="宋体"/>
                <w:color w:val="auto"/>
                <w:kern w:val="0"/>
                <w:sz w:val="24"/>
                <w:highlight w:val="none"/>
              </w:rPr>
            </w:pPr>
          </w:p>
        </w:tc>
      </w:tr>
      <w:tr w14:paraId="112C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827FBE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BB5EBF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C7FC676">
            <w:pPr>
              <w:tabs>
                <w:tab w:val="left" w:pos="210"/>
              </w:tabs>
              <w:spacing w:line="320" w:lineRule="exact"/>
              <w:jc w:val="center"/>
              <w:rPr>
                <w:rFonts w:hint="eastAsia" w:ascii="宋体" w:hAnsi="宋体" w:eastAsia="宋体" w:cs="宋体"/>
                <w:color w:val="auto"/>
                <w:kern w:val="0"/>
                <w:sz w:val="24"/>
                <w:highlight w:val="none"/>
              </w:rPr>
            </w:pPr>
          </w:p>
        </w:tc>
      </w:tr>
      <w:tr w14:paraId="3DEB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3C783DC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12CCE3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2FDA61">
            <w:pPr>
              <w:tabs>
                <w:tab w:val="left" w:pos="210"/>
              </w:tabs>
              <w:spacing w:line="320" w:lineRule="exact"/>
              <w:rPr>
                <w:rFonts w:hint="eastAsia" w:ascii="宋体" w:hAnsi="宋体" w:eastAsia="宋体" w:cs="宋体"/>
                <w:color w:val="auto"/>
                <w:kern w:val="0"/>
                <w:sz w:val="24"/>
                <w:highlight w:val="none"/>
              </w:rPr>
            </w:pPr>
          </w:p>
        </w:tc>
      </w:tr>
      <w:tr w14:paraId="4A11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ED605F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918234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008AA64F">
            <w:pPr>
              <w:tabs>
                <w:tab w:val="left" w:pos="210"/>
              </w:tabs>
              <w:spacing w:line="320" w:lineRule="exact"/>
              <w:jc w:val="center"/>
              <w:rPr>
                <w:rFonts w:hint="eastAsia" w:ascii="宋体" w:hAnsi="宋体" w:eastAsia="宋体" w:cs="宋体"/>
                <w:color w:val="auto"/>
                <w:kern w:val="0"/>
                <w:sz w:val="24"/>
                <w:highlight w:val="none"/>
              </w:rPr>
            </w:pPr>
          </w:p>
        </w:tc>
      </w:tr>
      <w:tr w14:paraId="6362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35FCE3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3086B21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9045C5C">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42B37F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37478FAF">
            <w:pPr>
              <w:tabs>
                <w:tab w:val="left" w:pos="210"/>
              </w:tabs>
              <w:spacing w:line="320" w:lineRule="exact"/>
              <w:jc w:val="center"/>
              <w:rPr>
                <w:rFonts w:hint="eastAsia" w:ascii="宋体" w:hAnsi="宋体" w:eastAsia="宋体" w:cs="宋体"/>
                <w:color w:val="auto"/>
                <w:kern w:val="0"/>
                <w:sz w:val="24"/>
                <w:highlight w:val="none"/>
              </w:rPr>
            </w:pPr>
          </w:p>
        </w:tc>
      </w:tr>
      <w:tr w14:paraId="2E8A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5E73D3F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2A20EF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DAE8A48">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470205A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29D0C35D">
            <w:pPr>
              <w:tabs>
                <w:tab w:val="left" w:pos="210"/>
              </w:tabs>
              <w:spacing w:line="320" w:lineRule="exact"/>
              <w:jc w:val="center"/>
              <w:rPr>
                <w:rFonts w:hint="eastAsia" w:ascii="宋体" w:hAnsi="宋体" w:eastAsia="宋体" w:cs="宋体"/>
                <w:color w:val="auto"/>
                <w:kern w:val="0"/>
                <w:sz w:val="24"/>
                <w:highlight w:val="none"/>
              </w:rPr>
            </w:pPr>
          </w:p>
        </w:tc>
      </w:tr>
      <w:tr w14:paraId="5463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D27A0A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4580A7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57B92AE1">
            <w:pPr>
              <w:tabs>
                <w:tab w:val="left" w:pos="210"/>
              </w:tabs>
              <w:spacing w:line="320" w:lineRule="exact"/>
              <w:jc w:val="center"/>
              <w:rPr>
                <w:rFonts w:hint="eastAsia" w:ascii="宋体" w:hAnsi="宋体" w:eastAsia="宋体" w:cs="宋体"/>
                <w:color w:val="auto"/>
                <w:kern w:val="0"/>
                <w:sz w:val="24"/>
                <w:highlight w:val="none"/>
              </w:rPr>
            </w:pPr>
          </w:p>
        </w:tc>
      </w:tr>
      <w:tr w14:paraId="25D4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3872604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092E49A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5A20B0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4F5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25EA5D75">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75A1AF0A">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34A3323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582A66C9">
            <w:pPr>
              <w:tabs>
                <w:tab w:val="left" w:pos="210"/>
              </w:tabs>
              <w:spacing w:line="320" w:lineRule="exact"/>
              <w:jc w:val="center"/>
              <w:rPr>
                <w:rFonts w:hint="eastAsia" w:ascii="宋体" w:hAnsi="宋体" w:eastAsia="宋体" w:cs="宋体"/>
                <w:color w:val="auto"/>
                <w:kern w:val="0"/>
                <w:sz w:val="24"/>
                <w:highlight w:val="none"/>
              </w:rPr>
            </w:pPr>
          </w:p>
          <w:p w14:paraId="4B565499">
            <w:pPr>
              <w:tabs>
                <w:tab w:val="left" w:pos="210"/>
              </w:tabs>
              <w:spacing w:line="320" w:lineRule="exact"/>
              <w:jc w:val="center"/>
              <w:rPr>
                <w:rFonts w:hint="eastAsia" w:ascii="宋体" w:hAnsi="宋体" w:eastAsia="宋体" w:cs="宋体"/>
                <w:color w:val="auto"/>
                <w:kern w:val="0"/>
                <w:sz w:val="24"/>
                <w:highlight w:val="none"/>
              </w:rPr>
            </w:pPr>
          </w:p>
          <w:p w14:paraId="49102FD4">
            <w:pPr>
              <w:tabs>
                <w:tab w:val="left" w:pos="210"/>
              </w:tabs>
              <w:spacing w:line="320" w:lineRule="exact"/>
              <w:jc w:val="center"/>
              <w:rPr>
                <w:rFonts w:hint="eastAsia" w:ascii="宋体" w:hAnsi="宋体" w:eastAsia="宋体" w:cs="宋体"/>
                <w:color w:val="auto"/>
                <w:kern w:val="0"/>
                <w:sz w:val="24"/>
                <w:highlight w:val="none"/>
              </w:rPr>
            </w:pPr>
          </w:p>
          <w:p w14:paraId="5AFD47A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62DB0D49">
      <w:pPr>
        <w:pStyle w:val="17"/>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1942911B">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2442ED5F">
      <w:pPr>
        <w:pStyle w:val="17"/>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2E54F356">
      <w:pPr>
        <w:pStyle w:val="17"/>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7721F4C4">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20C6FBB2">
      <w:pPr>
        <w:pStyle w:val="17"/>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4335E3A">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03138C57">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970EBD3">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5D89C7F2">
      <w:pPr>
        <w:pStyle w:val="17"/>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D63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134C2C93">
            <w:pPr>
              <w:pStyle w:val="17"/>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4D2B4417">
            <w:pPr>
              <w:pStyle w:val="17"/>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456A72C1">
      <w:pPr>
        <w:pStyle w:val="17"/>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13B5CEC5">
      <w:pPr>
        <w:pStyle w:val="17"/>
        <w:spacing w:line="500" w:lineRule="exact"/>
        <w:ind w:firstLine="720" w:firstLineChars="300"/>
        <w:jc w:val="left"/>
        <w:rPr>
          <w:rFonts w:hint="eastAsia" w:ascii="宋体" w:hAnsi="宋体" w:eastAsia="宋体" w:cs="宋体"/>
          <w:color w:val="auto"/>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3443E99C">
      <w:pPr>
        <w:pStyle w:val="17"/>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689E5D2F">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1AB089D4">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79A6094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23C2BC4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347D239F">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595A1EE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5CFF5C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6686405D">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645F3ED6">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F037C38">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267726E1">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7A81186E">
      <w:pPr>
        <w:pStyle w:val="20"/>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6F457E5F">
      <w:pPr>
        <w:pStyle w:val="20"/>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CFBFC15">
      <w:pPr>
        <w:pStyle w:val="20"/>
        <w:rPr>
          <w:rFonts w:hint="eastAsia" w:ascii="宋体" w:hAnsi="宋体" w:eastAsia="宋体" w:cs="宋体"/>
          <w:color w:val="auto"/>
          <w:highlight w:val="none"/>
        </w:rPr>
      </w:pPr>
    </w:p>
    <w:p w14:paraId="76C09E4F">
      <w:pPr>
        <w:pStyle w:val="20"/>
        <w:rPr>
          <w:rFonts w:hint="eastAsia" w:ascii="宋体" w:hAnsi="宋体" w:eastAsia="宋体" w:cs="宋体"/>
          <w:color w:val="auto"/>
          <w:highlight w:val="none"/>
        </w:rPr>
      </w:pPr>
    </w:p>
    <w:p w14:paraId="255FB537">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750C22FB">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146D4584">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7F8D3460">
      <w:pPr>
        <w:bidi w:val="0"/>
        <w:rPr>
          <w:rFonts w:hint="eastAsia" w:ascii="宋体" w:hAnsi="宋体" w:eastAsia="宋体" w:cs="宋体"/>
          <w:color w:val="auto"/>
          <w:highlight w:val="none"/>
          <w:lang w:eastAsia="zh-CN"/>
        </w:rPr>
      </w:pPr>
    </w:p>
    <w:p w14:paraId="2F000F85">
      <w:pPr>
        <w:pStyle w:val="2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p>
    <w:p w14:paraId="0E7BF1AC">
      <w:pPr>
        <w:pStyle w:val="2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color w:val="auto"/>
          <w:sz w:val="24"/>
          <w:szCs w:val="24"/>
          <w:highlight w:val="none"/>
          <w:lang w:eastAsia="zh-CN"/>
        </w:rPr>
      </w:pPr>
    </w:p>
    <w:p w14:paraId="324626F1">
      <w:pPr>
        <w:pStyle w:val="2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color w:val="auto"/>
          <w:sz w:val="24"/>
          <w:szCs w:val="24"/>
          <w:highlight w:val="none"/>
          <w:lang w:eastAsia="zh-CN"/>
        </w:rPr>
      </w:pPr>
    </w:p>
    <w:p w14:paraId="190B98E3">
      <w:pPr>
        <w:pStyle w:val="2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default" w:ascii="宋体" w:hAnsi="宋体" w:eastAsia="宋体" w:cs="宋体"/>
          <w:b/>
          <w:bCs/>
          <w:color w:val="auto"/>
          <w:sz w:val="24"/>
          <w:szCs w:val="24"/>
          <w:highlight w:val="none"/>
          <w:lang w:val="en-US" w:eastAsia="zh-CN"/>
        </w:rPr>
      </w:pPr>
      <w:r>
        <w:rPr>
          <w:rFonts w:hint="eastAsia" w:eastAsia="宋体" w:cs="宋体"/>
          <w:b/>
          <w:bCs/>
          <w:color w:val="auto"/>
          <w:sz w:val="24"/>
          <w:szCs w:val="24"/>
          <w:highlight w:val="none"/>
          <w:lang w:val="en-US" w:eastAsia="zh-CN"/>
        </w:rPr>
        <w:t>5.供应商应具备有效的《医疗机构执业许可证》和《放射诊疗许可证》。</w:t>
      </w:r>
    </w:p>
    <w:p w14:paraId="1B90CD41">
      <w:pPr>
        <w:pStyle w:val="2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b/>
          <w:bCs/>
          <w:sz w:val="24"/>
          <w:szCs w:val="24"/>
          <w:highlight w:val="none"/>
          <w:lang w:val="en-US" w:eastAsia="zh-CN"/>
        </w:rPr>
      </w:pPr>
    </w:p>
    <w:p w14:paraId="3CDF98D0">
      <w:pPr>
        <w:pStyle w:val="2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32"/>
          <w:szCs w:val="32"/>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rPr>
        <w:t>第四部分  供应商概况</w:t>
      </w:r>
    </w:p>
    <w:p w14:paraId="36144E8D">
      <w:pPr>
        <w:pStyle w:val="97"/>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1DC1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209CB55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1F03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5B2037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14:paraId="45344D76">
            <w:pPr>
              <w:ind w:firstLine="0"/>
              <w:jc w:val="both"/>
              <w:rPr>
                <w:rFonts w:hint="eastAsia" w:ascii="宋体" w:hAnsi="宋体" w:eastAsia="宋体" w:cs="宋体"/>
                <w:kern w:val="2"/>
                <w:sz w:val="24"/>
                <w:szCs w:val="24"/>
              </w:rPr>
            </w:pPr>
          </w:p>
        </w:tc>
      </w:tr>
      <w:tr w14:paraId="449C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CDD489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14:paraId="655DA7CD">
            <w:pPr>
              <w:ind w:firstLine="0"/>
              <w:jc w:val="both"/>
              <w:rPr>
                <w:rFonts w:hint="eastAsia" w:ascii="宋体" w:hAnsi="宋体" w:eastAsia="宋体" w:cs="宋体"/>
                <w:kern w:val="2"/>
                <w:sz w:val="24"/>
                <w:szCs w:val="24"/>
              </w:rPr>
            </w:pPr>
          </w:p>
        </w:tc>
        <w:tc>
          <w:tcPr>
            <w:tcW w:w="795" w:type="pct"/>
          </w:tcPr>
          <w:p w14:paraId="68C9CBF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14:paraId="1A4D3766">
            <w:pPr>
              <w:ind w:firstLine="0"/>
              <w:jc w:val="both"/>
              <w:rPr>
                <w:rFonts w:hint="eastAsia" w:ascii="宋体" w:hAnsi="宋体" w:eastAsia="宋体" w:cs="宋体"/>
                <w:kern w:val="2"/>
                <w:sz w:val="24"/>
                <w:szCs w:val="24"/>
              </w:rPr>
            </w:pPr>
          </w:p>
        </w:tc>
      </w:tr>
      <w:tr w14:paraId="0840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B9E607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14:paraId="05D0C99C">
            <w:pPr>
              <w:ind w:firstLine="0"/>
              <w:jc w:val="both"/>
              <w:rPr>
                <w:rFonts w:hint="eastAsia" w:ascii="宋体" w:hAnsi="宋体" w:eastAsia="宋体" w:cs="宋体"/>
                <w:kern w:val="2"/>
                <w:sz w:val="24"/>
                <w:szCs w:val="24"/>
              </w:rPr>
            </w:pPr>
          </w:p>
        </w:tc>
        <w:tc>
          <w:tcPr>
            <w:tcW w:w="795" w:type="pct"/>
          </w:tcPr>
          <w:p w14:paraId="0F0A007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14:paraId="7A9CCDA3">
            <w:pPr>
              <w:ind w:firstLine="0"/>
              <w:jc w:val="both"/>
              <w:rPr>
                <w:rFonts w:hint="eastAsia" w:ascii="宋体" w:hAnsi="宋体" w:eastAsia="宋体" w:cs="宋体"/>
                <w:kern w:val="2"/>
                <w:sz w:val="24"/>
                <w:szCs w:val="24"/>
              </w:rPr>
            </w:pPr>
          </w:p>
        </w:tc>
      </w:tr>
      <w:tr w14:paraId="37AA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0A21BE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w:t>
            </w:r>
          </w:p>
        </w:tc>
        <w:tc>
          <w:tcPr>
            <w:tcW w:w="1361" w:type="pct"/>
            <w:gridSpan w:val="2"/>
          </w:tcPr>
          <w:p w14:paraId="4DA2AC1D">
            <w:pPr>
              <w:ind w:firstLine="0"/>
              <w:jc w:val="both"/>
              <w:rPr>
                <w:rFonts w:hint="eastAsia" w:ascii="宋体" w:hAnsi="宋体" w:eastAsia="宋体" w:cs="宋体"/>
                <w:kern w:val="2"/>
                <w:sz w:val="24"/>
                <w:szCs w:val="24"/>
              </w:rPr>
            </w:pPr>
          </w:p>
        </w:tc>
        <w:tc>
          <w:tcPr>
            <w:tcW w:w="795" w:type="pct"/>
          </w:tcPr>
          <w:p w14:paraId="2A471A3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14:paraId="106C58E0">
            <w:pPr>
              <w:ind w:firstLine="0"/>
              <w:jc w:val="both"/>
              <w:rPr>
                <w:rFonts w:hint="eastAsia" w:ascii="宋体" w:hAnsi="宋体" w:eastAsia="宋体" w:cs="宋体"/>
                <w:kern w:val="2"/>
                <w:sz w:val="24"/>
                <w:szCs w:val="24"/>
              </w:rPr>
            </w:pPr>
          </w:p>
        </w:tc>
      </w:tr>
      <w:tr w14:paraId="324B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A66436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14:paraId="0B1F4E63">
            <w:pPr>
              <w:ind w:firstLine="0"/>
              <w:jc w:val="both"/>
              <w:rPr>
                <w:rFonts w:hint="eastAsia" w:ascii="宋体" w:hAnsi="宋体" w:eastAsia="宋体" w:cs="宋体"/>
                <w:kern w:val="2"/>
                <w:sz w:val="24"/>
                <w:szCs w:val="24"/>
              </w:rPr>
            </w:pPr>
          </w:p>
        </w:tc>
        <w:tc>
          <w:tcPr>
            <w:tcW w:w="795" w:type="pct"/>
          </w:tcPr>
          <w:p w14:paraId="66F17561">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1FA2CFC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14:paraId="37BB8BF5">
            <w:pPr>
              <w:ind w:firstLine="0"/>
              <w:jc w:val="both"/>
              <w:rPr>
                <w:rFonts w:hint="eastAsia" w:ascii="宋体" w:hAnsi="宋体" w:eastAsia="宋体" w:cs="宋体"/>
                <w:kern w:val="2"/>
                <w:sz w:val="24"/>
                <w:szCs w:val="24"/>
              </w:rPr>
            </w:pPr>
          </w:p>
        </w:tc>
      </w:tr>
      <w:tr w14:paraId="36D0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58ECE8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14:paraId="5790EDE4">
            <w:pPr>
              <w:ind w:firstLine="0"/>
              <w:jc w:val="both"/>
              <w:rPr>
                <w:rFonts w:hint="eastAsia" w:ascii="宋体" w:hAnsi="宋体" w:eastAsia="宋体" w:cs="宋体"/>
                <w:kern w:val="2"/>
                <w:sz w:val="24"/>
                <w:szCs w:val="24"/>
              </w:rPr>
            </w:pPr>
          </w:p>
        </w:tc>
        <w:tc>
          <w:tcPr>
            <w:tcW w:w="795" w:type="pct"/>
          </w:tcPr>
          <w:p w14:paraId="0C7B216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14:paraId="534D73E9">
            <w:pPr>
              <w:ind w:firstLine="0"/>
              <w:jc w:val="both"/>
              <w:rPr>
                <w:rFonts w:hint="eastAsia" w:ascii="宋体" w:hAnsi="宋体" w:eastAsia="宋体" w:cs="宋体"/>
                <w:kern w:val="2"/>
                <w:sz w:val="24"/>
                <w:szCs w:val="24"/>
              </w:rPr>
            </w:pPr>
          </w:p>
        </w:tc>
      </w:tr>
      <w:tr w14:paraId="0D23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417915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14:paraId="532D36E9">
            <w:pPr>
              <w:ind w:firstLine="0"/>
              <w:jc w:val="both"/>
              <w:rPr>
                <w:rFonts w:hint="eastAsia" w:ascii="宋体" w:hAnsi="宋体" w:eastAsia="宋体" w:cs="宋体"/>
                <w:kern w:val="2"/>
                <w:sz w:val="24"/>
                <w:szCs w:val="24"/>
              </w:rPr>
            </w:pPr>
          </w:p>
        </w:tc>
      </w:tr>
      <w:tr w14:paraId="50C9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159E5A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14:paraId="6CC2C09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14:paraId="78CE036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14:paraId="37D9DF0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39A3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07BCAF3">
            <w:pPr>
              <w:ind w:firstLine="0"/>
              <w:jc w:val="both"/>
              <w:rPr>
                <w:rFonts w:hint="eastAsia" w:ascii="宋体" w:hAnsi="宋体" w:eastAsia="宋体" w:cs="宋体"/>
                <w:kern w:val="2"/>
                <w:sz w:val="24"/>
                <w:szCs w:val="24"/>
              </w:rPr>
            </w:pPr>
          </w:p>
        </w:tc>
        <w:tc>
          <w:tcPr>
            <w:tcW w:w="1361" w:type="pct"/>
            <w:gridSpan w:val="2"/>
          </w:tcPr>
          <w:p w14:paraId="6CE27F5C">
            <w:pPr>
              <w:ind w:firstLine="0"/>
              <w:jc w:val="both"/>
              <w:rPr>
                <w:rFonts w:hint="eastAsia" w:ascii="宋体" w:hAnsi="宋体" w:eastAsia="宋体" w:cs="宋体"/>
                <w:kern w:val="2"/>
                <w:sz w:val="24"/>
                <w:szCs w:val="24"/>
              </w:rPr>
            </w:pPr>
          </w:p>
        </w:tc>
        <w:tc>
          <w:tcPr>
            <w:tcW w:w="795" w:type="pct"/>
          </w:tcPr>
          <w:p w14:paraId="36EC9A9A">
            <w:pPr>
              <w:ind w:firstLine="0"/>
              <w:jc w:val="both"/>
              <w:rPr>
                <w:rFonts w:hint="eastAsia" w:ascii="宋体" w:hAnsi="宋体" w:eastAsia="宋体" w:cs="宋体"/>
                <w:kern w:val="2"/>
                <w:sz w:val="24"/>
                <w:szCs w:val="24"/>
              </w:rPr>
            </w:pPr>
          </w:p>
        </w:tc>
        <w:tc>
          <w:tcPr>
            <w:tcW w:w="1651" w:type="pct"/>
            <w:gridSpan w:val="2"/>
          </w:tcPr>
          <w:p w14:paraId="5EED47D4">
            <w:pPr>
              <w:ind w:firstLine="0"/>
              <w:jc w:val="both"/>
              <w:rPr>
                <w:rFonts w:hint="eastAsia" w:ascii="宋体" w:hAnsi="宋体" w:eastAsia="宋体" w:cs="宋体"/>
                <w:kern w:val="2"/>
                <w:sz w:val="24"/>
                <w:szCs w:val="24"/>
              </w:rPr>
            </w:pPr>
          </w:p>
        </w:tc>
      </w:tr>
      <w:tr w14:paraId="3CC9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6845AAA">
            <w:pPr>
              <w:ind w:firstLine="0"/>
              <w:jc w:val="both"/>
              <w:rPr>
                <w:rFonts w:hint="eastAsia" w:ascii="宋体" w:hAnsi="宋体" w:eastAsia="宋体" w:cs="宋体"/>
                <w:kern w:val="2"/>
                <w:sz w:val="24"/>
                <w:szCs w:val="24"/>
              </w:rPr>
            </w:pPr>
          </w:p>
        </w:tc>
        <w:tc>
          <w:tcPr>
            <w:tcW w:w="1361" w:type="pct"/>
            <w:gridSpan w:val="2"/>
          </w:tcPr>
          <w:p w14:paraId="07452BFB">
            <w:pPr>
              <w:ind w:firstLine="0"/>
              <w:jc w:val="both"/>
              <w:rPr>
                <w:rFonts w:hint="eastAsia" w:ascii="宋体" w:hAnsi="宋体" w:eastAsia="宋体" w:cs="宋体"/>
                <w:kern w:val="2"/>
                <w:sz w:val="24"/>
                <w:szCs w:val="24"/>
              </w:rPr>
            </w:pPr>
          </w:p>
        </w:tc>
        <w:tc>
          <w:tcPr>
            <w:tcW w:w="795" w:type="pct"/>
          </w:tcPr>
          <w:p w14:paraId="4103BDCA">
            <w:pPr>
              <w:ind w:firstLine="0"/>
              <w:jc w:val="both"/>
              <w:rPr>
                <w:rFonts w:hint="eastAsia" w:ascii="宋体" w:hAnsi="宋体" w:eastAsia="宋体" w:cs="宋体"/>
                <w:kern w:val="2"/>
                <w:sz w:val="24"/>
                <w:szCs w:val="24"/>
              </w:rPr>
            </w:pPr>
          </w:p>
        </w:tc>
        <w:tc>
          <w:tcPr>
            <w:tcW w:w="1651" w:type="pct"/>
            <w:gridSpan w:val="2"/>
          </w:tcPr>
          <w:p w14:paraId="3F36E6E9">
            <w:pPr>
              <w:ind w:firstLine="0"/>
              <w:jc w:val="both"/>
              <w:rPr>
                <w:rFonts w:hint="eastAsia" w:ascii="宋体" w:hAnsi="宋体" w:eastAsia="宋体" w:cs="宋体"/>
                <w:kern w:val="2"/>
                <w:sz w:val="24"/>
                <w:szCs w:val="24"/>
              </w:rPr>
            </w:pPr>
          </w:p>
        </w:tc>
      </w:tr>
      <w:tr w14:paraId="51D8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215A605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3DC5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1FBB704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14:paraId="3034C204">
            <w:pPr>
              <w:ind w:firstLine="0"/>
              <w:jc w:val="both"/>
              <w:rPr>
                <w:rFonts w:hint="eastAsia" w:ascii="宋体" w:hAnsi="宋体" w:eastAsia="宋体" w:cs="宋体"/>
                <w:kern w:val="2"/>
                <w:sz w:val="24"/>
                <w:szCs w:val="24"/>
              </w:rPr>
            </w:pPr>
          </w:p>
        </w:tc>
        <w:tc>
          <w:tcPr>
            <w:tcW w:w="803" w:type="pct"/>
          </w:tcPr>
          <w:p w14:paraId="59D9FF5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14:paraId="766095BD">
            <w:pPr>
              <w:ind w:firstLine="0"/>
              <w:jc w:val="both"/>
              <w:rPr>
                <w:rFonts w:hint="eastAsia" w:ascii="宋体" w:hAnsi="宋体" w:eastAsia="宋体" w:cs="宋体"/>
                <w:kern w:val="2"/>
                <w:sz w:val="24"/>
                <w:szCs w:val="24"/>
              </w:rPr>
            </w:pPr>
          </w:p>
        </w:tc>
        <w:tc>
          <w:tcPr>
            <w:tcW w:w="825" w:type="pct"/>
          </w:tcPr>
          <w:p w14:paraId="5732BC3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14:paraId="0E70E9BA">
            <w:pPr>
              <w:ind w:firstLine="0"/>
              <w:jc w:val="both"/>
              <w:rPr>
                <w:rFonts w:hint="eastAsia" w:ascii="宋体" w:hAnsi="宋体" w:eastAsia="宋体" w:cs="宋体"/>
                <w:kern w:val="2"/>
                <w:sz w:val="24"/>
                <w:szCs w:val="24"/>
              </w:rPr>
            </w:pPr>
          </w:p>
        </w:tc>
      </w:tr>
      <w:tr w14:paraId="2132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1FAB1D7D">
            <w:pPr>
              <w:ind w:firstLine="0"/>
              <w:jc w:val="both"/>
              <w:rPr>
                <w:rFonts w:hint="eastAsia" w:ascii="宋体" w:hAnsi="宋体" w:eastAsia="宋体" w:cs="宋体"/>
                <w:kern w:val="2"/>
                <w:sz w:val="24"/>
                <w:szCs w:val="24"/>
              </w:rPr>
            </w:pPr>
          </w:p>
        </w:tc>
        <w:tc>
          <w:tcPr>
            <w:tcW w:w="558" w:type="pct"/>
            <w:vMerge w:val="continue"/>
          </w:tcPr>
          <w:p w14:paraId="5F78B63B">
            <w:pPr>
              <w:ind w:firstLine="0"/>
              <w:jc w:val="both"/>
              <w:rPr>
                <w:rFonts w:hint="eastAsia" w:ascii="宋体" w:hAnsi="宋体" w:eastAsia="宋体" w:cs="宋体"/>
                <w:kern w:val="2"/>
                <w:sz w:val="24"/>
                <w:szCs w:val="24"/>
              </w:rPr>
            </w:pPr>
          </w:p>
        </w:tc>
        <w:tc>
          <w:tcPr>
            <w:tcW w:w="803" w:type="pct"/>
          </w:tcPr>
          <w:p w14:paraId="4B6A3FD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14:paraId="27541EF9">
            <w:pPr>
              <w:ind w:firstLine="0"/>
              <w:jc w:val="both"/>
              <w:rPr>
                <w:rFonts w:hint="eastAsia" w:ascii="宋体" w:hAnsi="宋体" w:eastAsia="宋体" w:cs="宋体"/>
                <w:kern w:val="2"/>
                <w:sz w:val="24"/>
                <w:szCs w:val="24"/>
              </w:rPr>
            </w:pPr>
          </w:p>
        </w:tc>
        <w:tc>
          <w:tcPr>
            <w:tcW w:w="825" w:type="pct"/>
          </w:tcPr>
          <w:p w14:paraId="4200DF2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14:paraId="69EC83CF">
            <w:pPr>
              <w:ind w:firstLine="0"/>
              <w:jc w:val="both"/>
              <w:rPr>
                <w:rFonts w:hint="eastAsia" w:ascii="宋体" w:hAnsi="宋体" w:eastAsia="宋体" w:cs="宋体"/>
                <w:kern w:val="2"/>
                <w:sz w:val="24"/>
                <w:szCs w:val="24"/>
              </w:rPr>
            </w:pPr>
          </w:p>
        </w:tc>
      </w:tr>
      <w:tr w14:paraId="0419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3794EFD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7AC8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1B9059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14:paraId="728D08B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559D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54E0381">
            <w:pPr>
              <w:ind w:firstLine="0"/>
              <w:jc w:val="both"/>
              <w:rPr>
                <w:rFonts w:hint="eastAsia" w:ascii="宋体" w:hAnsi="宋体" w:eastAsia="宋体" w:cs="宋体"/>
                <w:kern w:val="2"/>
                <w:sz w:val="24"/>
                <w:szCs w:val="24"/>
              </w:rPr>
            </w:pPr>
          </w:p>
        </w:tc>
        <w:tc>
          <w:tcPr>
            <w:tcW w:w="3809" w:type="pct"/>
            <w:gridSpan w:val="5"/>
          </w:tcPr>
          <w:p w14:paraId="11F5739F">
            <w:pPr>
              <w:ind w:firstLine="0"/>
              <w:jc w:val="both"/>
              <w:rPr>
                <w:rFonts w:hint="eastAsia" w:ascii="宋体" w:hAnsi="宋体" w:eastAsia="宋体" w:cs="宋体"/>
                <w:kern w:val="2"/>
                <w:sz w:val="24"/>
                <w:szCs w:val="24"/>
              </w:rPr>
            </w:pPr>
          </w:p>
        </w:tc>
      </w:tr>
      <w:tr w14:paraId="50BA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B50533F">
            <w:pPr>
              <w:ind w:firstLine="0"/>
              <w:jc w:val="both"/>
              <w:rPr>
                <w:rFonts w:hint="eastAsia" w:ascii="宋体" w:hAnsi="宋体" w:eastAsia="宋体" w:cs="宋体"/>
                <w:kern w:val="2"/>
                <w:sz w:val="24"/>
                <w:szCs w:val="24"/>
              </w:rPr>
            </w:pPr>
          </w:p>
        </w:tc>
        <w:tc>
          <w:tcPr>
            <w:tcW w:w="3809" w:type="pct"/>
            <w:gridSpan w:val="5"/>
          </w:tcPr>
          <w:p w14:paraId="7AA8D44A">
            <w:pPr>
              <w:ind w:firstLine="0"/>
              <w:jc w:val="both"/>
              <w:rPr>
                <w:rFonts w:hint="eastAsia" w:ascii="宋体" w:hAnsi="宋体" w:eastAsia="宋体" w:cs="宋体"/>
                <w:kern w:val="2"/>
                <w:sz w:val="24"/>
                <w:szCs w:val="24"/>
              </w:rPr>
            </w:pPr>
          </w:p>
        </w:tc>
      </w:tr>
      <w:tr w14:paraId="33E6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85FB29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14:paraId="263A31F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6DD09F7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55514C79">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6D003156">
      <w:pPr>
        <w:rPr>
          <w:rFonts w:hint="eastAsia" w:ascii="宋体" w:hAnsi="宋体" w:eastAsia="宋体" w:cs="宋体"/>
          <w:sz w:val="32"/>
          <w:szCs w:val="32"/>
        </w:rPr>
      </w:pPr>
      <w:r>
        <w:rPr>
          <w:rFonts w:hint="eastAsia" w:ascii="宋体" w:hAnsi="宋体" w:eastAsia="宋体" w:cs="宋体"/>
        </w:rPr>
        <w:br w:type="page"/>
      </w:r>
    </w:p>
    <w:p w14:paraId="3090D24B">
      <w:pPr>
        <w:pStyle w:val="25"/>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w:t>
      </w:r>
      <w:r>
        <w:rPr>
          <w:rFonts w:hint="eastAsia" w:ascii="宋体" w:hAnsi="宋体" w:eastAsia="宋体" w:cs="宋体"/>
          <w:b/>
          <w:bCs/>
          <w:color w:val="auto"/>
          <w:kern w:val="2"/>
          <w:sz w:val="28"/>
          <w:szCs w:val="28"/>
          <w:highlight w:val="none"/>
          <w:lang w:val="en-US" w:eastAsia="zh-CN" w:bidi="ar-SA"/>
        </w:rPr>
        <w:t>本项目</w:t>
      </w:r>
      <w:r>
        <w:rPr>
          <w:rFonts w:hint="eastAsia" w:eastAsia="宋体" w:cs="宋体"/>
          <w:b/>
          <w:bCs/>
          <w:color w:val="auto"/>
          <w:kern w:val="2"/>
          <w:sz w:val="28"/>
          <w:szCs w:val="28"/>
          <w:highlight w:val="none"/>
          <w:lang w:val="en-US" w:eastAsia="zh-CN" w:bidi="ar-SA"/>
        </w:rPr>
        <w:t>不</w:t>
      </w:r>
      <w:r>
        <w:rPr>
          <w:rFonts w:hint="eastAsia" w:ascii="宋体" w:hAnsi="宋体" w:eastAsia="宋体" w:cs="宋体"/>
          <w:b/>
          <w:bCs/>
          <w:color w:val="auto"/>
          <w:kern w:val="2"/>
          <w:sz w:val="28"/>
          <w:szCs w:val="28"/>
          <w:highlight w:val="none"/>
          <w:lang w:val="en-US" w:eastAsia="zh-CN" w:bidi="ar-SA"/>
        </w:rPr>
        <w:t>专门面向中小企业采购</w:t>
      </w:r>
    </w:p>
    <w:p w14:paraId="267CD9BC">
      <w:pPr>
        <w:pStyle w:val="17"/>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7D4993D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06B6AEB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eastAsia="zh-CN"/>
        </w:rPr>
        <w:t>其他未列明行业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（中型企业、小型企业、微型企业）</w:t>
      </w:r>
      <w:r>
        <w:rPr>
          <w:rFonts w:hint="eastAsia" w:ascii="宋体" w:hAnsi="宋体" w:eastAsia="宋体" w:cs="宋体"/>
          <w:sz w:val="24"/>
          <w:szCs w:val="24"/>
          <w:highlight w:val="none"/>
        </w:rPr>
        <w:t>；</w:t>
      </w:r>
    </w:p>
    <w:p w14:paraId="52295BF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eastAsia="zh-CN"/>
        </w:rPr>
        <w:t>其他未列明行业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（中型企业、小型企业、微型企业）</w:t>
      </w:r>
      <w:r>
        <w:rPr>
          <w:rFonts w:hint="eastAsia" w:ascii="宋体" w:hAnsi="宋体" w:eastAsia="宋体" w:cs="宋体"/>
          <w:sz w:val="24"/>
          <w:szCs w:val="24"/>
          <w:highlight w:val="none"/>
        </w:rPr>
        <w:t>；</w:t>
      </w:r>
    </w:p>
    <w:p w14:paraId="1C07DDE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7570045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165B1C7B">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1476A47C">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22AEE4CB">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0A676C8C">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38EAA9A3">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55407415">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4" w:name="_Toc5155"/>
      <w:bookmarkStart w:id="25" w:name="_Toc255"/>
      <w:bookmarkStart w:id="26" w:name="_Toc24443"/>
      <w:bookmarkStart w:id="27" w:name="_Toc1541"/>
      <w:bookmarkStart w:id="28" w:name="_Toc499739990"/>
      <w:bookmarkStart w:id="29" w:name="_Toc10913"/>
      <w:bookmarkStart w:id="30" w:name="_Toc21356"/>
      <w:bookmarkStart w:id="31" w:name="_Toc18592"/>
      <w:bookmarkStart w:id="32" w:name="_Toc607"/>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4"/>
      <w:bookmarkEnd w:id="25"/>
      <w:bookmarkEnd w:id="26"/>
      <w:bookmarkEnd w:id="27"/>
      <w:bookmarkEnd w:id="28"/>
      <w:bookmarkEnd w:id="29"/>
      <w:bookmarkEnd w:id="30"/>
      <w:bookmarkEnd w:id="31"/>
      <w:bookmarkEnd w:id="32"/>
      <w:r>
        <w:rPr>
          <w:rFonts w:hint="eastAsia" w:ascii="宋体" w:hAnsi="宋体" w:eastAsia="宋体" w:cs="宋体"/>
          <w:b/>
          <w:bCs/>
          <w:sz w:val="24"/>
          <w:szCs w:val="24"/>
          <w:highlight w:val="none"/>
        </w:rPr>
        <w:t>2</w:t>
      </w:r>
    </w:p>
    <w:p w14:paraId="48DFB05C">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754F5E13">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528D0B04">
      <w:pPr>
        <w:pStyle w:val="25"/>
        <w:spacing w:line="360" w:lineRule="auto"/>
        <w:ind w:firstLine="480" w:firstLineChars="200"/>
        <w:rPr>
          <w:rFonts w:hint="eastAsia" w:ascii="宋体" w:hAnsi="宋体" w:eastAsia="宋体" w:cs="宋体"/>
          <w:b/>
          <w:sz w:val="24"/>
          <w:szCs w:val="24"/>
          <w:highlight w:val="none"/>
          <w:lang w:eastAsia="zh-CN"/>
        </w:rPr>
      </w:pPr>
      <w:bookmarkStart w:id="33" w:name="_Toc499739991"/>
      <w:r>
        <w:rPr>
          <w:rFonts w:hint="eastAsia" w:ascii="宋体" w:hAnsi="宋体" w:eastAsia="宋体" w:cs="宋体"/>
          <w:b/>
          <w:sz w:val="24"/>
          <w:szCs w:val="24"/>
          <w:highlight w:val="none"/>
          <w:lang w:eastAsia="zh-CN"/>
        </w:rPr>
        <w:t>注：非监狱企业不提供此证明文件</w:t>
      </w:r>
    </w:p>
    <w:p w14:paraId="3719F9B2">
      <w:pPr>
        <w:rPr>
          <w:rFonts w:hint="eastAsia" w:ascii="宋体" w:hAnsi="宋体" w:eastAsia="宋体" w:cs="宋体"/>
          <w:sz w:val="24"/>
          <w:szCs w:val="24"/>
          <w:highlight w:val="none"/>
        </w:rPr>
      </w:pPr>
    </w:p>
    <w:p w14:paraId="7F248B33">
      <w:pPr>
        <w:rPr>
          <w:rFonts w:hint="eastAsia" w:ascii="宋体" w:hAnsi="宋体" w:eastAsia="宋体" w:cs="宋体"/>
          <w:sz w:val="24"/>
          <w:szCs w:val="24"/>
          <w:highlight w:val="none"/>
        </w:rPr>
      </w:pPr>
      <w:bookmarkStart w:id="34" w:name="_Toc16824"/>
      <w:bookmarkStart w:id="35" w:name="_Toc30090"/>
      <w:bookmarkStart w:id="36" w:name="_Toc11296"/>
      <w:bookmarkStart w:id="37" w:name="_Toc2290"/>
      <w:bookmarkStart w:id="38" w:name="_Toc30838"/>
      <w:bookmarkStart w:id="39" w:name="_Toc16753"/>
    </w:p>
    <w:p w14:paraId="5F180A03">
      <w:pPr>
        <w:rPr>
          <w:rFonts w:hint="eastAsia" w:ascii="宋体" w:hAnsi="宋体" w:eastAsia="宋体" w:cs="宋体"/>
          <w:sz w:val="24"/>
          <w:szCs w:val="24"/>
          <w:highlight w:val="none"/>
        </w:rPr>
      </w:pPr>
    </w:p>
    <w:p w14:paraId="531C4BEE">
      <w:pPr>
        <w:rPr>
          <w:rFonts w:hint="eastAsia" w:ascii="宋体" w:hAnsi="宋体" w:eastAsia="宋体" w:cs="宋体"/>
          <w:b/>
          <w:bCs/>
          <w:sz w:val="24"/>
          <w:szCs w:val="24"/>
          <w:highlight w:val="none"/>
        </w:rPr>
      </w:pPr>
      <w:bookmarkStart w:id="40" w:name="_Toc3073"/>
      <w:bookmarkStart w:id="41" w:name="_Toc28279"/>
      <w:r>
        <w:rPr>
          <w:rFonts w:hint="eastAsia" w:ascii="宋体" w:hAnsi="宋体" w:eastAsia="宋体" w:cs="宋体"/>
          <w:b/>
          <w:bCs/>
          <w:sz w:val="24"/>
          <w:szCs w:val="24"/>
          <w:highlight w:val="none"/>
        </w:rPr>
        <w:t>附件</w:t>
      </w:r>
      <w:bookmarkEnd w:id="33"/>
      <w:bookmarkEnd w:id="34"/>
      <w:bookmarkEnd w:id="35"/>
      <w:bookmarkEnd w:id="36"/>
      <w:bookmarkEnd w:id="37"/>
      <w:bookmarkEnd w:id="38"/>
      <w:bookmarkEnd w:id="39"/>
      <w:bookmarkEnd w:id="40"/>
      <w:bookmarkEnd w:id="41"/>
      <w:r>
        <w:rPr>
          <w:rFonts w:hint="eastAsia" w:ascii="宋体" w:hAnsi="宋体" w:eastAsia="宋体" w:cs="宋体"/>
          <w:b/>
          <w:bCs/>
          <w:sz w:val="24"/>
          <w:szCs w:val="24"/>
          <w:highlight w:val="none"/>
        </w:rPr>
        <w:t>3</w:t>
      </w:r>
    </w:p>
    <w:p w14:paraId="350BA809">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512769F7">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E08B562">
      <w:pPr>
        <w:pStyle w:val="25"/>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519617C1">
      <w:pPr>
        <w:spacing w:line="560" w:lineRule="exact"/>
        <w:ind w:firstLine="480" w:firstLineChars="200"/>
        <w:jc w:val="both"/>
        <w:rPr>
          <w:rFonts w:hint="eastAsia" w:ascii="宋体" w:hAnsi="宋体" w:eastAsia="宋体" w:cs="宋体"/>
          <w:sz w:val="24"/>
          <w:szCs w:val="24"/>
        </w:rPr>
      </w:pPr>
    </w:p>
    <w:p w14:paraId="00FA283F">
      <w:pPr>
        <w:spacing w:line="560" w:lineRule="exact"/>
        <w:ind w:firstLine="480" w:firstLineChars="200"/>
        <w:jc w:val="both"/>
        <w:rPr>
          <w:rFonts w:hint="eastAsia" w:ascii="宋体" w:hAnsi="宋体" w:eastAsia="宋体" w:cs="宋体"/>
          <w:sz w:val="24"/>
          <w:szCs w:val="24"/>
        </w:rPr>
      </w:pPr>
    </w:p>
    <w:p w14:paraId="2B218490">
      <w:pPr>
        <w:spacing w:line="560" w:lineRule="exact"/>
        <w:ind w:firstLine="480" w:firstLineChars="200"/>
        <w:jc w:val="both"/>
        <w:rPr>
          <w:rFonts w:hint="eastAsia" w:ascii="宋体" w:hAnsi="宋体" w:eastAsia="宋体" w:cs="宋体"/>
          <w:sz w:val="24"/>
          <w:szCs w:val="24"/>
        </w:rPr>
      </w:pPr>
    </w:p>
    <w:p w14:paraId="02C40838">
      <w:pPr>
        <w:rPr>
          <w:rFonts w:hint="eastAsia" w:ascii="宋体" w:hAnsi="宋体" w:eastAsia="宋体" w:cs="宋体"/>
        </w:rPr>
      </w:pPr>
      <w:r>
        <w:rPr>
          <w:rFonts w:hint="eastAsia" w:ascii="宋体" w:hAnsi="宋体" w:eastAsia="宋体" w:cs="宋体"/>
          <w:sz w:val="24"/>
          <w:szCs w:val="24"/>
        </w:rPr>
        <w:br w:type="page"/>
      </w:r>
    </w:p>
    <w:p w14:paraId="2E283F45">
      <w:pPr>
        <w:pStyle w:val="3"/>
        <w:ind w:left="0" w:leftChars="0" w:firstLine="0" w:firstLineChars="0"/>
        <w:jc w:val="center"/>
        <w:rPr>
          <w:rFonts w:hint="eastAsia" w:ascii="宋体" w:hAnsi="宋体" w:eastAsia="宋体" w:cs="宋体"/>
          <w:b/>
          <w:bCs/>
        </w:rPr>
      </w:pPr>
      <w:r>
        <w:rPr>
          <w:rFonts w:hint="eastAsia" w:ascii="宋体" w:hAnsi="宋体" w:eastAsia="宋体" w:cs="宋体"/>
          <w:b/>
          <w:bCs/>
        </w:rPr>
        <w:t>第五部分  供应商参加政府采购活动承诺书</w:t>
      </w:r>
    </w:p>
    <w:p w14:paraId="59DF4A0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1CBD3F71">
      <w:pPr>
        <w:pStyle w:val="4"/>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7836B48B">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0781B36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79F9B4F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0F9F34D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5479AD5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2BECC134">
      <w:pPr>
        <w:spacing w:line="560" w:lineRule="exact"/>
        <w:ind w:firstLine="480" w:firstLineChars="200"/>
        <w:jc w:val="both"/>
        <w:rPr>
          <w:rFonts w:hint="eastAsia" w:ascii="宋体" w:hAnsi="宋体" w:eastAsia="宋体" w:cs="宋体"/>
          <w:sz w:val="24"/>
          <w:szCs w:val="24"/>
        </w:rPr>
      </w:pPr>
    </w:p>
    <w:p w14:paraId="72D7FE45">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1ED443CF">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4781D2FF">
      <w:pPr>
        <w:spacing w:line="560" w:lineRule="exact"/>
        <w:ind w:firstLine="480" w:firstLineChars="200"/>
        <w:jc w:val="both"/>
        <w:rPr>
          <w:rFonts w:hint="eastAsia" w:ascii="宋体" w:hAnsi="宋体" w:eastAsia="宋体" w:cs="宋体"/>
          <w:sz w:val="24"/>
          <w:szCs w:val="24"/>
        </w:rPr>
      </w:pPr>
    </w:p>
    <w:p w14:paraId="5FFDE7AD">
      <w:pPr>
        <w:rPr>
          <w:rFonts w:hint="eastAsia" w:ascii="宋体" w:hAnsi="宋体" w:eastAsia="宋体" w:cs="宋体"/>
        </w:rPr>
      </w:pPr>
      <w:r>
        <w:rPr>
          <w:rFonts w:hint="eastAsia" w:ascii="宋体" w:hAnsi="宋体" w:eastAsia="宋体" w:cs="宋体"/>
        </w:rPr>
        <w:br w:type="page"/>
      </w:r>
    </w:p>
    <w:p w14:paraId="07F36DF7">
      <w:pPr>
        <w:pStyle w:val="4"/>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5BEB986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34960B1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035E5AF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42F3696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2C4C372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553B5CC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397342A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7BAE49C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51B6F7A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7E9AE25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525D2E4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1EBCDAAE">
      <w:pPr>
        <w:spacing w:line="560" w:lineRule="exact"/>
        <w:ind w:firstLine="480" w:firstLineChars="200"/>
        <w:jc w:val="both"/>
        <w:rPr>
          <w:rFonts w:hint="eastAsia" w:ascii="宋体" w:hAnsi="宋体" w:eastAsia="宋体" w:cs="宋体"/>
          <w:sz w:val="24"/>
          <w:szCs w:val="24"/>
        </w:rPr>
      </w:pPr>
    </w:p>
    <w:p w14:paraId="714A1EF8">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4727E58">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1E398439">
      <w:pPr>
        <w:rPr>
          <w:rFonts w:hint="eastAsia" w:ascii="宋体" w:hAnsi="宋体" w:eastAsia="宋体" w:cs="宋体"/>
          <w:sz w:val="32"/>
          <w:szCs w:val="32"/>
        </w:rPr>
      </w:pPr>
      <w:r>
        <w:rPr>
          <w:rFonts w:hint="eastAsia" w:ascii="宋体" w:hAnsi="宋体" w:eastAsia="宋体" w:cs="宋体"/>
        </w:rPr>
        <w:br w:type="page"/>
      </w:r>
    </w:p>
    <w:p w14:paraId="7EEEE253">
      <w:pPr>
        <w:pStyle w:val="3"/>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rPr>
      </w:pPr>
      <w:r>
        <w:rPr>
          <w:rFonts w:hint="eastAsia" w:ascii="宋体" w:hAnsi="宋体" w:eastAsia="宋体" w:cs="宋体"/>
          <w:b/>
          <w:bCs/>
        </w:rPr>
        <w:t>第六部分  投标方案</w:t>
      </w:r>
    </w:p>
    <w:p w14:paraId="64A4FA4C">
      <w:pPr>
        <w:pStyle w:val="97"/>
        <w:spacing w:before="210" w:after="210"/>
        <w:ind w:firstLine="640"/>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125713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3DF09259">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78602E5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160465B7">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1BFB51A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3E7C034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26564E72">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54DCC7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334A792E">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58455A83">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17014EB5">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4EE14671">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43116711">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65826CFF">
            <w:pPr>
              <w:spacing w:line="560" w:lineRule="exact"/>
              <w:jc w:val="center"/>
              <w:rPr>
                <w:rFonts w:hint="eastAsia" w:ascii="宋体" w:hAnsi="宋体" w:eastAsia="宋体" w:cs="宋体"/>
                <w:sz w:val="24"/>
                <w:szCs w:val="24"/>
              </w:rPr>
            </w:pPr>
          </w:p>
        </w:tc>
      </w:tr>
      <w:tr w14:paraId="337ADE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251BAB5">
            <w:pPr>
              <w:spacing w:line="560" w:lineRule="exact"/>
              <w:jc w:val="center"/>
              <w:rPr>
                <w:rFonts w:hint="eastAsia" w:ascii="宋体" w:hAnsi="宋体" w:eastAsia="宋体" w:cs="宋体"/>
                <w:sz w:val="24"/>
                <w:szCs w:val="24"/>
              </w:rPr>
            </w:pPr>
          </w:p>
        </w:tc>
        <w:tc>
          <w:tcPr>
            <w:tcW w:w="903" w:type="pct"/>
            <w:vAlign w:val="center"/>
          </w:tcPr>
          <w:p w14:paraId="74686B35">
            <w:pPr>
              <w:spacing w:line="560" w:lineRule="exact"/>
              <w:jc w:val="center"/>
              <w:rPr>
                <w:rFonts w:hint="eastAsia" w:ascii="宋体" w:hAnsi="宋体" w:eastAsia="宋体" w:cs="宋体"/>
                <w:sz w:val="24"/>
                <w:szCs w:val="24"/>
              </w:rPr>
            </w:pPr>
          </w:p>
        </w:tc>
        <w:tc>
          <w:tcPr>
            <w:tcW w:w="1325" w:type="pct"/>
            <w:vAlign w:val="center"/>
          </w:tcPr>
          <w:p w14:paraId="415D8F64">
            <w:pPr>
              <w:spacing w:line="560" w:lineRule="exact"/>
              <w:jc w:val="center"/>
              <w:rPr>
                <w:rFonts w:hint="eastAsia" w:ascii="宋体" w:hAnsi="宋体" w:eastAsia="宋体" w:cs="宋体"/>
                <w:sz w:val="24"/>
                <w:szCs w:val="24"/>
              </w:rPr>
            </w:pPr>
          </w:p>
        </w:tc>
        <w:tc>
          <w:tcPr>
            <w:tcW w:w="1259" w:type="pct"/>
            <w:vAlign w:val="center"/>
          </w:tcPr>
          <w:p w14:paraId="51C3D732">
            <w:pPr>
              <w:spacing w:line="560" w:lineRule="exact"/>
              <w:jc w:val="center"/>
              <w:rPr>
                <w:rFonts w:hint="eastAsia" w:ascii="宋体" w:hAnsi="宋体" w:eastAsia="宋体" w:cs="宋体"/>
                <w:sz w:val="24"/>
                <w:szCs w:val="24"/>
              </w:rPr>
            </w:pPr>
          </w:p>
        </w:tc>
        <w:tc>
          <w:tcPr>
            <w:tcW w:w="535" w:type="pct"/>
            <w:vAlign w:val="center"/>
          </w:tcPr>
          <w:p w14:paraId="67F8C489">
            <w:pPr>
              <w:spacing w:line="560" w:lineRule="exact"/>
              <w:jc w:val="center"/>
              <w:rPr>
                <w:rFonts w:hint="eastAsia" w:ascii="宋体" w:hAnsi="宋体" w:eastAsia="宋体" w:cs="宋体"/>
                <w:sz w:val="24"/>
                <w:szCs w:val="24"/>
              </w:rPr>
            </w:pPr>
          </w:p>
        </w:tc>
        <w:tc>
          <w:tcPr>
            <w:tcW w:w="620" w:type="pct"/>
            <w:vAlign w:val="center"/>
          </w:tcPr>
          <w:p w14:paraId="25669FCC">
            <w:pPr>
              <w:spacing w:line="560" w:lineRule="exact"/>
              <w:jc w:val="center"/>
              <w:rPr>
                <w:rFonts w:hint="eastAsia" w:ascii="宋体" w:hAnsi="宋体" w:eastAsia="宋体" w:cs="宋体"/>
                <w:sz w:val="24"/>
                <w:szCs w:val="24"/>
              </w:rPr>
            </w:pPr>
          </w:p>
        </w:tc>
      </w:tr>
      <w:tr w14:paraId="4C00B2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E385B6C">
            <w:pPr>
              <w:spacing w:line="560" w:lineRule="exact"/>
              <w:jc w:val="center"/>
              <w:rPr>
                <w:rFonts w:hint="eastAsia" w:ascii="宋体" w:hAnsi="宋体" w:eastAsia="宋体" w:cs="宋体"/>
                <w:sz w:val="24"/>
                <w:szCs w:val="24"/>
              </w:rPr>
            </w:pPr>
          </w:p>
        </w:tc>
        <w:tc>
          <w:tcPr>
            <w:tcW w:w="903" w:type="pct"/>
            <w:vAlign w:val="center"/>
          </w:tcPr>
          <w:p w14:paraId="22CBAB02">
            <w:pPr>
              <w:spacing w:line="560" w:lineRule="exact"/>
              <w:jc w:val="center"/>
              <w:rPr>
                <w:rFonts w:hint="eastAsia" w:ascii="宋体" w:hAnsi="宋体" w:eastAsia="宋体" w:cs="宋体"/>
                <w:sz w:val="24"/>
                <w:szCs w:val="24"/>
              </w:rPr>
            </w:pPr>
          </w:p>
        </w:tc>
        <w:tc>
          <w:tcPr>
            <w:tcW w:w="1325" w:type="pct"/>
            <w:vAlign w:val="center"/>
          </w:tcPr>
          <w:p w14:paraId="690DA048">
            <w:pPr>
              <w:spacing w:line="560" w:lineRule="exact"/>
              <w:jc w:val="center"/>
              <w:rPr>
                <w:rFonts w:hint="eastAsia" w:ascii="宋体" w:hAnsi="宋体" w:eastAsia="宋体" w:cs="宋体"/>
                <w:sz w:val="24"/>
                <w:szCs w:val="24"/>
              </w:rPr>
            </w:pPr>
          </w:p>
        </w:tc>
        <w:tc>
          <w:tcPr>
            <w:tcW w:w="1259" w:type="pct"/>
            <w:vAlign w:val="center"/>
          </w:tcPr>
          <w:p w14:paraId="1E74C367">
            <w:pPr>
              <w:spacing w:line="560" w:lineRule="exact"/>
              <w:jc w:val="center"/>
              <w:rPr>
                <w:rFonts w:hint="eastAsia" w:ascii="宋体" w:hAnsi="宋体" w:eastAsia="宋体" w:cs="宋体"/>
                <w:sz w:val="24"/>
                <w:szCs w:val="24"/>
              </w:rPr>
            </w:pPr>
          </w:p>
        </w:tc>
        <w:tc>
          <w:tcPr>
            <w:tcW w:w="535" w:type="pct"/>
            <w:vAlign w:val="center"/>
          </w:tcPr>
          <w:p w14:paraId="779C2930">
            <w:pPr>
              <w:spacing w:line="560" w:lineRule="exact"/>
              <w:jc w:val="center"/>
              <w:rPr>
                <w:rFonts w:hint="eastAsia" w:ascii="宋体" w:hAnsi="宋体" w:eastAsia="宋体" w:cs="宋体"/>
                <w:sz w:val="24"/>
                <w:szCs w:val="24"/>
              </w:rPr>
            </w:pPr>
          </w:p>
        </w:tc>
        <w:tc>
          <w:tcPr>
            <w:tcW w:w="620" w:type="pct"/>
            <w:vAlign w:val="center"/>
          </w:tcPr>
          <w:p w14:paraId="00D92F88">
            <w:pPr>
              <w:spacing w:line="560" w:lineRule="exact"/>
              <w:jc w:val="center"/>
              <w:rPr>
                <w:rFonts w:hint="eastAsia" w:ascii="宋体" w:hAnsi="宋体" w:eastAsia="宋体" w:cs="宋体"/>
                <w:sz w:val="24"/>
                <w:szCs w:val="24"/>
              </w:rPr>
            </w:pPr>
          </w:p>
        </w:tc>
      </w:tr>
      <w:tr w14:paraId="7C5AEC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1531193">
            <w:pPr>
              <w:spacing w:line="560" w:lineRule="exact"/>
              <w:jc w:val="center"/>
              <w:rPr>
                <w:rFonts w:hint="eastAsia" w:ascii="宋体" w:hAnsi="宋体" w:eastAsia="宋体" w:cs="宋体"/>
                <w:sz w:val="24"/>
                <w:szCs w:val="24"/>
              </w:rPr>
            </w:pPr>
          </w:p>
        </w:tc>
        <w:tc>
          <w:tcPr>
            <w:tcW w:w="903" w:type="pct"/>
            <w:vAlign w:val="center"/>
          </w:tcPr>
          <w:p w14:paraId="70E745C7">
            <w:pPr>
              <w:spacing w:line="560" w:lineRule="exact"/>
              <w:jc w:val="center"/>
              <w:rPr>
                <w:rFonts w:hint="eastAsia" w:ascii="宋体" w:hAnsi="宋体" w:eastAsia="宋体" w:cs="宋体"/>
                <w:sz w:val="24"/>
                <w:szCs w:val="24"/>
              </w:rPr>
            </w:pPr>
          </w:p>
        </w:tc>
        <w:tc>
          <w:tcPr>
            <w:tcW w:w="1325" w:type="pct"/>
            <w:vAlign w:val="center"/>
          </w:tcPr>
          <w:p w14:paraId="5E5B0AC6">
            <w:pPr>
              <w:spacing w:line="560" w:lineRule="exact"/>
              <w:jc w:val="center"/>
              <w:rPr>
                <w:rFonts w:hint="eastAsia" w:ascii="宋体" w:hAnsi="宋体" w:eastAsia="宋体" w:cs="宋体"/>
                <w:sz w:val="24"/>
                <w:szCs w:val="24"/>
              </w:rPr>
            </w:pPr>
          </w:p>
        </w:tc>
        <w:tc>
          <w:tcPr>
            <w:tcW w:w="1259" w:type="pct"/>
            <w:vAlign w:val="center"/>
          </w:tcPr>
          <w:p w14:paraId="61743210">
            <w:pPr>
              <w:spacing w:line="560" w:lineRule="exact"/>
              <w:jc w:val="center"/>
              <w:rPr>
                <w:rFonts w:hint="eastAsia" w:ascii="宋体" w:hAnsi="宋体" w:eastAsia="宋体" w:cs="宋体"/>
                <w:sz w:val="24"/>
                <w:szCs w:val="24"/>
              </w:rPr>
            </w:pPr>
          </w:p>
        </w:tc>
        <w:tc>
          <w:tcPr>
            <w:tcW w:w="535" w:type="pct"/>
            <w:vAlign w:val="center"/>
          </w:tcPr>
          <w:p w14:paraId="2794641E">
            <w:pPr>
              <w:spacing w:line="560" w:lineRule="exact"/>
              <w:jc w:val="center"/>
              <w:rPr>
                <w:rFonts w:hint="eastAsia" w:ascii="宋体" w:hAnsi="宋体" w:eastAsia="宋体" w:cs="宋体"/>
                <w:sz w:val="24"/>
                <w:szCs w:val="24"/>
              </w:rPr>
            </w:pPr>
          </w:p>
        </w:tc>
        <w:tc>
          <w:tcPr>
            <w:tcW w:w="620" w:type="pct"/>
            <w:vAlign w:val="center"/>
          </w:tcPr>
          <w:p w14:paraId="74CF6A9D">
            <w:pPr>
              <w:spacing w:line="560" w:lineRule="exact"/>
              <w:jc w:val="center"/>
              <w:rPr>
                <w:rFonts w:hint="eastAsia" w:ascii="宋体" w:hAnsi="宋体" w:eastAsia="宋体" w:cs="宋体"/>
                <w:sz w:val="24"/>
                <w:szCs w:val="24"/>
              </w:rPr>
            </w:pPr>
          </w:p>
        </w:tc>
      </w:tr>
      <w:tr w14:paraId="7DF575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C039106">
            <w:pPr>
              <w:spacing w:line="560" w:lineRule="exact"/>
              <w:jc w:val="center"/>
              <w:rPr>
                <w:rFonts w:hint="eastAsia" w:ascii="宋体" w:hAnsi="宋体" w:eastAsia="宋体" w:cs="宋体"/>
                <w:sz w:val="24"/>
                <w:szCs w:val="24"/>
              </w:rPr>
            </w:pPr>
          </w:p>
        </w:tc>
        <w:tc>
          <w:tcPr>
            <w:tcW w:w="903" w:type="pct"/>
            <w:vAlign w:val="center"/>
          </w:tcPr>
          <w:p w14:paraId="7C999A1C">
            <w:pPr>
              <w:spacing w:line="560" w:lineRule="exact"/>
              <w:jc w:val="center"/>
              <w:rPr>
                <w:rFonts w:hint="eastAsia" w:ascii="宋体" w:hAnsi="宋体" w:eastAsia="宋体" w:cs="宋体"/>
                <w:sz w:val="24"/>
                <w:szCs w:val="24"/>
              </w:rPr>
            </w:pPr>
          </w:p>
        </w:tc>
        <w:tc>
          <w:tcPr>
            <w:tcW w:w="1325" w:type="pct"/>
            <w:vAlign w:val="center"/>
          </w:tcPr>
          <w:p w14:paraId="765B5EEE">
            <w:pPr>
              <w:spacing w:line="560" w:lineRule="exact"/>
              <w:jc w:val="center"/>
              <w:rPr>
                <w:rFonts w:hint="eastAsia" w:ascii="宋体" w:hAnsi="宋体" w:eastAsia="宋体" w:cs="宋体"/>
                <w:sz w:val="24"/>
                <w:szCs w:val="24"/>
              </w:rPr>
            </w:pPr>
          </w:p>
        </w:tc>
        <w:tc>
          <w:tcPr>
            <w:tcW w:w="1259" w:type="pct"/>
            <w:vAlign w:val="center"/>
          </w:tcPr>
          <w:p w14:paraId="2D986B85">
            <w:pPr>
              <w:spacing w:line="560" w:lineRule="exact"/>
              <w:jc w:val="center"/>
              <w:rPr>
                <w:rFonts w:hint="eastAsia" w:ascii="宋体" w:hAnsi="宋体" w:eastAsia="宋体" w:cs="宋体"/>
                <w:sz w:val="24"/>
                <w:szCs w:val="24"/>
              </w:rPr>
            </w:pPr>
          </w:p>
        </w:tc>
        <w:tc>
          <w:tcPr>
            <w:tcW w:w="535" w:type="pct"/>
            <w:vAlign w:val="center"/>
          </w:tcPr>
          <w:p w14:paraId="3435D8BA">
            <w:pPr>
              <w:spacing w:line="560" w:lineRule="exact"/>
              <w:jc w:val="center"/>
              <w:rPr>
                <w:rFonts w:hint="eastAsia" w:ascii="宋体" w:hAnsi="宋体" w:eastAsia="宋体" w:cs="宋体"/>
                <w:sz w:val="24"/>
                <w:szCs w:val="24"/>
              </w:rPr>
            </w:pPr>
          </w:p>
        </w:tc>
        <w:tc>
          <w:tcPr>
            <w:tcW w:w="620" w:type="pct"/>
            <w:vAlign w:val="center"/>
          </w:tcPr>
          <w:p w14:paraId="3F90C33E">
            <w:pPr>
              <w:spacing w:line="560" w:lineRule="exact"/>
              <w:jc w:val="center"/>
              <w:rPr>
                <w:rFonts w:hint="eastAsia" w:ascii="宋体" w:hAnsi="宋体" w:eastAsia="宋体" w:cs="宋体"/>
                <w:sz w:val="24"/>
                <w:szCs w:val="24"/>
              </w:rPr>
            </w:pPr>
          </w:p>
        </w:tc>
      </w:tr>
      <w:tr w14:paraId="469BFC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310DFCF">
            <w:pPr>
              <w:spacing w:line="560" w:lineRule="exact"/>
              <w:jc w:val="center"/>
              <w:rPr>
                <w:rFonts w:hint="eastAsia" w:ascii="宋体" w:hAnsi="宋体" w:eastAsia="宋体" w:cs="宋体"/>
                <w:sz w:val="24"/>
                <w:szCs w:val="24"/>
              </w:rPr>
            </w:pPr>
          </w:p>
        </w:tc>
        <w:tc>
          <w:tcPr>
            <w:tcW w:w="903" w:type="pct"/>
            <w:vAlign w:val="center"/>
          </w:tcPr>
          <w:p w14:paraId="4B6CB943">
            <w:pPr>
              <w:spacing w:line="560" w:lineRule="exact"/>
              <w:jc w:val="center"/>
              <w:rPr>
                <w:rFonts w:hint="eastAsia" w:ascii="宋体" w:hAnsi="宋体" w:eastAsia="宋体" w:cs="宋体"/>
                <w:sz w:val="24"/>
                <w:szCs w:val="24"/>
              </w:rPr>
            </w:pPr>
          </w:p>
        </w:tc>
        <w:tc>
          <w:tcPr>
            <w:tcW w:w="1325" w:type="pct"/>
            <w:vAlign w:val="center"/>
          </w:tcPr>
          <w:p w14:paraId="09D150D6">
            <w:pPr>
              <w:spacing w:line="560" w:lineRule="exact"/>
              <w:jc w:val="center"/>
              <w:rPr>
                <w:rFonts w:hint="eastAsia" w:ascii="宋体" w:hAnsi="宋体" w:eastAsia="宋体" w:cs="宋体"/>
                <w:sz w:val="24"/>
                <w:szCs w:val="24"/>
              </w:rPr>
            </w:pPr>
          </w:p>
        </w:tc>
        <w:tc>
          <w:tcPr>
            <w:tcW w:w="1259" w:type="pct"/>
            <w:vAlign w:val="center"/>
          </w:tcPr>
          <w:p w14:paraId="4A7E6233">
            <w:pPr>
              <w:spacing w:line="560" w:lineRule="exact"/>
              <w:jc w:val="center"/>
              <w:rPr>
                <w:rFonts w:hint="eastAsia" w:ascii="宋体" w:hAnsi="宋体" w:eastAsia="宋体" w:cs="宋体"/>
                <w:sz w:val="24"/>
                <w:szCs w:val="24"/>
              </w:rPr>
            </w:pPr>
          </w:p>
        </w:tc>
        <w:tc>
          <w:tcPr>
            <w:tcW w:w="535" w:type="pct"/>
            <w:vAlign w:val="center"/>
          </w:tcPr>
          <w:p w14:paraId="36FD2DF2">
            <w:pPr>
              <w:spacing w:line="560" w:lineRule="exact"/>
              <w:jc w:val="center"/>
              <w:rPr>
                <w:rFonts w:hint="eastAsia" w:ascii="宋体" w:hAnsi="宋体" w:eastAsia="宋体" w:cs="宋体"/>
                <w:sz w:val="24"/>
                <w:szCs w:val="24"/>
              </w:rPr>
            </w:pPr>
          </w:p>
        </w:tc>
        <w:tc>
          <w:tcPr>
            <w:tcW w:w="620" w:type="pct"/>
            <w:vAlign w:val="center"/>
          </w:tcPr>
          <w:p w14:paraId="1D8EC6E0">
            <w:pPr>
              <w:spacing w:line="560" w:lineRule="exact"/>
              <w:jc w:val="center"/>
              <w:rPr>
                <w:rFonts w:hint="eastAsia" w:ascii="宋体" w:hAnsi="宋体" w:eastAsia="宋体" w:cs="宋体"/>
                <w:sz w:val="24"/>
                <w:szCs w:val="24"/>
              </w:rPr>
            </w:pPr>
          </w:p>
        </w:tc>
      </w:tr>
      <w:tr w14:paraId="59D0D6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9265AC1">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5AF45687">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589614E3">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11D40D8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758C4308">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2980DE40">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3F205F1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0EC32F71">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566E3220">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677060A6">
      <w:pPr>
        <w:pStyle w:val="16"/>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lang w:eastAsia="zh-CN"/>
        </w:rPr>
      </w:pPr>
      <w:r>
        <w:rPr>
          <w:rFonts w:hint="eastAsia"/>
          <w:b/>
          <w:bCs/>
          <w:color w:val="auto"/>
          <w:lang w:eastAsia="zh-CN"/>
        </w:rPr>
        <w:t>根据本项目“第二章 供应商须知”中的〖评审要素及分值一览表〗提供。</w:t>
      </w:r>
    </w:p>
    <w:p w14:paraId="52C6A8B8">
      <w:pPr>
        <w:pStyle w:val="97"/>
        <w:spacing w:before="210" w:after="210"/>
        <w:ind w:firstLine="640"/>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008DB4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B55BE56">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7A2A6EDA">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2ADE11E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72D6218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36ACBA4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6CFE036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3E9B7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76DB2F7E">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6CD79458">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1B7FCC67">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652E7290">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040D079F">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4BF6770D">
            <w:pPr>
              <w:spacing w:line="560" w:lineRule="exact"/>
              <w:jc w:val="center"/>
              <w:rPr>
                <w:rFonts w:hint="eastAsia" w:ascii="宋体" w:hAnsi="宋体" w:eastAsia="宋体" w:cs="宋体"/>
                <w:sz w:val="24"/>
                <w:szCs w:val="24"/>
              </w:rPr>
            </w:pPr>
          </w:p>
        </w:tc>
      </w:tr>
      <w:tr w14:paraId="158771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86693E2">
            <w:pPr>
              <w:spacing w:line="560" w:lineRule="exact"/>
              <w:jc w:val="center"/>
              <w:rPr>
                <w:rFonts w:hint="eastAsia" w:ascii="宋体" w:hAnsi="宋体" w:eastAsia="宋体" w:cs="宋体"/>
                <w:sz w:val="24"/>
                <w:szCs w:val="24"/>
              </w:rPr>
            </w:pPr>
          </w:p>
        </w:tc>
        <w:tc>
          <w:tcPr>
            <w:tcW w:w="903" w:type="pct"/>
            <w:vAlign w:val="center"/>
          </w:tcPr>
          <w:p w14:paraId="369E320E">
            <w:pPr>
              <w:spacing w:line="560" w:lineRule="exact"/>
              <w:jc w:val="center"/>
              <w:rPr>
                <w:rFonts w:hint="eastAsia" w:ascii="宋体" w:hAnsi="宋体" w:eastAsia="宋体" w:cs="宋体"/>
                <w:sz w:val="24"/>
                <w:szCs w:val="24"/>
              </w:rPr>
            </w:pPr>
          </w:p>
        </w:tc>
        <w:tc>
          <w:tcPr>
            <w:tcW w:w="1325" w:type="pct"/>
            <w:vAlign w:val="center"/>
          </w:tcPr>
          <w:p w14:paraId="27A5E94A">
            <w:pPr>
              <w:spacing w:line="560" w:lineRule="exact"/>
              <w:jc w:val="center"/>
              <w:rPr>
                <w:rFonts w:hint="eastAsia" w:ascii="宋体" w:hAnsi="宋体" w:eastAsia="宋体" w:cs="宋体"/>
                <w:sz w:val="24"/>
                <w:szCs w:val="24"/>
              </w:rPr>
            </w:pPr>
          </w:p>
        </w:tc>
        <w:tc>
          <w:tcPr>
            <w:tcW w:w="1259" w:type="pct"/>
            <w:vAlign w:val="center"/>
          </w:tcPr>
          <w:p w14:paraId="53534393">
            <w:pPr>
              <w:spacing w:line="560" w:lineRule="exact"/>
              <w:jc w:val="center"/>
              <w:rPr>
                <w:rFonts w:hint="eastAsia" w:ascii="宋体" w:hAnsi="宋体" w:eastAsia="宋体" w:cs="宋体"/>
                <w:sz w:val="24"/>
                <w:szCs w:val="24"/>
              </w:rPr>
            </w:pPr>
          </w:p>
        </w:tc>
        <w:tc>
          <w:tcPr>
            <w:tcW w:w="535" w:type="pct"/>
            <w:vAlign w:val="center"/>
          </w:tcPr>
          <w:p w14:paraId="0558BE22">
            <w:pPr>
              <w:spacing w:line="560" w:lineRule="exact"/>
              <w:jc w:val="center"/>
              <w:rPr>
                <w:rFonts w:hint="eastAsia" w:ascii="宋体" w:hAnsi="宋体" w:eastAsia="宋体" w:cs="宋体"/>
                <w:sz w:val="24"/>
                <w:szCs w:val="24"/>
              </w:rPr>
            </w:pPr>
          </w:p>
        </w:tc>
        <w:tc>
          <w:tcPr>
            <w:tcW w:w="620" w:type="pct"/>
            <w:vAlign w:val="center"/>
          </w:tcPr>
          <w:p w14:paraId="0AB494F7">
            <w:pPr>
              <w:spacing w:line="560" w:lineRule="exact"/>
              <w:jc w:val="center"/>
              <w:rPr>
                <w:rFonts w:hint="eastAsia" w:ascii="宋体" w:hAnsi="宋体" w:eastAsia="宋体" w:cs="宋体"/>
                <w:sz w:val="24"/>
                <w:szCs w:val="24"/>
              </w:rPr>
            </w:pPr>
          </w:p>
        </w:tc>
      </w:tr>
      <w:tr w14:paraId="288745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9D5F6C7">
            <w:pPr>
              <w:spacing w:line="560" w:lineRule="exact"/>
              <w:jc w:val="center"/>
              <w:rPr>
                <w:rFonts w:hint="eastAsia" w:ascii="宋体" w:hAnsi="宋体" w:eastAsia="宋体" w:cs="宋体"/>
                <w:sz w:val="24"/>
                <w:szCs w:val="24"/>
              </w:rPr>
            </w:pPr>
          </w:p>
        </w:tc>
        <w:tc>
          <w:tcPr>
            <w:tcW w:w="903" w:type="pct"/>
            <w:vAlign w:val="center"/>
          </w:tcPr>
          <w:p w14:paraId="2FC912A5">
            <w:pPr>
              <w:spacing w:line="560" w:lineRule="exact"/>
              <w:jc w:val="center"/>
              <w:rPr>
                <w:rFonts w:hint="eastAsia" w:ascii="宋体" w:hAnsi="宋体" w:eastAsia="宋体" w:cs="宋体"/>
                <w:sz w:val="24"/>
                <w:szCs w:val="24"/>
              </w:rPr>
            </w:pPr>
          </w:p>
        </w:tc>
        <w:tc>
          <w:tcPr>
            <w:tcW w:w="1325" w:type="pct"/>
            <w:vAlign w:val="center"/>
          </w:tcPr>
          <w:p w14:paraId="3A4BE8DC">
            <w:pPr>
              <w:spacing w:line="560" w:lineRule="exact"/>
              <w:jc w:val="center"/>
              <w:rPr>
                <w:rFonts w:hint="eastAsia" w:ascii="宋体" w:hAnsi="宋体" w:eastAsia="宋体" w:cs="宋体"/>
                <w:sz w:val="24"/>
                <w:szCs w:val="24"/>
              </w:rPr>
            </w:pPr>
          </w:p>
        </w:tc>
        <w:tc>
          <w:tcPr>
            <w:tcW w:w="1259" w:type="pct"/>
            <w:vAlign w:val="center"/>
          </w:tcPr>
          <w:p w14:paraId="50951C11">
            <w:pPr>
              <w:spacing w:line="560" w:lineRule="exact"/>
              <w:jc w:val="center"/>
              <w:rPr>
                <w:rFonts w:hint="eastAsia" w:ascii="宋体" w:hAnsi="宋体" w:eastAsia="宋体" w:cs="宋体"/>
                <w:sz w:val="24"/>
                <w:szCs w:val="24"/>
              </w:rPr>
            </w:pPr>
          </w:p>
        </w:tc>
        <w:tc>
          <w:tcPr>
            <w:tcW w:w="535" w:type="pct"/>
            <w:vAlign w:val="center"/>
          </w:tcPr>
          <w:p w14:paraId="49BEF0F5">
            <w:pPr>
              <w:spacing w:line="560" w:lineRule="exact"/>
              <w:jc w:val="center"/>
              <w:rPr>
                <w:rFonts w:hint="eastAsia" w:ascii="宋体" w:hAnsi="宋体" w:eastAsia="宋体" w:cs="宋体"/>
                <w:sz w:val="24"/>
                <w:szCs w:val="24"/>
              </w:rPr>
            </w:pPr>
          </w:p>
        </w:tc>
        <w:tc>
          <w:tcPr>
            <w:tcW w:w="620" w:type="pct"/>
            <w:vAlign w:val="center"/>
          </w:tcPr>
          <w:p w14:paraId="08885AD1">
            <w:pPr>
              <w:spacing w:line="560" w:lineRule="exact"/>
              <w:jc w:val="center"/>
              <w:rPr>
                <w:rFonts w:hint="eastAsia" w:ascii="宋体" w:hAnsi="宋体" w:eastAsia="宋体" w:cs="宋体"/>
                <w:sz w:val="24"/>
                <w:szCs w:val="24"/>
              </w:rPr>
            </w:pPr>
          </w:p>
        </w:tc>
      </w:tr>
      <w:tr w14:paraId="168057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D9B493A">
            <w:pPr>
              <w:spacing w:line="560" w:lineRule="exact"/>
              <w:jc w:val="center"/>
              <w:rPr>
                <w:rFonts w:hint="eastAsia" w:ascii="宋体" w:hAnsi="宋体" w:eastAsia="宋体" w:cs="宋体"/>
                <w:sz w:val="24"/>
                <w:szCs w:val="24"/>
              </w:rPr>
            </w:pPr>
          </w:p>
        </w:tc>
        <w:tc>
          <w:tcPr>
            <w:tcW w:w="903" w:type="pct"/>
            <w:vAlign w:val="center"/>
          </w:tcPr>
          <w:p w14:paraId="301A7B54">
            <w:pPr>
              <w:spacing w:line="560" w:lineRule="exact"/>
              <w:jc w:val="center"/>
              <w:rPr>
                <w:rFonts w:hint="eastAsia" w:ascii="宋体" w:hAnsi="宋体" w:eastAsia="宋体" w:cs="宋体"/>
                <w:sz w:val="24"/>
                <w:szCs w:val="24"/>
              </w:rPr>
            </w:pPr>
          </w:p>
        </w:tc>
        <w:tc>
          <w:tcPr>
            <w:tcW w:w="1325" w:type="pct"/>
            <w:vAlign w:val="center"/>
          </w:tcPr>
          <w:p w14:paraId="7D3E6357">
            <w:pPr>
              <w:spacing w:line="560" w:lineRule="exact"/>
              <w:jc w:val="center"/>
              <w:rPr>
                <w:rFonts w:hint="eastAsia" w:ascii="宋体" w:hAnsi="宋体" w:eastAsia="宋体" w:cs="宋体"/>
                <w:sz w:val="24"/>
                <w:szCs w:val="24"/>
              </w:rPr>
            </w:pPr>
          </w:p>
        </w:tc>
        <w:tc>
          <w:tcPr>
            <w:tcW w:w="1259" w:type="pct"/>
            <w:vAlign w:val="center"/>
          </w:tcPr>
          <w:p w14:paraId="38FAA22C">
            <w:pPr>
              <w:spacing w:line="560" w:lineRule="exact"/>
              <w:jc w:val="center"/>
              <w:rPr>
                <w:rFonts w:hint="eastAsia" w:ascii="宋体" w:hAnsi="宋体" w:eastAsia="宋体" w:cs="宋体"/>
                <w:sz w:val="24"/>
                <w:szCs w:val="24"/>
              </w:rPr>
            </w:pPr>
          </w:p>
        </w:tc>
        <w:tc>
          <w:tcPr>
            <w:tcW w:w="535" w:type="pct"/>
            <w:vAlign w:val="center"/>
          </w:tcPr>
          <w:p w14:paraId="5CB518CF">
            <w:pPr>
              <w:spacing w:line="560" w:lineRule="exact"/>
              <w:jc w:val="center"/>
              <w:rPr>
                <w:rFonts w:hint="eastAsia" w:ascii="宋体" w:hAnsi="宋体" w:eastAsia="宋体" w:cs="宋体"/>
                <w:sz w:val="24"/>
                <w:szCs w:val="24"/>
              </w:rPr>
            </w:pPr>
          </w:p>
        </w:tc>
        <w:tc>
          <w:tcPr>
            <w:tcW w:w="620" w:type="pct"/>
            <w:vAlign w:val="center"/>
          </w:tcPr>
          <w:p w14:paraId="2B09BE96">
            <w:pPr>
              <w:spacing w:line="560" w:lineRule="exact"/>
              <w:jc w:val="center"/>
              <w:rPr>
                <w:rFonts w:hint="eastAsia" w:ascii="宋体" w:hAnsi="宋体" w:eastAsia="宋体" w:cs="宋体"/>
                <w:sz w:val="24"/>
                <w:szCs w:val="24"/>
              </w:rPr>
            </w:pPr>
          </w:p>
        </w:tc>
      </w:tr>
      <w:tr w14:paraId="7CDECD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07F4282">
            <w:pPr>
              <w:spacing w:line="560" w:lineRule="exact"/>
              <w:jc w:val="center"/>
              <w:rPr>
                <w:rFonts w:hint="eastAsia" w:ascii="宋体" w:hAnsi="宋体" w:eastAsia="宋体" w:cs="宋体"/>
                <w:sz w:val="24"/>
                <w:szCs w:val="24"/>
              </w:rPr>
            </w:pPr>
          </w:p>
        </w:tc>
        <w:tc>
          <w:tcPr>
            <w:tcW w:w="903" w:type="pct"/>
            <w:vAlign w:val="center"/>
          </w:tcPr>
          <w:p w14:paraId="0C687C72">
            <w:pPr>
              <w:spacing w:line="560" w:lineRule="exact"/>
              <w:jc w:val="center"/>
              <w:rPr>
                <w:rFonts w:hint="eastAsia" w:ascii="宋体" w:hAnsi="宋体" w:eastAsia="宋体" w:cs="宋体"/>
                <w:sz w:val="24"/>
                <w:szCs w:val="24"/>
              </w:rPr>
            </w:pPr>
          </w:p>
        </w:tc>
        <w:tc>
          <w:tcPr>
            <w:tcW w:w="1325" w:type="pct"/>
            <w:vAlign w:val="center"/>
          </w:tcPr>
          <w:p w14:paraId="10120457">
            <w:pPr>
              <w:spacing w:line="560" w:lineRule="exact"/>
              <w:jc w:val="center"/>
              <w:rPr>
                <w:rFonts w:hint="eastAsia" w:ascii="宋体" w:hAnsi="宋体" w:eastAsia="宋体" w:cs="宋体"/>
                <w:sz w:val="24"/>
                <w:szCs w:val="24"/>
              </w:rPr>
            </w:pPr>
          </w:p>
        </w:tc>
        <w:tc>
          <w:tcPr>
            <w:tcW w:w="1259" w:type="pct"/>
            <w:vAlign w:val="center"/>
          </w:tcPr>
          <w:p w14:paraId="26E991F4">
            <w:pPr>
              <w:spacing w:line="560" w:lineRule="exact"/>
              <w:jc w:val="center"/>
              <w:rPr>
                <w:rFonts w:hint="eastAsia" w:ascii="宋体" w:hAnsi="宋体" w:eastAsia="宋体" w:cs="宋体"/>
                <w:sz w:val="24"/>
                <w:szCs w:val="24"/>
              </w:rPr>
            </w:pPr>
          </w:p>
        </w:tc>
        <w:tc>
          <w:tcPr>
            <w:tcW w:w="535" w:type="pct"/>
            <w:vAlign w:val="center"/>
          </w:tcPr>
          <w:p w14:paraId="7319B3A4">
            <w:pPr>
              <w:spacing w:line="560" w:lineRule="exact"/>
              <w:jc w:val="center"/>
              <w:rPr>
                <w:rFonts w:hint="eastAsia" w:ascii="宋体" w:hAnsi="宋体" w:eastAsia="宋体" w:cs="宋体"/>
                <w:sz w:val="24"/>
                <w:szCs w:val="24"/>
              </w:rPr>
            </w:pPr>
          </w:p>
        </w:tc>
        <w:tc>
          <w:tcPr>
            <w:tcW w:w="620" w:type="pct"/>
            <w:vAlign w:val="center"/>
          </w:tcPr>
          <w:p w14:paraId="4A410636">
            <w:pPr>
              <w:spacing w:line="560" w:lineRule="exact"/>
              <w:jc w:val="center"/>
              <w:rPr>
                <w:rFonts w:hint="eastAsia" w:ascii="宋体" w:hAnsi="宋体" w:eastAsia="宋体" w:cs="宋体"/>
                <w:sz w:val="24"/>
                <w:szCs w:val="24"/>
              </w:rPr>
            </w:pPr>
          </w:p>
        </w:tc>
      </w:tr>
      <w:tr w14:paraId="550539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EC6840A">
            <w:pPr>
              <w:spacing w:line="560" w:lineRule="exact"/>
              <w:jc w:val="center"/>
              <w:rPr>
                <w:rFonts w:hint="eastAsia" w:ascii="宋体" w:hAnsi="宋体" w:eastAsia="宋体" w:cs="宋体"/>
                <w:sz w:val="24"/>
                <w:szCs w:val="24"/>
              </w:rPr>
            </w:pPr>
          </w:p>
        </w:tc>
        <w:tc>
          <w:tcPr>
            <w:tcW w:w="903" w:type="pct"/>
            <w:vAlign w:val="center"/>
          </w:tcPr>
          <w:p w14:paraId="31DCAD44">
            <w:pPr>
              <w:spacing w:line="560" w:lineRule="exact"/>
              <w:jc w:val="center"/>
              <w:rPr>
                <w:rFonts w:hint="eastAsia" w:ascii="宋体" w:hAnsi="宋体" w:eastAsia="宋体" w:cs="宋体"/>
                <w:sz w:val="24"/>
                <w:szCs w:val="24"/>
              </w:rPr>
            </w:pPr>
          </w:p>
        </w:tc>
        <w:tc>
          <w:tcPr>
            <w:tcW w:w="1325" w:type="pct"/>
            <w:vAlign w:val="center"/>
          </w:tcPr>
          <w:p w14:paraId="58A10030">
            <w:pPr>
              <w:spacing w:line="560" w:lineRule="exact"/>
              <w:jc w:val="center"/>
              <w:rPr>
                <w:rFonts w:hint="eastAsia" w:ascii="宋体" w:hAnsi="宋体" w:eastAsia="宋体" w:cs="宋体"/>
                <w:sz w:val="24"/>
                <w:szCs w:val="24"/>
              </w:rPr>
            </w:pPr>
          </w:p>
        </w:tc>
        <w:tc>
          <w:tcPr>
            <w:tcW w:w="1259" w:type="pct"/>
            <w:vAlign w:val="center"/>
          </w:tcPr>
          <w:p w14:paraId="57238224">
            <w:pPr>
              <w:spacing w:line="560" w:lineRule="exact"/>
              <w:jc w:val="center"/>
              <w:rPr>
                <w:rFonts w:hint="eastAsia" w:ascii="宋体" w:hAnsi="宋体" w:eastAsia="宋体" w:cs="宋体"/>
                <w:sz w:val="24"/>
                <w:szCs w:val="24"/>
              </w:rPr>
            </w:pPr>
          </w:p>
        </w:tc>
        <w:tc>
          <w:tcPr>
            <w:tcW w:w="535" w:type="pct"/>
            <w:vAlign w:val="center"/>
          </w:tcPr>
          <w:p w14:paraId="5E93FF51">
            <w:pPr>
              <w:spacing w:line="560" w:lineRule="exact"/>
              <w:jc w:val="center"/>
              <w:rPr>
                <w:rFonts w:hint="eastAsia" w:ascii="宋体" w:hAnsi="宋体" w:eastAsia="宋体" w:cs="宋体"/>
                <w:sz w:val="24"/>
                <w:szCs w:val="24"/>
              </w:rPr>
            </w:pPr>
          </w:p>
        </w:tc>
        <w:tc>
          <w:tcPr>
            <w:tcW w:w="620" w:type="pct"/>
            <w:vAlign w:val="center"/>
          </w:tcPr>
          <w:p w14:paraId="351DDD59">
            <w:pPr>
              <w:spacing w:line="560" w:lineRule="exact"/>
              <w:jc w:val="center"/>
              <w:rPr>
                <w:rFonts w:hint="eastAsia" w:ascii="宋体" w:hAnsi="宋体" w:eastAsia="宋体" w:cs="宋体"/>
                <w:sz w:val="24"/>
                <w:szCs w:val="24"/>
              </w:rPr>
            </w:pPr>
          </w:p>
        </w:tc>
      </w:tr>
      <w:tr w14:paraId="62FC6F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F226F14">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63A9A2A6">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7DF2DE4E">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370FDF77">
      <w:pPr>
        <w:pStyle w:val="24"/>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06039698">
      <w:pPr>
        <w:pStyle w:val="24"/>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8492BE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1A7DFC03">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16DB66F">
      <w:pPr>
        <w:spacing w:line="560" w:lineRule="exact"/>
        <w:ind w:firstLine="480" w:firstLineChars="200"/>
        <w:jc w:val="both"/>
        <w:rPr>
          <w:rFonts w:hint="eastAsia" w:ascii="宋体" w:hAnsi="宋体" w:eastAsia="宋体" w:cs="宋体"/>
          <w:sz w:val="24"/>
          <w:szCs w:val="24"/>
        </w:rPr>
      </w:pPr>
    </w:p>
    <w:p w14:paraId="4A57C53C">
      <w:pPr>
        <w:spacing w:line="560" w:lineRule="exact"/>
        <w:ind w:firstLine="480" w:firstLineChars="200"/>
        <w:jc w:val="both"/>
        <w:rPr>
          <w:rFonts w:hint="eastAsia" w:ascii="宋体" w:hAnsi="宋体" w:eastAsia="宋体" w:cs="宋体"/>
          <w:sz w:val="24"/>
          <w:szCs w:val="24"/>
        </w:rPr>
      </w:pPr>
    </w:p>
    <w:p w14:paraId="5061BA29">
      <w:pPr>
        <w:spacing w:line="560" w:lineRule="exact"/>
        <w:ind w:firstLine="640" w:firstLineChars="200"/>
        <w:jc w:val="both"/>
        <w:rPr>
          <w:rFonts w:hint="eastAsia" w:ascii="宋体" w:hAnsi="宋体" w:eastAsia="宋体" w:cs="宋体"/>
          <w:sz w:val="32"/>
          <w:szCs w:val="32"/>
        </w:rPr>
      </w:pPr>
    </w:p>
    <w:p w14:paraId="3F6AAD05">
      <w:pPr>
        <w:pStyle w:val="97"/>
        <w:spacing w:before="210" w:after="210"/>
        <w:ind w:firstLine="640"/>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65E2BF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35B5306F">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14:paraId="33A37922">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026ACF93">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4EC71CA4">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5145BBAB">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761BBF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03B2B2C2">
            <w:pPr>
              <w:jc w:val="center"/>
              <w:rPr>
                <w:rFonts w:hint="eastAsia" w:ascii="宋体" w:hAnsi="宋体" w:eastAsia="宋体" w:cs="宋体"/>
                <w:sz w:val="24"/>
                <w:szCs w:val="24"/>
              </w:rPr>
            </w:pPr>
          </w:p>
        </w:tc>
        <w:tc>
          <w:tcPr>
            <w:tcW w:w="873" w:type="pct"/>
            <w:tcBorders>
              <w:top w:val="single" w:color="auto" w:sz="2" w:space="0"/>
            </w:tcBorders>
            <w:vAlign w:val="center"/>
          </w:tcPr>
          <w:p w14:paraId="6EEB190D">
            <w:pPr>
              <w:jc w:val="center"/>
              <w:rPr>
                <w:rFonts w:hint="eastAsia" w:ascii="宋体" w:hAnsi="宋体" w:eastAsia="宋体" w:cs="宋体"/>
                <w:sz w:val="24"/>
                <w:szCs w:val="24"/>
              </w:rPr>
            </w:pPr>
          </w:p>
        </w:tc>
        <w:tc>
          <w:tcPr>
            <w:tcW w:w="1419" w:type="pct"/>
            <w:tcBorders>
              <w:top w:val="single" w:color="auto" w:sz="2" w:space="0"/>
            </w:tcBorders>
            <w:vAlign w:val="center"/>
          </w:tcPr>
          <w:p w14:paraId="7BBB07C4">
            <w:pPr>
              <w:jc w:val="center"/>
              <w:rPr>
                <w:rFonts w:hint="eastAsia" w:ascii="宋体" w:hAnsi="宋体" w:eastAsia="宋体" w:cs="宋体"/>
                <w:sz w:val="24"/>
                <w:szCs w:val="24"/>
              </w:rPr>
            </w:pPr>
          </w:p>
        </w:tc>
        <w:tc>
          <w:tcPr>
            <w:tcW w:w="1427" w:type="pct"/>
            <w:tcBorders>
              <w:top w:val="single" w:color="auto" w:sz="2" w:space="0"/>
            </w:tcBorders>
            <w:vAlign w:val="center"/>
          </w:tcPr>
          <w:p w14:paraId="43D1A581">
            <w:pPr>
              <w:jc w:val="center"/>
              <w:rPr>
                <w:rFonts w:hint="eastAsia" w:ascii="宋体" w:hAnsi="宋体" w:eastAsia="宋体" w:cs="宋体"/>
                <w:sz w:val="24"/>
                <w:szCs w:val="24"/>
              </w:rPr>
            </w:pPr>
          </w:p>
        </w:tc>
        <w:tc>
          <w:tcPr>
            <w:tcW w:w="722" w:type="pct"/>
            <w:tcBorders>
              <w:top w:val="single" w:color="auto" w:sz="2" w:space="0"/>
            </w:tcBorders>
            <w:vAlign w:val="center"/>
          </w:tcPr>
          <w:p w14:paraId="6E0FA60C">
            <w:pPr>
              <w:jc w:val="center"/>
              <w:rPr>
                <w:rFonts w:hint="eastAsia" w:ascii="宋体" w:hAnsi="宋体" w:eastAsia="宋体" w:cs="宋体"/>
                <w:sz w:val="24"/>
                <w:szCs w:val="24"/>
              </w:rPr>
            </w:pPr>
          </w:p>
        </w:tc>
      </w:tr>
      <w:tr w14:paraId="3EADAD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6A25393">
            <w:pPr>
              <w:jc w:val="center"/>
              <w:rPr>
                <w:rFonts w:hint="eastAsia" w:ascii="宋体" w:hAnsi="宋体" w:eastAsia="宋体" w:cs="宋体"/>
                <w:sz w:val="24"/>
                <w:szCs w:val="24"/>
              </w:rPr>
            </w:pPr>
          </w:p>
        </w:tc>
        <w:tc>
          <w:tcPr>
            <w:tcW w:w="873" w:type="pct"/>
            <w:vAlign w:val="center"/>
          </w:tcPr>
          <w:p w14:paraId="4F8C4CED">
            <w:pPr>
              <w:jc w:val="center"/>
              <w:rPr>
                <w:rFonts w:hint="eastAsia" w:ascii="宋体" w:hAnsi="宋体" w:eastAsia="宋体" w:cs="宋体"/>
                <w:sz w:val="24"/>
                <w:szCs w:val="24"/>
              </w:rPr>
            </w:pPr>
          </w:p>
        </w:tc>
        <w:tc>
          <w:tcPr>
            <w:tcW w:w="1419" w:type="pct"/>
            <w:vAlign w:val="center"/>
          </w:tcPr>
          <w:p w14:paraId="2B321FCC">
            <w:pPr>
              <w:jc w:val="center"/>
              <w:rPr>
                <w:rFonts w:hint="eastAsia" w:ascii="宋体" w:hAnsi="宋体" w:eastAsia="宋体" w:cs="宋体"/>
                <w:sz w:val="24"/>
                <w:szCs w:val="24"/>
              </w:rPr>
            </w:pPr>
          </w:p>
        </w:tc>
        <w:tc>
          <w:tcPr>
            <w:tcW w:w="1427" w:type="pct"/>
            <w:vAlign w:val="center"/>
          </w:tcPr>
          <w:p w14:paraId="604F9B8C">
            <w:pPr>
              <w:jc w:val="center"/>
              <w:rPr>
                <w:rFonts w:hint="eastAsia" w:ascii="宋体" w:hAnsi="宋体" w:eastAsia="宋体" w:cs="宋体"/>
                <w:sz w:val="24"/>
                <w:szCs w:val="24"/>
              </w:rPr>
            </w:pPr>
          </w:p>
        </w:tc>
        <w:tc>
          <w:tcPr>
            <w:tcW w:w="722" w:type="pct"/>
            <w:vAlign w:val="center"/>
          </w:tcPr>
          <w:p w14:paraId="60D41914">
            <w:pPr>
              <w:jc w:val="center"/>
              <w:rPr>
                <w:rFonts w:hint="eastAsia" w:ascii="宋体" w:hAnsi="宋体" w:eastAsia="宋体" w:cs="宋体"/>
                <w:sz w:val="24"/>
                <w:szCs w:val="24"/>
              </w:rPr>
            </w:pPr>
          </w:p>
        </w:tc>
      </w:tr>
      <w:tr w14:paraId="464782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4588E12">
            <w:pPr>
              <w:jc w:val="center"/>
              <w:rPr>
                <w:rFonts w:hint="eastAsia" w:ascii="宋体" w:hAnsi="宋体" w:eastAsia="宋体" w:cs="宋体"/>
                <w:sz w:val="24"/>
                <w:szCs w:val="24"/>
              </w:rPr>
            </w:pPr>
          </w:p>
        </w:tc>
        <w:tc>
          <w:tcPr>
            <w:tcW w:w="873" w:type="pct"/>
            <w:vAlign w:val="center"/>
          </w:tcPr>
          <w:p w14:paraId="19B5224D">
            <w:pPr>
              <w:jc w:val="center"/>
              <w:rPr>
                <w:rFonts w:hint="eastAsia" w:ascii="宋体" w:hAnsi="宋体" w:eastAsia="宋体" w:cs="宋体"/>
                <w:sz w:val="24"/>
                <w:szCs w:val="24"/>
              </w:rPr>
            </w:pPr>
          </w:p>
        </w:tc>
        <w:tc>
          <w:tcPr>
            <w:tcW w:w="1419" w:type="pct"/>
            <w:vAlign w:val="center"/>
          </w:tcPr>
          <w:p w14:paraId="1469DFD0">
            <w:pPr>
              <w:jc w:val="center"/>
              <w:rPr>
                <w:rFonts w:hint="eastAsia" w:ascii="宋体" w:hAnsi="宋体" w:eastAsia="宋体" w:cs="宋体"/>
                <w:sz w:val="24"/>
                <w:szCs w:val="24"/>
              </w:rPr>
            </w:pPr>
          </w:p>
        </w:tc>
        <w:tc>
          <w:tcPr>
            <w:tcW w:w="1427" w:type="pct"/>
            <w:vAlign w:val="center"/>
          </w:tcPr>
          <w:p w14:paraId="414F9D01">
            <w:pPr>
              <w:jc w:val="center"/>
              <w:rPr>
                <w:rFonts w:hint="eastAsia" w:ascii="宋体" w:hAnsi="宋体" w:eastAsia="宋体" w:cs="宋体"/>
                <w:sz w:val="24"/>
                <w:szCs w:val="24"/>
              </w:rPr>
            </w:pPr>
          </w:p>
        </w:tc>
        <w:tc>
          <w:tcPr>
            <w:tcW w:w="722" w:type="pct"/>
            <w:vAlign w:val="center"/>
          </w:tcPr>
          <w:p w14:paraId="3F902606">
            <w:pPr>
              <w:jc w:val="center"/>
              <w:rPr>
                <w:rFonts w:hint="eastAsia" w:ascii="宋体" w:hAnsi="宋体" w:eastAsia="宋体" w:cs="宋体"/>
                <w:sz w:val="24"/>
                <w:szCs w:val="24"/>
              </w:rPr>
            </w:pPr>
          </w:p>
        </w:tc>
      </w:tr>
      <w:tr w14:paraId="29B3D1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956805E">
            <w:pPr>
              <w:jc w:val="center"/>
              <w:rPr>
                <w:rFonts w:hint="eastAsia" w:ascii="宋体" w:hAnsi="宋体" w:eastAsia="宋体" w:cs="宋体"/>
                <w:sz w:val="24"/>
                <w:szCs w:val="24"/>
              </w:rPr>
            </w:pPr>
          </w:p>
        </w:tc>
        <w:tc>
          <w:tcPr>
            <w:tcW w:w="873" w:type="pct"/>
            <w:vAlign w:val="center"/>
          </w:tcPr>
          <w:p w14:paraId="096ABCF7">
            <w:pPr>
              <w:jc w:val="center"/>
              <w:rPr>
                <w:rFonts w:hint="eastAsia" w:ascii="宋体" w:hAnsi="宋体" w:eastAsia="宋体" w:cs="宋体"/>
                <w:sz w:val="24"/>
                <w:szCs w:val="24"/>
              </w:rPr>
            </w:pPr>
          </w:p>
        </w:tc>
        <w:tc>
          <w:tcPr>
            <w:tcW w:w="1419" w:type="pct"/>
            <w:vAlign w:val="center"/>
          </w:tcPr>
          <w:p w14:paraId="07B5B072">
            <w:pPr>
              <w:jc w:val="center"/>
              <w:rPr>
                <w:rFonts w:hint="eastAsia" w:ascii="宋体" w:hAnsi="宋体" w:eastAsia="宋体" w:cs="宋体"/>
                <w:sz w:val="24"/>
                <w:szCs w:val="24"/>
              </w:rPr>
            </w:pPr>
          </w:p>
        </w:tc>
        <w:tc>
          <w:tcPr>
            <w:tcW w:w="1427" w:type="pct"/>
            <w:vAlign w:val="center"/>
          </w:tcPr>
          <w:p w14:paraId="50A9B3F2">
            <w:pPr>
              <w:jc w:val="center"/>
              <w:rPr>
                <w:rFonts w:hint="eastAsia" w:ascii="宋体" w:hAnsi="宋体" w:eastAsia="宋体" w:cs="宋体"/>
                <w:sz w:val="24"/>
                <w:szCs w:val="24"/>
              </w:rPr>
            </w:pPr>
          </w:p>
        </w:tc>
        <w:tc>
          <w:tcPr>
            <w:tcW w:w="722" w:type="pct"/>
            <w:vAlign w:val="center"/>
          </w:tcPr>
          <w:p w14:paraId="48387F71">
            <w:pPr>
              <w:jc w:val="center"/>
              <w:rPr>
                <w:rFonts w:hint="eastAsia" w:ascii="宋体" w:hAnsi="宋体" w:eastAsia="宋体" w:cs="宋体"/>
                <w:sz w:val="24"/>
                <w:szCs w:val="24"/>
              </w:rPr>
            </w:pPr>
          </w:p>
        </w:tc>
      </w:tr>
      <w:tr w14:paraId="028041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EAEF0B2">
            <w:pPr>
              <w:jc w:val="center"/>
              <w:rPr>
                <w:rFonts w:hint="eastAsia" w:ascii="宋体" w:hAnsi="宋体" w:eastAsia="宋体" w:cs="宋体"/>
                <w:sz w:val="24"/>
                <w:szCs w:val="24"/>
              </w:rPr>
            </w:pPr>
          </w:p>
        </w:tc>
        <w:tc>
          <w:tcPr>
            <w:tcW w:w="873" w:type="pct"/>
            <w:vAlign w:val="center"/>
          </w:tcPr>
          <w:p w14:paraId="697370BD">
            <w:pPr>
              <w:jc w:val="center"/>
              <w:rPr>
                <w:rFonts w:hint="eastAsia" w:ascii="宋体" w:hAnsi="宋体" w:eastAsia="宋体" w:cs="宋体"/>
                <w:sz w:val="24"/>
                <w:szCs w:val="24"/>
              </w:rPr>
            </w:pPr>
          </w:p>
        </w:tc>
        <w:tc>
          <w:tcPr>
            <w:tcW w:w="1419" w:type="pct"/>
            <w:vAlign w:val="center"/>
          </w:tcPr>
          <w:p w14:paraId="2B14A168">
            <w:pPr>
              <w:jc w:val="center"/>
              <w:rPr>
                <w:rFonts w:hint="eastAsia" w:ascii="宋体" w:hAnsi="宋体" w:eastAsia="宋体" w:cs="宋体"/>
                <w:sz w:val="24"/>
                <w:szCs w:val="24"/>
              </w:rPr>
            </w:pPr>
          </w:p>
        </w:tc>
        <w:tc>
          <w:tcPr>
            <w:tcW w:w="1427" w:type="pct"/>
            <w:vAlign w:val="center"/>
          </w:tcPr>
          <w:p w14:paraId="738DF81E">
            <w:pPr>
              <w:jc w:val="center"/>
              <w:rPr>
                <w:rFonts w:hint="eastAsia" w:ascii="宋体" w:hAnsi="宋体" w:eastAsia="宋体" w:cs="宋体"/>
                <w:sz w:val="24"/>
                <w:szCs w:val="24"/>
              </w:rPr>
            </w:pPr>
          </w:p>
        </w:tc>
        <w:tc>
          <w:tcPr>
            <w:tcW w:w="722" w:type="pct"/>
            <w:vAlign w:val="center"/>
          </w:tcPr>
          <w:p w14:paraId="1FC0B0ED">
            <w:pPr>
              <w:jc w:val="center"/>
              <w:rPr>
                <w:rFonts w:hint="eastAsia" w:ascii="宋体" w:hAnsi="宋体" w:eastAsia="宋体" w:cs="宋体"/>
                <w:sz w:val="24"/>
                <w:szCs w:val="24"/>
              </w:rPr>
            </w:pPr>
          </w:p>
        </w:tc>
      </w:tr>
      <w:tr w14:paraId="70AB73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3EB7723C">
            <w:pPr>
              <w:jc w:val="center"/>
              <w:rPr>
                <w:rFonts w:hint="eastAsia" w:ascii="宋体" w:hAnsi="宋体" w:eastAsia="宋体" w:cs="宋体"/>
                <w:sz w:val="24"/>
                <w:szCs w:val="24"/>
              </w:rPr>
            </w:pPr>
          </w:p>
        </w:tc>
        <w:tc>
          <w:tcPr>
            <w:tcW w:w="873" w:type="pct"/>
            <w:vAlign w:val="center"/>
          </w:tcPr>
          <w:p w14:paraId="7503F05C">
            <w:pPr>
              <w:jc w:val="center"/>
              <w:rPr>
                <w:rFonts w:hint="eastAsia" w:ascii="宋体" w:hAnsi="宋体" w:eastAsia="宋体" w:cs="宋体"/>
                <w:sz w:val="24"/>
                <w:szCs w:val="24"/>
              </w:rPr>
            </w:pPr>
          </w:p>
        </w:tc>
        <w:tc>
          <w:tcPr>
            <w:tcW w:w="1419" w:type="pct"/>
            <w:vAlign w:val="center"/>
          </w:tcPr>
          <w:p w14:paraId="57C4B2CD">
            <w:pPr>
              <w:jc w:val="center"/>
              <w:rPr>
                <w:rFonts w:hint="eastAsia" w:ascii="宋体" w:hAnsi="宋体" w:eastAsia="宋体" w:cs="宋体"/>
                <w:sz w:val="24"/>
                <w:szCs w:val="24"/>
              </w:rPr>
            </w:pPr>
          </w:p>
        </w:tc>
        <w:tc>
          <w:tcPr>
            <w:tcW w:w="1427" w:type="pct"/>
            <w:vAlign w:val="center"/>
          </w:tcPr>
          <w:p w14:paraId="75DA4388">
            <w:pPr>
              <w:jc w:val="center"/>
              <w:rPr>
                <w:rFonts w:hint="eastAsia" w:ascii="宋体" w:hAnsi="宋体" w:eastAsia="宋体" w:cs="宋体"/>
                <w:sz w:val="24"/>
                <w:szCs w:val="24"/>
              </w:rPr>
            </w:pPr>
          </w:p>
        </w:tc>
        <w:tc>
          <w:tcPr>
            <w:tcW w:w="722" w:type="pct"/>
            <w:vAlign w:val="center"/>
          </w:tcPr>
          <w:p w14:paraId="1CC7D834">
            <w:pPr>
              <w:jc w:val="center"/>
              <w:rPr>
                <w:rFonts w:hint="eastAsia" w:ascii="宋体" w:hAnsi="宋体" w:eastAsia="宋体" w:cs="宋体"/>
                <w:sz w:val="24"/>
                <w:szCs w:val="24"/>
              </w:rPr>
            </w:pPr>
          </w:p>
        </w:tc>
      </w:tr>
      <w:tr w14:paraId="4E7607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58BA7E85">
            <w:pPr>
              <w:jc w:val="center"/>
              <w:rPr>
                <w:rFonts w:hint="eastAsia" w:ascii="宋体" w:hAnsi="宋体" w:eastAsia="宋体" w:cs="宋体"/>
                <w:sz w:val="24"/>
                <w:szCs w:val="24"/>
              </w:rPr>
            </w:pPr>
          </w:p>
        </w:tc>
        <w:tc>
          <w:tcPr>
            <w:tcW w:w="873" w:type="pct"/>
            <w:vAlign w:val="center"/>
          </w:tcPr>
          <w:p w14:paraId="0E7565AB">
            <w:pPr>
              <w:jc w:val="center"/>
              <w:rPr>
                <w:rFonts w:hint="eastAsia" w:ascii="宋体" w:hAnsi="宋体" w:eastAsia="宋体" w:cs="宋体"/>
                <w:sz w:val="24"/>
                <w:szCs w:val="24"/>
              </w:rPr>
            </w:pPr>
          </w:p>
        </w:tc>
        <w:tc>
          <w:tcPr>
            <w:tcW w:w="1419" w:type="pct"/>
            <w:vAlign w:val="center"/>
          </w:tcPr>
          <w:p w14:paraId="04122EE3">
            <w:pPr>
              <w:jc w:val="center"/>
              <w:rPr>
                <w:rFonts w:hint="eastAsia" w:ascii="宋体" w:hAnsi="宋体" w:eastAsia="宋体" w:cs="宋体"/>
                <w:sz w:val="24"/>
                <w:szCs w:val="24"/>
              </w:rPr>
            </w:pPr>
          </w:p>
        </w:tc>
        <w:tc>
          <w:tcPr>
            <w:tcW w:w="1427" w:type="pct"/>
            <w:vAlign w:val="center"/>
          </w:tcPr>
          <w:p w14:paraId="3EA6F8C4">
            <w:pPr>
              <w:jc w:val="center"/>
              <w:rPr>
                <w:rFonts w:hint="eastAsia" w:ascii="宋体" w:hAnsi="宋体" w:eastAsia="宋体" w:cs="宋体"/>
                <w:sz w:val="24"/>
                <w:szCs w:val="24"/>
              </w:rPr>
            </w:pPr>
          </w:p>
        </w:tc>
        <w:tc>
          <w:tcPr>
            <w:tcW w:w="722" w:type="pct"/>
            <w:vAlign w:val="center"/>
          </w:tcPr>
          <w:p w14:paraId="29141277">
            <w:pPr>
              <w:jc w:val="center"/>
              <w:rPr>
                <w:rFonts w:hint="eastAsia" w:ascii="宋体" w:hAnsi="宋体" w:eastAsia="宋体" w:cs="宋体"/>
                <w:sz w:val="24"/>
                <w:szCs w:val="24"/>
              </w:rPr>
            </w:pPr>
          </w:p>
        </w:tc>
      </w:tr>
      <w:tr w14:paraId="2D0948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8A89EC0">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vAlign w:val="center"/>
          </w:tcPr>
          <w:p w14:paraId="0DBC8F1B">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26B1C70C">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5F2D167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声明：除上表所列的合同条款外，招标文件中的其他合同条款我方均完全接受。</w:t>
      </w:r>
    </w:p>
    <w:p w14:paraId="4C2BE995">
      <w:pPr>
        <w:spacing w:line="560" w:lineRule="exact"/>
        <w:ind w:firstLine="480" w:firstLineChars="200"/>
        <w:jc w:val="both"/>
        <w:rPr>
          <w:rFonts w:hint="eastAsia"/>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776B1D3B">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D4C2051">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6089021F">
      <w:pPr>
        <w:spacing w:line="560" w:lineRule="exact"/>
        <w:jc w:val="both"/>
        <w:rPr>
          <w:rFonts w:hint="eastAsia" w:ascii="宋体" w:hAnsi="宋体" w:eastAsia="宋体" w:cs="宋体"/>
          <w:sz w:val="32"/>
          <w:szCs w:val="32"/>
        </w:rPr>
      </w:pPr>
      <w:r>
        <w:rPr>
          <w:rFonts w:hint="eastAsia" w:ascii="宋体" w:hAnsi="宋体" w:eastAsia="宋体" w:cs="宋体"/>
          <w:sz w:val="24"/>
          <w:szCs w:val="24"/>
        </w:rPr>
        <w:br w:type="page"/>
      </w:r>
    </w:p>
    <w:p w14:paraId="38498C3F">
      <w:pPr>
        <w:pStyle w:val="3"/>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rPr>
      </w:pPr>
      <w:r>
        <w:rPr>
          <w:rFonts w:hint="eastAsia" w:ascii="宋体" w:hAnsi="宋体" w:eastAsia="宋体" w:cs="宋体"/>
          <w:b/>
          <w:bCs/>
          <w:lang w:val="en-US" w:eastAsia="zh-CN"/>
        </w:rPr>
        <w:t xml:space="preserve">第七部分 </w:t>
      </w:r>
      <w:r>
        <w:rPr>
          <w:rFonts w:hint="eastAsia" w:ascii="宋体" w:hAnsi="宋体" w:eastAsia="宋体" w:cs="宋体"/>
          <w:b/>
          <w:bCs/>
        </w:rPr>
        <w:t>供应商认为需要提供的其他材料</w:t>
      </w:r>
    </w:p>
    <w:p w14:paraId="1E3CE722">
      <w:pPr>
        <w:spacing w:line="560" w:lineRule="exact"/>
        <w:ind w:firstLine="480" w:firstLineChars="200"/>
        <w:jc w:val="center"/>
        <w:rPr>
          <w:rFonts w:hint="eastAsia" w:ascii="宋体" w:hAnsi="宋体" w:eastAsia="宋体" w:cs="宋体"/>
          <w:b/>
          <w:bCs/>
          <w:sz w:val="24"/>
          <w:szCs w:val="32"/>
          <w:lang w:val="en-US" w:eastAsia="zh-CN"/>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格式自拟</w:t>
      </w:r>
      <w:r>
        <w:rPr>
          <w:rFonts w:hint="eastAsia" w:ascii="宋体" w:hAnsi="宋体" w:eastAsia="宋体" w:cs="宋体"/>
          <w:b/>
          <w:bCs/>
          <w:sz w:val="24"/>
          <w:szCs w:val="24"/>
        </w:rPr>
        <w:t>）</w:t>
      </w:r>
    </w:p>
    <w:p w14:paraId="6BED60E1">
      <w:pPr>
        <w:rPr>
          <w:rFonts w:hint="eastAsia" w:ascii="宋体" w:hAnsi="宋体" w:eastAsia="宋体" w:cs="宋体"/>
        </w:rPr>
      </w:pPr>
    </w:p>
    <w:sectPr>
      <w:headerReference r:id="rId7" w:type="default"/>
      <w:footerReference r:id="rId8" w:type="default"/>
      <w:footerReference r:id="rId9" w:type="even"/>
      <w:pgSz w:w="11906" w:h="16838"/>
      <w:pgMar w:top="1417" w:right="1083" w:bottom="1417" w:left="1083" w:header="851" w:footer="964"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 w:name="KSOF8080F95D">
    <w:panose1 w:val="020B0503020204020204"/>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5C76">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0B0F7">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F8559">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4E282">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454E282">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0E4E0">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3A0AE">
                          <w:pPr>
                            <w:pStyle w:val="2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93A0AE">
                    <w:pPr>
                      <w:pStyle w:val="2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ED7DB">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1D56">
    <w:pPr>
      <w:pStyle w:val="21"/>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年度干部员工健康体检服务                                       </w:t>
    </w:r>
    <w:r>
      <w:rPr>
        <w:rFonts w:hint="eastAsia" w:ascii="宋体" w:hAnsi="宋体" w:cs="宋体"/>
        <w:w w:val="100"/>
        <w:sz w:val="20"/>
        <w:szCs w:val="20"/>
      </w:rPr>
      <w:t>项目编号：</w:t>
    </w:r>
    <w:r>
      <w:rPr>
        <w:rFonts w:hint="eastAsia" w:ascii="宋体" w:hAnsi="宋体" w:cs="宋体"/>
        <w:w w:val="100"/>
        <w:sz w:val="20"/>
        <w:szCs w:val="20"/>
        <w:lang w:eastAsia="zh-CN"/>
      </w:rPr>
      <w:t>CGZC-2025-185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65F7D">
    <w:pPr>
      <w:pStyle w:val="21"/>
      <w:pBdr>
        <w:bottom w:val="double" w:color="000000" w:sz="8" w:space="1"/>
      </w:pBdr>
      <w:jc w:val="both"/>
      <w:rPr>
        <w:rFonts w:hint="default"/>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年度干部员工健康体检服务                                       </w:t>
    </w:r>
    <w:r>
      <w:rPr>
        <w:rFonts w:hint="eastAsia" w:ascii="宋体" w:hAnsi="宋体" w:cs="宋体"/>
        <w:w w:val="100"/>
        <w:sz w:val="20"/>
        <w:szCs w:val="20"/>
      </w:rPr>
      <w:t>项目编号：</w:t>
    </w:r>
    <w:r>
      <w:rPr>
        <w:rFonts w:hint="eastAsia" w:ascii="宋体" w:hAnsi="宋体" w:cs="宋体"/>
        <w:w w:val="100"/>
        <w:sz w:val="20"/>
        <w:szCs w:val="20"/>
        <w:lang w:val="en-US" w:eastAsia="zh-CN"/>
      </w:rPr>
      <w:t>CGZC</w:t>
    </w:r>
    <w:r>
      <w:rPr>
        <w:rFonts w:hint="eastAsia" w:ascii="宋体" w:hAnsi="宋体" w:cs="宋体"/>
        <w:w w:val="100"/>
        <w:sz w:val="20"/>
        <w:szCs w:val="20"/>
        <w:lang w:eastAsia="zh-CN"/>
      </w:rPr>
      <w:t>-202</w:t>
    </w:r>
    <w:r>
      <w:rPr>
        <w:rFonts w:hint="eastAsia" w:ascii="宋体" w:hAnsi="宋体" w:cs="宋体"/>
        <w:w w:val="100"/>
        <w:sz w:val="20"/>
        <w:szCs w:val="20"/>
        <w:lang w:val="en-US" w:eastAsia="zh-CN"/>
      </w:rPr>
      <w:t>5-185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7"/>
      <w:lvlText w:val="%1.%2.%3.%4"/>
      <w:lvlJc w:val="left"/>
      <w:pPr>
        <w:ind w:left="864" w:hanging="864"/>
      </w:pPr>
      <w:rPr>
        <w:rFonts w:hint="eastAsia"/>
      </w:rPr>
    </w:lvl>
    <w:lvl w:ilvl="4" w:tentative="0">
      <w:start w:val="1"/>
      <w:numFmt w:val="decimal"/>
      <w:pStyle w:val="8"/>
      <w:lvlText w:val="%1.%2.%3.%4.%5"/>
      <w:lvlJc w:val="left"/>
      <w:pPr>
        <w:ind w:left="1008" w:hanging="1008"/>
      </w:pPr>
      <w:rPr>
        <w:rFonts w:hint="eastAsia"/>
      </w:rPr>
    </w:lvl>
    <w:lvl w:ilvl="5" w:tentative="0">
      <w:start w:val="1"/>
      <w:numFmt w:val="decimal"/>
      <w:pStyle w:val="9"/>
      <w:lvlText w:val="%1.%2.%3.%4.%5.%6"/>
      <w:lvlJc w:val="left"/>
      <w:pPr>
        <w:ind w:left="1152" w:hanging="1152"/>
      </w:pPr>
      <w:rPr>
        <w:rFonts w:hint="eastAsia"/>
      </w:rPr>
    </w:lvl>
    <w:lvl w:ilvl="6" w:tentative="0">
      <w:start w:val="1"/>
      <w:numFmt w:val="decimal"/>
      <w:pStyle w:val="10"/>
      <w:lvlText w:val="%1.%2.%3.%4.%5.%6.%7"/>
      <w:lvlJc w:val="left"/>
      <w:pPr>
        <w:ind w:left="1296" w:hanging="1296"/>
      </w:pPr>
      <w:rPr>
        <w:rFonts w:hint="eastAsia"/>
      </w:rPr>
    </w:lvl>
    <w:lvl w:ilvl="7" w:tentative="0">
      <w:start w:val="1"/>
      <w:numFmt w:val="decimal"/>
      <w:pStyle w:val="11"/>
      <w:lvlText w:val="%1.%2.%3.%4.%5.%6.%7.%8"/>
      <w:lvlJc w:val="left"/>
      <w:pPr>
        <w:ind w:left="1440" w:hanging="1440"/>
      </w:pPr>
      <w:rPr>
        <w:rFonts w:hint="eastAsia"/>
      </w:rPr>
    </w:lvl>
    <w:lvl w:ilvl="8" w:tentative="0">
      <w:start w:val="1"/>
      <w:numFmt w:val="decimal"/>
      <w:pStyle w:val="12"/>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1FE5971"/>
    <w:rsid w:val="021D08C9"/>
    <w:rsid w:val="022E6257"/>
    <w:rsid w:val="02380249"/>
    <w:rsid w:val="023E7FCC"/>
    <w:rsid w:val="024912E2"/>
    <w:rsid w:val="025A670A"/>
    <w:rsid w:val="02A15559"/>
    <w:rsid w:val="02B756B9"/>
    <w:rsid w:val="03211304"/>
    <w:rsid w:val="03640CC9"/>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28596A"/>
    <w:rsid w:val="07382B49"/>
    <w:rsid w:val="076A3DAC"/>
    <w:rsid w:val="077961C6"/>
    <w:rsid w:val="07B22C04"/>
    <w:rsid w:val="07BB0737"/>
    <w:rsid w:val="07C46CC8"/>
    <w:rsid w:val="07EA1DFF"/>
    <w:rsid w:val="07F46244"/>
    <w:rsid w:val="080649A5"/>
    <w:rsid w:val="08290A63"/>
    <w:rsid w:val="082C3238"/>
    <w:rsid w:val="085602B5"/>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4340AA"/>
    <w:rsid w:val="0B5E7C7B"/>
    <w:rsid w:val="0B5F4097"/>
    <w:rsid w:val="0B651BC6"/>
    <w:rsid w:val="0B6E5AC7"/>
    <w:rsid w:val="0B6F53F1"/>
    <w:rsid w:val="0BA63302"/>
    <w:rsid w:val="0BD555F6"/>
    <w:rsid w:val="0C6133EF"/>
    <w:rsid w:val="0C77413A"/>
    <w:rsid w:val="0CED3C2C"/>
    <w:rsid w:val="0D0335ED"/>
    <w:rsid w:val="0D4D0739"/>
    <w:rsid w:val="0DE85C35"/>
    <w:rsid w:val="0E4B1BB0"/>
    <w:rsid w:val="0E4B4EB3"/>
    <w:rsid w:val="0E7262FB"/>
    <w:rsid w:val="0E811E04"/>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4A3B4D"/>
    <w:rsid w:val="11755C50"/>
    <w:rsid w:val="11E31E03"/>
    <w:rsid w:val="12020C04"/>
    <w:rsid w:val="12440EBB"/>
    <w:rsid w:val="12775458"/>
    <w:rsid w:val="127B5307"/>
    <w:rsid w:val="12BB485E"/>
    <w:rsid w:val="12E36E79"/>
    <w:rsid w:val="12EA2F3A"/>
    <w:rsid w:val="12FB3F33"/>
    <w:rsid w:val="1304734C"/>
    <w:rsid w:val="131858BE"/>
    <w:rsid w:val="13257202"/>
    <w:rsid w:val="13734DAF"/>
    <w:rsid w:val="13E443CD"/>
    <w:rsid w:val="13EC6659"/>
    <w:rsid w:val="146B50E8"/>
    <w:rsid w:val="1472193D"/>
    <w:rsid w:val="147E55D3"/>
    <w:rsid w:val="1499029D"/>
    <w:rsid w:val="14BF17D8"/>
    <w:rsid w:val="14D721DA"/>
    <w:rsid w:val="15126972"/>
    <w:rsid w:val="151A7746"/>
    <w:rsid w:val="15802E15"/>
    <w:rsid w:val="15E52C78"/>
    <w:rsid w:val="15ED7DB6"/>
    <w:rsid w:val="163730CA"/>
    <w:rsid w:val="16705666"/>
    <w:rsid w:val="167209B0"/>
    <w:rsid w:val="16804BD0"/>
    <w:rsid w:val="16995DF6"/>
    <w:rsid w:val="16B0631F"/>
    <w:rsid w:val="16B72867"/>
    <w:rsid w:val="16BD0F74"/>
    <w:rsid w:val="16C50FB2"/>
    <w:rsid w:val="16C67F6C"/>
    <w:rsid w:val="16EE51E3"/>
    <w:rsid w:val="16EF1DD3"/>
    <w:rsid w:val="17207642"/>
    <w:rsid w:val="17231A63"/>
    <w:rsid w:val="175E0C74"/>
    <w:rsid w:val="17766966"/>
    <w:rsid w:val="17914195"/>
    <w:rsid w:val="180D3552"/>
    <w:rsid w:val="182201B4"/>
    <w:rsid w:val="182855F1"/>
    <w:rsid w:val="18F35D67"/>
    <w:rsid w:val="19183BAB"/>
    <w:rsid w:val="193C34F7"/>
    <w:rsid w:val="195938BF"/>
    <w:rsid w:val="195A7AFF"/>
    <w:rsid w:val="197B143D"/>
    <w:rsid w:val="197D366F"/>
    <w:rsid w:val="1A2F4EE2"/>
    <w:rsid w:val="1A5A1D34"/>
    <w:rsid w:val="1A6F21FC"/>
    <w:rsid w:val="1A7F1D1C"/>
    <w:rsid w:val="1A8B01F5"/>
    <w:rsid w:val="1A980A99"/>
    <w:rsid w:val="1A9E5B80"/>
    <w:rsid w:val="1AC251EA"/>
    <w:rsid w:val="1ACB4B33"/>
    <w:rsid w:val="1AE24E9D"/>
    <w:rsid w:val="1BB37B8D"/>
    <w:rsid w:val="1BD46B71"/>
    <w:rsid w:val="1BF14E41"/>
    <w:rsid w:val="1C1B23C7"/>
    <w:rsid w:val="1C4049E1"/>
    <w:rsid w:val="1C8D2AFB"/>
    <w:rsid w:val="1CB57848"/>
    <w:rsid w:val="1CB9601D"/>
    <w:rsid w:val="1D43465E"/>
    <w:rsid w:val="1D450848"/>
    <w:rsid w:val="1D640CB3"/>
    <w:rsid w:val="1DD2622D"/>
    <w:rsid w:val="1E083917"/>
    <w:rsid w:val="1E4B1AC6"/>
    <w:rsid w:val="1E6278A6"/>
    <w:rsid w:val="1E687389"/>
    <w:rsid w:val="1EEF7FE2"/>
    <w:rsid w:val="1F1D5B17"/>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437026"/>
    <w:rsid w:val="229C55F7"/>
    <w:rsid w:val="229C744B"/>
    <w:rsid w:val="22AA4043"/>
    <w:rsid w:val="22E0799A"/>
    <w:rsid w:val="23C019F6"/>
    <w:rsid w:val="24B228BF"/>
    <w:rsid w:val="24D21AAA"/>
    <w:rsid w:val="2500362B"/>
    <w:rsid w:val="25164BFC"/>
    <w:rsid w:val="2535428B"/>
    <w:rsid w:val="25363A4E"/>
    <w:rsid w:val="254259F1"/>
    <w:rsid w:val="25695674"/>
    <w:rsid w:val="258204E4"/>
    <w:rsid w:val="259971DA"/>
    <w:rsid w:val="25A07695"/>
    <w:rsid w:val="25A54C35"/>
    <w:rsid w:val="25B10E34"/>
    <w:rsid w:val="25B86A75"/>
    <w:rsid w:val="25BA7C7E"/>
    <w:rsid w:val="25C1582D"/>
    <w:rsid w:val="25C85ADE"/>
    <w:rsid w:val="25D03E3D"/>
    <w:rsid w:val="262416A4"/>
    <w:rsid w:val="26572D4C"/>
    <w:rsid w:val="26E0627B"/>
    <w:rsid w:val="26E47A85"/>
    <w:rsid w:val="26F33B35"/>
    <w:rsid w:val="271B0BF0"/>
    <w:rsid w:val="27384086"/>
    <w:rsid w:val="27452D6D"/>
    <w:rsid w:val="278B30CD"/>
    <w:rsid w:val="27BC3414"/>
    <w:rsid w:val="28173165"/>
    <w:rsid w:val="281F6A3D"/>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CF55A8"/>
    <w:rsid w:val="2B157704"/>
    <w:rsid w:val="2B164352"/>
    <w:rsid w:val="2B476EFC"/>
    <w:rsid w:val="2BBA1C2C"/>
    <w:rsid w:val="2BC03D34"/>
    <w:rsid w:val="2BC34EC4"/>
    <w:rsid w:val="2BF14EE8"/>
    <w:rsid w:val="2C260F85"/>
    <w:rsid w:val="2C7C7AF4"/>
    <w:rsid w:val="2C8178E0"/>
    <w:rsid w:val="2CF512F3"/>
    <w:rsid w:val="2D363880"/>
    <w:rsid w:val="2D6C3DB8"/>
    <w:rsid w:val="2E1B251B"/>
    <w:rsid w:val="2E23750C"/>
    <w:rsid w:val="2EC76F67"/>
    <w:rsid w:val="2EC92CDF"/>
    <w:rsid w:val="2EF97E15"/>
    <w:rsid w:val="2F68739C"/>
    <w:rsid w:val="2FDB1217"/>
    <w:rsid w:val="2FE83EF8"/>
    <w:rsid w:val="2FF344B8"/>
    <w:rsid w:val="30040642"/>
    <w:rsid w:val="301461DC"/>
    <w:rsid w:val="3029612C"/>
    <w:rsid w:val="3056529F"/>
    <w:rsid w:val="3082143F"/>
    <w:rsid w:val="309858E6"/>
    <w:rsid w:val="309A26ED"/>
    <w:rsid w:val="30CC19E5"/>
    <w:rsid w:val="30D35E4E"/>
    <w:rsid w:val="30E72BFB"/>
    <w:rsid w:val="30EE414A"/>
    <w:rsid w:val="31275097"/>
    <w:rsid w:val="313D63DB"/>
    <w:rsid w:val="317662CE"/>
    <w:rsid w:val="319E0B3E"/>
    <w:rsid w:val="31CE7EC4"/>
    <w:rsid w:val="31E7004C"/>
    <w:rsid w:val="32134D79"/>
    <w:rsid w:val="322C54FD"/>
    <w:rsid w:val="327B2543"/>
    <w:rsid w:val="327B69E7"/>
    <w:rsid w:val="32C10A18"/>
    <w:rsid w:val="32D92BBC"/>
    <w:rsid w:val="331C20F3"/>
    <w:rsid w:val="332205C8"/>
    <w:rsid w:val="335039CF"/>
    <w:rsid w:val="33585F3A"/>
    <w:rsid w:val="338B1C4D"/>
    <w:rsid w:val="33D53E1A"/>
    <w:rsid w:val="34034483"/>
    <w:rsid w:val="343C3F54"/>
    <w:rsid w:val="346053BA"/>
    <w:rsid w:val="34A3014E"/>
    <w:rsid w:val="34AC1F61"/>
    <w:rsid w:val="34AC650B"/>
    <w:rsid w:val="34C401D1"/>
    <w:rsid w:val="350A3DDD"/>
    <w:rsid w:val="35317453"/>
    <w:rsid w:val="354E4E4E"/>
    <w:rsid w:val="355A4B75"/>
    <w:rsid w:val="355C0AD5"/>
    <w:rsid w:val="359E7435"/>
    <w:rsid w:val="35ED6E95"/>
    <w:rsid w:val="35FC7E3E"/>
    <w:rsid w:val="360A60B7"/>
    <w:rsid w:val="361508C3"/>
    <w:rsid w:val="36323189"/>
    <w:rsid w:val="36586B29"/>
    <w:rsid w:val="3699568D"/>
    <w:rsid w:val="36DB5CA6"/>
    <w:rsid w:val="36F778E7"/>
    <w:rsid w:val="375A27C9"/>
    <w:rsid w:val="375B2AA3"/>
    <w:rsid w:val="377A66D7"/>
    <w:rsid w:val="377C2FE5"/>
    <w:rsid w:val="37E70466"/>
    <w:rsid w:val="381B7B07"/>
    <w:rsid w:val="38303DCF"/>
    <w:rsid w:val="38E86458"/>
    <w:rsid w:val="38F37552"/>
    <w:rsid w:val="393C05D6"/>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660234"/>
    <w:rsid w:val="3BA54E3E"/>
    <w:rsid w:val="3BB64C1C"/>
    <w:rsid w:val="3C342D9B"/>
    <w:rsid w:val="3D347473"/>
    <w:rsid w:val="3D400FA1"/>
    <w:rsid w:val="3D4A1818"/>
    <w:rsid w:val="3D9559C0"/>
    <w:rsid w:val="3DA57E9B"/>
    <w:rsid w:val="3DB868D1"/>
    <w:rsid w:val="3DEC17B9"/>
    <w:rsid w:val="3E88226F"/>
    <w:rsid w:val="3E9C5D1B"/>
    <w:rsid w:val="3F586BC5"/>
    <w:rsid w:val="3F5F4CCF"/>
    <w:rsid w:val="3F6F42A9"/>
    <w:rsid w:val="3FD87226"/>
    <w:rsid w:val="3FDD483D"/>
    <w:rsid w:val="3FF86DBE"/>
    <w:rsid w:val="40141BC7"/>
    <w:rsid w:val="40450345"/>
    <w:rsid w:val="40573A9B"/>
    <w:rsid w:val="40A26D62"/>
    <w:rsid w:val="40B01F51"/>
    <w:rsid w:val="40C63523"/>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58220E"/>
    <w:rsid w:val="43E45AF4"/>
    <w:rsid w:val="43F82ECA"/>
    <w:rsid w:val="44623DBC"/>
    <w:rsid w:val="44AB201A"/>
    <w:rsid w:val="44D107B7"/>
    <w:rsid w:val="451330CC"/>
    <w:rsid w:val="4518783B"/>
    <w:rsid w:val="453C5F9E"/>
    <w:rsid w:val="456C180F"/>
    <w:rsid w:val="45817B4F"/>
    <w:rsid w:val="461C57A9"/>
    <w:rsid w:val="463F4FE1"/>
    <w:rsid w:val="4642004E"/>
    <w:rsid w:val="46522ED9"/>
    <w:rsid w:val="4660675D"/>
    <w:rsid w:val="46674E60"/>
    <w:rsid w:val="46683089"/>
    <w:rsid w:val="46770F87"/>
    <w:rsid w:val="46B36752"/>
    <w:rsid w:val="46F45FAF"/>
    <w:rsid w:val="473E5925"/>
    <w:rsid w:val="47530CE0"/>
    <w:rsid w:val="476741EB"/>
    <w:rsid w:val="47F70466"/>
    <w:rsid w:val="48065DB2"/>
    <w:rsid w:val="48621A93"/>
    <w:rsid w:val="48C5709F"/>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1443BD"/>
    <w:rsid w:val="4D2424A4"/>
    <w:rsid w:val="4D9E4CE9"/>
    <w:rsid w:val="4D9E5BA1"/>
    <w:rsid w:val="4DD14735"/>
    <w:rsid w:val="4DF20539"/>
    <w:rsid w:val="4DFC4A28"/>
    <w:rsid w:val="4E0256F8"/>
    <w:rsid w:val="4E4D2E49"/>
    <w:rsid w:val="4E4F73B4"/>
    <w:rsid w:val="4E50267E"/>
    <w:rsid w:val="4E5D3049"/>
    <w:rsid w:val="4E8B0864"/>
    <w:rsid w:val="4E8F31A6"/>
    <w:rsid w:val="4E9E4212"/>
    <w:rsid w:val="4ED85325"/>
    <w:rsid w:val="4EDE7C89"/>
    <w:rsid w:val="4EEA4880"/>
    <w:rsid w:val="4EEB70E8"/>
    <w:rsid w:val="4F2443CB"/>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14A71"/>
    <w:rsid w:val="53387379"/>
    <w:rsid w:val="534D2CEE"/>
    <w:rsid w:val="53887714"/>
    <w:rsid w:val="53BC772E"/>
    <w:rsid w:val="53C438F2"/>
    <w:rsid w:val="53FB2F47"/>
    <w:rsid w:val="54017EEF"/>
    <w:rsid w:val="540F7CC5"/>
    <w:rsid w:val="543D1653"/>
    <w:rsid w:val="54506385"/>
    <w:rsid w:val="54913993"/>
    <w:rsid w:val="54B46D2D"/>
    <w:rsid w:val="54EA346C"/>
    <w:rsid w:val="54F40207"/>
    <w:rsid w:val="55550950"/>
    <w:rsid w:val="5555290C"/>
    <w:rsid w:val="55D10548"/>
    <w:rsid w:val="55DB3350"/>
    <w:rsid w:val="55E73FD5"/>
    <w:rsid w:val="5621502B"/>
    <w:rsid w:val="5653730A"/>
    <w:rsid w:val="569F0011"/>
    <w:rsid w:val="5705216A"/>
    <w:rsid w:val="570D3D70"/>
    <w:rsid w:val="574B719F"/>
    <w:rsid w:val="575625C6"/>
    <w:rsid w:val="575D053A"/>
    <w:rsid w:val="57753B29"/>
    <w:rsid w:val="57AA1051"/>
    <w:rsid w:val="57BC7823"/>
    <w:rsid w:val="57F76DD9"/>
    <w:rsid w:val="58350A83"/>
    <w:rsid w:val="588D53BE"/>
    <w:rsid w:val="58BD6097"/>
    <w:rsid w:val="592E105D"/>
    <w:rsid w:val="593212FE"/>
    <w:rsid w:val="59481573"/>
    <w:rsid w:val="59867087"/>
    <w:rsid w:val="598915A6"/>
    <w:rsid w:val="59D9354F"/>
    <w:rsid w:val="59FE2A1F"/>
    <w:rsid w:val="5A235F34"/>
    <w:rsid w:val="5A5C770E"/>
    <w:rsid w:val="5A625C12"/>
    <w:rsid w:val="5A957D82"/>
    <w:rsid w:val="5AA62968"/>
    <w:rsid w:val="5AD54636"/>
    <w:rsid w:val="5B0B1E06"/>
    <w:rsid w:val="5B4F313F"/>
    <w:rsid w:val="5B7D45EA"/>
    <w:rsid w:val="5BD20B76"/>
    <w:rsid w:val="5BD65D63"/>
    <w:rsid w:val="5C0A6562"/>
    <w:rsid w:val="5C2917C9"/>
    <w:rsid w:val="5CB3733F"/>
    <w:rsid w:val="5CBD4BB2"/>
    <w:rsid w:val="5CE90E9E"/>
    <w:rsid w:val="5D3B1851"/>
    <w:rsid w:val="5D860856"/>
    <w:rsid w:val="5D871691"/>
    <w:rsid w:val="5E6E536B"/>
    <w:rsid w:val="5E9D546B"/>
    <w:rsid w:val="5EA31B38"/>
    <w:rsid w:val="5EEB4428"/>
    <w:rsid w:val="5F0059FA"/>
    <w:rsid w:val="5F3C1128"/>
    <w:rsid w:val="5F5E1B86"/>
    <w:rsid w:val="5F816B3B"/>
    <w:rsid w:val="5F91367F"/>
    <w:rsid w:val="5FBA29C5"/>
    <w:rsid w:val="5FEC6D13"/>
    <w:rsid w:val="60522AAD"/>
    <w:rsid w:val="608F2EE2"/>
    <w:rsid w:val="60C95589"/>
    <w:rsid w:val="612D4D53"/>
    <w:rsid w:val="615F317C"/>
    <w:rsid w:val="617050B9"/>
    <w:rsid w:val="61926DDD"/>
    <w:rsid w:val="61F23D20"/>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7C5222"/>
    <w:rsid w:val="659C46CE"/>
    <w:rsid w:val="65F8635A"/>
    <w:rsid w:val="66363A30"/>
    <w:rsid w:val="666A0329"/>
    <w:rsid w:val="66967370"/>
    <w:rsid w:val="66BB1AFB"/>
    <w:rsid w:val="66E31E89"/>
    <w:rsid w:val="66EF6A80"/>
    <w:rsid w:val="674D3CE9"/>
    <w:rsid w:val="67582877"/>
    <w:rsid w:val="67797A29"/>
    <w:rsid w:val="6792167D"/>
    <w:rsid w:val="67BD350F"/>
    <w:rsid w:val="683C5CF5"/>
    <w:rsid w:val="68534DEC"/>
    <w:rsid w:val="68A74F49"/>
    <w:rsid w:val="68F3424F"/>
    <w:rsid w:val="692C0E45"/>
    <w:rsid w:val="69454812"/>
    <w:rsid w:val="6951757E"/>
    <w:rsid w:val="6967075D"/>
    <w:rsid w:val="69C550B4"/>
    <w:rsid w:val="69FA13E7"/>
    <w:rsid w:val="6A2B09DC"/>
    <w:rsid w:val="6A2D5A65"/>
    <w:rsid w:val="6A4B47ED"/>
    <w:rsid w:val="6A6376B8"/>
    <w:rsid w:val="6A7755A9"/>
    <w:rsid w:val="6AC84FD1"/>
    <w:rsid w:val="6B5B689E"/>
    <w:rsid w:val="6B8C3A28"/>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C27506"/>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4E01B6"/>
    <w:rsid w:val="71912C7F"/>
    <w:rsid w:val="71C650B7"/>
    <w:rsid w:val="71CF1988"/>
    <w:rsid w:val="72190E55"/>
    <w:rsid w:val="72277E2F"/>
    <w:rsid w:val="72503520"/>
    <w:rsid w:val="72777FE9"/>
    <w:rsid w:val="72E560B4"/>
    <w:rsid w:val="73283F7C"/>
    <w:rsid w:val="73821344"/>
    <w:rsid w:val="73EA5560"/>
    <w:rsid w:val="740A314B"/>
    <w:rsid w:val="74161F51"/>
    <w:rsid w:val="744D3038"/>
    <w:rsid w:val="74516218"/>
    <w:rsid w:val="74644DBD"/>
    <w:rsid w:val="74C36260"/>
    <w:rsid w:val="756107BC"/>
    <w:rsid w:val="75834F63"/>
    <w:rsid w:val="759C7DD3"/>
    <w:rsid w:val="75DF0C59"/>
    <w:rsid w:val="75FD3BFF"/>
    <w:rsid w:val="763D7A3F"/>
    <w:rsid w:val="765A0D7E"/>
    <w:rsid w:val="766A4304"/>
    <w:rsid w:val="769A6A08"/>
    <w:rsid w:val="76A943A2"/>
    <w:rsid w:val="77280754"/>
    <w:rsid w:val="77493ED3"/>
    <w:rsid w:val="775B7CD8"/>
    <w:rsid w:val="77F65547"/>
    <w:rsid w:val="780D4FB8"/>
    <w:rsid w:val="785018A3"/>
    <w:rsid w:val="7855420A"/>
    <w:rsid w:val="786C2262"/>
    <w:rsid w:val="786E0A50"/>
    <w:rsid w:val="787D49D6"/>
    <w:rsid w:val="78C97718"/>
    <w:rsid w:val="78E245E6"/>
    <w:rsid w:val="79350448"/>
    <w:rsid w:val="7945759A"/>
    <w:rsid w:val="795D123B"/>
    <w:rsid w:val="797D2716"/>
    <w:rsid w:val="7987101F"/>
    <w:rsid w:val="79C93160"/>
    <w:rsid w:val="79CC5C0E"/>
    <w:rsid w:val="79D008FA"/>
    <w:rsid w:val="79E36920"/>
    <w:rsid w:val="7A101AB7"/>
    <w:rsid w:val="7A465F7C"/>
    <w:rsid w:val="7A7E219D"/>
    <w:rsid w:val="7AE02DF1"/>
    <w:rsid w:val="7B0F54EB"/>
    <w:rsid w:val="7B252618"/>
    <w:rsid w:val="7B3E72C4"/>
    <w:rsid w:val="7B64029B"/>
    <w:rsid w:val="7BEB4EE8"/>
    <w:rsid w:val="7C163879"/>
    <w:rsid w:val="7C2D544B"/>
    <w:rsid w:val="7C4375A1"/>
    <w:rsid w:val="7C581C2C"/>
    <w:rsid w:val="7C921634"/>
    <w:rsid w:val="7CA46A66"/>
    <w:rsid w:val="7CC04412"/>
    <w:rsid w:val="7CF4552D"/>
    <w:rsid w:val="7D07647A"/>
    <w:rsid w:val="7D2D1C58"/>
    <w:rsid w:val="7D43322A"/>
    <w:rsid w:val="7D6C22BD"/>
    <w:rsid w:val="7D6C452F"/>
    <w:rsid w:val="7D791F6C"/>
    <w:rsid w:val="7D90323E"/>
    <w:rsid w:val="7DA74646"/>
    <w:rsid w:val="7DE01D7D"/>
    <w:rsid w:val="7E256D04"/>
    <w:rsid w:val="7E2C609E"/>
    <w:rsid w:val="7ED74932"/>
    <w:rsid w:val="7EE37ECB"/>
    <w:rsid w:val="7EE477AF"/>
    <w:rsid w:val="7F0E3679"/>
    <w:rsid w:val="7F6320EC"/>
    <w:rsid w:val="7FAF1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61"/>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62"/>
    <w:autoRedefine/>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5"/>
    <w:link w:val="63"/>
    <w:autoRedefine/>
    <w:unhideWhenUsed/>
    <w:qFormat/>
    <w:uiPriority w:val="9"/>
    <w:pPr>
      <w:spacing w:line="560" w:lineRule="exact"/>
      <w:jc w:val="center"/>
      <w:outlineLvl w:val="2"/>
    </w:pPr>
    <w:rPr>
      <w:rFonts w:ascii="方正小标宋_GBK" w:hAnsi="仿宋" w:eastAsia="方正小标宋_GBK"/>
      <w:sz w:val="36"/>
      <w:szCs w:val="36"/>
    </w:rPr>
  </w:style>
  <w:style w:type="paragraph" w:styleId="7">
    <w:name w:val="heading 4"/>
    <w:basedOn w:val="1"/>
    <w:next w:val="1"/>
    <w:link w:val="64"/>
    <w:autoRedefine/>
    <w:semiHidden/>
    <w:unhideWhenUsed/>
    <w:qFormat/>
    <w:uiPriority w:val="9"/>
    <w:pPr>
      <w:keepNext/>
      <w:numPr>
        <w:ilvl w:val="3"/>
        <w:numId w:val="1"/>
      </w:numPr>
      <w:spacing w:before="240" w:after="60"/>
      <w:outlineLvl w:val="3"/>
    </w:pPr>
    <w:rPr>
      <w:rFonts w:cstheme="majorBidi"/>
      <w:b/>
      <w:bCs/>
      <w:sz w:val="28"/>
      <w:szCs w:val="28"/>
    </w:rPr>
  </w:style>
  <w:style w:type="paragraph" w:styleId="8">
    <w:name w:val="heading 5"/>
    <w:basedOn w:val="1"/>
    <w:next w:val="1"/>
    <w:link w:val="65"/>
    <w:autoRedefine/>
    <w:semiHidden/>
    <w:unhideWhenUsed/>
    <w:qFormat/>
    <w:uiPriority w:val="9"/>
    <w:pPr>
      <w:numPr>
        <w:ilvl w:val="4"/>
        <w:numId w:val="1"/>
      </w:numPr>
      <w:spacing w:before="240" w:after="60"/>
      <w:outlineLvl w:val="4"/>
    </w:pPr>
    <w:rPr>
      <w:b/>
      <w:bCs/>
      <w:i/>
      <w:iCs/>
      <w:sz w:val="26"/>
      <w:szCs w:val="26"/>
    </w:rPr>
  </w:style>
  <w:style w:type="paragraph" w:styleId="9">
    <w:name w:val="heading 6"/>
    <w:basedOn w:val="1"/>
    <w:next w:val="1"/>
    <w:link w:val="66"/>
    <w:autoRedefine/>
    <w:semiHidden/>
    <w:unhideWhenUsed/>
    <w:qFormat/>
    <w:uiPriority w:val="9"/>
    <w:pPr>
      <w:numPr>
        <w:ilvl w:val="5"/>
        <w:numId w:val="1"/>
      </w:numPr>
      <w:spacing w:before="240" w:after="60"/>
      <w:outlineLvl w:val="5"/>
    </w:pPr>
    <w:rPr>
      <w:rFonts w:cstheme="majorBidi"/>
      <w:b/>
      <w:bCs/>
      <w:sz w:val="22"/>
      <w:szCs w:val="22"/>
    </w:rPr>
  </w:style>
  <w:style w:type="paragraph" w:styleId="10">
    <w:name w:val="heading 7"/>
    <w:basedOn w:val="1"/>
    <w:next w:val="1"/>
    <w:link w:val="67"/>
    <w:autoRedefine/>
    <w:semiHidden/>
    <w:unhideWhenUsed/>
    <w:qFormat/>
    <w:uiPriority w:val="9"/>
    <w:pPr>
      <w:numPr>
        <w:ilvl w:val="6"/>
        <w:numId w:val="1"/>
      </w:numPr>
      <w:spacing w:before="240" w:after="60"/>
      <w:outlineLvl w:val="6"/>
    </w:pPr>
  </w:style>
  <w:style w:type="paragraph" w:styleId="11">
    <w:name w:val="heading 8"/>
    <w:basedOn w:val="1"/>
    <w:next w:val="1"/>
    <w:link w:val="68"/>
    <w:autoRedefine/>
    <w:semiHidden/>
    <w:unhideWhenUsed/>
    <w:qFormat/>
    <w:uiPriority w:val="9"/>
    <w:pPr>
      <w:numPr>
        <w:ilvl w:val="7"/>
        <w:numId w:val="1"/>
      </w:numPr>
      <w:spacing w:before="240" w:after="60"/>
      <w:outlineLvl w:val="7"/>
    </w:pPr>
    <w:rPr>
      <w:rFonts w:cstheme="majorBidi"/>
      <w:i/>
      <w:iCs/>
    </w:rPr>
  </w:style>
  <w:style w:type="paragraph" w:styleId="12">
    <w:name w:val="heading 9"/>
    <w:basedOn w:val="1"/>
    <w:next w:val="1"/>
    <w:link w:val="69"/>
    <w:autoRedefine/>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6">
    <w:name w:val="toc 4"/>
    <w:basedOn w:val="1"/>
    <w:next w:val="1"/>
    <w:unhideWhenUsed/>
    <w:qFormat/>
    <w:uiPriority w:val="39"/>
    <w:pPr>
      <w:ind w:left="1260" w:leftChars="600"/>
    </w:pPr>
  </w:style>
  <w:style w:type="paragraph" w:styleId="13">
    <w:name w:val="caption"/>
    <w:basedOn w:val="1"/>
    <w:next w:val="1"/>
    <w:autoRedefine/>
    <w:semiHidden/>
    <w:unhideWhenUsed/>
    <w:qFormat/>
    <w:uiPriority w:val="35"/>
    <w:rPr>
      <w:rFonts w:eastAsia="黑体" w:asciiTheme="majorHAnsi" w:hAnsiTheme="majorHAnsi" w:cstheme="majorBidi"/>
      <w:sz w:val="20"/>
      <w:szCs w:val="20"/>
    </w:rPr>
  </w:style>
  <w:style w:type="paragraph" w:styleId="14">
    <w:name w:val="Document Map"/>
    <w:basedOn w:val="1"/>
    <w:link w:val="93"/>
    <w:autoRedefine/>
    <w:semiHidden/>
    <w:unhideWhenUsed/>
    <w:qFormat/>
    <w:uiPriority w:val="99"/>
    <w:pPr>
      <w:spacing w:line="400" w:lineRule="exact"/>
      <w:jc w:val="both"/>
    </w:pPr>
    <w:rPr>
      <w:rFonts w:ascii="宋体" w:hAnsi="Calibri Light" w:eastAsia="宋体" w:cs="Calibri Light"/>
      <w:kern w:val="2"/>
      <w:sz w:val="18"/>
      <w:szCs w:val="18"/>
    </w:rPr>
  </w:style>
  <w:style w:type="paragraph" w:styleId="15">
    <w:name w:val="annotation text"/>
    <w:basedOn w:val="1"/>
    <w:link w:val="85"/>
    <w:autoRedefine/>
    <w:unhideWhenUsed/>
    <w:qFormat/>
    <w:uiPriority w:val="99"/>
    <w:pPr>
      <w:spacing w:line="400" w:lineRule="exact"/>
    </w:pPr>
    <w:rPr>
      <w:rFonts w:ascii="Calibri Light" w:hAnsi="Calibri Light" w:eastAsia="华文仿宋" w:cs="Calibri Light"/>
      <w:kern w:val="2"/>
      <w:sz w:val="28"/>
      <w:szCs w:val="28"/>
    </w:rPr>
  </w:style>
  <w:style w:type="paragraph" w:styleId="16">
    <w:name w:val="Body Text"/>
    <w:basedOn w:val="1"/>
    <w:autoRedefine/>
    <w:qFormat/>
    <w:uiPriority w:val="0"/>
    <w:rPr>
      <w:color w:val="993300"/>
      <w:sz w:val="24"/>
    </w:rPr>
  </w:style>
  <w:style w:type="paragraph" w:styleId="17">
    <w:name w:val="Plain Text"/>
    <w:basedOn w:val="1"/>
    <w:next w:val="1"/>
    <w:autoRedefine/>
    <w:qFormat/>
    <w:uiPriority w:val="0"/>
    <w:rPr>
      <w:rFonts w:ascii="宋体"/>
      <w:szCs w:val="20"/>
    </w:rPr>
  </w:style>
  <w:style w:type="paragraph" w:styleId="18">
    <w:name w:val="Date"/>
    <w:basedOn w:val="1"/>
    <w:next w:val="1"/>
    <w:link w:val="58"/>
    <w:autoRedefine/>
    <w:semiHidden/>
    <w:unhideWhenUsed/>
    <w:qFormat/>
    <w:uiPriority w:val="99"/>
    <w:pPr>
      <w:ind w:left="100" w:leftChars="2500"/>
    </w:pPr>
  </w:style>
  <w:style w:type="paragraph" w:styleId="19">
    <w:name w:val="Balloon Text"/>
    <w:basedOn w:val="1"/>
    <w:link w:val="84"/>
    <w:autoRedefine/>
    <w:semiHidden/>
    <w:unhideWhenUsed/>
    <w:qFormat/>
    <w:uiPriority w:val="99"/>
    <w:rPr>
      <w:sz w:val="18"/>
      <w:szCs w:val="18"/>
    </w:rPr>
  </w:style>
  <w:style w:type="paragraph" w:styleId="20">
    <w:name w:val="footer"/>
    <w:basedOn w:val="1"/>
    <w:link w:val="60"/>
    <w:autoRedefine/>
    <w:unhideWhenUsed/>
    <w:qFormat/>
    <w:uiPriority w:val="99"/>
    <w:pPr>
      <w:tabs>
        <w:tab w:val="center" w:pos="4153"/>
        <w:tab w:val="right" w:pos="8306"/>
      </w:tabs>
      <w:snapToGrid w:val="0"/>
      <w:spacing w:line="240" w:lineRule="atLeast"/>
    </w:pPr>
    <w:rPr>
      <w:sz w:val="18"/>
      <w:szCs w:val="18"/>
    </w:rPr>
  </w:style>
  <w:style w:type="paragraph" w:styleId="21">
    <w:name w:val="header"/>
    <w:basedOn w:val="1"/>
    <w:link w:val="59"/>
    <w:autoRedefine/>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2">
    <w:name w:val="toc 1"/>
    <w:basedOn w:val="1"/>
    <w:next w:val="1"/>
    <w:autoRedefine/>
    <w:unhideWhenUsed/>
    <w:qFormat/>
    <w:uiPriority w:val="39"/>
    <w:pPr>
      <w:spacing w:before="100" w:beforeLines="100" w:after="100" w:afterLines="100"/>
    </w:pPr>
    <w:rPr>
      <w:rFonts w:ascii="Calibri" w:hAnsi="Calibri" w:eastAsia="宋体"/>
      <w:kern w:val="32"/>
      <w:sz w:val="32"/>
    </w:rPr>
  </w:style>
  <w:style w:type="paragraph" w:styleId="23">
    <w:name w:val="Subtitle"/>
    <w:basedOn w:val="1"/>
    <w:next w:val="1"/>
    <w:link w:val="71"/>
    <w:autoRedefine/>
    <w:qFormat/>
    <w:uiPriority w:val="11"/>
    <w:pPr>
      <w:keepNext/>
      <w:spacing w:before="50" w:beforeLines="50" w:after="50" w:afterLines="50"/>
      <w:jc w:val="center"/>
      <w:outlineLvl w:val="1"/>
    </w:pPr>
    <w:rPr>
      <w:rFonts w:ascii="Calibri" w:hAnsi="Calibri" w:eastAsia="黑体" w:cstheme="majorBidi"/>
      <w:sz w:val="32"/>
    </w:rPr>
  </w:style>
  <w:style w:type="paragraph" w:styleId="24">
    <w:name w:val="Body Text Indent 3"/>
    <w:basedOn w:val="1"/>
    <w:autoRedefine/>
    <w:qFormat/>
    <w:uiPriority w:val="0"/>
    <w:pPr>
      <w:spacing w:after="120"/>
      <w:ind w:left="420" w:leftChars="200"/>
    </w:pPr>
    <w:rPr>
      <w:sz w:val="16"/>
    </w:rPr>
  </w:style>
  <w:style w:type="paragraph" w:styleId="25">
    <w:name w:val="Normal (Web)"/>
    <w:basedOn w:val="1"/>
    <w:autoRedefine/>
    <w:qFormat/>
    <w:uiPriority w:val="0"/>
    <w:pPr>
      <w:widowControl/>
      <w:spacing w:before="100" w:beforeAutospacing="1" w:after="100" w:afterAutospacing="1"/>
    </w:pPr>
    <w:rPr>
      <w:rFonts w:ascii="宋体" w:hAnsi="宋体"/>
      <w:sz w:val="24"/>
    </w:rPr>
  </w:style>
  <w:style w:type="paragraph" w:styleId="26">
    <w:name w:val="Title"/>
    <w:basedOn w:val="1"/>
    <w:next w:val="1"/>
    <w:link w:val="70"/>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7">
    <w:name w:val="annotation subject"/>
    <w:basedOn w:val="15"/>
    <w:next w:val="15"/>
    <w:link w:val="92"/>
    <w:autoRedefine/>
    <w:semiHidden/>
    <w:unhideWhenUsed/>
    <w:qFormat/>
    <w:uiPriority w:val="99"/>
    <w:rPr>
      <w:b/>
      <w:bCs/>
    </w:rPr>
  </w:style>
  <w:style w:type="paragraph" w:styleId="28">
    <w:name w:val="Body Text First Indent"/>
    <w:basedOn w:val="16"/>
    <w:next w:val="1"/>
    <w:autoRedefine/>
    <w:unhideWhenUsed/>
    <w:qFormat/>
    <w:uiPriority w:val="99"/>
    <w:pPr>
      <w:ind w:firstLine="420" w:firstLineChars="100"/>
    </w:pPr>
    <w:rPr>
      <w:szCs w:val="24"/>
    </w:rPr>
  </w:style>
  <w:style w:type="table" w:styleId="30">
    <w:name w:val="Table Grid"/>
    <w:basedOn w:val="2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22"/>
    <w:rPr>
      <w:b/>
      <w:bCs/>
    </w:rPr>
  </w:style>
  <w:style w:type="character" w:styleId="33">
    <w:name w:val="page number"/>
    <w:autoRedefine/>
    <w:qFormat/>
    <w:uiPriority w:val="0"/>
    <w:rPr>
      <w:rFonts w:ascii="Times New Roman" w:hAnsi="Times New Roman" w:eastAsia="宋体" w:cs="Times New Roman"/>
    </w:rPr>
  </w:style>
  <w:style w:type="character" w:styleId="34">
    <w:name w:val="FollowedHyperlink"/>
    <w:basedOn w:val="31"/>
    <w:autoRedefine/>
    <w:semiHidden/>
    <w:unhideWhenUsed/>
    <w:qFormat/>
    <w:uiPriority w:val="99"/>
    <w:rPr>
      <w:color w:val="954F72" w:themeColor="followedHyperlink"/>
      <w:u w:val="single"/>
      <w14:textFill>
        <w14:solidFill>
          <w14:schemeClr w14:val="folHlink"/>
        </w14:solidFill>
      </w14:textFill>
    </w:rPr>
  </w:style>
  <w:style w:type="character" w:styleId="35">
    <w:name w:val="Emphasis"/>
    <w:basedOn w:val="31"/>
    <w:autoRedefine/>
    <w:qFormat/>
    <w:uiPriority w:val="20"/>
    <w:rPr>
      <w:rFonts w:asciiTheme="minorHAnsi" w:hAnsiTheme="minorHAnsi"/>
      <w:b/>
      <w:i/>
      <w:iCs/>
    </w:rPr>
  </w:style>
  <w:style w:type="character" w:styleId="36">
    <w:name w:val="Hyperlink"/>
    <w:basedOn w:val="31"/>
    <w:autoRedefine/>
    <w:unhideWhenUsed/>
    <w:qFormat/>
    <w:uiPriority w:val="99"/>
    <w:rPr>
      <w:color w:val="0563C1" w:themeColor="hyperlink"/>
      <w:u w:val="single"/>
      <w14:textFill>
        <w14:solidFill>
          <w14:schemeClr w14:val="hlink"/>
        </w14:solidFill>
      </w14:textFill>
    </w:rPr>
  </w:style>
  <w:style w:type="character" w:styleId="37">
    <w:name w:val="annotation reference"/>
    <w:basedOn w:val="31"/>
    <w:autoRedefine/>
    <w:semiHidden/>
    <w:unhideWhenUsed/>
    <w:qFormat/>
    <w:uiPriority w:val="99"/>
    <w:rPr>
      <w:sz w:val="21"/>
      <w:szCs w:val="21"/>
    </w:rPr>
  </w:style>
  <w:style w:type="paragraph" w:customStyle="1" w:styleId="38">
    <w:name w:val="※封面大标题"/>
    <w:basedOn w:val="1"/>
    <w:next w:val="1"/>
    <w:autoRedefine/>
    <w:qFormat/>
    <w:uiPriority w:val="0"/>
    <w:pPr>
      <w:jc w:val="center"/>
    </w:pPr>
    <w:rPr>
      <w:rFonts w:ascii="华文中宋" w:hAnsi="华文中宋" w:eastAsia="华文中宋"/>
      <w:sz w:val="96"/>
      <w:szCs w:val="96"/>
    </w:rPr>
  </w:style>
  <w:style w:type="paragraph" w:customStyle="1" w:styleId="39">
    <w:name w:val="※封面题颌"/>
    <w:basedOn w:val="1"/>
    <w:next w:val="1"/>
    <w:autoRedefine/>
    <w:qFormat/>
    <w:uiPriority w:val="0"/>
    <w:pPr>
      <w:jc w:val="center"/>
    </w:pPr>
    <w:rPr>
      <w:rFonts w:ascii="Calibri Light" w:hAnsi="Calibri Light" w:eastAsia="华文仿宋"/>
      <w:sz w:val="36"/>
      <w:szCs w:val="36"/>
    </w:rPr>
  </w:style>
  <w:style w:type="paragraph" w:customStyle="1" w:styleId="40">
    <w:name w:val="※封面题眉"/>
    <w:basedOn w:val="1"/>
    <w:next w:val="38"/>
    <w:autoRedefine/>
    <w:qFormat/>
    <w:uiPriority w:val="0"/>
    <w:pPr>
      <w:jc w:val="center"/>
    </w:pPr>
    <w:rPr>
      <w:rFonts w:ascii="华文仿宋" w:hAnsi="华文仿宋" w:eastAsia="华文仿宋"/>
      <w:sz w:val="52"/>
      <w:szCs w:val="28"/>
    </w:rPr>
  </w:style>
  <w:style w:type="paragraph" w:customStyle="1" w:styleId="41">
    <w:name w:val="※封面题须"/>
    <w:basedOn w:val="1"/>
    <w:autoRedefine/>
    <w:qFormat/>
    <w:uiPriority w:val="0"/>
    <w:pPr>
      <w:ind w:left="850" w:leftChars="350" w:right="250" w:rightChars="250" w:hanging="500" w:hangingChars="500"/>
    </w:pPr>
    <w:rPr>
      <w:rFonts w:ascii="Calibri" w:hAnsi="Calibri" w:eastAsia="宋体"/>
      <w:sz w:val="36"/>
      <w:szCs w:val="36"/>
    </w:rPr>
  </w:style>
  <w:style w:type="paragraph" w:customStyle="1" w:styleId="42">
    <w:name w:val="※目录（次）"/>
    <w:basedOn w:val="1"/>
    <w:autoRedefine/>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3">
    <w:name w:val="※目录（主）"/>
    <w:basedOn w:val="1"/>
    <w:autoRedefine/>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4">
    <w:name w:val="※小标题 1"/>
    <w:basedOn w:val="1"/>
    <w:next w:val="1"/>
    <w:autoRedefine/>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5">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46">
    <w:name w:val="※小标题 一"/>
    <w:basedOn w:val="45"/>
    <w:next w:val="45"/>
    <w:autoRedefine/>
    <w:qFormat/>
    <w:uiPriority w:val="0"/>
    <w:pPr>
      <w:spacing w:before="120" w:line="240" w:lineRule="auto"/>
      <w:outlineLvl w:val="2"/>
    </w:pPr>
    <w:rPr>
      <w:b/>
      <w:color w:val="203864" w:themeColor="accent5" w:themeShade="80"/>
      <w:sz w:val="32"/>
    </w:rPr>
  </w:style>
  <w:style w:type="paragraph" w:customStyle="1" w:styleId="47">
    <w:name w:val="※小标题（1）"/>
    <w:basedOn w:val="1"/>
    <w:next w:val="45"/>
    <w:autoRedefine/>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8">
    <w:name w:val="※小标题（一）"/>
    <w:basedOn w:val="1"/>
    <w:next w:val="45"/>
    <w:autoRedefine/>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9">
    <w:name w:val="※页脚（横屏）"/>
    <w:basedOn w:val="1"/>
    <w:autoRedefine/>
    <w:qFormat/>
    <w:uiPriority w:val="0"/>
    <w:pPr>
      <w:tabs>
        <w:tab w:val="center" w:pos="7000"/>
      </w:tabs>
      <w:wordWrap w:val="0"/>
      <w:spacing w:line="240" w:lineRule="atLeast"/>
    </w:pPr>
    <w:rPr>
      <w:rFonts w:ascii="宋体" w:hAnsi="宋体" w:eastAsia="宋体"/>
      <w:sz w:val="18"/>
      <w:szCs w:val="18"/>
    </w:rPr>
  </w:style>
  <w:style w:type="paragraph" w:customStyle="1" w:styleId="50">
    <w:name w:val="※页脚（竖屏）"/>
    <w:basedOn w:val="1"/>
    <w:autoRedefine/>
    <w:qFormat/>
    <w:uiPriority w:val="0"/>
    <w:pPr>
      <w:tabs>
        <w:tab w:val="center" w:pos="4536"/>
      </w:tabs>
      <w:wordWrap w:val="0"/>
      <w:spacing w:line="240" w:lineRule="atLeast"/>
    </w:pPr>
    <w:rPr>
      <w:rFonts w:ascii="宋体" w:hAnsi="宋体" w:eastAsia="宋体"/>
      <w:sz w:val="18"/>
      <w:szCs w:val="18"/>
    </w:rPr>
  </w:style>
  <w:style w:type="paragraph" w:customStyle="1" w:styleId="51">
    <w:name w:val="※页眉"/>
    <w:basedOn w:val="45"/>
    <w:autoRedefine/>
    <w:qFormat/>
    <w:uiPriority w:val="0"/>
    <w:pPr>
      <w:pBdr>
        <w:bottom w:val="single" w:color="auto" w:sz="4" w:space="1"/>
      </w:pBdr>
      <w:spacing w:line="240" w:lineRule="atLeast"/>
      <w:jc w:val="right"/>
    </w:pPr>
    <w:rPr>
      <w:rFonts w:ascii="宋体" w:hAnsi="宋体" w:eastAsia="宋体"/>
      <w:sz w:val="18"/>
    </w:rPr>
  </w:style>
  <w:style w:type="paragraph" w:customStyle="1" w:styleId="52">
    <w:name w:val="※章节标题（第X章）"/>
    <w:basedOn w:val="1"/>
    <w:autoRedefine/>
    <w:qFormat/>
    <w:uiPriority w:val="0"/>
    <w:pPr>
      <w:jc w:val="center"/>
      <w:outlineLvl w:val="0"/>
    </w:pPr>
    <w:rPr>
      <w:rFonts w:ascii="Calibri Light" w:hAnsi="Calibri Light" w:eastAsia="黑体"/>
      <w:sz w:val="36"/>
      <w:szCs w:val="28"/>
    </w:rPr>
  </w:style>
  <w:style w:type="paragraph" w:customStyle="1" w:styleId="53">
    <w:name w:val="※章节标题（第Y部分）"/>
    <w:basedOn w:val="1"/>
    <w:next w:val="1"/>
    <w:autoRedefine/>
    <w:qFormat/>
    <w:uiPriority w:val="0"/>
    <w:pPr>
      <w:jc w:val="center"/>
      <w:outlineLvl w:val="1"/>
    </w:pPr>
    <w:rPr>
      <w:rFonts w:ascii="Calibri Light" w:hAnsi="Calibri Light" w:eastAsia="黑体"/>
      <w:color w:val="1F4E79" w:themeColor="accent1" w:themeShade="80"/>
      <w:sz w:val="32"/>
      <w:szCs w:val="36"/>
    </w:rPr>
  </w:style>
  <w:style w:type="paragraph" w:customStyle="1" w:styleId="54">
    <w:name w:val="※章节标题（第Z部分分项）"/>
    <w:basedOn w:val="53"/>
    <w:autoRedefine/>
    <w:qFormat/>
    <w:uiPriority w:val="0"/>
    <w:pPr>
      <w:outlineLvl w:val="2"/>
    </w:pPr>
  </w:style>
  <w:style w:type="paragraph" w:customStyle="1" w:styleId="55">
    <w:name w:val="※正文（落款）"/>
    <w:basedOn w:val="1"/>
    <w:autoRedefine/>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6">
    <w:name w:val="※正文（缩进2）"/>
    <w:basedOn w:val="45"/>
    <w:autoRedefine/>
    <w:qFormat/>
    <w:uiPriority w:val="0"/>
    <w:pPr>
      <w:ind w:firstLine="200" w:firstLineChars="200"/>
    </w:pPr>
  </w:style>
  <w:style w:type="paragraph" w:customStyle="1" w:styleId="57">
    <w:name w:val="※正文（缩进4）"/>
    <w:basedOn w:val="45"/>
    <w:autoRedefine/>
    <w:qFormat/>
    <w:uiPriority w:val="0"/>
    <w:pPr>
      <w:ind w:firstLine="400" w:firstLineChars="400"/>
    </w:pPr>
  </w:style>
  <w:style w:type="character" w:customStyle="1" w:styleId="58">
    <w:name w:val="日期 字符"/>
    <w:basedOn w:val="31"/>
    <w:link w:val="18"/>
    <w:autoRedefine/>
    <w:semiHidden/>
    <w:qFormat/>
    <w:uiPriority w:val="99"/>
    <w:rPr>
      <w:rFonts w:ascii="华文仿宋" w:hAnsi="华文仿宋" w:eastAsia="华文仿宋"/>
      <w:sz w:val="28"/>
      <w:szCs w:val="28"/>
    </w:rPr>
  </w:style>
  <w:style w:type="character" w:customStyle="1" w:styleId="59">
    <w:name w:val="页眉 字符"/>
    <w:basedOn w:val="31"/>
    <w:link w:val="21"/>
    <w:autoRedefine/>
    <w:qFormat/>
    <w:uiPriority w:val="0"/>
    <w:rPr>
      <w:rFonts w:ascii="华文仿宋" w:hAnsi="华文仿宋" w:eastAsia="华文仿宋"/>
      <w:sz w:val="18"/>
      <w:szCs w:val="18"/>
    </w:rPr>
  </w:style>
  <w:style w:type="character" w:customStyle="1" w:styleId="60">
    <w:name w:val="页脚 字符"/>
    <w:basedOn w:val="31"/>
    <w:link w:val="20"/>
    <w:autoRedefine/>
    <w:qFormat/>
    <w:uiPriority w:val="99"/>
    <w:rPr>
      <w:rFonts w:ascii="华文仿宋" w:hAnsi="华文仿宋" w:eastAsia="华文仿宋"/>
      <w:sz w:val="18"/>
      <w:szCs w:val="18"/>
    </w:rPr>
  </w:style>
  <w:style w:type="character" w:customStyle="1" w:styleId="61">
    <w:name w:val="标题 1 字符"/>
    <w:basedOn w:val="31"/>
    <w:link w:val="2"/>
    <w:autoRedefine/>
    <w:qFormat/>
    <w:uiPriority w:val="9"/>
    <w:rPr>
      <w:rFonts w:ascii="方正小标宋_GBK" w:hAnsi="仿宋" w:eastAsia="方正小标宋_GBK"/>
      <w:sz w:val="44"/>
      <w:szCs w:val="44"/>
    </w:rPr>
  </w:style>
  <w:style w:type="character" w:customStyle="1" w:styleId="62">
    <w:name w:val="标题 2 字符"/>
    <w:basedOn w:val="31"/>
    <w:link w:val="3"/>
    <w:autoRedefine/>
    <w:qFormat/>
    <w:uiPriority w:val="9"/>
    <w:rPr>
      <w:rFonts w:ascii="楷体" w:hAnsi="楷体" w:eastAsia="黑体"/>
      <w:sz w:val="32"/>
      <w:szCs w:val="32"/>
    </w:rPr>
  </w:style>
  <w:style w:type="character" w:customStyle="1" w:styleId="63">
    <w:name w:val="标题 3 字符"/>
    <w:basedOn w:val="31"/>
    <w:link w:val="4"/>
    <w:autoRedefine/>
    <w:qFormat/>
    <w:uiPriority w:val="9"/>
    <w:rPr>
      <w:rFonts w:ascii="方正小标宋_GBK" w:hAnsi="仿宋" w:eastAsia="方正小标宋_GBK"/>
      <w:sz w:val="36"/>
      <w:szCs w:val="36"/>
    </w:rPr>
  </w:style>
  <w:style w:type="character" w:customStyle="1" w:styleId="64">
    <w:name w:val="标题 4 字符"/>
    <w:basedOn w:val="31"/>
    <w:link w:val="7"/>
    <w:autoRedefine/>
    <w:semiHidden/>
    <w:qFormat/>
    <w:uiPriority w:val="9"/>
    <w:rPr>
      <w:rFonts w:cstheme="majorBidi"/>
      <w:b/>
      <w:bCs/>
      <w:sz w:val="28"/>
      <w:szCs w:val="28"/>
    </w:rPr>
  </w:style>
  <w:style w:type="character" w:customStyle="1" w:styleId="65">
    <w:name w:val="标题 5 字符"/>
    <w:basedOn w:val="31"/>
    <w:link w:val="8"/>
    <w:autoRedefine/>
    <w:semiHidden/>
    <w:qFormat/>
    <w:uiPriority w:val="9"/>
    <w:rPr>
      <w:b/>
      <w:bCs/>
      <w:i/>
      <w:iCs/>
      <w:sz w:val="26"/>
      <w:szCs w:val="26"/>
    </w:rPr>
  </w:style>
  <w:style w:type="character" w:customStyle="1" w:styleId="66">
    <w:name w:val="标题 6 字符"/>
    <w:basedOn w:val="31"/>
    <w:link w:val="9"/>
    <w:autoRedefine/>
    <w:semiHidden/>
    <w:qFormat/>
    <w:uiPriority w:val="9"/>
    <w:rPr>
      <w:rFonts w:cstheme="majorBidi"/>
      <w:b/>
      <w:bCs/>
    </w:rPr>
  </w:style>
  <w:style w:type="character" w:customStyle="1" w:styleId="67">
    <w:name w:val="标题 7 字符"/>
    <w:basedOn w:val="31"/>
    <w:link w:val="10"/>
    <w:autoRedefine/>
    <w:semiHidden/>
    <w:qFormat/>
    <w:uiPriority w:val="9"/>
    <w:rPr>
      <w:sz w:val="24"/>
      <w:szCs w:val="24"/>
    </w:rPr>
  </w:style>
  <w:style w:type="character" w:customStyle="1" w:styleId="68">
    <w:name w:val="标题 8 字符"/>
    <w:basedOn w:val="31"/>
    <w:link w:val="11"/>
    <w:autoRedefine/>
    <w:semiHidden/>
    <w:qFormat/>
    <w:uiPriority w:val="9"/>
    <w:rPr>
      <w:rFonts w:cstheme="majorBidi"/>
      <w:i/>
      <w:iCs/>
      <w:sz w:val="24"/>
      <w:szCs w:val="24"/>
    </w:rPr>
  </w:style>
  <w:style w:type="character" w:customStyle="1" w:styleId="69">
    <w:name w:val="标题 9 字符"/>
    <w:basedOn w:val="31"/>
    <w:link w:val="12"/>
    <w:autoRedefine/>
    <w:semiHidden/>
    <w:qFormat/>
    <w:uiPriority w:val="9"/>
    <w:rPr>
      <w:rFonts w:asciiTheme="majorHAnsi" w:hAnsiTheme="majorHAnsi" w:eastAsiaTheme="majorEastAsia" w:cstheme="majorBidi"/>
    </w:rPr>
  </w:style>
  <w:style w:type="character" w:customStyle="1" w:styleId="70">
    <w:name w:val="标题 字符"/>
    <w:basedOn w:val="31"/>
    <w:link w:val="26"/>
    <w:autoRedefine/>
    <w:qFormat/>
    <w:uiPriority w:val="10"/>
    <w:rPr>
      <w:rFonts w:asciiTheme="majorHAnsi" w:hAnsiTheme="majorHAnsi" w:eastAsiaTheme="majorEastAsia" w:cstheme="majorBidi"/>
      <w:b/>
      <w:bCs/>
      <w:kern w:val="28"/>
      <w:sz w:val="32"/>
      <w:szCs w:val="32"/>
    </w:rPr>
  </w:style>
  <w:style w:type="character" w:customStyle="1" w:styleId="71">
    <w:name w:val="副标题 字符"/>
    <w:basedOn w:val="31"/>
    <w:link w:val="23"/>
    <w:autoRedefine/>
    <w:qFormat/>
    <w:uiPriority w:val="11"/>
    <w:rPr>
      <w:rFonts w:ascii="Calibri" w:hAnsi="Calibri" w:eastAsia="黑体" w:cstheme="majorBidi"/>
      <w:sz w:val="32"/>
      <w:szCs w:val="24"/>
    </w:rPr>
  </w:style>
  <w:style w:type="paragraph" w:styleId="72">
    <w:name w:val="No Spacing"/>
    <w:basedOn w:val="1"/>
    <w:autoRedefine/>
    <w:qFormat/>
    <w:uiPriority w:val="1"/>
    <w:rPr>
      <w:szCs w:val="32"/>
    </w:rPr>
  </w:style>
  <w:style w:type="paragraph" w:styleId="73">
    <w:name w:val="List Paragraph"/>
    <w:basedOn w:val="1"/>
    <w:autoRedefine/>
    <w:qFormat/>
    <w:uiPriority w:val="0"/>
    <w:pPr>
      <w:ind w:left="720"/>
      <w:contextualSpacing/>
    </w:pPr>
  </w:style>
  <w:style w:type="paragraph" w:styleId="74">
    <w:name w:val="Quote"/>
    <w:basedOn w:val="1"/>
    <w:next w:val="1"/>
    <w:link w:val="75"/>
    <w:autoRedefine/>
    <w:qFormat/>
    <w:uiPriority w:val="29"/>
    <w:rPr>
      <w:i/>
    </w:rPr>
  </w:style>
  <w:style w:type="character" w:customStyle="1" w:styleId="75">
    <w:name w:val="引用 字符"/>
    <w:basedOn w:val="31"/>
    <w:link w:val="74"/>
    <w:autoRedefine/>
    <w:qFormat/>
    <w:uiPriority w:val="29"/>
    <w:rPr>
      <w:i/>
      <w:sz w:val="24"/>
      <w:szCs w:val="24"/>
    </w:rPr>
  </w:style>
  <w:style w:type="paragraph" w:styleId="76">
    <w:name w:val="Intense Quote"/>
    <w:basedOn w:val="1"/>
    <w:next w:val="1"/>
    <w:link w:val="77"/>
    <w:autoRedefine/>
    <w:qFormat/>
    <w:uiPriority w:val="30"/>
    <w:pPr>
      <w:ind w:left="720" w:right="720"/>
    </w:pPr>
    <w:rPr>
      <w:b/>
      <w:i/>
      <w:szCs w:val="22"/>
    </w:rPr>
  </w:style>
  <w:style w:type="character" w:customStyle="1" w:styleId="77">
    <w:name w:val="明显引用 字符"/>
    <w:basedOn w:val="31"/>
    <w:link w:val="76"/>
    <w:autoRedefine/>
    <w:qFormat/>
    <w:uiPriority w:val="30"/>
    <w:rPr>
      <w:b/>
      <w:i/>
      <w:sz w:val="24"/>
    </w:rPr>
  </w:style>
  <w:style w:type="character" w:customStyle="1" w:styleId="78">
    <w:name w:val="Subtle Emphasis"/>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79">
    <w:name w:val="Intense Emphasis"/>
    <w:basedOn w:val="31"/>
    <w:autoRedefine/>
    <w:qFormat/>
    <w:uiPriority w:val="21"/>
    <w:rPr>
      <w:b/>
      <w:i/>
      <w:sz w:val="24"/>
      <w:szCs w:val="24"/>
      <w:u w:val="single"/>
    </w:rPr>
  </w:style>
  <w:style w:type="character" w:customStyle="1" w:styleId="80">
    <w:name w:val="Subtle Reference"/>
    <w:basedOn w:val="31"/>
    <w:autoRedefine/>
    <w:qFormat/>
    <w:uiPriority w:val="31"/>
    <w:rPr>
      <w:sz w:val="24"/>
      <w:szCs w:val="24"/>
      <w:u w:val="single"/>
    </w:rPr>
  </w:style>
  <w:style w:type="character" w:customStyle="1" w:styleId="81">
    <w:name w:val="Intense Reference"/>
    <w:basedOn w:val="31"/>
    <w:autoRedefine/>
    <w:qFormat/>
    <w:uiPriority w:val="32"/>
    <w:rPr>
      <w:b/>
      <w:sz w:val="24"/>
      <w:u w:val="single"/>
    </w:rPr>
  </w:style>
  <w:style w:type="character" w:customStyle="1" w:styleId="82">
    <w:name w:val="Book Title"/>
    <w:basedOn w:val="31"/>
    <w:autoRedefine/>
    <w:qFormat/>
    <w:uiPriority w:val="33"/>
    <w:rPr>
      <w:rFonts w:asciiTheme="majorHAnsi" w:hAnsiTheme="majorHAnsi" w:eastAsiaTheme="majorEastAsia"/>
      <w:b/>
      <w:i/>
      <w:sz w:val="24"/>
      <w:szCs w:val="24"/>
    </w:rPr>
  </w:style>
  <w:style w:type="paragraph" w:customStyle="1" w:styleId="83">
    <w:name w:val="TOC Heading"/>
    <w:basedOn w:val="2"/>
    <w:next w:val="1"/>
    <w:autoRedefine/>
    <w:semiHidden/>
    <w:unhideWhenUsed/>
    <w:qFormat/>
    <w:uiPriority w:val="39"/>
    <w:pPr>
      <w:outlineLvl w:val="9"/>
    </w:pPr>
  </w:style>
  <w:style w:type="character" w:customStyle="1" w:styleId="84">
    <w:name w:val="批注框文本 字符"/>
    <w:basedOn w:val="31"/>
    <w:link w:val="19"/>
    <w:autoRedefine/>
    <w:semiHidden/>
    <w:qFormat/>
    <w:uiPriority w:val="99"/>
    <w:rPr>
      <w:sz w:val="18"/>
      <w:szCs w:val="18"/>
    </w:rPr>
  </w:style>
  <w:style w:type="character" w:customStyle="1" w:styleId="85">
    <w:name w:val="批注文字 字符"/>
    <w:basedOn w:val="31"/>
    <w:link w:val="15"/>
    <w:autoRedefine/>
    <w:qFormat/>
    <w:uiPriority w:val="99"/>
    <w:rPr>
      <w:rFonts w:ascii="Calibri Light" w:hAnsi="Calibri Light" w:eastAsia="华文仿宋" w:cs="Calibri Light"/>
      <w:kern w:val="2"/>
      <w:sz w:val="28"/>
      <w:szCs w:val="28"/>
    </w:rPr>
  </w:style>
  <w:style w:type="paragraph" w:customStyle="1" w:styleId="86">
    <w:name w:val="@正文"/>
    <w:basedOn w:val="45"/>
    <w:autoRedefine/>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7">
    <w:name w:val="@一级小标题"/>
    <w:basedOn w:val="1"/>
    <w:next w:val="86"/>
    <w:autoRedefine/>
    <w:qFormat/>
    <w:uiPriority w:val="0"/>
    <w:pPr>
      <w:keepNext/>
      <w:spacing w:before="120" w:after="60"/>
      <w:outlineLvl w:val="2"/>
    </w:pPr>
    <w:rPr>
      <w:rFonts w:ascii="Calibri" w:hAnsi="Calibri" w:eastAsia="黑体"/>
      <w:kern w:val="28"/>
      <w:sz w:val="28"/>
    </w:rPr>
  </w:style>
  <w:style w:type="paragraph" w:customStyle="1" w:styleId="88">
    <w:name w:val="@标题"/>
    <w:basedOn w:val="1"/>
    <w:next w:val="86"/>
    <w:autoRedefine/>
    <w:qFormat/>
    <w:uiPriority w:val="0"/>
    <w:pPr>
      <w:keepNext/>
      <w:spacing w:before="50" w:beforeLines="50" w:after="50" w:afterLines="50"/>
      <w:jc w:val="center"/>
      <w:outlineLvl w:val="1"/>
    </w:pPr>
    <w:rPr>
      <w:rFonts w:ascii="Calibri" w:hAnsi="Calibri" w:eastAsia="黑体"/>
      <w:kern w:val="32"/>
      <w:sz w:val="32"/>
    </w:rPr>
  </w:style>
  <w:style w:type="table" w:customStyle="1" w:styleId="89">
    <w:name w:val="网格型1"/>
    <w:basedOn w:val="29"/>
    <w:autoRedefine/>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0">
    <w:name w:val="页眉 Char1"/>
    <w:basedOn w:val="31"/>
    <w:autoRedefine/>
    <w:semiHidden/>
    <w:qFormat/>
    <w:uiPriority w:val="99"/>
    <w:rPr>
      <w:rFonts w:cs="Calibri Light"/>
      <w:sz w:val="18"/>
      <w:szCs w:val="18"/>
    </w:rPr>
  </w:style>
  <w:style w:type="character" w:customStyle="1" w:styleId="91">
    <w:name w:val="页脚 Char1"/>
    <w:basedOn w:val="31"/>
    <w:autoRedefine/>
    <w:semiHidden/>
    <w:qFormat/>
    <w:uiPriority w:val="99"/>
    <w:rPr>
      <w:rFonts w:cs="Calibri Light"/>
      <w:sz w:val="18"/>
      <w:szCs w:val="18"/>
    </w:rPr>
  </w:style>
  <w:style w:type="character" w:customStyle="1" w:styleId="92">
    <w:name w:val="批注主题 字符"/>
    <w:basedOn w:val="85"/>
    <w:link w:val="27"/>
    <w:autoRedefine/>
    <w:semiHidden/>
    <w:qFormat/>
    <w:uiPriority w:val="99"/>
    <w:rPr>
      <w:rFonts w:ascii="Calibri Light" w:hAnsi="Calibri Light" w:eastAsia="华文仿宋" w:cs="Calibri Light"/>
      <w:b/>
      <w:bCs/>
      <w:kern w:val="2"/>
      <w:sz w:val="28"/>
      <w:szCs w:val="28"/>
    </w:rPr>
  </w:style>
  <w:style w:type="character" w:customStyle="1" w:styleId="93">
    <w:name w:val="文档结构图 字符"/>
    <w:basedOn w:val="31"/>
    <w:link w:val="14"/>
    <w:autoRedefine/>
    <w:semiHidden/>
    <w:qFormat/>
    <w:uiPriority w:val="99"/>
    <w:rPr>
      <w:rFonts w:ascii="宋体" w:hAnsi="Calibri Light" w:eastAsia="宋体" w:cs="Calibri Light"/>
      <w:kern w:val="2"/>
      <w:sz w:val="18"/>
      <w:szCs w:val="18"/>
    </w:rPr>
  </w:style>
  <w:style w:type="character" w:styleId="94">
    <w:name w:val="Placeholder Text"/>
    <w:basedOn w:val="31"/>
    <w:autoRedefine/>
    <w:semiHidden/>
    <w:qFormat/>
    <w:uiPriority w:val="99"/>
    <w:rPr>
      <w:color w:val="808080"/>
    </w:rPr>
  </w:style>
  <w:style w:type="character" w:customStyle="1" w:styleId="95">
    <w:name w:val="Unresolved Mention"/>
    <w:basedOn w:val="31"/>
    <w:autoRedefine/>
    <w:semiHidden/>
    <w:unhideWhenUsed/>
    <w:qFormat/>
    <w:uiPriority w:val="99"/>
    <w:rPr>
      <w:color w:val="605E5C"/>
      <w:shd w:val="clear" w:color="auto" w:fill="E1DFDD"/>
    </w:rPr>
  </w:style>
  <w:style w:type="paragraph" w:customStyle="1" w:styleId="96">
    <w:name w:val="样式1"/>
    <w:basedOn w:val="4"/>
    <w:link w:val="98"/>
    <w:autoRedefine/>
    <w:qFormat/>
    <w:uiPriority w:val="0"/>
    <w:pPr>
      <w:jc w:val="left"/>
    </w:pPr>
    <w:rPr>
      <w:rFonts w:eastAsia="楷体"/>
      <w:sz w:val="32"/>
    </w:rPr>
  </w:style>
  <w:style w:type="paragraph" w:customStyle="1" w:styleId="97">
    <w:name w:val="样式2"/>
    <w:basedOn w:val="88"/>
    <w:link w:val="100"/>
    <w:autoRedefine/>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1 字符"/>
    <w:basedOn w:val="62"/>
    <w:link w:val="96"/>
    <w:autoRedefine/>
    <w:qFormat/>
    <w:uiPriority w:val="0"/>
    <w:rPr>
      <w:rFonts w:ascii="方正小标宋_GBK" w:hAnsi="仿宋" w:eastAsia="楷体"/>
      <w:sz w:val="32"/>
      <w:szCs w:val="36"/>
    </w:rPr>
  </w:style>
  <w:style w:type="paragraph" w:customStyle="1" w:styleId="99">
    <w:name w:val="样式3"/>
    <w:basedOn w:val="1"/>
    <w:link w:val="101"/>
    <w:autoRedefine/>
    <w:qFormat/>
    <w:uiPriority w:val="0"/>
    <w:pPr>
      <w:spacing w:line="560" w:lineRule="exact"/>
      <w:jc w:val="center"/>
    </w:pPr>
    <w:rPr>
      <w:rFonts w:ascii="方正小标宋_GBK" w:hAnsi="仿宋" w:eastAsia="方正小标宋_GBK"/>
      <w:sz w:val="36"/>
      <w:szCs w:val="36"/>
    </w:rPr>
  </w:style>
  <w:style w:type="character" w:customStyle="1" w:styleId="100">
    <w:name w:val="样式2 字符"/>
    <w:basedOn w:val="31"/>
    <w:link w:val="97"/>
    <w:autoRedefine/>
    <w:qFormat/>
    <w:uiPriority w:val="0"/>
    <w:rPr>
      <w:rFonts w:ascii="仿宋_GB2312" w:hAnsi="仿宋" w:eastAsia="仿宋_GB2312"/>
      <w:b/>
      <w:bCs/>
      <w:kern w:val="32"/>
      <w:sz w:val="32"/>
      <w:szCs w:val="32"/>
    </w:rPr>
  </w:style>
  <w:style w:type="character" w:customStyle="1" w:styleId="101">
    <w:name w:val="样式3 字符"/>
    <w:basedOn w:val="31"/>
    <w:link w:val="99"/>
    <w:autoRedefine/>
    <w:qFormat/>
    <w:uiPriority w:val="0"/>
    <w:rPr>
      <w:rFonts w:ascii="方正小标宋_GBK" w:hAnsi="仿宋" w:eastAsia="方正小标宋_GBK"/>
      <w:sz w:val="36"/>
      <w:szCs w:val="36"/>
    </w:rPr>
  </w:style>
  <w:style w:type="paragraph" w:customStyle="1" w:styleId="102">
    <w:name w:val="HTML Preformatted"/>
    <w:basedOn w:val="1"/>
    <w:autoRedefine/>
    <w:qFormat/>
    <w:uiPriority w:val="0"/>
    <w:rPr>
      <w:rFonts w:ascii="Courier New" w:hAnsi="Courier New"/>
      <w:sz w:val="20"/>
    </w:rPr>
  </w:style>
  <w:style w:type="paragraph" w:customStyle="1" w:styleId="103">
    <w:name w:val="Table Paragraph"/>
    <w:basedOn w:val="1"/>
    <w:autoRedefine/>
    <w:qFormat/>
    <w:uiPriority w:val="1"/>
  </w:style>
  <w:style w:type="paragraph" w:customStyle="1" w:styleId="104">
    <w:name w:val="WPSOffice手动目录 1"/>
    <w:autoRedefine/>
    <w:qFormat/>
    <w:uiPriority w:val="0"/>
    <w:pPr>
      <w:ind w:leftChars="0"/>
    </w:pPr>
    <w:rPr>
      <w:rFonts w:ascii="Times New Roman" w:hAnsi="Times New Roman" w:eastAsia="宋体" w:cs="Times New Roman"/>
      <w:sz w:val="20"/>
      <w:szCs w:val="20"/>
    </w:rPr>
  </w:style>
  <w:style w:type="paragraph" w:customStyle="1" w:styleId="105">
    <w:name w:val="正文空2格  1."/>
    <w:basedOn w:val="1"/>
    <w:autoRedefine/>
    <w:qFormat/>
    <w:uiPriority w:val="0"/>
    <w:pPr>
      <w:adjustRightInd w:val="0"/>
      <w:spacing w:line="360" w:lineRule="auto"/>
      <w:ind w:firstLine="480" w:firstLineChars="200"/>
    </w:pPr>
    <w:rPr>
      <w:rFonts w:hint="eastAsia" w:ascii="宋体" w:eastAsia="仿宋" w:cs="宋体"/>
      <w:kern w:val="0"/>
      <w:sz w:val="28"/>
    </w:rPr>
  </w:style>
  <w:style w:type="paragraph" w:customStyle="1" w:styleId="106">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sz w:val="28"/>
      <w:szCs w:val="20"/>
    </w:rPr>
  </w:style>
  <w:style w:type="paragraph" w:customStyle="1" w:styleId="107">
    <w:name w:val="列出段落1"/>
    <w:basedOn w:val="1"/>
    <w:autoRedefine/>
    <w:qFormat/>
    <w:uiPriority w:val="99"/>
    <w:pPr>
      <w:ind w:firstLine="420" w:firstLineChars="200"/>
    </w:pPr>
  </w:style>
  <w:style w:type="paragraph" w:customStyle="1" w:styleId="108">
    <w:name w:val="Other|1"/>
    <w:basedOn w:val="1"/>
    <w:autoRedefine/>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9">
    <w:name w:val="Table Normal"/>
    <w:autoRedefine/>
    <w:semiHidden/>
    <w:unhideWhenUsed/>
    <w:qFormat/>
    <w:uiPriority w:val="0"/>
    <w:tblPr>
      <w:tblCellMar>
        <w:top w:w="0" w:type="dxa"/>
        <w:left w:w="0" w:type="dxa"/>
        <w:bottom w:w="0" w:type="dxa"/>
        <w:right w:w="0" w:type="dxa"/>
      </w:tblCellMar>
    </w:tblPr>
  </w:style>
  <w:style w:type="paragraph" w:customStyle="1" w:styleId="110">
    <w:name w:val="Table Text"/>
    <w:basedOn w:val="1"/>
    <w:autoRedefine/>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88</Pages>
  <Words>3523</Words>
  <Characters>4023</Characters>
  <Lines>1035</Lines>
  <Paragraphs>716</Paragraphs>
  <TotalTime>171</TotalTime>
  <ScaleCrop>false</ScaleCrop>
  <LinksUpToDate>false</LinksUpToDate>
  <CharactersWithSpaces>4072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2026-01-30T06:16:00Z</cp:lastPrinted>
  <dcterms:modified xsi:type="dcterms:W3CDTF">2026-01-30T07:14:29Z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2EE1D65A712D4567A71EDAB8899A7E04_13</vt:lpwstr>
  </property>
  <property fmtid="{D5CDD505-2E9C-101B-9397-08002B2CF9AE}" pid="4" name="KSOTemplateDocerSaveRecord">
    <vt:lpwstr>eyJoZGlkIjoiZjVmMDA1NTM1N2VlYTBlZDI4ZWZkYmQ2Zjg1NzU5NDQiLCJ1c2VySWQiOiIyODQ1NzA0OTAifQ==</vt:lpwstr>
  </property>
</Properties>
</file>