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D0CBA">
      <w:pPr>
        <w:pStyle w:val="5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14082138"/>
      <w:bookmarkStart w:id="1" w:name="_Toc48834545"/>
      <w:bookmarkStart w:id="2" w:name="_Toc48834466"/>
      <w:bookmarkStart w:id="3" w:name="_Toc20365"/>
      <w:bookmarkStart w:id="4" w:name="_Toc48834177"/>
      <w:bookmarkStart w:id="5" w:name="_Toc48834107"/>
      <w:bookmarkStart w:id="6" w:name="_Toc48834304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5EA7D90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榆林市交警支队一大队</w:t>
      </w:r>
      <w:r>
        <w:rPr>
          <w:rFonts w:hint="eastAsia" w:ascii="仿宋" w:hAnsi="仿宋" w:eastAsia="仿宋" w:cs="Times New Roman"/>
          <w:color w:val="000000"/>
        </w:rPr>
        <w:t>采购</w:t>
      </w:r>
      <w:r>
        <w:rPr>
          <w:rFonts w:hint="eastAsia" w:ascii="仿宋" w:hAnsi="仿宋" w:eastAsia="仿宋" w:cs="Times New Roman"/>
          <w:color w:val="000000"/>
          <w:lang w:eastAsia="zh-CN"/>
        </w:rPr>
        <w:t>业务营房维修维护改造工程</w:t>
      </w:r>
      <w:r>
        <w:rPr>
          <w:rFonts w:hint="eastAsia" w:ascii="仿宋" w:hAnsi="仿宋" w:eastAsia="仿宋" w:cs="Times New Roman"/>
          <w:color w:val="000000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0516A1FF">
      <w:pPr>
        <w:pStyle w:val="8"/>
        <w:spacing w:line="500" w:lineRule="exact"/>
        <w:ind w:firstLine="569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7FEB79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95" w:leftChars="284" w:firstLine="0" w:firstLineChars="0"/>
        <w:jc w:val="left"/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eastAsia="zh-CN"/>
        </w:rPr>
        <w:t>大队鱼河执法站业务营房升级改造工程量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54"/>
        <w:gridCol w:w="3306"/>
        <w:gridCol w:w="1035"/>
        <w:gridCol w:w="1080"/>
        <w:gridCol w:w="659"/>
      </w:tblGrid>
      <w:tr w14:paraId="1A55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F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F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B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规格、型号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D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C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A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备注</w:t>
            </w:r>
          </w:p>
        </w:tc>
      </w:tr>
      <w:tr w14:paraId="36F7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E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8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拆除地面瓷砖及垫层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6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800*800瓷砖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4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9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180.6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0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B9A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0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5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开挖沟槽土方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0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长80米，深1.5米，宽1.2米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A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0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7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5A1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EE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61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道路破除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A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C30混凝土路面破除，200mm厚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9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4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1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307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4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8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大理石台阶拆除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6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大理石台阶拆除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B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0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52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647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EF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7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大理石台阶恢复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E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F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8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C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582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E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0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室外花砖更换恢复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B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花砖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6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9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7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FE2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2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7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道路硬化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4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C30混凝土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D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C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E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235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C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6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暖气管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B7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DN32PPR管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B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6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0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F01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9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6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暖气片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B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钢制60高暖气片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B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B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7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CBE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D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1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供水管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00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20PPR管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6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5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F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5DD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9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3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排水管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BF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DN300排水管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3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5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5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272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A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F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内墙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3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2遍腻子，乳胶漆2遍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C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2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627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2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921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3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5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外墙保温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B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60mm保温板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9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3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FE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D03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F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C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外墙水包砂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A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刷墙固，刮腻子2遍，黑色涂料1遍，水包砂2遍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4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8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8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32B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9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9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屋面防水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A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炉渣找坡+SBS防水卷材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0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0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2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B31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8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3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地面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6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80*80地砖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A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E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180.6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6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E09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2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8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墙砖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3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30*60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C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A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5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6A9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9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D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地脚线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3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10cm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9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2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A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C9D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4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4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洗面盆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0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80cm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F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1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8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771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B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7F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隔墙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B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轻质隔墙板GRC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F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F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11.2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5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A10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7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0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卫生间蹲便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9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B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F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7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F74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7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9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防盗门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4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钢制防盗门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0.9*2.2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2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9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7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93A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C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5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木门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C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0.9*2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3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F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B4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A39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C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A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窗户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D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断桥铝窗户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7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E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E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FF9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6E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E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灯箱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C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6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8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3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8F0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7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B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办公柜台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5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大理石办公柜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4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E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4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1CC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9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9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窗台板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D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大理石窗台板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C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3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A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A84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9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9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形象墙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B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铝塑板形象墙，总厚度：3mm±0.2mm；平整度：≤2mm/m；聚酯涂层需满足防火等级B1级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0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F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B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BE4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5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B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会议桌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6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实木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1.8米×4.6米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2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2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C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36D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E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A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会议椅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9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仿皮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长0.5米，宽0.5米，高1.1米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5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A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6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7AD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F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E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电视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F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尺寸：大于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60寸</w:t>
            </w:r>
          </w:p>
          <w:p w14:paraId="7F2D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能效：一级能效</w:t>
            </w:r>
          </w:p>
          <w:p w14:paraId="7AC9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网络连接方式：有限+无线</w:t>
            </w:r>
          </w:p>
          <w:p w14:paraId="658DB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RAM内存：≥2GB</w:t>
            </w:r>
          </w:p>
          <w:p w14:paraId="2B2D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待机功率0.5W</w:t>
            </w:r>
          </w:p>
          <w:p w14:paraId="58B8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刷频率：大于144HZ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D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3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6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3B5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8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9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铁椅子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8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会议大厅铁椅子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3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7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7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E2B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C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C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LED显示屏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5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6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3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4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A52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7A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2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档案柜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E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铁皮档案柜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D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8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5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1ED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C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A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C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BV2.5㎡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7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9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D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FF7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8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3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4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BV4㎡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4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F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5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15"/>
                <w:szCs w:val="24"/>
              </w:rPr>
            </w:pPr>
          </w:p>
        </w:tc>
      </w:tr>
      <w:tr w14:paraId="1B5C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D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3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开关线盒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E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86型暗装底盒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7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6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F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15"/>
                <w:szCs w:val="24"/>
              </w:rPr>
            </w:pPr>
          </w:p>
        </w:tc>
      </w:tr>
      <w:tr w14:paraId="4D3E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3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E1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面板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B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开关、插座、网线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E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72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3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15"/>
                <w:szCs w:val="24"/>
              </w:rPr>
            </w:pPr>
          </w:p>
        </w:tc>
      </w:tr>
      <w:tr w14:paraId="7C77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F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3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吸顶灯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46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60W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2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0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8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DD5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8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A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线管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5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PVC20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CD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1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C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177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B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8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人脸识别装置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6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设备类型：人脸识别门禁一体机</w:t>
            </w:r>
          </w:p>
          <w:p w14:paraId="0EE6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 xml:space="preserve"> 防护等级：IP65及以上</w:t>
            </w:r>
          </w:p>
          <w:p w14:paraId="3DDA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认证方式：支持人脸、刷卡（IC卡/CPU卡/身份证）、密码、指纹（选配）等多种认证方式，支持组合验证</w:t>
            </w:r>
          </w:p>
          <w:p w14:paraId="35B3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屏幕尺寸：≥7英寸（主流为7寸、8寸）</w:t>
            </w:r>
          </w:p>
          <w:p w14:paraId="366C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屏幕类型：​触摸屏，电容式</w:t>
            </w:r>
          </w:p>
          <w:p w14:paraId="38E4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分辨率：≥600×1024（7寸屏）或≥800×1280（8寸屏）</w:t>
            </w:r>
          </w:p>
          <w:p w14:paraId="58C1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both"/>
              <w:textAlignment w:val="auto"/>
              <w:rPr>
                <w:rFonts w:hint="eastAsia" w:ascii="宋体" w:hAnsi="宋体"/>
                <w:color w:val="0000FF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B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3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4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216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F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5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酒精测试仪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A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测量模式:快速筛查，自动抽气式</w:t>
            </w:r>
          </w:p>
          <w:p w14:paraId="757E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测量范围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0~100mg/100ml BAC(血液酒精浓度)(范围可定制)</w:t>
            </w:r>
          </w:p>
          <w:p w14:paraId="3814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测量时间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支持在仪器上自己调整，最快1秒出结果</w:t>
            </w:r>
          </w:p>
          <w:p w14:paraId="295C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灵敏度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大于15cm(仪器采样口到嘴之前距离，酒精模拟器上设定为5 mg/100ml)</w:t>
            </w:r>
          </w:p>
          <w:p w14:paraId="76DD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显示屏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数字及波形两种显示</w:t>
            </w:r>
          </w:p>
          <w:p w14:paraId="53C6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/>
                <w:color w:val="0000FF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报警指示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红/黄/绿三色显示对应三种报警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8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9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9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DAF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2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6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长条凳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7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长1.2米，宽0.5米，高1.1米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C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D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F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546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0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A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水泥预制房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C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C30钢筋混凝土浇筑，3m*7m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5B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E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1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6C232FC5">
      <w:pPr>
        <w:spacing w:line="560" w:lineRule="exact"/>
        <w:ind w:left="0" w:leftChars="0"/>
        <w:jc w:val="center"/>
        <w:rPr>
          <w:rFonts w:hint="eastAsia" w:ascii="黑体" w:hAnsi="宋体" w:eastAsia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pacing w:val="20"/>
          <w:sz w:val="32"/>
          <w:szCs w:val="32"/>
          <w:lang w:val="en-US" w:eastAsia="zh-CN"/>
        </w:rPr>
        <w:t>信息化建设清单</w:t>
      </w:r>
    </w:p>
    <w:tbl>
      <w:tblPr>
        <w:tblStyle w:val="6"/>
        <w:tblW w:w="93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82"/>
        <w:gridCol w:w="830"/>
        <w:gridCol w:w="517"/>
        <w:gridCol w:w="3843"/>
        <w:gridCol w:w="636"/>
        <w:gridCol w:w="1896"/>
      </w:tblGrid>
      <w:tr w14:paraId="19AD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378DA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5B4BA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053F3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730C5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01B8C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0F11B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61E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619EE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视频监控</w:t>
            </w:r>
          </w:p>
        </w:tc>
      </w:tr>
      <w:tr w14:paraId="027D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6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6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400万双光全彩定焦枪型网络摄像机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3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79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像素：大于等于400万；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补光灯：4颗（多晶（红外+暖光）灯）；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镜头焦距：6mm；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视场角：水平：47°；垂直：26°；对角：54°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D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2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409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4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9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400万双光全彩定焦海螺网络摄像机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F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E6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像素：大于等于400万；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补光灯：2颗（多晶（红外+暖光）灯）；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镜头焦距：3.6mm；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视场角：水平：78°；垂直：43°；对角：92°；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周界防范：绊线入侵；区域入侵；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5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3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BB4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C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D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A7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主处理器：工业级微控制器；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操作系统：嵌入式Linux操作系统；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后智能分析：支持后智能智能动检；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前智能分析：支持前智能人脸检测、人脸识别、周界防范、智能动检、立体行为分析、人群分布、人数统计、车牌识别；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周界前智能性能（路数）：全通道（最大处理6个事件/秒）；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人脸识别前智能性能（路数）：全通道（最大处理6个事件/秒）；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接入路数：32路；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分辨率：12MP；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F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38AB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D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6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10TB硬盘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2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6A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单盘容量：10TB；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缓存：大于256MB；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转速：7200RPM；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硬盘接口：SATA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4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1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3768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3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B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24口二层云管PoE交换机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5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8C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交换容量：256Gbps；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包转发率：60Mpps；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业务端口：具备24个10/100/1000BASE-T电口(PoE)、2个10/100/1000BASE-T电口、2个1000BASE-X SFP端口；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拨码开关：支持3个拨码开关；管理开关：通过拨码开关切换管理/非管模式，其中管理模式包括本地WEB管理和云管理，出厂默认开启状态； 远距离供电：端口1-24延长传输距离至250米，端口协商速率降低为10Mbps（非管模式生效）； PoE看门狗：端口1-24实时监听流量状态，2min内无流量重启PoE供电（非管模式生效）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环网协议：STP、RSTP；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VLAN功能：支持；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链路聚合：支持；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设备管理：WEB管理、APP管理；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供电方式：默认内置电源：100–240VAC，47–63Hz，7A Max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空载功耗：≤13.3W；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满载功耗：≤391.7W；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PoE：Port 1-4≤90W，Port 5-24≤30W，总功率≤375W；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散热方式：内置风扇散热；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安装方式：桌面式、机架式安装；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工作湿度：5%～95%RH(无凝结)；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工作温度：-10℃～55℃；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6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5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4C3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E2A8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8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47995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5C24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809D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内外网络建设</w:t>
            </w:r>
          </w:p>
        </w:tc>
      </w:tr>
      <w:tr w14:paraId="239A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9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5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24口二层云管PoE交换机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C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DH-S4100-24GT2GT2GF-375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1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交换容量：256Gbps；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包转发率：60Mpps；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业务端口：具备24个10/100/1000BASE-T电口(PoE)、2个10/100/1000BASE-T电口、2个1000BASE-X SFP端口；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拨码开关：支持3个拨码开关；管理开关：通过拨码开关切换管理/非管模式，其中管理模式包括本地WEB管理和云管理，出厂默认开启状态； 远距离供电：端口1-24延长传输距离至250米，端口协商速率降低为10Mbps（非管模式生效）； PoE看门狗：端口1-24实时监听流量状态，2min内无流量重启PoE供电（非管模式生效）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环网协议：STP、RSTP；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VLAN功能：支持；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链路聚合：支持；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设备管理：WEB管理、APP管理；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供电方式：默认内置电源：100–240VAC，47–63Hz，7A Max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空载功耗：≤13.3W；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满载功耗：≤391.7W；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PoE：Port 1-4≤90W，Port 5-24≤30W，总功率≤375W；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散热方式：内置风扇散热；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安装方式：桌面式、机架式安装；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工作湿度：5%～95%RH(无凝结)；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工作温度：-10℃～55℃；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B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7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8D4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9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安全防火墙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D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F290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40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备基本要求：1U标准机架式设备；≥1个Console口；≥10个千兆电口；≥2个千兆光口；包含防病毒模块（AV）、入侵检测与防御模块（IPS）、上网行为管理模块（APP）、Web安全防护模块（WAF），三年特征库升级、三年免费硬件维保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2.性能要求：网络层吞吐量≥2Gbps，最大并发连接数≥100万，每秒最大新建HTTP链接数3万；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C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B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9C2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C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B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B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CAT-6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B1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一、电气性能参数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传输频率：250MHz（远超超五类的100MHz），支持1000BASE-T千兆以太网，可向下兼容百兆网络。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传输速率：1000Mbps（1Gbps），在100米传输距离内信号衰减≤24dB（250MHz时）。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阻抗特性：标称阻抗 100Ω±15Ω（1~100MHz），回波损耗≥18dB（250MHz时）。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衰减串扰比（ACR）：≥4dB（250MHz时），确保高速传输时信号不受干扰。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导体电阻：24AWG规格单根导体直流电阻≤9.38Ω/100m（20℃）。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二、物理结构参数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导体规格：常用 24AWG（直径约0.51mm） 纯铜/无氧铜导体，确保低电阻与传输稳定性。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线芯结构：4对双绞线，线对颜色编码为橙白-橙、绿白-绿、蓝白-蓝、棕白-棕。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绞距：4对线对绞距不同（约12~20mm），减少线对间电磁干扰。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护套材质：非屏蔽款（UTP）为PVC或低烟无卤（LSZH）护套；屏蔽款（STP/FTP）含铝箔/编织网屏蔽层，防护等级更高。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外径尺寸：非屏蔽款外径约 5.0~5.6mm，屏蔽款约 6.0~7.0mm。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三、环境与应用参数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工作温度：-20℃~60℃（室内款）；-40℃~70℃（室外阻水款）。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阻燃等级：PVC护套阻燃等级CM（商用级），LSZH护套符合环保阻燃要求。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适用场景：结构化布线、机房、智能家居、监控系统等，支持千兆网络、PoE供电（IEEE 802.3af/at标准）。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认证标准：需符合 TIA/EIA-568-C.国内需满足 GB/T 50311 综合布线规范。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B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4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 w14:paraId="276A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6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4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F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42U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99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一、基础尺寸参数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参数类别 具体规格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标准兼容性 符合ANSI/EIA-310-D、IEC 60297标准，19英寸机架安装宽度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安装高度 42U（总高度≈1867mm，含机柜顶部/底部结构的整机高度约 2000mm）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宽度 标准600mm/800mm（600mm适配常规设备，800mm适合高密度布线）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深度 常见800mm/1000mm/1200mm（800mm用于短机身设备，1200mm适配服务器等深机身设备）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安装立柱孔距 方孔条孔距25mm，兼容螺丝固定与卡扣式安装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二、材质与结构参数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主体材质：冷轧钢板，厚度 1.2（立柱厚度≥1.5mm，保证承重；门板厚度1.2mm）。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表面处理：静电喷塑，颜色多为黑色（RAL9005）或灰色（RAL7035），防腐蚀、防刮花。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结构设计：前后双开网孔门/钢板门（网孔门通风率≥70%，钢板门防尘性好）；可拆侧板；底部进线孔带理线胶圈，防止割伤线缆。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承重能力：静载承重≥800kg（落地款），动载承重≥400kg（移动款，带万向轮）。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三、功能与适配参数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散热配置：顶部可装2~4个轴流风扇，部分带顶部排风罩；底部预留进风通道，支持冷热通道布局。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配件配置：标配方孔条、安装螺丝、理线环、接地螺栓；可选配PDU电源插座、机柜线槽、盲板。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适配设备：兼容19英寸标准服务器、交换机、配线架、理线架、UPS等设备，支持前后安装。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四、环境与安全参数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工作温度：-10℃~55℃，适应机房常规环境。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防护等级：网孔门款IP20（防手指触碰内部），钢板门款IP30（防异物进入）。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3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5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A2D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DC0E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8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C91F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16E8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D0DA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UPS 配电系统</w:t>
            </w:r>
          </w:p>
        </w:tc>
      </w:tr>
      <w:tr w14:paraId="32CD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8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D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 主机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F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UR-0100SPL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B5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机架式10K长机（192V）单进单出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D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5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D3F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5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03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8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2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 w14:paraId="6D0A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A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3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连接电缆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7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1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6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5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  <w:tr w14:paraId="1960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775E2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室外条幅大屏</w:t>
            </w:r>
          </w:p>
        </w:tc>
      </w:tr>
      <w:tr w14:paraId="510E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4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C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5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P10 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03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红灯珠 320*160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8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5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 w14:paraId="746C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F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4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控制工作站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7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56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配置：CPU I5—14000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内存：16G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硬盘：固态256G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显卡：3050 6G独立显卡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电源：500W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显示器：显示器23.8寸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E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7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B9F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E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D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E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4B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1、具备手动控制和自动控制功能。可手动按钮控制设备开启/停止，也可以通过其他控制设备的启/停功能。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2、多回路输出，延时启动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3、具有电源状态指示、工作状态指示、可远程监控设备运行状态。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4、具有过压、过流、短路、断路、定时开关、漏电等保护功能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5、具备检修插座和照明开关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6、内部线材均采用4平方国标纯铜导线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7、产品设计符合CQC认证标准，符合IEC 60439-1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8、三相五线制输入，220V 输出，零线与地线分别接在铜排上，确保三相平衡供电。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9、产品内部器件，均选用正泰正品器件，确保了显示屏高质量的可靠供电。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10、具有浪涌保护器、可以保护设备在雷电，尖峰浪涌时不受损坏。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11、具备散热设备独立控制线路接口，后期空调、风机可以和大屏独立控制。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D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7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</w:tbl>
    <w:p w14:paraId="27C1C9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8" w:firstLineChars="20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注： 1表中“合同中约定的其他项目 ”适用于期中支付和工程结算时填写；</w:t>
      </w:r>
    </w:p>
    <w:p w14:paraId="73DAD7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12" w:firstLineChars="300"/>
        <w:jc w:val="left"/>
        <w:rPr>
          <w:rFonts w:hint="eastAsia"/>
        </w:rPr>
        <w:sectPr>
          <w:pgSz w:w="11900" w:h="16840"/>
          <w:pgMar w:top="921" w:right="1468" w:bottom="1531" w:left="1451" w:header="567" w:footer="567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2其中采用费率计价方式的 ，取费基数填写到“工程数量 ”列 ， 费率填写到“综合单价 ”列 ；采用总价计价方式的可只填写“合价 ”列数值</w:t>
      </w:r>
      <w:bookmarkStart w:id="7" w:name="_GoBack"/>
      <w:bookmarkEnd w:id="7"/>
    </w:p>
    <w:p w14:paraId="63B4E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7B94"/>
    <w:rsid w:val="73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2026-03-05T03:02:00Z</dcterms:created>
  <dc:creator>apple</dc:creator>
  <cp:lastModifiedBy>apple</cp:lastModifiedBy>
  <dcterms:modified xsi:type="dcterms:W3CDTF">2026-03-05T03:02:36Z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87BC3B5AC6E44DA38E2560908B5457E2_11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