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6CB05">
      <w:pPr>
        <w:numPr>
          <w:ilvl w:val="0"/>
          <w:numId w:val="1"/>
        </w:numPr>
        <w:spacing w:line="480" w:lineRule="auto"/>
        <w:rPr>
          <w:rFonts w:hint="eastAsia" w:ascii="宋体" w:hAnsi="宋体"/>
          <w:b/>
          <w:bCs/>
          <w:sz w:val="24"/>
          <w:highlight w:val="none"/>
        </w:rPr>
      </w:pPr>
      <w:r>
        <w:rPr>
          <w:rFonts w:hint="eastAsia" w:ascii="宋体" w:hAnsi="宋体"/>
          <w:b/>
          <w:bCs/>
          <w:sz w:val="24"/>
          <w:highlight w:val="none"/>
        </w:rPr>
        <w:t>项目背景</w:t>
      </w:r>
    </w:p>
    <w:p w14:paraId="36E8659F">
      <w:pPr>
        <w:pageBreakBefore w:val="0"/>
        <w:widowControl/>
        <w:kinsoku/>
        <w:wordWrap/>
        <w:overflowPunct/>
        <w:topLinePunct w:val="0"/>
        <w:bidi w:val="0"/>
        <w:adjustRightInd w:val="0"/>
        <w:snapToGrid w:val="0"/>
        <w:spacing w:line="360" w:lineRule="auto"/>
        <w:ind w:left="0" w:leftChars="0" w:firstLine="480" w:firstLineChars="200"/>
        <w:jc w:val="left"/>
        <w:textAlignment w:val="auto"/>
        <w:rPr>
          <w:rFonts w:hint="default" w:ascii="宋体" w:hAnsi="宋体" w:eastAsia="宋体" w:cs="宋体"/>
          <w:kern w:val="0"/>
          <w:sz w:val="24"/>
          <w:szCs w:val="24"/>
          <w:lang w:val="en-US" w:eastAsia="zh-CN"/>
        </w:rPr>
      </w:pPr>
      <w:r>
        <w:rPr>
          <w:rFonts w:hint="default" w:ascii="宋体" w:hAnsi="宋体" w:eastAsia="宋体" w:cs="宋体"/>
          <w:kern w:val="0"/>
          <w:sz w:val="24"/>
          <w:szCs w:val="24"/>
          <w:lang w:val="en-US" w:eastAsia="zh-CN"/>
        </w:rPr>
        <w:t>为进一步加强国家教育考试全过程记录和管理，严密防范和严肃查处考试招生舞弊行为，切实维护招生考</w:t>
      </w:r>
      <w:bookmarkStart w:id="0" w:name="_GoBack"/>
      <w:bookmarkEnd w:id="0"/>
      <w:r>
        <w:rPr>
          <w:rFonts w:hint="default" w:ascii="宋体" w:hAnsi="宋体" w:eastAsia="宋体" w:cs="宋体"/>
          <w:kern w:val="0"/>
          <w:sz w:val="24"/>
          <w:szCs w:val="24"/>
          <w:lang w:val="en-US" w:eastAsia="zh-CN"/>
        </w:rPr>
        <w:t>试的公平、公正、安全和秩序，按照陕西省教育厅办公室《关于印发陕西省国家教育考试综合管理平台建设规划的通知》（陕教考办〔2018〕4号）要求，完善标准化考场巡查系统、建设作弊防控系统及身份验证系统建设。</w:t>
      </w:r>
    </w:p>
    <w:p w14:paraId="598B6FCD">
      <w:pPr>
        <w:numPr>
          <w:ilvl w:val="0"/>
          <w:numId w:val="1"/>
        </w:numPr>
        <w:spacing w:line="480" w:lineRule="auto"/>
        <w:rPr>
          <w:rFonts w:hint="default"/>
          <w:b/>
          <w:sz w:val="24"/>
          <w:szCs w:val="24"/>
          <w:lang w:val="en-US" w:eastAsia="zh-CN"/>
        </w:rPr>
      </w:pPr>
      <w:r>
        <w:rPr>
          <w:rFonts w:hint="eastAsia"/>
          <w:b/>
          <w:sz w:val="24"/>
          <w:szCs w:val="24"/>
          <w:lang w:val="en-US" w:eastAsia="zh-CN"/>
        </w:rPr>
        <w:t>技术参数</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7"/>
        <w:gridCol w:w="1059"/>
        <w:gridCol w:w="5158"/>
        <w:gridCol w:w="438"/>
        <w:gridCol w:w="484"/>
        <w:gridCol w:w="953"/>
      </w:tblGrid>
      <w:tr w14:paraId="66DDD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3AADBA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5"/>
                <w:rFonts w:hint="eastAsia" w:ascii="宋体" w:hAnsi="宋体" w:eastAsia="宋体" w:cs="宋体"/>
                <w:sz w:val="21"/>
                <w:szCs w:val="21"/>
                <w:lang w:val="en-US" w:eastAsia="zh-CN" w:bidi="ar"/>
              </w:rPr>
              <w:t>序号</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7C34E9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5"/>
                <w:rFonts w:hint="eastAsia" w:ascii="宋体" w:hAnsi="宋体" w:eastAsia="宋体" w:cs="宋体"/>
                <w:sz w:val="21"/>
                <w:szCs w:val="21"/>
                <w:lang w:val="en-US" w:eastAsia="zh-CN" w:bidi="ar"/>
              </w:rPr>
              <w:t>设备名称</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4DEABB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highlight w:val="none"/>
                <w:u w:val="none"/>
                <w:lang w:val="en-US" w:eastAsia="zh-CN" w:bidi="ar"/>
              </w:rPr>
              <w:t>技术参数</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44707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5"/>
                <w:rFonts w:hint="eastAsia" w:ascii="宋体" w:hAnsi="宋体" w:eastAsia="宋体" w:cs="宋体"/>
                <w:sz w:val="21"/>
                <w:szCs w:val="21"/>
                <w:lang w:val="en-US" w:eastAsia="zh-CN" w:bidi="ar"/>
              </w:rPr>
              <w:t>数量</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291C2B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5"/>
                <w:rFonts w:hint="eastAsia" w:ascii="宋体" w:hAnsi="宋体" w:eastAsia="宋体" w:cs="宋体"/>
                <w:sz w:val="21"/>
                <w:szCs w:val="21"/>
                <w:lang w:val="en-US" w:eastAsia="zh-CN" w:bidi="ar"/>
              </w:rPr>
              <w:t>单位</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B60E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1"/>
                <w:szCs w:val="21"/>
                <w:u w:val="none"/>
              </w:rPr>
            </w:pPr>
            <w:r>
              <w:rPr>
                <w:rStyle w:val="5"/>
                <w:rFonts w:hint="eastAsia" w:ascii="宋体" w:hAnsi="宋体" w:eastAsia="宋体" w:cs="宋体"/>
                <w:sz w:val="21"/>
                <w:szCs w:val="21"/>
                <w:lang w:val="en-US" w:eastAsia="zh-CN" w:bidi="ar"/>
              </w:rPr>
              <w:t>备注</w:t>
            </w:r>
          </w:p>
        </w:tc>
      </w:tr>
      <w:tr w14:paraId="3DD8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2"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5514CE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5B2754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网上巡查摄像机</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19EB19C3">
            <w:pPr>
              <w:keepNext w:val="0"/>
              <w:keepLines w:val="0"/>
              <w:pageBreakBefore w:val="0"/>
              <w:widowControl/>
              <w:numPr>
                <w:ilvl w:val="0"/>
                <w:numId w:val="2"/>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≥400万半球网络摄像机。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2.采用1/3"CMOS传感器，最小照度可达0.005Lux，0Lux with IR；</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3.采用≤2.8mm定焦镜头,水平视场角可达93°。</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4.视频编码标准支持H.265/H.264，音频编码标准支持G.711/G.726/MP2L2/AAC/PCM，图像尺寸2560×1440；</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5.支持设置纯视频流和音视频复合流两种视频类型。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▲6.支持三码流同时存储和输出，各码流可独立设置且应满足: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主码流:2560X1440@25帧/秒、1920X1080@25帧/秒，子码流:704X576@25帧/秒、640X480@25帧/秒，三码流:1920X1080@25帧/秒、1280X1080@25帧/秒。</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7.支持选择4:3/16:9/原始尺寸/原始比例/自适应模式预览监控视频画面；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8.支对预览视频进行电子放大；</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9.支持在预览视频过程中对视频进行抓图、录像并存储至本地文件;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10.支持在预览视频过程中开启或关闭音频，支持对预览音量进行调节;</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11.支持对SD卡进行管理，支持自动检测安装到摄像机的SD卡，可显示SD卡容量、剩余空间、状态、类型、格式化类型、属性及进度;支持对所选SD卡进行格式化;支持容量为≥128GB的SD卡，支持SD卡热插拔；</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▲12.支持TS、PS流封装，支持标准SIP2.0协议；13.具有≥1个内置麦克风，具有≥1个RJ45 10M/100M自适应以太网口、≥1路音频输入接口、≥1路音频输出接口、≥1路报警输入接口、≥1路报警输出接口；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14.具有1路DC12V/100mA电源输出接口，可用于外接拾音器供电，支持DC12V/PoE(802.3af)供电；</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15.红外照射距离≥30米；</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▲16.产品符合《国家教育考试网上巡查系统视频标准技术规范》JY/T-KS-JS-2017-1；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▲17.内置H.264及H.265编码算法软件,提供软件著作权登记证书。</w:t>
            </w:r>
          </w:p>
          <w:p w14:paraId="306E3570">
            <w:pPr>
              <w:pStyle w:val="2"/>
              <w:numPr>
                <w:ilvl w:val="0"/>
                <w:numId w:val="0"/>
              </w:numPr>
              <w:rPr>
                <w:rFonts w:hint="eastAsia"/>
                <w:color w:val="auto"/>
                <w:highlight w:val="none"/>
              </w:rPr>
            </w:pPr>
            <w:r>
              <w:rPr>
                <w:rFonts w:hint="eastAsia" w:ascii="宋体" w:hAnsi="宋体" w:eastAsia="宋体" w:cs="宋体"/>
                <w:i w:val="0"/>
                <w:iCs w:val="0"/>
                <w:color w:val="auto"/>
                <w:kern w:val="0"/>
                <w:sz w:val="21"/>
                <w:szCs w:val="21"/>
                <w:highlight w:val="none"/>
                <w:u w:val="none"/>
                <w:lang w:val="en-US" w:eastAsia="zh-CN" w:bidi="ar"/>
              </w:rPr>
              <w:t>注:▲项需提供相应功能证明材料（包括但不限于检验报告、软件著作权证明材料、官网功能截图等）</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451855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6FD23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 w:type="pct"/>
            <w:vMerge w:val="restart"/>
            <w:tcBorders>
              <w:top w:val="single" w:color="auto" w:sz="4" w:space="0"/>
              <w:left w:val="single" w:color="auto" w:sz="4" w:space="0"/>
              <w:bottom w:val="single" w:color="auto" w:sz="4" w:space="0"/>
              <w:right w:val="single" w:color="auto" w:sz="4" w:space="0"/>
            </w:tcBorders>
            <w:noWrap w:val="0"/>
            <w:vAlign w:val="center"/>
          </w:tcPr>
          <w:p w14:paraId="745A7D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25间机房考场，每考场2个摄像头，合计50个摄像头；</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其中的3个考场，6个摄像头本次考试为可移动式，需配备三角架及电源模块</w:t>
            </w:r>
          </w:p>
        </w:tc>
      </w:tr>
      <w:tr w14:paraId="27B2E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5D3359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292332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poe交换机</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323010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L2以太网交换机主机,支持24个10/100/1000BASE-T电口,支持2个1000BASE-X SFP端口,支持POE供电</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7A83F9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86C17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339A054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213FC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CF9C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8E54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光纤模块</w:t>
            </w:r>
          </w:p>
        </w:tc>
        <w:tc>
          <w:tcPr>
            <w:tcW w:w="3030"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2D86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千兆单模光纤模块</w:t>
            </w:r>
          </w:p>
        </w:tc>
        <w:tc>
          <w:tcPr>
            <w:tcW w:w="260" w:type="pct"/>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0627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067A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0E6ABE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17B1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31CCF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193ED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网上巡查系统管理系统</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664F1E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含电视墙管理模块、巡查指挥系统远程管理模块、录像模块等：</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1.软件界面明显位置具有帮助按钮，当用户需要时能提供文档说明，功能界面具有导航栏。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2.软件平台支持多用户使用，用户登录时经过账号和密码的相关性、安全性验证，防止非法操作。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3.软件平台具有较高的安全性，具有加密锁防护，防止软件被非法复制挪用，在加密锁失效或丢失的情况下，软件支持激活码激活。</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4.视频预览界面具有导航列表和视频显示窗口，采用左右布局结构，导航列可收缩折叠。相同元素有组织地放置在同一个区域，易于交互与展示，软件使用更为友好。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▲5.视频预览窗口支持不少于1、4、9、1+5、1+7等多画面预览。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6.在视频图像预览时支持抓图、录像、开启或关闭声音以及云台控制等操作。</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7.具有巡查列表提交功能，上传列表可选，可将考务规定的巡查编码设备通道列表上传，考务规定以外的列表可实现不上传但是能本地查看。</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8.视频巡查实现分组巡查：支持考场，走廊，保密室独立创建分组进行巡查。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9.支持按设备名称、区域节点名称检索设备树列表，支持考试任务接收，上传列表符合性校验，支持自定义设备树，可根据考试任务需求选择性创建设备树列表。</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10.支持对存储设备远程管理，实现存储控制、录像策略制定等功能。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11.支持对多台电视墙解码设备远程集中管理，实现远程解码上墙的内容控制、显示模式、轮巡切换、主辅码流等设置功能。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12.软件具有对所有网络摄像机、存储服务器、网络数字矩阵画面分割器、SIP 服务器远程管理设置、视频预览、OSD 设置、校时、设备列表树管理、列表上传、录像文件检索、下载、回放等功能。</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13.功能设计符合《国家教育考试网上巡查系统视频标准技术规范》JY/T-KS-JS-2017-1。</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▲14.软件自主可控，具有软件著作权证明材料。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▲15、能够接入陕西省教育考试综合管理平台和西安市考试综合管理平台，实现数据交互，同步考场摄像机数据信息。（提供承诺函）</w:t>
            </w:r>
          </w:p>
          <w:p w14:paraId="21D20402">
            <w:pPr>
              <w:pStyle w:val="2"/>
              <w:rPr>
                <w:rFonts w:hint="eastAsia"/>
                <w:color w:val="auto"/>
                <w:highlight w:val="none"/>
              </w:rPr>
            </w:pPr>
            <w:r>
              <w:rPr>
                <w:rFonts w:hint="eastAsia" w:ascii="宋体" w:hAnsi="宋体" w:eastAsia="宋体" w:cs="宋体"/>
                <w:i w:val="0"/>
                <w:iCs w:val="0"/>
                <w:color w:val="auto"/>
                <w:kern w:val="0"/>
                <w:sz w:val="21"/>
                <w:szCs w:val="21"/>
                <w:highlight w:val="none"/>
                <w:u w:val="none"/>
                <w:lang w:val="en-US" w:eastAsia="zh-CN" w:bidi="ar"/>
              </w:rPr>
              <w:t>注:▲项需提供相应功能证明材料（包括但不限于检验报告、软件著作权证明材料、官网功能截图等）</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28503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9EF68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004F65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52AB7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4956D3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009EC8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64路网上巡查视频安全存储平台</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499753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1、支持≥64路网络视频输入,最大输入带宽为≥640Mbps；</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2、支持接入视频1/4/6/8/9/16/25/32/36/64多画面分割预览</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3、支持≥64路视频并发录像，录像分辨率支持4MP、3MP、1080p、720p及以下分辨率；</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4、▲具有≥8个SATA接口和≥1个eSATA接口；具有≥2个HDMI和≥2个VGA输出接口；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5、≥2个RJ45 10M/100M/1000M自适应以太网口、≥1个RS485、≥1个RS232、≥4个USB接口；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6、具有≥16路报警输入，≥4路报警输出接口。</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7、▲单盘最大容量支持≥16TB硬盘，支持不同品牌的监控级和企业级硬盘混合接入,支持 SATA硬盘和SSD硬盘混合接入；</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8、具有磁盘阵列功能， 支持 RAID0/l/5；</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9、可接入H.265、H.264、MPEG4视频编码格式的网络摄像机，可接入AAC、MP2L2等音频编码格式的IPC；</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10、支持 SIP、RTP、RTCP 等网络协议</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11、支持手动录像/抓图、定时录像/抓图、事件录像/抓图、移动侦测录像/抓图、报警录像/抓图等模式；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12、支持≥16路同步回放，支持即时回放、事件回放、标签回放、智能回放、外部文件回放等模式；</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13、▲符合《国家教育考试网上巡查系统视频标准技术规范》JY/T-KS-JS-2017-1，《电子考场系统通用要求》GB/T 36449-2018，《公共安全视频监控联网系统信息传输、交换、控制技术要求》GB/T28181-2016；</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14、▲内置网络硬盘录像机嵌入式管理软件，提供软件著作权证明材料；</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注:▲项需提供相应功能证明材料（包括但不限于检验报告、软件著作权证明材料、官网功能截图等）</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2740D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50A9C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05EB7E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13AD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4F2E1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489B9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存储硬盘</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0F9C38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硬盘大小：3.5英寸 容量：</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6000G 转速：</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5400转 缓存：</w:t>
            </w:r>
            <w:r>
              <w:rPr>
                <w:rFonts w:hint="eastAsia" w:ascii="宋体" w:hAnsi="宋体" w:eastAsia="宋体" w:cs="宋体"/>
                <w:b/>
                <w:bCs/>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64M 接口类型：SATA3.0</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6B5F27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05B821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块</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4A6441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2953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1322604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7DA494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汇聚交换机</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4F2CC3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三层交换机，24 个SFP 千兆光口8口广电复用，</w:t>
            </w:r>
            <w:r>
              <w:rPr>
                <w:color w:val="auto"/>
                <w:spacing w:val="8"/>
                <w:highlight w:val="none"/>
              </w:rPr>
              <w:t>交换容量≥2.5</w:t>
            </w:r>
            <w:r>
              <w:rPr>
                <w:color w:val="auto"/>
                <w:highlight w:val="none"/>
              </w:rPr>
              <w:t>Tbps</w:t>
            </w:r>
            <w:r>
              <w:rPr>
                <w:color w:val="auto"/>
                <w:spacing w:val="8"/>
                <w:highlight w:val="none"/>
              </w:rPr>
              <w:t>，包转发率≥</w:t>
            </w:r>
            <w:r>
              <w:rPr>
                <w:rFonts w:hint="eastAsia"/>
                <w:color w:val="auto"/>
                <w:spacing w:val="8"/>
                <w:highlight w:val="none"/>
                <w:lang w:val="en-US" w:eastAsia="zh-CN"/>
              </w:rPr>
              <w:t>960</w:t>
            </w:r>
            <w:r>
              <w:rPr>
                <w:color w:val="auto"/>
                <w:highlight w:val="none"/>
              </w:rPr>
              <w:t>Mpps</w:t>
            </w:r>
            <w:r>
              <w:rPr>
                <w:rFonts w:hint="eastAsia" w:ascii="宋体" w:hAnsi="宋体" w:eastAsia="宋体" w:cs="宋体"/>
                <w:i w:val="0"/>
                <w:iCs w:val="0"/>
                <w:color w:val="auto"/>
                <w:kern w:val="0"/>
                <w:sz w:val="21"/>
                <w:szCs w:val="21"/>
                <w:highlight w:val="none"/>
                <w:u w:val="none"/>
                <w:lang w:val="en-US" w:eastAsia="zh-CN" w:bidi="ar"/>
              </w:rPr>
              <w:t>，支付VXlan;支持基于端口的VLAN。双电源。</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0442A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771615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55E57F1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2434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07ACAF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35BA15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线缆线材</w:t>
            </w:r>
          </w:p>
        </w:tc>
        <w:tc>
          <w:tcPr>
            <w:tcW w:w="3030" w:type="pct"/>
            <w:tcBorders>
              <w:top w:val="single" w:color="auto" w:sz="4" w:space="0"/>
              <w:left w:val="single" w:color="auto" w:sz="4" w:space="0"/>
              <w:bottom w:val="single" w:color="auto" w:sz="4" w:space="0"/>
              <w:right w:val="single" w:color="auto" w:sz="4" w:space="0"/>
            </w:tcBorders>
            <w:noWrap w:val="0"/>
            <w:vAlign w:val="center"/>
          </w:tcPr>
          <w:p w14:paraId="3F3D2A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电源线/网线/线槽/线管/插线板/HDMI线/防水盒/水晶头/电工胶带/胀管螺丝等</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13220C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6D5F03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6727D59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40FD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6" w:type="pct"/>
            <w:tcBorders>
              <w:top w:val="single" w:color="auto" w:sz="4" w:space="0"/>
              <w:left w:val="single" w:color="auto" w:sz="4" w:space="0"/>
              <w:bottom w:val="single" w:color="auto" w:sz="4" w:space="0"/>
              <w:right w:val="single" w:color="auto" w:sz="4" w:space="0"/>
            </w:tcBorders>
            <w:noWrap w:val="0"/>
            <w:vAlign w:val="center"/>
          </w:tcPr>
          <w:p w14:paraId="5ED226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25" w:type="pct"/>
            <w:tcBorders>
              <w:top w:val="single" w:color="auto" w:sz="4" w:space="0"/>
              <w:left w:val="single" w:color="auto" w:sz="4" w:space="0"/>
              <w:bottom w:val="single" w:color="auto" w:sz="4" w:space="0"/>
              <w:right w:val="single" w:color="auto" w:sz="4" w:space="0"/>
            </w:tcBorders>
            <w:noWrap w:val="0"/>
            <w:vAlign w:val="center"/>
          </w:tcPr>
          <w:p w14:paraId="7881CA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集成费</w:t>
            </w:r>
          </w:p>
        </w:tc>
        <w:tc>
          <w:tcPr>
            <w:tcW w:w="3030" w:type="pct"/>
            <w:tcBorders>
              <w:top w:val="single" w:color="auto" w:sz="4" w:space="0"/>
              <w:left w:val="single" w:color="auto" w:sz="4" w:space="0"/>
              <w:bottom w:val="single" w:color="auto" w:sz="4" w:space="0"/>
              <w:right w:val="single" w:color="auto" w:sz="4" w:space="0"/>
            </w:tcBorders>
            <w:noWrap/>
            <w:vAlign w:val="center"/>
          </w:tcPr>
          <w:p w14:paraId="54F0F7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运输、安装、调试、保障服务等费用</w:t>
            </w:r>
          </w:p>
        </w:tc>
        <w:tc>
          <w:tcPr>
            <w:tcW w:w="260" w:type="pct"/>
            <w:tcBorders>
              <w:top w:val="single" w:color="auto" w:sz="4" w:space="0"/>
              <w:left w:val="single" w:color="auto" w:sz="4" w:space="0"/>
              <w:bottom w:val="single" w:color="auto" w:sz="4" w:space="0"/>
              <w:right w:val="single" w:color="auto" w:sz="4" w:space="0"/>
            </w:tcBorders>
            <w:noWrap w:val="0"/>
            <w:vAlign w:val="center"/>
          </w:tcPr>
          <w:p w14:paraId="29006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87" w:type="pct"/>
            <w:tcBorders>
              <w:top w:val="single" w:color="auto" w:sz="4" w:space="0"/>
              <w:left w:val="single" w:color="auto" w:sz="4" w:space="0"/>
              <w:bottom w:val="single" w:color="auto" w:sz="4" w:space="0"/>
              <w:right w:val="single" w:color="auto" w:sz="4" w:space="0"/>
            </w:tcBorders>
            <w:noWrap w:val="0"/>
            <w:vAlign w:val="center"/>
          </w:tcPr>
          <w:p w14:paraId="4D4F06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w:t>
            </w:r>
          </w:p>
        </w:tc>
        <w:tc>
          <w:tcPr>
            <w:tcW w:w="559" w:type="pct"/>
            <w:vMerge w:val="continue"/>
            <w:tcBorders>
              <w:top w:val="single" w:color="auto" w:sz="4" w:space="0"/>
              <w:left w:val="single" w:color="auto" w:sz="4" w:space="0"/>
              <w:bottom w:val="single" w:color="auto" w:sz="4" w:space="0"/>
              <w:right w:val="single" w:color="auto" w:sz="4" w:space="0"/>
            </w:tcBorders>
            <w:noWrap w:val="0"/>
            <w:vAlign w:val="center"/>
          </w:tcPr>
          <w:p w14:paraId="764F89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auto"/>
                <w:sz w:val="21"/>
                <w:szCs w:val="21"/>
                <w:highlight w:val="none"/>
                <w:u w:val="none"/>
              </w:rPr>
            </w:pPr>
          </w:p>
        </w:tc>
      </w:tr>
      <w:tr w14:paraId="04DB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14:paraId="70DF24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备注：此项目为交钥匙项目，所有设备需包含安装，调试到位，若投标方认为无法达到交付要求的，自行添加所需设备及材料。</w:t>
            </w:r>
          </w:p>
        </w:tc>
      </w:tr>
    </w:tbl>
    <w:p w14:paraId="312E9625">
      <w:pPr>
        <w:numPr>
          <w:ilvl w:val="0"/>
          <w:numId w:val="3"/>
        </w:numPr>
        <w:rPr>
          <w:rFonts w:hint="eastAsia"/>
          <w:b/>
          <w:color w:val="auto"/>
          <w:sz w:val="24"/>
          <w:szCs w:val="24"/>
          <w:highlight w:val="none"/>
          <w:lang w:val="en-US" w:eastAsia="zh-CN"/>
        </w:rPr>
      </w:pPr>
      <w:r>
        <w:rPr>
          <w:rFonts w:hint="eastAsia"/>
          <w:b/>
          <w:color w:val="auto"/>
          <w:sz w:val="24"/>
          <w:szCs w:val="24"/>
          <w:highlight w:val="none"/>
          <w:lang w:val="en-US" w:eastAsia="zh-CN"/>
        </w:rPr>
        <w:t>其他要求</w:t>
      </w:r>
    </w:p>
    <w:p w14:paraId="3403521D">
      <w:pPr>
        <w:pStyle w:val="7"/>
        <w:spacing w:line="46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询价</w:t>
      </w:r>
      <w:r>
        <w:rPr>
          <w:rFonts w:ascii="宋体" w:hAnsi="宋体" w:eastAsia="宋体" w:cs="宋体"/>
          <w:color w:val="auto"/>
          <w:sz w:val="24"/>
          <w:szCs w:val="24"/>
          <w:highlight w:val="none"/>
          <w:lang w:eastAsia="zh-CN"/>
        </w:rPr>
        <w:t>报价包括完成本项目所需的设备或货物购买（制造）费、辅材费、运输费、装卸费、安装调试费、技术支持与培训、售后服务与维保及相关劳务支出等工作所发生的全部费用以及供应商企业利润、税金和政策性文件规定及合同包含的所有风险、责任等各项应有费。因成交供应商自身原因造成漏报、少报皆由其自行承担责任，采购人不再补偿。提供的设备及配套产品是厂家制造的、崭新的、未曾使用过的合格产品；</w:t>
      </w:r>
    </w:p>
    <w:p w14:paraId="4B3167BA">
      <w:pPr>
        <w:pStyle w:val="7"/>
        <w:spacing w:line="46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2.售后要求：</w:t>
      </w:r>
      <w:r>
        <w:rPr>
          <w:rFonts w:hint="eastAsia" w:ascii="宋体" w:hAnsi="宋体" w:eastAsia="宋体" w:cs="宋体"/>
          <w:color w:val="auto"/>
          <w:sz w:val="24"/>
          <w:szCs w:val="24"/>
          <w:highlight w:val="none"/>
          <w:lang w:val="en-US" w:eastAsia="zh-CN"/>
        </w:rPr>
        <w:t>自验收合格之日起质保</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ascii="宋体" w:hAnsi="宋体" w:eastAsia="宋体" w:cs="宋体"/>
          <w:color w:val="auto"/>
          <w:sz w:val="24"/>
          <w:szCs w:val="24"/>
          <w:highlight w:val="none"/>
          <w:lang w:eastAsia="zh-CN"/>
        </w:rPr>
        <w:t>，在质保期内，所有服务及配件全部免费，并终身提供维修服务。必须提供全套技术文件及产品软件，包括安装说明、操作手册、软件使用手册，产品合格证明文件，软件终生使用免费升级。维修服务：供货方在接到买方要求提供服务的电话后，会在4小时内响应并提供解决方案。电话服务无法解决的，将会在12小时内派服务工程师到达买方现场检修仪器。如因外界交通或其它非可控之原因而无法及时到达买方现场的，应通知买方说明这些原因并将计划达到的日期通知买方。如遇到大的零配件更换，最长排除故障时限不超过2天。供货方应终身负责维护维修，如因非人为原因导致仪器出现故障，需要寄送厂家返修，则期间产生费用由供货方承担；</w:t>
      </w:r>
    </w:p>
    <w:p w14:paraId="58366BEF">
      <w:pPr>
        <w:pStyle w:val="7"/>
        <w:spacing w:line="46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培训：安装调试合格后，由成交供应商安排工程师为招标人指定的操作人员做现场基本操作培训，保证相关人员能独立进行基本操作和数据处理。培训内容包括仪器的基本原理，操作保养，维修等方面，直到技术人员能独立操作和使用，培训所产生的交通、食宿等费用由成交供应商承担；</w:t>
      </w:r>
    </w:p>
    <w:p w14:paraId="5791D62A">
      <w:pPr>
        <w:pStyle w:val="7"/>
        <w:spacing w:line="460" w:lineRule="exact"/>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4.安装调试：安装设备时，安装工程师需对本标书中提出的性能指标逐项演示给用户，所有指标需要通过现场验收，并通过相应的技术验收指标，直至用户认可仪器符合技术性能为止；安装调试期间产生的一切费用（包括但不限于安装、人工、运输搬运、交通、打孔、管路整理等）由成交供应商负责。安装调试检验结果同时应符合制造厂产品标准和买方认可的技术性能；</w:t>
      </w:r>
    </w:p>
    <w:p w14:paraId="349ADE64">
      <w:pPr>
        <w:pStyle w:val="7"/>
        <w:spacing w:line="460" w:lineRule="exact"/>
        <w:ind w:firstLine="480" w:firstLineChars="20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5.验收：设备安装、调试完成后，对照</w:t>
      </w:r>
      <w:r>
        <w:rPr>
          <w:rFonts w:hint="eastAsia" w:ascii="宋体" w:hAnsi="宋体" w:eastAsia="宋体" w:cs="宋体"/>
          <w:color w:val="auto"/>
          <w:sz w:val="24"/>
          <w:szCs w:val="24"/>
          <w:highlight w:val="none"/>
          <w:lang w:val="en-US" w:eastAsia="zh-CN"/>
        </w:rPr>
        <w:t>询价</w:t>
      </w:r>
      <w:r>
        <w:rPr>
          <w:rFonts w:ascii="宋体" w:hAnsi="宋体" w:eastAsia="宋体" w:cs="宋体"/>
          <w:color w:val="auto"/>
          <w:sz w:val="24"/>
          <w:szCs w:val="24"/>
          <w:highlight w:val="none"/>
          <w:lang w:eastAsia="zh-CN"/>
        </w:rPr>
        <w:t>文件要求、响应文件上的技术参数及合同条款，由</w:t>
      </w:r>
      <w:r>
        <w:rPr>
          <w:rFonts w:ascii="宋体" w:hAnsi="宋体" w:eastAsia="宋体"/>
          <w:color w:val="auto"/>
          <w:sz w:val="24"/>
          <w:highlight w:val="none"/>
          <w:lang w:eastAsia="zh-CN"/>
        </w:rPr>
        <w:t>甲方</w:t>
      </w:r>
      <w:r>
        <w:rPr>
          <w:rFonts w:ascii="宋体" w:hAnsi="宋体"/>
          <w:color w:val="auto"/>
          <w:sz w:val="24"/>
          <w:highlight w:val="none"/>
        </w:rPr>
        <w:t>负责组织验收</w:t>
      </w:r>
      <w:r>
        <w:rPr>
          <w:rFonts w:ascii="宋体" w:hAnsi="宋体" w:eastAsia="宋体" w:cs="宋体"/>
          <w:color w:val="auto"/>
          <w:sz w:val="24"/>
          <w:szCs w:val="24"/>
          <w:highlight w:val="none"/>
          <w:lang w:eastAsia="zh-CN"/>
        </w:rPr>
        <w:t>，对项目验收发生的检测（检验）费（如有）、专家劳务报酬等费用支出，由中标方承担。若验收未通过，乙方负责更换设备或重新安装调试，双方重新组织验收，此过程中产生的所有费用、及因此对甲方造成的损失均由乙方承担。</w:t>
      </w:r>
    </w:p>
    <w:p w14:paraId="4D681C1E">
      <w:pPr>
        <w:numPr>
          <w:ilvl w:val="0"/>
          <w:numId w:val="0"/>
        </w:numPr>
        <w:rPr>
          <w:rFonts w:hint="default"/>
          <w:b/>
          <w:color w:val="auto"/>
          <w:highlight w:val="none"/>
          <w:lang w:val="en-US" w:eastAsia="zh-CN"/>
        </w:rPr>
      </w:pPr>
      <w:r>
        <w:rPr>
          <w:rFonts w:hint="eastAsia" w:ascii="宋体" w:hAnsi="宋体" w:eastAsia="宋体" w:cs="宋体"/>
          <w:color w:val="auto"/>
          <w:sz w:val="24"/>
          <w:highlight w:val="none"/>
        </w:rPr>
        <w:t>双方验收时，对设备外观、数量、配置情况等进行仔细核对、清点，认真考核设备指标，</w:t>
      </w:r>
      <w:r>
        <w:rPr>
          <w:rFonts w:hint="eastAsia" w:ascii="宋体" w:hAnsi="宋体"/>
          <w:color w:val="auto"/>
          <w:sz w:val="24"/>
          <w:highlight w:val="none"/>
        </w:rPr>
        <w:t>验收合格须交接项目实施的全部资料，并填写政府采购项目验收报告单。验收须以合同、招投标文件、澄清、及国家相应的标准、规范等为依据。</w:t>
      </w:r>
    </w:p>
    <w:p w14:paraId="178FA89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54A7"/>
    <w:multiLevelType w:val="singleLevel"/>
    <w:tmpl w:val="862E54A7"/>
    <w:lvl w:ilvl="0" w:tentative="0">
      <w:start w:val="1"/>
      <w:numFmt w:val="decimal"/>
      <w:lvlText w:val="%1."/>
      <w:lvlJc w:val="left"/>
      <w:pPr>
        <w:tabs>
          <w:tab w:val="left" w:pos="312"/>
        </w:tabs>
      </w:pPr>
    </w:lvl>
  </w:abstractNum>
  <w:abstractNum w:abstractNumId="1">
    <w:nsid w:val="D6BD97AC"/>
    <w:multiLevelType w:val="singleLevel"/>
    <w:tmpl w:val="D6BD97AC"/>
    <w:lvl w:ilvl="0" w:tentative="0">
      <w:start w:val="3"/>
      <w:numFmt w:val="chineseCounting"/>
      <w:suff w:val="nothing"/>
      <w:lvlText w:val="%1．"/>
      <w:lvlJc w:val="left"/>
      <w:rPr>
        <w:rFonts w:hint="eastAsia"/>
      </w:rPr>
    </w:lvl>
  </w:abstractNum>
  <w:abstractNum w:abstractNumId="2">
    <w:nsid w:val="226C021C"/>
    <w:multiLevelType w:val="singleLevel"/>
    <w:tmpl w:val="226C021C"/>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315C0C"/>
    <w:rsid w:val="4B31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customStyle="1" w:styleId="5">
    <w:name w:val="font21"/>
    <w:basedOn w:val="4"/>
    <w:uiPriority w:val="0"/>
    <w:rPr>
      <w:rFonts w:hint="eastAsia" w:ascii="宋体" w:hAnsi="宋体" w:eastAsia="宋体" w:cs="宋体"/>
      <w:b/>
      <w:bCs/>
      <w:color w:val="000000"/>
      <w:sz w:val="24"/>
      <w:szCs w:val="24"/>
      <w:u w:val="none"/>
    </w:rPr>
  </w:style>
  <w:style w:type="paragraph" w:customStyle="1" w:styleId="6">
    <w:name w:val=" Char Char2"/>
    <w:basedOn w:val="1"/>
    <w:uiPriority w:val="0"/>
    <w:pPr>
      <w:spacing w:line="240" w:lineRule="auto"/>
    </w:pPr>
    <w:rPr>
      <w:rFonts w:ascii="Tahoma" w:hAnsi="Tahoma"/>
      <w:sz w:val="24"/>
      <w:szCs w:val="20"/>
    </w:rPr>
  </w:style>
  <w:style w:type="paragraph" w:customStyle="1" w:styleId="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2026-03-10T07:26:00Z</dcterms:created>
  <dc:creator>白日梦</dc:creator>
  <cp:lastModifiedBy>白日梦</cp:lastModifiedBy>
  <dcterms:modified xsi:type="dcterms:W3CDTF">2026-03-10T07:27:22Z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81680EDADAB049599AA5D610A71657F5_11</vt:lpwstr>
  </property>
  <property fmtid="{D5CDD505-2E9C-101B-9397-08002B2CF9AE}" pid="4" name="KSOTemplateDocerSaveRecord">
    <vt:lpwstr>eyJoZGlkIjoiOTQyNjJhYWQ1Y2ZkMWY1OTgyN2E4ZDZkNGNkNDQwMjYiLCJ1c2VySWQiOiIzMTI3MDEwNzEifQ==</vt:lpwstr>
  </property>
</Properties>
</file>