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版本号：SXLX26-01-018Z(H)20260320001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长安区2025年省级区域性农事服务中心项目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SXLX26-01-018Z(H)</w:t>
      </w:r>
      <w:r>
        <w:br/>
      </w:r>
      <w:r>
        <w:br/>
      </w:r>
      <w:r>
        <w:br/>
      </w:r>
    </w:p>
    <w:p>
      <w:pPr>
        <w:pStyle w:val="null3"/>
        <w:jc w:val="center"/>
        <w:outlineLvl w:val="2"/>
      </w:pPr>
      <w:r>
        <w:rPr>
          <w:rFonts w:ascii="仿宋_GB2312" w:hAnsi="仿宋_GB2312" w:cs="仿宋_GB2312" w:eastAsia="仿宋_GB2312"/>
          <w:sz w:val="28"/>
          <w:b/>
        </w:rPr>
        <w:t>西安市长安区农业机械管理站</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西安市长安区农业机械管理站</w:t>
      </w:r>
      <w:r>
        <w:rPr>
          <w:rFonts w:ascii="仿宋_GB2312" w:hAnsi="仿宋_GB2312" w:cs="仿宋_GB2312" w:eastAsia="仿宋_GB2312"/>
        </w:rPr>
        <w:t>委托，拟对</w:t>
      </w:r>
      <w:r>
        <w:rPr>
          <w:rFonts w:ascii="仿宋_GB2312" w:hAnsi="仿宋_GB2312" w:cs="仿宋_GB2312" w:eastAsia="仿宋_GB2312"/>
        </w:rPr>
        <w:t>长安区2025年省级区域性农事服务中心项目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SXLX26-01-018Z(H)</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长安区2025年省级区域性农事服务中心项目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一批撒(抛)肥机、喷杆喷雾机等全程机械化农机作业应急救灾配套机具，用于培育建设现代区域性农事社会化服务中心，开展农机化耕种收服务，提升粮食生产装备水平和农机应急救灾服务能力，要求所有货物（产品）质量标准符合国家、省、市（行业）强制性标准及采购人要求的合格标准、安装调试到位、验收合格达到交钥匙条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西安市长安区农业机械管理站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西安市长安区南长安街153号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029-85292434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关于进一步放开建设项目专项业务服务价格的通知》（发改价格〔2015〕299号），代理服务费按捌仟圆收取，此服务费应计入响应报价中，但不需要单独开列，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西安市长安区农业机械管理站</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西安市长安区农业机械管理站</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西安市长安区农业机械管理站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陕西隆信项目管理有限公司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根据采购文件规定的验收标准和方法进行验收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联系人：任甜、郑婧婧、杜航、李亚男、袁歆雨、刘晶</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撒(抛)肥机、喷杆喷雾机等全程机械化农机作业应急救灾配套机具，用于培育建设现代区域性农事社会化服务中心，开展农机化耕种收服务，提升粮食生产装备水平和农机应急救灾服务能力，要求所有货物（产品）质量标准符合国家、省、市（行业）强制性标准及采购人要求的合格标准、安装调试到位、验收合格达到交钥匙条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撒(抛)肥机 喷杆喷雾机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标的名称：撒(抛)肥机 喷杆喷雾机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采购需求及要求</w:t>
            </w:r>
          </w:p>
          <w:p>
            <w:pPr>
              <w:pStyle w:val="null3"/>
              <w:ind w:firstLine="420"/>
              <w:jc w:val="both"/>
            </w:pPr>
            <w:r>
              <w:rPr>
                <w:rFonts w:ascii="仿宋_GB2312" w:hAnsi="仿宋_GB2312" w:cs="仿宋_GB2312" w:eastAsia="仿宋_GB2312"/>
                <w:sz w:val="21"/>
                <w:b/>
                <w:color w:val="000000"/>
              </w:rPr>
              <w:t>1.1采购需求清单：</w:t>
            </w:r>
          </w:p>
          <w:tbl>
            <w:tblPr>
              <w:tblBorders>
                <w:top w:val="none" w:color="000000" w:sz="4"/>
                <w:left w:val="none" w:color="000000" w:sz="4"/>
                <w:bottom w:val="none" w:color="000000" w:sz="4"/>
                <w:right w:val="none" w:color="000000" w:sz="4"/>
                <w:insideH w:val="none"/>
                <w:insideV w:val="none"/>
              </w:tblBorders>
            </w:tblPr>
            <w:tblGrid>
              <w:gridCol w:w="226"/>
              <w:gridCol w:w="346"/>
              <w:gridCol w:w="1487"/>
              <w:gridCol w:w="236"/>
              <w:gridCol w:w="246"/>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4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技术规格要求</w:t>
                  </w:r>
                </w:p>
              </w:tc>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撒</w:t>
                  </w:r>
                  <w:r>
                    <w:rPr>
                      <w:rFonts w:ascii="仿宋_GB2312" w:hAnsi="仿宋_GB2312" w:cs="仿宋_GB2312" w:eastAsia="仿宋_GB2312"/>
                      <w:sz w:val="21"/>
                      <w:b/>
                      <w:color w:val="000000"/>
                    </w:rPr>
                    <w:t>(抛)肥机</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★1.抛盘数量：≥2个。</w:t>
                  </w:r>
                </w:p>
                <w:p>
                  <w:pPr>
                    <w:pStyle w:val="null3"/>
                    <w:jc w:val="both"/>
                  </w:pPr>
                  <w:r>
                    <w:rPr>
                      <w:rFonts w:ascii="仿宋_GB2312" w:hAnsi="仿宋_GB2312" w:cs="仿宋_GB2312" w:eastAsia="仿宋_GB2312"/>
                      <w:sz w:val="21"/>
                      <w:color w:val="000000"/>
                    </w:rPr>
                    <w:t>2.配套动力：适配120-160马力。</w:t>
                  </w:r>
                </w:p>
                <w:p>
                  <w:pPr>
                    <w:pStyle w:val="null3"/>
                    <w:jc w:val="both"/>
                  </w:pPr>
                  <w:r>
                    <w:rPr>
                      <w:rFonts w:ascii="仿宋_GB2312" w:hAnsi="仿宋_GB2312" w:cs="仿宋_GB2312" w:eastAsia="仿宋_GB2312"/>
                      <w:sz w:val="21"/>
                      <w:color w:val="000000"/>
                    </w:rPr>
                    <w:t>3.传动系统：采用外部轴传动+内部齿轮传动组合方式。</w:t>
                  </w:r>
                </w:p>
                <w:p>
                  <w:pPr>
                    <w:pStyle w:val="null3"/>
                    <w:jc w:val="both"/>
                  </w:pPr>
                  <w:r>
                    <w:rPr>
                      <w:rFonts w:ascii="仿宋_GB2312" w:hAnsi="仿宋_GB2312" w:cs="仿宋_GB2312" w:eastAsia="仿宋_GB2312"/>
                      <w:sz w:val="21"/>
                      <w:color w:val="000000"/>
                    </w:rPr>
                    <w:t>★4.作业幅宽：12-42米连续可调，支持半幅作业模式。</w:t>
                  </w:r>
                </w:p>
                <w:p>
                  <w:pPr>
                    <w:pStyle w:val="null3"/>
                    <w:jc w:val="both"/>
                  </w:pPr>
                  <w:r>
                    <w:rPr>
                      <w:rFonts w:ascii="仿宋_GB2312" w:hAnsi="仿宋_GB2312" w:cs="仿宋_GB2312" w:eastAsia="仿宋_GB2312"/>
                      <w:sz w:val="21"/>
                      <w:color w:val="000000"/>
                    </w:rPr>
                    <w:t>★5.料箱容积：1400L-3200L。</w:t>
                  </w:r>
                </w:p>
                <w:p>
                  <w:pPr>
                    <w:pStyle w:val="null3"/>
                    <w:jc w:val="both"/>
                  </w:pPr>
                  <w:r>
                    <w:rPr>
                      <w:rFonts w:ascii="仿宋_GB2312" w:hAnsi="仿宋_GB2312" w:cs="仿宋_GB2312" w:eastAsia="仿宋_GB2312"/>
                      <w:sz w:val="21"/>
                      <w:color w:val="000000"/>
                    </w:rPr>
                    <w:t>★6.料箱底座、撒肥量调节机构、撒肥部件等核心部件均采用100%不锈钢材料，采用加强型旋转叶片且经碳化钨涂层处理。</w:t>
                  </w:r>
                </w:p>
                <w:p>
                  <w:pPr>
                    <w:pStyle w:val="null3"/>
                    <w:jc w:val="both"/>
                  </w:pPr>
                  <w:r>
                    <w:rPr>
                      <w:rFonts w:ascii="仿宋_GB2312" w:hAnsi="仿宋_GB2312" w:cs="仿宋_GB2312" w:eastAsia="仿宋_GB2312"/>
                      <w:sz w:val="21"/>
                      <w:color w:val="000000"/>
                    </w:rPr>
                    <w:t>★7.配置2类牵引杆，具备双高度连接点位，支持适配多种拖拉机挂接。</w:t>
                  </w:r>
                </w:p>
                <w:p>
                  <w:pPr>
                    <w:pStyle w:val="null3"/>
                    <w:jc w:val="both"/>
                  </w:pPr>
                  <w:r>
                    <w:rPr>
                      <w:rFonts w:ascii="仿宋_GB2312" w:hAnsi="仿宋_GB2312" w:cs="仿宋_GB2312" w:eastAsia="仿宋_GB2312"/>
                      <w:sz w:val="21"/>
                      <w:color w:val="000000"/>
                    </w:rPr>
                    <w:t>★8.配备进料滤网、料箱料位视镜、专用流量控制工具、专用导流板等辅助配置。</w:t>
                  </w:r>
                </w:p>
                <w:p>
                  <w:pPr>
                    <w:pStyle w:val="null3"/>
                    <w:jc w:val="both"/>
                  </w:pPr>
                  <w:r>
                    <w:rPr>
                      <w:rFonts w:ascii="仿宋_GB2312" w:hAnsi="仿宋_GB2312" w:cs="仿宋_GB2312" w:eastAsia="仿宋_GB2312"/>
                      <w:sz w:val="21"/>
                      <w:color w:val="000000"/>
                    </w:rPr>
                    <w:t>9.搅拌转速：≤18转/分钟，作业温和，对化肥颗粒的搅拌操作极为轻缓。</w:t>
                  </w:r>
                </w:p>
                <w:p>
                  <w:pPr>
                    <w:pStyle w:val="null3"/>
                    <w:jc w:val="both"/>
                  </w:pPr>
                  <w:r>
                    <w:rPr>
                      <w:rFonts w:ascii="仿宋_GB2312" w:hAnsi="仿宋_GB2312" w:cs="仿宋_GB2312" w:eastAsia="仿宋_GB2312"/>
                      <w:sz w:val="21"/>
                      <w:color w:val="000000"/>
                    </w:rPr>
                    <w:t>10.未加装增容装置时整机自重：330kg-720kg。</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b/>
                      <w:color w:val="000000"/>
                    </w:rPr>
                    <w:t>2</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喷杆喷雾机</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1.整机结构为自走式喷杆喷雾机。</w:t>
                  </w:r>
                </w:p>
                <w:p>
                  <w:pPr>
                    <w:pStyle w:val="null3"/>
                    <w:jc w:val="both"/>
                  </w:pPr>
                  <w:r>
                    <w:rPr>
                      <w:rFonts w:ascii="仿宋_GB2312" w:hAnsi="仿宋_GB2312" w:cs="仿宋_GB2312" w:eastAsia="仿宋_GB2312"/>
                      <w:sz w:val="21"/>
                      <w:color w:val="000000"/>
                    </w:rPr>
                    <w:t>2.整机工作压力：0-2.5MPa。</w:t>
                  </w:r>
                </w:p>
                <w:p>
                  <w:pPr>
                    <w:pStyle w:val="null3"/>
                    <w:jc w:val="both"/>
                  </w:pPr>
                  <w:r>
                    <w:rPr>
                      <w:rFonts w:ascii="仿宋_GB2312" w:hAnsi="仿宋_GB2312" w:cs="仿宋_GB2312" w:eastAsia="仿宋_GB2312"/>
                      <w:sz w:val="21"/>
                      <w:color w:val="000000"/>
                    </w:rPr>
                    <w:t>3.最小离地间隙：≥1010mm。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4.前置液压升降型式喷杆，整机喷杆长度：≥13000mm。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5.达到国家第四排放标准，配套动力：四缸水冷四冲程，柴油机动力，轴距≤2100mm。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6.发动机功率：≥36.8kW，转速：≥2400r/min，工作电压：≥24 V。</w:t>
                  </w:r>
                </w:p>
                <w:p>
                  <w:pPr>
                    <w:pStyle w:val="null3"/>
                    <w:jc w:val="both"/>
                  </w:pPr>
                  <w:r>
                    <w:rPr>
                      <w:rFonts w:ascii="仿宋_GB2312" w:hAnsi="仿宋_GB2312" w:cs="仿宋_GB2312" w:eastAsia="仿宋_GB2312"/>
                      <w:sz w:val="21"/>
                      <w:color w:val="000000"/>
                    </w:rPr>
                    <w:t>7.三缸柱塞泵，电机泵额定压力：≥3.5MPa，电机泵额定流量 52-117L/min，液泵驱动方式为液压马达驱动。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8.药箱容积 ≥1000 L。</w:t>
                  </w:r>
                </w:p>
                <w:p>
                  <w:pPr>
                    <w:pStyle w:val="null3"/>
                    <w:jc w:val="both"/>
                  </w:pPr>
                  <w:r>
                    <w:rPr>
                      <w:rFonts w:ascii="仿宋_GB2312" w:hAnsi="仿宋_GB2312" w:cs="仿宋_GB2312" w:eastAsia="仿宋_GB2312"/>
                      <w:sz w:val="21"/>
                      <w:color w:val="000000"/>
                    </w:rPr>
                    <w:t>9.承压软管允许最大压力 MPa 8.7(分配器前)/2.76(分配器后)。</w:t>
                  </w:r>
                </w:p>
                <w:p>
                  <w:pPr>
                    <w:pStyle w:val="null3"/>
                    <w:jc w:val="both"/>
                  </w:pPr>
                  <w:r>
                    <w:rPr>
                      <w:rFonts w:ascii="仿宋_GB2312" w:hAnsi="仿宋_GB2312" w:cs="仿宋_GB2312" w:eastAsia="仿宋_GB2312"/>
                      <w:sz w:val="21"/>
                      <w:color w:val="000000"/>
                    </w:rPr>
                    <w:t>10.支持选配撒肥器。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05"/>
                    <w:jc w:val="both"/>
                  </w:pPr>
                  <w:r>
                    <w:rPr>
                      <w:rFonts w:ascii="仿宋_GB2312" w:hAnsi="仿宋_GB2312" w:cs="仿宋_GB2312" w:eastAsia="仿宋_GB2312"/>
                      <w:sz w:val="18"/>
                      <w:color w:val="000000"/>
                    </w:rPr>
                    <w:t>说明：</w:t>
                  </w:r>
                  <w:r>
                    <w:rPr>
                      <w:rFonts w:ascii="仿宋_GB2312" w:hAnsi="仿宋_GB2312" w:cs="仿宋_GB2312" w:eastAsia="仿宋_GB2312"/>
                      <w:sz w:val="18"/>
                      <w:color w:val="000000"/>
                    </w:rPr>
                    <w:t>1.采购需求清单中带“★”的技术指标参数为实质性要求，未按要求提供相关证明材料</w:t>
                  </w:r>
                  <w:r>
                    <w:rPr>
                      <w:rFonts w:ascii="仿宋_GB2312" w:hAnsi="仿宋_GB2312" w:cs="仿宋_GB2312" w:eastAsia="仿宋_GB2312"/>
                      <w:sz w:val="18"/>
                      <w:color w:val="000000"/>
                    </w:rPr>
                    <w:t>(不限于原厂印刷的产品说明书、质量证书、检测报告、合格证、官网截图等)</w:t>
                  </w:r>
                  <w:r>
                    <w:rPr>
                      <w:rFonts w:ascii="仿宋_GB2312" w:hAnsi="仿宋_GB2312" w:cs="仿宋_GB2312" w:eastAsia="仿宋_GB2312"/>
                      <w:sz w:val="18"/>
                      <w:color w:val="000000"/>
                    </w:rPr>
                    <w:t>或技术指标参数存在负偏离的，均按无效响应处理。</w:t>
                  </w:r>
                </w:p>
                <w:p>
                  <w:pPr>
                    <w:pStyle w:val="null3"/>
                    <w:jc w:val="both"/>
                  </w:pPr>
                  <w:r>
                    <w:rPr>
                      <w:rFonts w:ascii="仿宋_GB2312" w:hAnsi="仿宋_GB2312" w:cs="仿宋_GB2312" w:eastAsia="仿宋_GB2312"/>
                      <w:sz w:val="18"/>
                      <w:color w:val="000000"/>
                    </w:rPr>
                    <w:t>2.有关重量、尺寸、体积等的表述，允许供应商在国标和采购需求允许的范围内浮动，但必须满足采购人实际使用，外观颜色需根据实际需求供采购人可选。</w:t>
                  </w:r>
                </w:p>
              </w:tc>
            </w:tr>
          </w:tbl>
          <w:p>
            <w:pPr>
              <w:pStyle w:val="null3"/>
              <w:ind w:firstLine="422"/>
              <w:jc w:val="left"/>
            </w:pPr>
            <w:r>
              <w:rPr>
                <w:rFonts w:ascii="仿宋_GB2312" w:hAnsi="仿宋_GB2312" w:cs="仿宋_GB2312" w:eastAsia="仿宋_GB2312"/>
                <w:sz w:val="21"/>
                <w:b/>
                <w:color w:val="000000"/>
              </w:rPr>
              <w:t>1.2</w:t>
            </w: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“三包”要求：</w:t>
            </w:r>
            <w:r>
              <w:rPr>
                <w:rFonts w:ascii="仿宋_GB2312" w:hAnsi="仿宋_GB2312" w:cs="仿宋_GB2312" w:eastAsia="仿宋_GB2312"/>
                <w:sz w:val="21"/>
                <w:color w:val="000000"/>
              </w:rPr>
              <w:t>货物（产品）属于国家规定的</w:t>
            </w:r>
            <w:r>
              <w:rPr>
                <w:rFonts w:ascii="仿宋_GB2312" w:hAnsi="仿宋_GB2312" w:cs="仿宋_GB2312" w:eastAsia="仿宋_GB2312"/>
                <w:sz w:val="21"/>
                <w:color w:val="000000"/>
              </w:rPr>
              <w:t>“三包产品”，产品制造商、经销代理商应遵守“三包”的规定，在产品发生质量问题时，及时对所提供产品实行“包退、包换、保修”服务。</w:t>
            </w:r>
          </w:p>
          <w:p>
            <w:pPr>
              <w:pStyle w:val="null3"/>
              <w:ind w:firstLine="422"/>
              <w:jc w:val="both"/>
            </w:pPr>
            <w:r>
              <w:rPr>
                <w:rFonts w:ascii="仿宋_GB2312" w:hAnsi="仿宋_GB2312" w:cs="仿宋_GB2312" w:eastAsia="仿宋_GB2312"/>
                <w:sz w:val="21"/>
                <w:b/>
                <w:color w:val="000000"/>
              </w:rPr>
              <w:t>1.3</w:t>
            </w:r>
            <w:r>
              <w:rPr>
                <w:rFonts w:ascii="仿宋_GB2312" w:hAnsi="仿宋_GB2312" w:cs="仿宋_GB2312" w:eastAsia="仿宋_GB2312"/>
                <w:sz w:val="21"/>
                <w:b/>
                <w:color w:val="000000"/>
              </w:rPr>
              <w:t>安全要求：</w:t>
            </w:r>
            <w:r>
              <w:rPr>
                <w:rFonts w:ascii="仿宋_GB2312" w:hAnsi="仿宋_GB2312" w:cs="仿宋_GB2312" w:eastAsia="仿宋_GB2312"/>
                <w:sz w:val="21"/>
                <w:color w:val="000000"/>
              </w:rPr>
              <w:t>认真贯彻执行国家及省、市有关安全文明生产的法律法规规章和强制性标准、安全操作规程等，所有设备</w:t>
            </w:r>
            <w:r>
              <w:rPr>
                <w:rFonts w:ascii="仿宋_GB2312" w:hAnsi="仿宋_GB2312" w:cs="仿宋_GB2312" w:eastAsia="仿宋_GB2312"/>
                <w:sz w:val="21"/>
                <w:color w:val="000000"/>
              </w:rPr>
              <w:t>(产品)应符合国家相关安全标准，所有货物（产品）能够承受频繁使用和可能的不当操作，结构稳定，不易损坏</w:t>
            </w:r>
            <w:r>
              <w:rPr>
                <w:rFonts w:ascii="仿宋_GB2312" w:hAnsi="仿宋_GB2312" w:cs="仿宋_GB2312" w:eastAsia="仿宋_GB2312"/>
                <w:sz w:val="21"/>
                <w:color w:val="000000"/>
              </w:rPr>
              <w:t>，</w:t>
            </w:r>
            <w:r>
              <w:rPr>
                <w:rFonts w:ascii="仿宋_GB2312" w:hAnsi="仿宋_GB2312" w:cs="仿宋_GB2312" w:eastAsia="仿宋_GB2312"/>
                <w:sz w:val="21"/>
                <w:color w:val="000000"/>
              </w:rPr>
              <w:t>无锐利边角、无毒无害、不易造成意外伤害</w:t>
            </w:r>
            <w:r>
              <w:rPr>
                <w:rFonts w:ascii="仿宋_GB2312" w:hAnsi="仿宋_GB2312" w:cs="仿宋_GB2312" w:eastAsia="仿宋_GB2312"/>
                <w:sz w:val="21"/>
                <w:color w:val="000000"/>
              </w:rPr>
              <w:t>，</w:t>
            </w:r>
            <w:r>
              <w:rPr>
                <w:rFonts w:ascii="仿宋_GB2312" w:hAnsi="仿宋_GB2312" w:cs="仿宋_GB2312" w:eastAsia="仿宋_GB2312"/>
                <w:sz w:val="21"/>
                <w:color w:val="000000"/>
              </w:rPr>
              <w:t>与实际使用场地相匹配；建立健全安装现场安全文明生产保证体系，落实各项具体措施，切实履行安全文明生产责任和义务，保护职工身体健康和生命安全，以及社会公众安全，保持安装现场整齐有序</w:t>
            </w:r>
            <w:r>
              <w:rPr>
                <w:rFonts w:ascii="仿宋_GB2312" w:hAnsi="仿宋_GB2312" w:cs="仿宋_GB2312" w:eastAsia="仿宋_GB2312"/>
                <w:sz w:val="21"/>
                <w:color w:val="000000"/>
              </w:rPr>
              <w:t>。</w:t>
            </w:r>
          </w:p>
          <w:p>
            <w:pPr>
              <w:pStyle w:val="null3"/>
              <w:ind w:firstLine="422"/>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应按要求提供所投的设备（产品）的技术资料（不限于原厂印刷的产品说明书、质量证书、检测报告、合格证、官网截图等）；</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应保证</w:t>
            </w:r>
            <w:r>
              <w:rPr>
                <w:rFonts w:ascii="仿宋_GB2312" w:hAnsi="仿宋_GB2312" w:cs="仿宋_GB2312" w:eastAsia="仿宋_GB2312"/>
                <w:sz w:val="21"/>
                <w:color w:val="000000"/>
              </w:rPr>
              <w:t>投标</w:t>
            </w:r>
            <w:r>
              <w:rPr>
                <w:rFonts w:ascii="仿宋_GB2312" w:hAnsi="仿宋_GB2312" w:cs="仿宋_GB2312" w:eastAsia="仿宋_GB2312"/>
                <w:sz w:val="21"/>
                <w:color w:val="000000"/>
              </w:rPr>
              <w:t>所提供第三方资料内容真实、完整、准确</w:t>
            </w:r>
            <w:r>
              <w:rPr>
                <w:rFonts w:ascii="仿宋_GB2312" w:hAnsi="仿宋_GB2312" w:cs="仿宋_GB2312" w:eastAsia="仿宋_GB2312"/>
                <w:sz w:val="21"/>
                <w:color w:val="000000"/>
              </w:rPr>
              <w:t>；</w:t>
            </w:r>
            <w:r>
              <w:rPr>
                <w:rFonts w:ascii="仿宋_GB2312" w:hAnsi="仿宋_GB2312" w:cs="仿宋_GB2312" w:eastAsia="仿宋_GB2312"/>
                <w:sz w:val="21"/>
                <w:color w:val="000000"/>
              </w:rPr>
              <w:t>如</w:t>
            </w:r>
            <w:r>
              <w:rPr>
                <w:rFonts w:ascii="仿宋_GB2312" w:hAnsi="仿宋_GB2312" w:cs="仿宋_GB2312" w:eastAsia="仿宋_GB2312"/>
                <w:sz w:val="21"/>
                <w:color w:val="000000"/>
              </w:rPr>
              <w:t>有</w:t>
            </w:r>
            <w:r>
              <w:rPr>
                <w:rFonts w:ascii="仿宋_GB2312" w:hAnsi="仿宋_GB2312" w:cs="仿宋_GB2312" w:eastAsia="仿宋_GB2312"/>
                <w:sz w:val="21"/>
                <w:color w:val="000000"/>
              </w:rPr>
              <w:t>相关第三方书面声明、相关检测报告等资料虚假，监管部门有权根据调查情形认定其是否属于提供虚假材料谋取中标（成交），并严肃处理</w:t>
            </w:r>
            <w:r>
              <w:rPr>
                <w:rFonts w:ascii="仿宋_GB2312" w:hAnsi="仿宋_GB2312" w:cs="仿宋_GB2312" w:eastAsia="仿宋_GB2312"/>
                <w:sz w:val="21"/>
                <w:color w:val="000000"/>
              </w:rPr>
              <w:t>。</w:t>
            </w:r>
          </w:p>
          <w:p>
            <w:pPr>
              <w:pStyle w:val="null3"/>
              <w:ind w:firstLine="422"/>
              <w:jc w:val="both"/>
            </w:pPr>
            <w:r>
              <w:rPr>
                <w:rFonts w:ascii="仿宋_GB2312" w:hAnsi="仿宋_GB2312" w:cs="仿宋_GB2312" w:eastAsia="仿宋_GB2312"/>
                <w:sz w:val="21"/>
                <w:color w:val="000000"/>
              </w:rPr>
              <w:t>1.5</w:t>
            </w:r>
            <w:r>
              <w:rPr>
                <w:rFonts w:ascii="仿宋_GB2312" w:hAnsi="仿宋_GB2312" w:cs="仿宋_GB2312" w:eastAsia="仿宋_GB2312"/>
                <w:sz w:val="21"/>
                <w:color w:val="000000"/>
              </w:rPr>
              <w:t>为保证货物（软件和硬件）质量功能的严谨性，中标（成交）后</w:t>
            </w:r>
            <w:r>
              <w:rPr>
                <w:rFonts w:ascii="仿宋_GB2312" w:hAnsi="仿宋_GB2312" w:cs="仿宋_GB2312" w:eastAsia="仿宋_GB2312"/>
                <w:sz w:val="21"/>
                <w:color w:val="000000"/>
              </w:rPr>
              <w:t>采购人有权</w:t>
            </w:r>
            <w:r>
              <w:rPr>
                <w:rFonts w:ascii="仿宋_GB2312" w:hAnsi="仿宋_GB2312" w:cs="仿宋_GB2312" w:eastAsia="仿宋_GB2312"/>
                <w:sz w:val="21"/>
                <w:color w:val="000000"/>
              </w:rPr>
              <w:t>要求</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对其</w:t>
            </w:r>
            <w:r>
              <w:rPr>
                <w:rFonts w:ascii="仿宋_GB2312" w:hAnsi="仿宋_GB2312" w:cs="仿宋_GB2312" w:eastAsia="仿宋_GB2312"/>
                <w:sz w:val="21"/>
                <w:color w:val="000000"/>
              </w:rPr>
              <w:t>所提</w:t>
            </w:r>
            <w:r>
              <w:rPr>
                <w:rFonts w:ascii="仿宋_GB2312" w:hAnsi="仿宋_GB2312" w:cs="仿宋_GB2312" w:eastAsia="仿宋_GB2312"/>
                <w:sz w:val="21"/>
                <w:color w:val="000000"/>
              </w:rPr>
              <w:t>供的设备（产品）（</w:t>
            </w:r>
            <w:r>
              <w:rPr>
                <w:rFonts w:ascii="仿宋_GB2312" w:hAnsi="仿宋_GB2312" w:cs="仿宋_GB2312" w:eastAsia="仿宋_GB2312"/>
                <w:sz w:val="21"/>
                <w:color w:val="000000"/>
              </w:rPr>
              <w:t>包含</w:t>
            </w:r>
            <w:r>
              <w:rPr>
                <w:rFonts w:ascii="仿宋_GB2312" w:hAnsi="仿宋_GB2312" w:cs="仿宋_GB2312" w:eastAsia="仿宋_GB2312"/>
                <w:sz w:val="21"/>
                <w:color w:val="000000"/>
              </w:rPr>
              <w:t>软件和硬件）的功能进行逐一演示，如有功能</w:t>
            </w:r>
            <w:r>
              <w:rPr>
                <w:rFonts w:ascii="仿宋_GB2312" w:hAnsi="仿宋_GB2312" w:cs="仿宋_GB2312" w:eastAsia="仿宋_GB2312"/>
                <w:sz w:val="21"/>
                <w:color w:val="000000"/>
              </w:rPr>
              <w:t>与实际不相符，一律</w:t>
            </w:r>
            <w:r>
              <w:rPr>
                <w:rFonts w:ascii="仿宋_GB2312" w:hAnsi="仿宋_GB2312" w:cs="仿宋_GB2312" w:eastAsia="仿宋_GB2312"/>
                <w:sz w:val="21"/>
                <w:color w:val="000000"/>
              </w:rPr>
              <w:t>按虚假应标处理，由</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承担</w:t>
            </w:r>
            <w:r>
              <w:rPr>
                <w:rFonts w:ascii="仿宋_GB2312" w:hAnsi="仿宋_GB2312" w:cs="仿宋_GB2312" w:eastAsia="仿宋_GB2312"/>
                <w:sz w:val="21"/>
                <w:color w:val="000000"/>
              </w:rPr>
              <w:t>因此</w:t>
            </w:r>
            <w:r>
              <w:rPr>
                <w:rFonts w:ascii="仿宋_GB2312" w:hAnsi="仿宋_GB2312" w:cs="仿宋_GB2312" w:eastAsia="仿宋_GB2312"/>
                <w:sz w:val="21"/>
                <w:color w:val="000000"/>
              </w:rPr>
              <w:t>产生的一切后果和</w:t>
            </w:r>
            <w:r>
              <w:rPr>
                <w:rFonts w:ascii="仿宋_GB2312" w:hAnsi="仿宋_GB2312" w:cs="仿宋_GB2312" w:eastAsia="仿宋_GB2312"/>
                <w:sz w:val="21"/>
                <w:color w:val="000000"/>
              </w:rPr>
              <w:t>责任。</w:t>
            </w:r>
          </w:p>
          <w:p>
            <w:pPr>
              <w:pStyle w:val="null3"/>
              <w:ind w:right="90" w:firstLine="420"/>
              <w:jc w:val="both"/>
            </w:pPr>
            <w:r>
              <w:rPr>
                <w:rFonts w:ascii="仿宋_GB2312" w:hAnsi="仿宋_GB2312" w:cs="仿宋_GB2312" w:eastAsia="仿宋_GB2312"/>
                <w:sz w:val="21"/>
                <w:color w:val="000000"/>
              </w:rPr>
              <w:t>1.6</w:t>
            </w:r>
            <w:r>
              <w:rPr>
                <w:rFonts w:ascii="仿宋_GB2312" w:hAnsi="仿宋_GB2312" w:cs="仿宋_GB2312" w:eastAsia="仿宋_GB2312"/>
                <w:sz w:val="21"/>
                <w:color w:val="000000"/>
              </w:rPr>
              <w:t>质量标准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所有</w:t>
            </w:r>
            <w:r>
              <w:rPr>
                <w:rFonts w:ascii="仿宋_GB2312" w:hAnsi="仿宋_GB2312" w:cs="仿宋_GB2312" w:eastAsia="仿宋_GB2312"/>
                <w:sz w:val="21"/>
                <w:color w:val="000000"/>
              </w:rPr>
              <w:t>货物（产品）</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w:t>
            </w:r>
            <w:r>
              <w:rPr>
                <w:rFonts w:ascii="仿宋_GB2312" w:hAnsi="仿宋_GB2312" w:cs="仿宋_GB2312" w:eastAsia="仿宋_GB2312"/>
                <w:sz w:val="21"/>
                <w:color w:val="000000"/>
              </w:rPr>
              <w:t>符合国家</w:t>
            </w:r>
            <w:r>
              <w:rPr>
                <w:rFonts w:ascii="仿宋_GB2312" w:hAnsi="仿宋_GB2312" w:cs="仿宋_GB2312" w:eastAsia="仿宋_GB2312"/>
                <w:sz w:val="21"/>
                <w:color w:val="000000"/>
              </w:rPr>
              <w:t>、</w:t>
            </w:r>
            <w:r>
              <w:rPr>
                <w:rFonts w:ascii="仿宋_GB2312" w:hAnsi="仿宋_GB2312" w:cs="仿宋_GB2312" w:eastAsia="仿宋_GB2312"/>
                <w:sz w:val="21"/>
                <w:color w:val="000000"/>
              </w:rPr>
              <w:t>省、市</w:t>
            </w:r>
            <w:r>
              <w:rPr>
                <w:rFonts w:ascii="仿宋_GB2312" w:hAnsi="仿宋_GB2312" w:cs="仿宋_GB2312" w:eastAsia="仿宋_GB2312"/>
                <w:sz w:val="21"/>
                <w:color w:val="000000"/>
              </w:rPr>
              <w:t>（行业）强制性标准及采购人要求的合格标准</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）货物（产品）</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w:t>
            </w:r>
            <w:r>
              <w:rPr>
                <w:rFonts w:ascii="仿宋_GB2312" w:hAnsi="仿宋_GB2312" w:cs="仿宋_GB2312" w:eastAsia="仿宋_GB2312"/>
                <w:sz w:val="21"/>
                <w:color w:val="000000"/>
              </w:rPr>
              <w:t>执行的标准、规范：必须执行国家、行业强制性标准；没有国家、行业强制性标准的按</w:t>
            </w:r>
            <w:r>
              <w:rPr>
                <w:rFonts w:ascii="仿宋_GB2312" w:hAnsi="仿宋_GB2312" w:cs="仿宋_GB2312" w:eastAsia="仿宋_GB2312"/>
                <w:sz w:val="21"/>
                <w:color w:val="000000"/>
              </w:rPr>
              <w:t>①国家标准、规范→②行业标准、规范→③地方标准、规范→④团体标准、规范→⑤企业标准、规范类推顺序执行；凡涉及的相关规范，国家有最新标准的以最新标准为准，所有标准哪个标准高执行哪个标准。</w:t>
            </w:r>
          </w:p>
          <w:p>
            <w:pPr>
              <w:pStyle w:val="null3"/>
              <w:ind w:firstLine="525"/>
              <w:jc w:val="both"/>
            </w:pPr>
            <w:r>
              <w:rPr>
                <w:rFonts w:ascii="仿宋_GB2312" w:hAnsi="仿宋_GB2312" w:cs="仿宋_GB2312" w:eastAsia="仿宋_GB2312"/>
                <w:sz w:val="21"/>
                <w:color w:val="000000"/>
              </w:rPr>
              <w:t>1.7</w:t>
            </w:r>
            <w:r>
              <w:rPr>
                <w:rFonts w:ascii="仿宋_GB2312" w:hAnsi="仿宋_GB2312" w:cs="仿宋_GB2312" w:eastAsia="仿宋_GB2312"/>
                <w:sz w:val="21"/>
                <w:color w:val="000000"/>
              </w:rPr>
              <w:t>售后服务要求：（</w:t>
            </w:r>
            <w:r>
              <w:rPr>
                <w:rFonts w:ascii="仿宋_GB2312" w:hAnsi="仿宋_GB2312" w:cs="仿宋_GB2312" w:eastAsia="仿宋_GB2312"/>
                <w:sz w:val="21"/>
                <w:color w:val="000000"/>
              </w:rPr>
              <w:t>1）</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须指派专人负责与采购人联系售后服务事宜；</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负责货物的现场安装、调试、测试和启动等；</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负责货物的安装、启动、运行及维护等对使用人员进行免费培训：培训主要内容为货物的基本结构、性能、主要部件的构造及原理，日常使用操作、维护保养与管理，常见故障的排除、紧急情况的处理等，如使用方未使用过同类型货物，</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还需就货物的功能对使用方人员进行相应的技术培训，培训地点为货物安装现场或由采购人安排；</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4）质保期自采购人在质量验收单（终验）上签字之日起计算，质保费用计入总价；</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负责对其提供的货物整体进行维修和系统维护，质保期内应无偿负责现场技术巡检</w:t>
            </w:r>
            <w:r>
              <w:rPr>
                <w:rFonts w:ascii="仿宋_GB2312" w:hAnsi="仿宋_GB2312" w:cs="仿宋_GB2312" w:eastAsia="仿宋_GB2312"/>
                <w:sz w:val="21"/>
                <w:color w:val="000000"/>
              </w:rPr>
              <w:t>、</w:t>
            </w:r>
            <w:r>
              <w:rPr>
                <w:rFonts w:ascii="仿宋_GB2312" w:hAnsi="仿宋_GB2312" w:cs="仿宋_GB2312" w:eastAsia="仿宋_GB2312"/>
                <w:sz w:val="21"/>
                <w:color w:val="000000"/>
              </w:rPr>
              <w:t>维修和替换等工作</w:t>
            </w:r>
            <w:r>
              <w:rPr>
                <w:rFonts w:ascii="仿宋_GB2312" w:hAnsi="仿宋_GB2312" w:cs="仿宋_GB2312" w:eastAsia="仿宋_GB2312"/>
                <w:sz w:val="21"/>
                <w:color w:val="000000"/>
              </w:rPr>
              <w:t>；</w:t>
            </w:r>
            <w:r>
              <w:rPr>
                <w:rFonts w:ascii="仿宋_GB2312" w:hAnsi="仿宋_GB2312" w:cs="仿宋_GB2312" w:eastAsia="仿宋_GB2312"/>
                <w:sz w:val="21"/>
                <w:color w:val="000000"/>
              </w:rPr>
              <w:t>若遇到</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重大活动需无条件提供现场技术支持服务且不再收取任何费用，但不可抗力（如火灾、雷击等）造成的故障除外；超出质保期只收取维修所需原设备、材料成本费用</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负责对其所提供</w:t>
            </w:r>
            <w:r>
              <w:rPr>
                <w:rFonts w:ascii="仿宋_GB2312" w:hAnsi="仿宋_GB2312" w:cs="仿宋_GB2312" w:eastAsia="仿宋_GB2312"/>
                <w:sz w:val="21"/>
                <w:color w:val="000000"/>
              </w:rPr>
              <w:t>的</w:t>
            </w:r>
            <w:r>
              <w:rPr>
                <w:rFonts w:ascii="仿宋_GB2312" w:hAnsi="仿宋_GB2312" w:cs="仿宋_GB2312" w:eastAsia="仿宋_GB2312"/>
                <w:sz w:val="21"/>
                <w:color w:val="000000"/>
              </w:rPr>
              <w:t>设备、材料等备品配件供应</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提供长期维修，并提供技术咨询等服务，所有维修记录交</w:t>
            </w:r>
            <w:r>
              <w:rPr>
                <w:rFonts w:ascii="仿宋_GB2312" w:hAnsi="仿宋_GB2312" w:cs="仿宋_GB2312" w:eastAsia="仿宋_GB2312"/>
                <w:sz w:val="21"/>
                <w:color w:val="000000"/>
              </w:rPr>
              <w:t>由采购人</w:t>
            </w:r>
            <w:r>
              <w:rPr>
                <w:rFonts w:ascii="仿宋_GB2312" w:hAnsi="仿宋_GB2312" w:cs="仿宋_GB2312" w:eastAsia="仿宋_GB2312"/>
                <w:sz w:val="21"/>
                <w:color w:val="000000"/>
              </w:rPr>
              <w:t>的现场技术人员一份，并详细说明问题所在、解决办法及注意事项</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7）货物故障报修的</w:t>
            </w:r>
            <w:r>
              <w:rPr>
                <w:rFonts w:ascii="仿宋_GB2312" w:hAnsi="仿宋_GB2312" w:cs="仿宋_GB2312" w:eastAsia="仿宋_GB2312"/>
                <w:sz w:val="21"/>
                <w:color w:val="000000"/>
              </w:rPr>
              <w:t>响应</w:t>
            </w:r>
            <w:r>
              <w:rPr>
                <w:rFonts w:ascii="仿宋_GB2312" w:hAnsi="仿宋_GB2312" w:cs="仿宋_GB2312" w:eastAsia="仿宋_GB2312"/>
                <w:sz w:val="21"/>
                <w:color w:val="000000"/>
              </w:rPr>
              <w:t>时间为：</w:t>
            </w:r>
            <w:r>
              <w:rPr>
                <w:rFonts w:ascii="仿宋_GB2312" w:hAnsi="仿宋_GB2312" w:cs="仿宋_GB2312" w:eastAsia="仿宋_GB2312"/>
                <w:sz w:val="21"/>
                <w:color w:val="000000"/>
              </w:rPr>
              <w:t>7x24小时免费上门服务</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8）所有货物服务方式均为</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上门服务，即由</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派人到货物使用现场维修，由此产生的一切费用均由</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承担，对系统进行定期的检修、保养工作，并与用户进行沟通，定期开展技术交流活动，预防故障发生，保证系统的正常运行；</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9）在保修期内更换系统中部件，其保修期应相应延长</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10）质保期结束后的维修、维护等由双方协商再定。</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其他要求或说明</w:t>
            </w:r>
          </w:p>
          <w:p>
            <w:pPr>
              <w:pStyle w:val="null3"/>
              <w:ind w:right="90" w:firstLine="422"/>
              <w:jc w:val="both"/>
            </w:pPr>
            <w:r>
              <w:rPr>
                <w:rFonts w:ascii="仿宋_GB2312" w:hAnsi="仿宋_GB2312" w:cs="仿宋_GB2312" w:eastAsia="仿宋_GB2312"/>
                <w:sz w:val="21"/>
                <w:color w:val="000000"/>
              </w:rPr>
              <w:t>2.1人员配置要求：供应商根据采购项目特性及要求，自行配置履行合同所必需的专业服务团队，自行组织实施与管理，相关人员经过严格培训</w:t>
            </w:r>
            <w:r>
              <w:rPr>
                <w:rFonts w:ascii="仿宋_GB2312" w:hAnsi="仿宋_GB2312" w:cs="仿宋_GB2312" w:eastAsia="仿宋_GB2312"/>
                <w:sz w:val="21"/>
                <w:color w:val="000000"/>
              </w:rPr>
              <w:t>，具</w:t>
            </w:r>
            <w:r>
              <w:rPr>
                <w:rFonts w:ascii="仿宋_GB2312" w:hAnsi="仿宋_GB2312" w:cs="仿宋_GB2312" w:eastAsia="仿宋_GB2312"/>
                <w:sz w:val="21"/>
                <w:color w:val="000000"/>
              </w:rPr>
              <w:t>有相关工作经验，能够胜任项目工作，保证项目顺利实施。</w:t>
            </w:r>
          </w:p>
          <w:p>
            <w:pPr>
              <w:pStyle w:val="null3"/>
              <w:ind w:right="90" w:firstLine="422"/>
              <w:jc w:val="both"/>
            </w:pPr>
            <w:r>
              <w:rPr>
                <w:rFonts w:ascii="仿宋_GB2312" w:hAnsi="仿宋_GB2312" w:cs="仿宋_GB2312" w:eastAsia="仿宋_GB2312"/>
                <w:sz w:val="21"/>
                <w:color w:val="000000"/>
              </w:rPr>
              <w:t>2.2供应商根据采购项目特性及要求，自行配置投入履行合同所必需的各类设施设备（不限于专业设备、辅助设备、工具、软件等），保证项目顺利实施。</w:t>
            </w:r>
          </w:p>
          <w:p>
            <w:pPr>
              <w:pStyle w:val="null3"/>
              <w:ind w:firstLine="420"/>
            </w:pPr>
            <w:r>
              <w:rPr>
                <w:rFonts w:ascii="仿宋_GB2312" w:hAnsi="仿宋_GB2312" w:cs="仿宋_GB2312" w:eastAsia="仿宋_GB2312"/>
                <w:sz w:val="21"/>
                <w:color w:val="000000"/>
              </w:rPr>
              <w:t>★2.3核心</w:t>
            </w:r>
            <w:r>
              <w:rPr>
                <w:rFonts w:ascii="仿宋_GB2312" w:hAnsi="仿宋_GB2312" w:cs="仿宋_GB2312" w:eastAsia="仿宋_GB2312"/>
                <w:sz w:val="21"/>
                <w:color w:val="000000"/>
              </w:rPr>
              <w:t>产品</w:t>
            </w:r>
            <w:r>
              <w:rPr>
                <w:rFonts w:ascii="仿宋_GB2312" w:hAnsi="仿宋_GB2312" w:cs="仿宋_GB2312" w:eastAsia="仿宋_GB2312"/>
                <w:sz w:val="21"/>
                <w:color w:val="000000"/>
              </w:rPr>
              <w:t>名称：</w:t>
            </w:r>
            <w:r>
              <w:rPr>
                <w:rFonts w:ascii="仿宋_GB2312" w:hAnsi="仿宋_GB2312" w:cs="仿宋_GB2312" w:eastAsia="仿宋_GB2312"/>
                <w:sz w:val="21"/>
                <w:color w:val="000000"/>
                <w:u w:val="single"/>
              </w:rPr>
              <w:t>喷杆喷雾机</w:t>
            </w:r>
            <w:r>
              <w:rPr>
                <w:rFonts w:ascii="仿宋_GB2312" w:hAnsi="仿宋_GB2312" w:cs="仿宋_GB2312" w:eastAsia="仿宋_GB2312"/>
                <w:sz w:val="21"/>
                <w:color w:val="000000"/>
                <w:u w:val="single"/>
              </w:rPr>
              <w:t>。</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4</w:t>
            </w:r>
            <w:r>
              <w:rPr>
                <w:rFonts w:ascii="仿宋_GB2312" w:hAnsi="仿宋_GB2312" w:cs="仿宋_GB2312" w:eastAsia="仿宋_GB2312"/>
                <w:sz w:val="21"/>
                <w:color w:val="000000"/>
              </w:rPr>
              <w:t>本项目</w:t>
            </w:r>
            <w:r>
              <w:rPr>
                <w:rFonts w:ascii="仿宋_GB2312" w:hAnsi="仿宋_GB2312" w:cs="仿宋_GB2312" w:eastAsia="仿宋_GB2312"/>
                <w:sz w:val="21"/>
                <w:color w:val="000000"/>
              </w:rPr>
              <w:t>采购</w:t>
            </w:r>
            <w:r>
              <w:rPr>
                <w:rFonts w:ascii="仿宋_GB2312" w:hAnsi="仿宋_GB2312" w:cs="仿宋_GB2312" w:eastAsia="仿宋_GB2312"/>
                <w:sz w:val="21"/>
                <w:color w:val="000000"/>
              </w:rPr>
              <w:t>标的</w:t>
            </w:r>
            <w:r>
              <w:rPr>
                <w:rFonts w:ascii="仿宋_GB2312" w:hAnsi="仿宋_GB2312" w:cs="仿宋_GB2312" w:eastAsia="仿宋_GB2312"/>
                <w:sz w:val="21"/>
                <w:color w:val="000000"/>
              </w:rPr>
              <w:t>为：</w:t>
            </w:r>
            <w:r>
              <w:rPr>
                <w:rFonts w:ascii="仿宋_GB2312" w:hAnsi="仿宋_GB2312" w:cs="仿宋_GB2312" w:eastAsia="仿宋_GB2312"/>
                <w:sz w:val="21"/>
                <w:color w:val="000000"/>
                <w:u w:val="single"/>
              </w:rPr>
              <w:t>撒</w:t>
            </w:r>
            <w:r>
              <w:rPr>
                <w:rFonts w:ascii="仿宋_GB2312" w:hAnsi="仿宋_GB2312" w:cs="仿宋_GB2312" w:eastAsia="仿宋_GB2312"/>
                <w:sz w:val="21"/>
                <w:color w:val="000000"/>
                <w:u w:val="single"/>
              </w:rPr>
              <w:t>(抛)肥机、喷杆喷雾机</w:t>
            </w:r>
            <w:r>
              <w:rPr>
                <w:rFonts w:ascii="仿宋_GB2312" w:hAnsi="仿宋_GB2312" w:cs="仿宋_GB2312" w:eastAsia="仿宋_GB2312"/>
                <w:sz w:val="21"/>
                <w:color w:val="000000"/>
                <w:u w:val="single"/>
              </w:rPr>
              <w:t>。</w:t>
            </w:r>
            <w:r>
              <w:rPr>
                <w:rFonts w:ascii="仿宋_GB2312" w:hAnsi="仿宋_GB2312" w:cs="仿宋_GB2312" w:eastAsia="仿宋_GB2312"/>
                <w:sz w:val="21"/>
                <w:color w:val="000000"/>
              </w:rPr>
              <w:t>标的</w:t>
            </w:r>
            <w:r>
              <w:rPr>
                <w:rFonts w:ascii="仿宋_GB2312" w:hAnsi="仿宋_GB2312" w:cs="仿宋_GB2312" w:eastAsia="仿宋_GB2312"/>
                <w:sz w:val="21"/>
                <w:color w:val="000000"/>
              </w:rPr>
              <w:t>所属行业为</w:t>
            </w:r>
            <w:r>
              <w:rPr>
                <w:rFonts w:ascii="仿宋_GB2312" w:hAnsi="仿宋_GB2312" w:cs="仿宋_GB2312" w:eastAsia="仿宋_GB2312"/>
                <w:sz w:val="21"/>
                <w:color w:val="000000"/>
              </w:rPr>
              <w:t>:</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工业</w:t>
            </w:r>
            <w:r>
              <w:rPr>
                <w:rFonts w:ascii="仿宋_GB2312" w:hAnsi="仿宋_GB2312" w:cs="仿宋_GB2312" w:eastAsia="仿宋_GB2312"/>
                <w:sz w:val="21"/>
                <w:color w:val="000000"/>
              </w:rPr>
              <w:t>（从业人员</w:t>
            </w:r>
            <w:r>
              <w:rPr>
                <w:rFonts w:ascii="仿宋_GB2312" w:hAnsi="仿宋_GB2312" w:cs="仿宋_GB2312" w:eastAsia="仿宋_GB2312"/>
                <w:sz w:val="21"/>
                <w:color w:val="000000"/>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自合同签订生效之日起15日内完成供货、安装、调试、验收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具体按合同相关条款执行，所有货物交货完成，验收合格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根据有关规范、规定及项目要求对成交供应商所供货物（产品）或服务进行检查或验收，成交供应商须无条件地接受采购人检查或验收；若验收不通过或质量不合格，成交供应商应在一定期限内进行整改完善，以采购人要求的标准提供合格的货物（产品）或服务；若成交供应商在接受检查整改后，仍不能提供符合采购要求的合格货物（产品）或服务，采购人有权按违约予以撤项，具体按合同相关条款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输要求：采用公路或铁路运输方式，选择风险小、运费低和运距短的运输路线。运杂费一次性包死在总价内，采购人不再额外支付，包括从生产厂家到使用（安装）现场的包装、装载、运输、卸载、现场保管、二次倒运等费用。 （2）包装要求：①全部货物（产品）均应按照国家、行业规定的标准和保护措施进行包装，该包装应适应于远距离运输、防潮、防震、防锈和防野蛮装卸，以确保货物安全运抵指定地点；②当包装使用塑料、纸质、木材等包装材料时，除应当按照国家、行业规定的包装标准进行包装外，还需按照《商品包装政府采购需求标准（试行）》（财办库〔2020〕）123号）规定的环保要求进行包装；③当采用快递交货方式时，快递包装除应当按照国家、行业规定的包装标准进行包装外，还需按照《快递包装政府采购需求标准（试行）》（财办库〔2020〕）123号）规定的环保要求进行包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本项目整体质保期≥12个月，供应商承诺超过采购文件要求的，按其承诺的质保期进行质保，质保期起始时间为终验合格之日。</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详见合同相关条款</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的报价是供应商响应采购项目要求的全部工作内容的价格体现，包括供应商完成本项目所需的直接费、间接费、利润、税金及其他相关的一切费用，包括但不限于：产品费、附件费、工具费、验收费、运输费、保险费、安装费、调试费、技术服务费（含售后）、招标代理费、税金、利润及不可预见费等费用；谈判总价中不得包含采购文件要求以外的内容，否则，在评标时不予核减。在供货、安装、调试、培训等工作中出现硬件、软件等的任何遗漏，均由成交供应商免费提供，采购人将不再支付任何费用。 二、谈判有效期 1.出现特殊情况需要延长谈判有效期的，采购代理机构或采购人可于谈判有效期满之前，以书面形式通知所有供应商延长谈判有效期。供应商应予书面答复，同意延长的，但不得要求或被允许修改其响应文件；供应商拒绝延长的，其响应文件失效。 2.在谈判有效期内，供应商撤销响应文件的，应承担响应文件和法律规定的责任。 3.中标人的谈判有效期自动延长至合同终止为止。 三、分公司独立参与谈判时，不能使用总公司的资质或业绩；总公司授权分公司或分支机构参与谈判，可以使用总公司的资质或业绩。总公司单独参与谈判时，可以使用分公司的业绩，在相关资质证书的管理要求和适用范围内可以使用分公司资质。 四、文件中签名是指：手写签名或加盖签名章（含电子章、印章、签名章），盖章是指加盖单位章（含电子章）。 五、资格性、符合性审查完成后，最终报价中如出现异常低价情形，执行财库〔2026〕2号《关于推动解决政府采购异常低价问题的通知》，谈判小组可在最后报价审查表中审核是否通过审查。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正本一套、副本一套用于备案，纸质响应文件应通过专用制作软件直接打印，确保与项目电子化交易系统中的电子响应文件保持一致，不允许修改和补充。中标（成交）通知书领取地址：西安市雁塔区雁翔路111号赛格·中京坊6幢1（公寓A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采购文件附件“资格证明文件”中的相关要求提供一套完整的资格证明材料。②本项目由资格审查小组依法对供应商的资格进行审查。③控股管理关系及重大违法记录等以响应截止日资格审查小组通过“信用中国”“中国执行信息公开网”“中国政府采购网”等网站现场查询的结果进行综合判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法定代表人（单位负责人）身份证明/法定代表人（单位负责人）委托授权书。</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提供供应商2023或2024年度经审计的财务会计报告或其在响应文件提交截止时间前3个月内其基本户银行出具的资信证明（附基本户存款账户信息）。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提供供应商自响应文件提交截止时间前1年内已缴纳任意时段完税（任意税种，个人所得税除外）凭证或税务机关开具的完税证明。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响应函、法定代表人（单位负责人）身份证明或其授权委托书符合磋商文件中签名盖章要求。</w:t>
            </w:r>
          </w:p>
        </w:tc>
        <w:tc>
          <w:tcPr>
            <w:tcW w:type="dxa" w:w="1661"/>
          </w:tcPr>
          <w:p>
            <w:pPr>
              <w:pStyle w:val="null3"/>
            </w:pPr>
            <w:r>
              <w:rPr>
                <w:rFonts w:ascii="仿宋_GB2312" w:hAnsi="仿宋_GB2312" w:cs="仿宋_GB2312" w:eastAsia="仿宋_GB2312"/>
              </w:rPr>
              <w:t>响应文件封面 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响应文件内容齐全、无遗漏，符合谈判文件中的实质性条款要求，且未含有采购人不能接受的附加条件。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标的种类和数量、交货期限、交货地点、质保期</w:t>
            </w:r>
          </w:p>
        </w:tc>
        <w:tc>
          <w:tcPr>
            <w:tcW w:type="dxa" w:w="3322"/>
          </w:tcPr>
          <w:p>
            <w:pPr>
              <w:pStyle w:val="null3"/>
            </w:pPr>
            <w:r>
              <w:rPr>
                <w:rFonts w:ascii="仿宋_GB2312" w:hAnsi="仿宋_GB2312" w:cs="仿宋_GB2312" w:eastAsia="仿宋_GB2312"/>
              </w:rPr>
              <w:t>符合谈判文件中的规定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符合拟订采购合同文本中的相关约定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符合谈判文件中规定的有效期限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 》（财库〔2020〕46 号）规定的小微企业报价给予价格扣除，用扣除后的价格参加评审。 （1）供应商提供的货物全部由符合政策要求的小微企业制造的，给予响应报价扣除10%的优惠政策，即：评审价=响应报价×（1-10%）；监狱企业与残疾人福利性单位视同小微型企业，享受同等价格扣除，当企业属性重复时，不重复价格扣除，只要有大中型企业制造货物情形的，就不得享受价格扣除优惠政策。 （2）供应商提供的《中小企业声明函》或者《残疾人福利性单位声明函》或者监狱企业证明中存在明显错误的，评审小组可以按照采购文件中相关条款的规定，要求供应商作出澄清；经澄清后，仍不符合小微企业条件的，则视为不符合小微企业情形。</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按供应商最终报价从低到高进行排序，最终报价相同的，按供应商提供的优先采购产品认证证书数量由多到少顺序排列；最终报价且提供的优先采购产品认证证书数量相同的并列。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