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0260F">
      <w:pPr>
        <w:keepNext w:val="0"/>
        <w:keepLines w:val="0"/>
        <w:kinsoku/>
        <w:wordWrap w:val="0"/>
        <w:overflowPunct/>
        <w:topLinePunct w:val="0"/>
        <w:bidi w:val="0"/>
        <w:spacing w:before="91" w:line="219" w:lineRule="auto"/>
        <w:jc w:val="right"/>
        <w:outlineLvl w:val="9"/>
        <w:rPr>
          <w:rFonts w:hint="eastAsia" w:ascii="宋体" w:hAnsi="宋体" w:eastAsia="宋体" w:cs="宋体"/>
          <w:b/>
          <w:bCs/>
          <w:color w:val="auto"/>
          <w:spacing w:val="0"/>
          <w:sz w:val="28"/>
          <w:szCs w:val="28"/>
          <w:highlight w:val="none"/>
          <w:lang w:val="en-US" w:eastAsia="zh-CN"/>
        </w:rPr>
      </w:pPr>
      <w:bookmarkStart w:id="0" w:name="_Toc3067"/>
      <w:bookmarkStart w:id="1" w:name="_Toc4838"/>
      <w:bookmarkStart w:id="2" w:name="_Toc26105"/>
      <w:r>
        <w:rPr>
          <w:rFonts w:hint="eastAsia" w:ascii="宋体" w:hAnsi="宋体" w:eastAsia="宋体" w:cs="宋体"/>
          <w:b/>
          <w:bCs/>
          <w:color w:val="auto"/>
          <w:spacing w:val="0"/>
          <w:sz w:val="28"/>
          <w:szCs w:val="28"/>
          <w:highlight w:val="none"/>
          <w:lang w:val="en-US" w:eastAsia="zh-CN"/>
        </w:rPr>
        <w:t>采购项目编号：LHZBZC2026014B</w:t>
      </w:r>
    </w:p>
    <w:p w14:paraId="16079557">
      <w:pPr>
        <w:pStyle w:val="10"/>
        <w:keepNext w:val="0"/>
        <w:keepLines w:val="0"/>
        <w:pageBreakBefore w:val="0"/>
        <w:kinsoku/>
        <w:wordWrap w:val="0"/>
        <w:overflowPunct/>
        <w:topLinePunct w:val="0"/>
        <w:bidi w:val="0"/>
        <w:spacing w:line="360" w:lineRule="auto"/>
        <w:jc w:val="left"/>
        <w:outlineLvl w:val="9"/>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14:paraId="3D6A667E">
      <w:pPr>
        <w:rPr>
          <w:rFonts w:hint="eastAsia"/>
          <w:lang w:val="en-US" w:eastAsia="zh-CN"/>
        </w:rPr>
      </w:pPr>
    </w:p>
    <w:p w14:paraId="2D0CD16C">
      <w:pPr>
        <w:rPr>
          <w:rFonts w:hint="eastAsia"/>
          <w:lang w:val="en-US" w:eastAsia="zh-CN"/>
        </w:rPr>
      </w:pPr>
    </w:p>
    <w:p w14:paraId="72C6E762">
      <w:pPr>
        <w:rPr>
          <w:rFonts w:hint="eastAsia"/>
          <w:lang w:val="en-US" w:eastAsia="zh-CN"/>
        </w:rPr>
      </w:pPr>
    </w:p>
    <w:p w14:paraId="79A70635">
      <w:pPr>
        <w:keepNext w:val="0"/>
        <w:keepLines w:val="0"/>
        <w:pageBreakBefore w:val="0"/>
        <w:widowControl w:val="0"/>
        <w:kinsoku/>
        <w:wordWrap w:val="0"/>
        <w:overflowPunct/>
        <w:topLinePunct w:val="0"/>
        <w:autoSpaceDE w:val="0"/>
        <w:autoSpaceDN w:val="0"/>
        <w:bidi w:val="0"/>
        <w:adjustRightInd w:val="0"/>
        <w:snapToGrid w:val="0"/>
        <w:spacing w:line="480" w:lineRule="auto"/>
        <w:jc w:val="center"/>
        <w:textAlignment w:val="auto"/>
        <w:outlineLvl w:val="9"/>
        <w:rPr>
          <w:rFonts w:hint="eastAsia" w:ascii="宋体" w:hAnsi="宋体" w:eastAsia="宋体" w:cs="宋体"/>
          <w:b/>
          <w:bCs/>
          <w:color w:val="000000" w:themeColor="text1"/>
          <w:kern w:val="2"/>
          <w:sz w:val="36"/>
          <w:szCs w:val="36"/>
          <w:highlight w:val="none"/>
          <w:lang w:val="en-US" w:eastAsia="zh-CN" w:bidi="ar-SA"/>
          <w14:textFill>
            <w14:solidFill>
              <w14:schemeClr w14:val="tx1"/>
            </w14:solidFill>
          </w14:textFill>
        </w:rPr>
      </w:pPr>
      <w:r>
        <w:rPr>
          <w:rFonts w:hint="eastAsia" w:ascii="宋体" w:hAnsi="宋体" w:eastAsia="宋体" w:cs="宋体"/>
          <w:b/>
          <w:bCs/>
          <w:color w:val="000000" w:themeColor="text1"/>
          <w:sz w:val="52"/>
          <w:szCs w:val="52"/>
          <w:highlight w:val="none"/>
          <w:lang w:val="en-US" w:eastAsia="zh-CN"/>
          <w14:textFill>
            <w14:solidFill>
              <w14:schemeClr w14:val="tx1"/>
            </w14:solidFill>
          </w14:textFill>
        </w:rPr>
        <w:t>宝鸡市第二人民医院彩超采购项目</w:t>
      </w:r>
    </w:p>
    <w:p w14:paraId="58AB5EE8">
      <w:pPr>
        <w:pStyle w:val="10"/>
        <w:keepNext w:val="0"/>
        <w:keepLines w:val="0"/>
        <w:pageBreakBefore w:val="0"/>
        <w:kinsoku/>
        <w:wordWrap w:val="0"/>
        <w:overflowPunct/>
        <w:topLinePunct w:val="0"/>
        <w:bidi w:val="0"/>
        <w:spacing w:line="360" w:lineRule="auto"/>
        <w:jc w:val="center"/>
        <w:outlineLvl w:val="9"/>
        <w:rPr>
          <w:rFonts w:hint="eastAsia" w:ascii="宋体" w:hAnsi="宋体" w:eastAsia="宋体" w:cs="宋体"/>
          <w:b/>
          <w:bCs/>
          <w:color w:val="000000" w:themeColor="text1"/>
          <w:kern w:val="2"/>
          <w:sz w:val="48"/>
          <w:szCs w:val="48"/>
          <w:highlight w:val="none"/>
          <w:lang w:val="en-US" w:eastAsia="zh-CN" w:bidi="ar-SA"/>
          <w14:textFill>
            <w14:solidFill>
              <w14:schemeClr w14:val="tx1"/>
            </w14:solidFill>
          </w14:textFill>
        </w:rPr>
      </w:pPr>
    </w:p>
    <w:p w14:paraId="559348DE">
      <w:pPr>
        <w:pStyle w:val="10"/>
        <w:keepNext w:val="0"/>
        <w:keepLines w:val="0"/>
        <w:pageBreakBefore w:val="0"/>
        <w:kinsoku/>
        <w:wordWrap w:val="0"/>
        <w:overflowPunct/>
        <w:topLinePunct w:val="0"/>
        <w:bidi w:val="0"/>
        <w:spacing w:line="360" w:lineRule="auto"/>
        <w:jc w:val="center"/>
        <w:outlineLvl w:val="9"/>
        <w:rPr>
          <w:rFonts w:hint="eastAsia" w:ascii="宋体" w:hAnsi="宋体" w:eastAsia="宋体" w:cs="宋体"/>
          <w:b/>
          <w:bCs/>
          <w:color w:val="000000" w:themeColor="text1"/>
          <w:kern w:val="2"/>
          <w:sz w:val="44"/>
          <w:szCs w:val="44"/>
          <w:highlight w:val="none"/>
          <w:lang w:val="en-US" w:eastAsia="zh-CN" w:bidi="ar-SA"/>
          <w14:textFill>
            <w14:solidFill>
              <w14:schemeClr w14:val="tx1"/>
            </w14:solidFill>
          </w14:textFill>
        </w:rPr>
      </w:pPr>
      <w:r>
        <w:rPr>
          <w:rFonts w:hint="eastAsia" w:hAnsi="宋体" w:eastAsia="宋体" w:cs="宋体"/>
          <w:b/>
          <w:bCs/>
          <w:color w:val="000000" w:themeColor="text1"/>
          <w:kern w:val="2"/>
          <w:sz w:val="60"/>
          <w:szCs w:val="60"/>
          <w:highlight w:val="none"/>
          <w:lang w:val="en-US" w:eastAsia="zh-CN" w:bidi="ar-SA"/>
          <w14:textFill>
            <w14:solidFill>
              <w14:schemeClr w14:val="tx1"/>
            </w14:solidFill>
          </w14:textFill>
        </w:rPr>
        <w:t xml:space="preserve">招 标 </w:t>
      </w:r>
      <w:r>
        <w:rPr>
          <w:rFonts w:hint="eastAsia" w:ascii="宋体" w:hAnsi="宋体" w:eastAsia="宋体" w:cs="宋体"/>
          <w:b/>
          <w:bCs/>
          <w:color w:val="000000" w:themeColor="text1"/>
          <w:kern w:val="2"/>
          <w:sz w:val="60"/>
          <w:szCs w:val="60"/>
          <w:highlight w:val="none"/>
          <w:lang w:val="en-US" w:eastAsia="zh-CN" w:bidi="ar-SA"/>
          <w14:textFill>
            <w14:solidFill>
              <w14:schemeClr w14:val="tx1"/>
            </w14:solidFill>
          </w14:textFill>
        </w:rPr>
        <w:t>文</w:t>
      </w:r>
      <w:r>
        <w:rPr>
          <w:rFonts w:hint="eastAsia" w:hAnsi="宋体" w:eastAsia="宋体" w:cs="宋体"/>
          <w:b/>
          <w:bCs/>
          <w:color w:val="000000" w:themeColor="text1"/>
          <w:kern w:val="2"/>
          <w:sz w:val="60"/>
          <w:szCs w:val="60"/>
          <w:highlight w:val="none"/>
          <w:lang w:val="en-US" w:eastAsia="zh-CN" w:bidi="ar-SA"/>
          <w14:textFill>
            <w14:solidFill>
              <w14:schemeClr w14:val="tx1"/>
            </w14:solidFill>
          </w14:textFill>
        </w:rPr>
        <w:t xml:space="preserve"> </w:t>
      </w:r>
      <w:r>
        <w:rPr>
          <w:rFonts w:hint="eastAsia" w:ascii="宋体" w:hAnsi="宋体" w:eastAsia="宋体" w:cs="宋体"/>
          <w:b/>
          <w:bCs/>
          <w:color w:val="000000" w:themeColor="text1"/>
          <w:kern w:val="2"/>
          <w:sz w:val="60"/>
          <w:szCs w:val="60"/>
          <w:highlight w:val="none"/>
          <w:lang w:val="en-US" w:eastAsia="zh-CN" w:bidi="ar-SA"/>
          <w14:textFill>
            <w14:solidFill>
              <w14:schemeClr w14:val="tx1"/>
            </w14:solidFill>
          </w14:textFill>
        </w:rPr>
        <w:t>件</w:t>
      </w:r>
    </w:p>
    <w:p w14:paraId="092AC480">
      <w:pPr>
        <w:pStyle w:val="10"/>
        <w:keepNext w:val="0"/>
        <w:keepLines w:val="0"/>
        <w:pageBreakBefore w:val="0"/>
        <w:kinsoku/>
        <w:wordWrap w:val="0"/>
        <w:overflowPunct/>
        <w:topLinePunct w:val="0"/>
        <w:bidi w:val="0"/>
        <w:spacing w:line="360" w:lineRule="auto"/>
        <w:jc w:val="center"/>
        <w:outlineLvl w:val="9"/>
        <w:rPr>
          <w:color w:val="auto"/>
        </w:rPr>
      </w:pPr>
    </w:p>
    <w:p w14:paraId="77CA4F75">
      <w:pPr>
        <w:pStyle w:val="10"/>
        <w:keepNext w:val="0"/>
        <w:keepLines w:val="0"/>
        <w:pageBreakBefore w:val="0"/>
        <w:kinsoku/>
        <w:wordWrap w:val="0"/>
        <w:overflowPunct/>
        <w:topLinePunct w:val="0"/>
        <w:bidi w:val="0"/>
        <w:spacing w:line="360" w:lineRule="auto"/>
        <w:jc w:val="center"/>
        <w:outlineLvl w:val="9"/>
        <w:rPr>
          <w:color w:val="auto"/>
        </w:rPr>
      </w:pPr>
      <w:r>
        <w:rPr>
          <w:color w:val="auto"/>
        </w:rPr>
        <w:drawing>
          <wp:inline distT="0" distB="0" distL="0" distR="0">
            <wp:extent cx="1544955" cy="2251710"/>
            <wp:effectExtent l="0" t="0" r="17145" b="15240"/>
            <wp:docPr id="2" name="IM 1"/>
            <wp:cNvGraphicFramePr/>
            <a:graphic xmlns:a="http://schemas.openxmlformats.org/drawingml/2006/main">
              <a:graphicData uri="http://schemas.openxmlformats.org/drawingml/2006/picture">
                <pic:pic xmlns:pic="http://schemas.openxmlformats.org/drawingml/2006/picture">
                  <pic:nvPicPr>
                    <pic:cNvPr id="2" name="IM 1"/>
                    <pic:cNvPicPr/>
                  </pic:nvPicPr>
                  <pic:blipFill>
                    <a:blip r:embed="rId12"/>
                    <a:stretch>
                      <a:fillRect/>
                    </a:stretch>
                  </pic:blipFill>
                  <pic:spPr>
                    <a:xfrm>
                      <a:off x="0" y="0"/>
                      <a:ext cx="1544955" cy="2251710"/>
                    </a:xfrm>
                    <a:prstGeom prst="rect">
                      <a:avLst/>
                    </a:prstGeom>
                  </pic:spPr>
                </pic:pic>
              </a:graphicData>
            </a:graphic>
          </wp:inline>
        </w:drawing>
      </w:r>
    </w:p>
    <w:p w14:paraId="3D430F84">
      <w:pPr>
        <w:pStyle w:val="10"/>
        <w:keepNext w:val="0"/>
        <w:keepLines w:val="0"/>
        <w:pageBreakBefore w:val="0"/>
        <w:kinsoku/>
        <w:wordWrap w:val="0"/>
        <w:overflowPunct/>
        <w:topLinePunct w:val="0"/>
        <w:bidi w:val="0"/>
        <w:spacing w:line="360" w:lineRule="auto"/>
        <w:jc w:val="center"/>
        <w:outlineLvl w:val="9"/>
        <w:rPr>
          <w:color w:val="auto"/>
        </w:rPr>
      </w:pPr>
    </w:p>
    <w:p w14:paraId="218B7EB3"/>
    <w:p w14:paraId="32C10620">
      <w:pPr>
        <w:pStyle w:val="10"/>
        <w:keepNext w:val="0"/>
        <w:keepLines w:val="0"/>
        <w:pageBreakBefore w:val="0"/>
        <w:kinsoku/>
        <w:wordWrap w:val="0"/>
        <w:overflowPunct/>
        <w:topLinePunct w:val="0"/>
        <w:bidi w:val="0"/>
        <w:spacing w:line="360" w:lineRule="auto"/>
        <w:jc w:val="center"/>
        <w:outlineLvl w:val="9"/>
        <w:rPr>
          <w:color w:val="auto"/>
        </w:rPr>
      </w:pPr>
    </w:p>
    <w:tbl>
      <w:tblPr>
        <w:tblStyle w:val="21"/>
        <w:tblW w:w="87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1"/>
        <w:gridCol w:w="6488"/>
      </w:tblGrid>
      <w:tr w14:paraId="118AA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2231" w:type="dxa"/>
            <w:noWrap/>
            <w:vAlign w:val="center"/>
          </w:tcPr>
          <w:p w14:paraId="2CA2B5E4">
            <w:pPr>
              <w:keepNext w:val="0"/>
              <w:keepLines w:val="0"/>
              <w:widowControl w:val="0"/>
              <w:kinsoku/>
              <w:wordWrap w:val="0"/>
              <w:overflowPunct/>
              <w:topLinePunct w:val="0"/>
              <w:bidi w:val="0"/>
              <w:adjustRightInd w:val="0"/>
              <w:snapToGrid w:val="0"/>
              <w:jc w:val="distribute"/>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采购人：</w:t>
            </w:r>
          </w:p>
        </w:tc>
        <w:tc>
          <w:tcPr>
            <w:tcW w:w="6488" w:type="dxa"/>
            <w:noWrap/>
            <w:vAlign w:val="center"/>
          </w:tcPr>
          <w:p w14:paraId="5E1FD3C6">
            <w:pPr>
              <w:keepNext w:val="0"/>
              <w:keepLines w:val="0"/>
              <w:widowControl w:val="0"/>
              <w:kinsoku/>
              <w:wordWrap w:val="0"/>
              <w:overflowPunct/>
              <w:topLinePunct w:val="0"/>
              <w:bidi w:val="0"/>
              <w:adjustRightInd w:val="0"/>
              <w:snapToGrid w:val="0"/>
              <w:jc w:val="distribute"/>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highlight w:val="none"/>
                <w:u w:val="single"/>
                <w:lang w:val="en-US" w:eastAsia="zh-CN"/>
                <w14:textFill>
                  <w14:solidFill>
                    <w14:schemeClr w14:val="tx1"/>
                  </w14:solidFill>
                </w14:textFill>
              </w:rPr>
              <w:t>宝鸡市第二人民医院</w:t>
            </w:r>
          </w:p>
        </w:tc>
      </w:tr>
      <w:tr w14:paraId="5D72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2231" w:type="dxa"/>
            <w:noWrap/>
            <w:vAlign w:val="center"/>
          </w:tcPr>
          <w:p w14:paraId="1507AFEF">
            <w:pPr>
              <w:pStyle w:val="15"/>
              <w:keepNext w:val="0"/>
              <w:keepLines w:val="0"/>
              <w:widowControl w:val="0"/>
              <w:kinsoku/>
              <w:wordWrap w:val="0"/>
              <w:overflowPunct/>
              <w:topLinePunct w:val="0"/>
              <w:bidi w:val="0"/>
              <w:adjustRightInd w:val="0"/>
              <w:snapToGrid w:val="0"/>
              <w:jc w:val="distribute"/>
              <w:rPr>
                <w:rFonts w:hint="eastAsia" w:ascii="宋体" w:hAnsi="宋体" w:eastAsia="宋体" w:cs="宋体"/>
                <w:b/>
                <w:color w:val="000000" w:themeColor="text1"/>
                <w:sz w:val="28"/>
                <w:szCs w:val="24"/>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代理机构:</w:t>
            </w:r>
          </w:p>
        </w:tc>
        <w:tc>
          <w:tcPr>
            <w:tcW w:w="6488" w:type="dxa"/>
            <w:noWrap/>
            <w:vAlign w:val="center"/>
          </w:tcPr>
          <w:p w14:paraId="08D253B7">
            <w:pPr>
              <w:pStyle w:val="15"/>
              <w:keepNext w:val="0"/>
              <w:keepLines w:val="0"/>
              <w:widowControl w:val="0"/>
              <w:kinsoku/>
              <w:wordWrap w:val="0"/>
              <w:overflowPunct/>
              <w:topLinePunct w:val="0"/>
              <w:bidi w:val="0"/>
              <w:adjustRightInd w:val="0"/>
              <w:snapToGrid w:val="0"/>
              <w:jc w:val="distribute"/>
              <w:rPr>
                <w:rFonts w:hint="eastAsia" w:ascii="宋体" w:hAnsi="宋体" w:eastAsia="宋体" w:cs="宋体"/>
                <w:b/>
                <w:bCs w:val="0"/>
                <w:color w:val="000000" w:themeColor="text1"/>
                <w:sz w:val="28"/>
                <w:szCs w:val="24"/>
                <w:u w:val="single"/>
                <w:lang w:eastAsia="zh-CN"/>
                <w14:textFill>
                  <w14:solidFill>
                    <w14:schemeClr w14:val="tx1"/>
                  </w14:solidFill>
                </w14:textFill>
              </w:rPr>
            </w:pPr>
            <w:r>
              <w:rPr>
                <w:rFonts w:hint="eastAsia" w:ascii="宋体" w:hAnsi="宋体" w:eastAsia="宋体" w:cs="宋体"/>
                <w:b/>
                <w:bCs w:val="0"/>
                <w:color w:val="000000" w:themeColor="text1"/>
                <w:sz w:val="32"/>
                <w:szCs w:val="32"/>
                <w:u w:val="single"/>
                <w:lang w:eastAsia="zh-CN"/>
                <w14:textFill>
                  <w14:solidFill>
                    <w14:schemeClr w14:val="tx1"/>
                  </w14:solidFill>
                </w14:textFill>
              </w:rPr>
              <w:t>凌辉建设工程咨询有限公司</w:t>
            </w:r>
          </w:p>
        </w:tc>
      </w:tr>
      <w:tr w14:paraId="40BF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8719" w:type="dxa"/>
            <w:gridSpan w:val="2"/>
            <w:noWrap/>
            <w:vAlign w:val="center"/>
          </w:tcPr>
          <w:p w14:paraId="5721FB6A">
            <w:pPr>
              <w:pStyle w:val="15"/>
              <w:keepNext w:val="0"/>
              <w:keepLines w:val="0"/>
              <w:widowControl w:val="0"/>
              <w:kinsoku/>
              <w:wordWrap w:val="0"/>
              <w:overflowPunct/>
              <w:topLinePunct w:val="0"/>
              <w:bidi w:val="0"/>
              <w:adjustRightInd w:val="0"/>
              <w:snapToGrid w:val="0"/>
              <w:jc w:val="center"/>
              <w:rPr>
                <w:rFonts w:hint="eastAsia" w:ascii="宋体" w:hAnsi="宋体" w:eastAsia="宋体" w:cs="宋体"/>
                <w:b/>
                <w:bCs w:val="0"/>
                <w:color w:val="000000" w:themeColor="text1"/>
                <w:sz w:val="32"/>
                <w:szCs w:val="32"/>
                <w:u w:val="single"/>
                <w:lang w:eastAsia="zh-CN"/>
                <w14:textFill>
                  <w14:solidFill>
                    <w14:schemeClr w14:val="tx1"/>
                  </w14:solidFill>
                </w14:textFill>
              </w:rPr>
            </w:pPr>
            <w:r>
              <w:rPr>
                <w:rFonts w:hint="eastAsia" w:ascii="宋体" w:hAnsi="宋体" w:eastAsia="宋体" w:cs="宋体"/>
                <w:b/>
                <w:color w:val="000000" w:themeColor="text1"/>
                <w:sz w:val="32"/>
                <w:szCs w:val="40"/>
                <w:highlight w:val="none"/>
                <w14:textFill>
                  <w14:solidFill>
                    <w14:schemeClr w14:val="tx1"/>
                  </w14:solidFill>
                </w14:textFill>
              </w:rPr>
              <w:t>二〇二</w:t>
            </w:r>
            <w:r>
              <w:rPr>
                <w:rFonts w:hint="eastAsia" w:ascii="宋体" w:hAnsi="宋体" w:eastAsia="宋体" w:cs="宋体"/>
                <w:b/>
                <w:color w:val="000000" w:themeColor="text1"/>
                <w:sz w:val="32"/>
                <w:szCs w:val="40"/>
                <w:highlight w:val="none"/>
                <w:lang w:val="en-US" w:eastAsia="zh-CN"/>
                <w14:textFill>
                  <w14:solidFill>
                    <w14:schemeClr w14:val="tx1"/>
                  </w14:solidFill>
                </w14:textFill>
              </w:rPr>
              <w:t>六</w:t>
            </w:r>
            <w:r>
              <w:rPr>
                <w:rFonts w:hint="eastAsia" w:ascii="宋体" w:hAnsi="宋体" w:eastAsia="宋体" w:cs="宋体"/>
                <w:b/>
                <w:color w:val="000000" w:themeColor="text1"/>
                <w:sz w:val="32"/>
                <w:szCs w:val="40"/>
                <w:highlight w:val="none"/>
                <w14:textFill>
                  <w14:solidFill>
                    <w14:schemeClr w14:val="tx1"/>
                  </w14:solidFill>
                </w14:textFill>
              </w:rPr>
              <w:t>年</w:t>
            </w:r>
            <w:r>
              <w:rPr>
                <w:rFonts w:hint="eastAsia" w:ascii="宋体" w:hAnsi="宋体" w:eastAsia="宋体" w:cs="宋体"/>
                <w:b/>
                <w:color w:val="000000" w:themeColor="text1"/>
                <w:sz w:val="32"/>
                <w:szCs w:val="40"/>
                <w:highlight w:val="none"/>
                <w:lang w:val="en-US" w:eastAsia="zh-CN"/>
                <w14:textFill>
                  <w14:solidFill>
                    <w14:schemeClr w14:val="tx1"/>
                  </w14:solidFill>
                </w14:textFill>
              </w:rPr>
              <w:t>一</w:t>
            </w:r>
            <w:r>
              <w:rPr>
                <w:rFonts w:hint="eastAsia" w:ascii="宋体" w:hAnsi="宋体" w:eastAsia="宋体" w:cs="宋体"/>
                <w:b/>
                <w:color w:val="000000" w:themeColor="text1"/>
                <w:sz w:val="32"/>
                <w:szCs w:val="40"/>
                <w:highlight w:val="none"/>
                <w14:textFill>
                  <w14:solidFill>
                    <w14:schemeClr w14:val="tx1"/>
                  </w14:solidFill>
                </w14:textFill>
              </w:rPr>
              <w:t>月</w:t>
            </w:r>
          </w:p>
        </w:tc>
      </w:tr>
    </w:tbl>
    <w:p w14:paraId="5B84A543">
      <w:pPr>
        <w:keepNext w:val="0"/>
        <w:keepLines w:val="0"/>
        <w:kinsoku/>
        <w:overflowPunct/>
        <w:topLinePunct w:val="0"/>
        <w:bidi w:val="0"/>
        <w:spacing w:before="113" w:line="480" w:lineRule="auto"/>
        <w:jc w:val="center"/>
        <w:outlineLvl w:val="9"/>
        <w:rPr>
          <w:rFonts w:hint="default" w:ascii="Times New Roman" w:hAnsi="Times New Roman" w:eastAsia="宋体" w:cs="Times New Roman"/>
          <w:b/>
          <w:bCs/>
          <w:color w:val="auto"/>
          <w:spacing w:val="0"/>
          <w:sz w:val="32"/>
          <w:szCs w:val="32"/>
          <w:highlight w:val="none"/>
        </w:rPr>
      </w:pPr>
      <w:r>
        <w:rPr>
          <w:rFonts w:hint="default" w:ascii="Times New Roman" w:hAnsi="Times New Roman" w:eastAsia="宋体" w:cs="Times New Roman"/>
          <w:b/>
          <w:bCs/>
          <w:color w:val="auto"/>
          <w:spacing w:val="0"/>
          <w:sz w:val="32"/>
          <w:szCs w:val="32"/>
          <w:highlight w:val="none"/>
        </w:rPr>
        <w:t>“全流程不见面交易采购”注意事项</w:t>
      </w:r>
      <w:bookmarkEnd w:id="0"/>
      <w:bookmarkEnd w:id="1"/>
      <w:bookmarkEnd w:id="2"/>
    </w:p>
    <w:p w14:paraId="2469D30B">
      <w:pPr>
        <w:keepNext w:val="0"/>
        <w:keepLines w:val="0"/>
        <w:pageBreakBefore w:val="0"/>
        <w:widowControl/>
        <w:kinsoku/>
        <w:wordWrap/>
        <w:overflowPunct/>
        <w:topLinePunct w:val="0"/>
        <w:autoSpaceDE w:val="0"/>
        <w:autoSpaceDN w:val="0"/>
        <w:bidi w:val="0"/>
        <w:adjustRightInd w:val="0"/>
        <w:snapToGrid w:val="0"/>
        <w:spacing w:line="360" w:lineRule="auto"/>
        <w:ind w:left="11" w:right="100" w:firstLine="560"/>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本项目采用“全流程不见面交易”模式，通过不见面交易系统及相应的配套硬件设备(摄像头、话筒、麦克风等)完成远程解密、开标、澄清、公布最终报价等交互环节。相关要求和说明如下：</w:t>
      </w:r>
    </w:p>
    <w:p w14:paraId="4542795B">
      <w:pPr>
        <w:keepNext w:val="0"/>
        <w:keepLines w:val="0"/>
        <w:pageBreakBefore w:val="0"/>
        <w:widowControl/>
        <w:kinsoku/>
        <w:wordWrap/>
        <w:overflowPunct/>
        <w:topLinePunct w:val="0"/>
        <w:autoSpaceDE w:val="0"/>
        <w:autoSpaceDN w:val="0"/>
        <w:bidi w:val="0"/>
        <w:adjustRightInd w:val="0"/>
        <w:snapToGrid w:val="0"/>
        <w:spacing w:line="360" w:lineRule="auto"/>
        <w:ind w:left="65" w:right="210" w:firstLine="526"/>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1、由于“宝鸡市公共资源交易不见面开标大厅”系统自身原因导致项目不能正常进行的，项目作废标处理。</w:t>
      </w:r>
    </w:p>
    <w:p w14:paraId="0117EA99">
      <w:pPr>
        <w:keepNext w:val="0"/>
        <w:keepLines w:val="0"/>
        <w:pageBreakBefore w:val="0"/>
        <w:widowControl/>
        <w:kinsoku/>
        <w:wordWrap/>
        <w:overflowPunct/>
        <w:topLinePunct w:val="0"/>
        <w:autoSpaceDE w:val="0"/>
        <w:autoSpaceDN w:val="0"/>
        <w:bidi w:val="0"/>
        <w:adjustRightInd w:val="0"/>
        <w:snapToGrid w:val="0"/>
        <w:spacing w:line="360" w:lineRule="auto"/>
        <w:ind w:left="574"/>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2、本项目中的时间均以国家授时中心发布的时间为准。</w:t>
      </w:r>
    </w:p>
    <w:p w14:paraId="51B40462">
      <w:pPr>
        <w:keepNext w:val="0"/>
        <w:keepLines w:val="0"/>
        <w:pageBreakBefore w:val="0"/>
        <w:widowControl/>
        <w:kinsoku/>
        <w:wordWrap/>
        <w:overflowPunct/>
        <w:topLinePunct w:val="0"/>
        <w:autoSpaceDE w:val="0"/>
        <w:autoSpaceDN w:val="0"/>
        <w:bidi w:val="0"/>
        <w:adjustRightInd w:val="0"/>
        <w:snapToGrid w:val="0"/>
        <w:spacing w:line="360" w:lineRule="auto"/>
        <w:ind w:left="12" w:right="98" w:firstLine="563"/>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3、本项目的下载招标文件、上传投标文件均通过互联网操作，请投标人充分考虑网络拥堵及平台操作所需时间等因素。因投标人自身原因导致操作失败的，其责任自负。</w:t>
      </w:r>
    </w:p>
    <w:p w14:paraId="6183DAF6">
      <w:pPr>
        <w:keepNext w:val="0"/>
        <w:keepLines w:val="0"/>
        <w:pageBreakBefore w:val="0"/>
        <w:widowControl/>
        <w:kinsoku/>
        <w:wordWrap/>
        <w:overflowPunct/>
        <w:topLinePunct w:val="0"/>
        <w:autoSpaceDE w:val="0"/>
        <w:autoSpaceDN w:val="0"/>
        <w:bidi w:val="0"/>
        <w:adjustRightInd w:val="0"/>
        <w:snapToGrid w:val="0"/>
        <w:spacing w:line="360" w:lineRule="auto"/>
        <w:ind w:left="12" w:firstLine="556"/>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4、本项目投标文件的编制使用“新点投标文件制作软件(陕西省公共资源)”(可在宝鸡市公共资源交易中心网-服务指南-下载专区下载)。投标人投标文件的编制和上传，应按照招标件的规定进行。如未按招标文件要求编制、上传电子投标文件，将可能作无效投标文件，其后果由投标人自负。投标人如对正确使用“投标文件制作软件”有疑问的，请与软件公司技术人员联系。</w:t>
      </w:r>
    </w:p>
    <w:p w14:paraId="53ED6EDC">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both"/>
        <w:textAlignment w:val="baseline"/>
        <w:outlineLvl w:val="9"/>
        <w:rPr>
          <w:rFonts w:hint="default" w:ascii="Times New Roman" w:hAnsi="Times New Roman" w:eastAsia="宋体" w:cs="Times New Roman"/>
          <w:color w:val="auto"/>
          <w:spacing w:val="0"/>
          <w:sz w:val="28"/>
          <w:szCs w:val="28"/>
          <w:highlight w:val="none"/>
        </w:rPr>
      </w:pPr>
      <w:bookmarkStart w:id="3" w:name="_Toc802"/>
      <w:r>
        <w:rPr>
          <w:rFonts w:hint="default" w:ascii="Times New Roman" w:hAnsi="Times New Roman" w:eastAsia="宋体" w:cs="Times New Roman"/>
          <w:color w:val="auto"/>
          <w:spacing w:val="0"/>
          <w:sz w:val="28"/>
          <w:szCs w:val="28"/>
          <w:highlight w:val="none"/>
        </w:rPr>
        <w:t>5、“全流程不见面交易”活动当日，投标人不必抵达开标现场，仅需</w:t>
      </w:r>
      <w:bookmarkEnd w:id="3"/>
      <w:r>
        <w:rPr>
          <w:rFonts w:hint="default" w:ascii="Times New Roman" w:hAnsi="Times New Roman" w:eastAsia="宋体" w:cs="Times New Roman"/>
          <w:color w:val="auto"/>
          <w:spacing w:val="0"/>
          <w:sz w:val="28"/>
          <w:szCs w:val="28"/>
          <w:highlight w:val="none"/>
        </w:rPr>
        <w:t>通过登录“宝鸡市公共资源交易不见面开标大厅”参加开标会议。建议投标人在开标前1小时内登录不见面开标大厅，确保在开标截止时间前及时签到</w:t>
      </w:r>
      <w:r>
        <w:rPr>
          <w:rFonts w:hint="default" w:ascii="Times New Roman" w:hAnsi="Times New Roman" w:eastAsia="宋体" w:cs="Times New Roman"/>
          <w:color w:val="auto"/>
          <w:spacing w:val="0"/>
          <w:sz w:val="28"/>
          <w:szCs w:val="28"/>
          <w:highlight w:val="none"/>
          <w:lang w:eastAsia="zh-CN"/>
        </w:rPr>
        <w:t>（</w:t>
      </w:r>
      <w:r>
        <w:rPr>
          <w:rFonts w:hint="default" w:ascii="Times New Roman" w:hAnsi="Times New Roman" w:eastAsia="宋体" w:cs="Times New Roman"/>
          <w:color w:val="auto"/>
          <w:spacing w:val="0"/>
          <w:sz w:val="28"/>
          <w:szCs w:val="28"/>
          <w:highlight w:val="none"/>
        </w:rPr>
        <w:t>开标前60分钟开始签到</w:t>
      </w:r>
      <w:r>
        <w:rPr>
          <w:rFonts w:hint="default" w:ascii="Times New Roman" w:hAnsi="Times New Roman" w:eastAsia="宋体" w:cs="Times New Roman"/>
          <w:color w:val="auto"/>
          <w:spacing w:val="0"/>
          <w:sz w:val="28"/>
          <w:szCs w:val="28"/>
          <w:highlight w:val="none"/>
          <w:lang w:eastAsia="zh-CN"/>
        </w:rPr>
        <w:t>）</w:t>
      </w:r>
      <w:r>
        <w:rPr>
          <w:rFonts w:hint="default" w:ascii="Times New Roman" w:hAnsi="Times New Roman" w:eastAsia="宋体" w:cs="Times New Roman"/>
          <w:color w:val="auto"/>
          <w:spacing w:val="0"/>
          <w:sz w:val="28"/>
          <w:szCs w:val="28"/>
          <w:highlight w:val="none"/>
        </w:rPr>
        <w:t>，否则将无法参与不见面开标活动。</w:t>
      </w:r>
    </w:p>
    <w:p w14:paraId="5E380452">
      <w:pPr>
        <w:keepNext w:val="0"/>
        <w:keepLines w:val="0"/>
        <w:pageBreakBefore w:val="0"/>
        <w:widowControl/>
        <w:kinsoku/>
        <w:wordWrap/>
        <w:overflowPunct/>
        <w:topLinePunct w:val="0"/>
        <w:autoSpaceDE w:val="0"/>
        <w:autoSpaceDN w:val="0"/>
        <w:bidi w:val="0"/>
        <w:adjustRightInd w:val="0"/>
        <w:snapToGrid w:val="0"/>
        <w:spacing w:line="360" w:lineRule="auto"/>
        <w:ind w:left="10" w:right="97" w:firstLine="562"/>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6、电子投标文件上传截止时间前，采购代理机构提前</w:t>
      </w:r>
      <w:r>
        <w:rPr>
          <w:rFonts w:hint="eastAsia" w:ascii="Times New Roman" w:hAnsi="Times New Roman" w:eastAsia="宋体" w:cs="Times New Roman"/>
          <w:color w:val="auto"/>
          <w:spacing w:val="0"/>
          <w:sz w:val="28"/>
          <w:szCs w:val="28"/>
          <w:highlight w:val="none"/>
          <w:lang w:val="en-US" w:eastAsia="zh-CN"/>
        </w:rPr>
        <w:t>一小时</w:t>
      </w:r>
      <w:r>
        <w:rPr>
          <w:rFonts w:hint="default" w:ascii="Times New Roman" w:hAnsi="Times New Roman" w:eastAsia="宋体" w:cs="Times New Roman"/>
          <w:color w:val="auto"/>
          <w:spacing w:val="0"/>
          <w:sz w:val="28"/>
          <w:szCs w:val="28"/>
          <w:highlight w:val="none"/>
        </w:rPr>
        <w:t>进入宝鸡市政府采购“宝鸡市公共资源交易不见面开标大厅”，播放测试音频，各投标人的授权委托人或法人代表提前进入“宝鸡市公共资源交易不见面开标大厅”根据操作手册(进入相应项目的虚拟开标大厅)收听观看实时音视频交互效果并及时在讨论组中反馈，未在规定时间内进入虚拟开标大厅并完成登录操作的或未能在虚拟开标大厅内全程参与交互的，视为放弃交互和放弃对活动全过程提疑的权利，投标人将无法看到解密指令、废标及澄清、公布最终报价、评审结果等实时情况，并承担由此导致的一切后果。</w:t>
      </w:r>
    </w:p>
    <w:p w14:paraId="1B9FA765">
      <w:pPr>
        <w:keepNext w:val="0"/>
        <w:keepLines w:val="0"/>
        <w:pageBreakBefore w:val="0"/>
        <w:widowControl/>
        <w:kinsoku/>
        <w:wordWrap/>
        <w:overflowPunct/>
        <w:topLinePunct w:val="0"/>
        <w:autoSpaceDE w:val="0"/>
        <w:autoSpaceDN w:val="0"/>
        <w:bidi w:val="0"/>
        <w:adjustRightInd w:val="0"/>
        <w:snapToGrid w:val="0"/>
        <w:spacing w:line="360" w:lineRule="auto"/>
        <w:ind w:left="10" w:firstLine="567"/>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7、电子投标文件上传截止时间后，采购代理机构将在系统内公布投标人名单，然后通过大厅操作区发出投标文件解密的指令，投标人在各自地点按规定时间自行实施远程解密，投标人解密限定在主持人发布解密指令后</w:t>
      </w:r>
      <w:r>
        <w:rPr>
          <w:rFonts w:hint="default" w:ascii="Times New Roman" w:hAnsi="Times New Roman" w:eastAsia="Times New Roman" w:cs="Times New Roman"/>
          <w:color w:val="auto"/>
          <w:spacing w:val="0"/>
          <w:sz w:val="28"/>
          <w:szCs w:val="28"/>
          <w:highlight w:val="none"/>
        </w:rPr>
        <w:t>30</w:t>
      </w:r>
      <w:r>
        <w:rPr>
          <w:rFonts w:hint="default" w:ascii="Times New Roman" w:hAnsi="Times New Roman" w:eastAsia="宋体" w:cs="Times New Roman"/>
          <w:color w:val="auto"/>
          <w:spacing w:val="0"/>
          <w:sz w:val="28"/>
          <w:szCs w:val="28"/>
          <w:highlight w:val="none"/>
        </w:rPr>
        <w:t>分钟内完成。因投标人网络与电源不稳定、未按操作手册要求配置软硬件、解密锁发生故障或用错、故意不在要求时限内完成解密等自身原因，导致投标文件在规定时间内未能解密、解密失败或解密超时，作无效投标文件处理。因“宝鸡市公共资源交易不见面开标大厅”系统发生故障，导致无法按时完成投标文件解密，可根据实际情况相应延迟解密时间(友情提示：若投标人已领取副锁(含多把副锁)，必须使用生成投标文件的锁来解密投标文件)。本项目在限定的解密时间内，只要有任何一家投标人解密成功，即视为“宝鸡市公共资源交易不见面开标大厅”系统运行无故障。</w:t>
      </w:r>
    </w:p>
    <w:p w14:paraId="30C459B8">
      <w:pPr>
        <w:keepNext w:val="0"/>
        <w:keepLines w:val="0"/>
        <w:pageBreakBefore w:val="0"/>
        <w:widowControl/>
        <w:kinsoku/>
        <w:wordWrap/>
        <w:overflowPunct/>
        <w:topLinePunct w:val="0"/>
        <w:autoSpaceDE w:val="0"/>
        <w:autoSpaceDN w:val="0"/>
        <w:bidi w:val="0"/>
        <w:adjustRightInd w:val="0"/>
        <w:snapToGrid w:val="0"/>
        <w:spacing w:line="360" w:lineRule="auto"/>
        <w:ind w:left="10" w:firstLine="561"/>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8、活动全过程中，各投标人参与澄清、说明、补正、远程交互的授权委托人或法人代表应始终为同一个人，中途不得更换，在澄清、说明、补正、异议提出等特殊情况下需要交互时，投标人一端参与交互的人员将均被视为是投标人的授权委托人或法人代表，投标人不得以不承认交互人员的资格或身份等为借口抵赖推脱，投标人自行承担随意更换人员所导致的一切后果。</w:t>
      </w:r>
    </w:p>
    <w:p w14:paraId="09014D9D">
      <w:pPr>
        <w:keepNext w:val="0"/>
        <w:keepLines w:val="0"/>
        <w:pageBreakBefore w:val="0"/>
        <w:widowControl/>
        <w:kinsoku/>
        <w:wordWrap/>
        <w:overflowPunct/>
        <w:topLinePunct w:val="0"/>
        <w:autoSpaceDE w:val="0"/>
        <w:autoSpaceDN w:val="0"/>
        <w:bidi w:val="0"/>
        <w:adjustRightInd w:val="0"/>
        <w:snapToGrid w:val="0"/>
        <w:spacing w:line="360" w:lineRule="auto"/>
        <w:ind w:left="10" w:right="213" w:firstLine="561"/>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9、投标人在制作上传电子投标文件、观看活动组织、投标文件解密等技术方面遇到问题时，请与软件公司技术人员咨询，联系电话：400-998-0000。</w:t>
      </w:r>
    </w:p>
    <w:p w14:paraId="5A3BF7A1">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0CBC4A31">
      <w:pPr>
        <w:keepNext w:val="0"/>
        <w:keepLines w:val="0"/>
        <w:kinsoku/>
        <w:overflowPunct/>
        <w:topLinePunct w:val="0"/>
        <w:bidi w:val="0"/>
        <w:jc w:val="both"/>
        <w:rPr>
          <w:rFonts w:hint="default" w:ascii="Times New Roman" w:hAnsi="Times New Roman" w:eastAsia="宋体" w:cs="Times New Roman"/>
          <w:color w:val="auto"/>
          <w:spacing w:val="0"/>
          <w:sz w:val="35"/>
          <w:szCs w:val="35"/>
          <w:highlight w:val="none"/>
        </w:rPr>
      </w:pPr>
      <w:bookmarkStart w:id="4" w:name="_bookmark1"/>
      <w:bookmarkEnd w:id="4"/>
    </w:p>
    <w:p w14:paraId="1FC66C02">
      <w:pPr>
        <w:keepNext w:val="0"/>
        <w:keepLines w:val="0"/>
        <w:kinsoku/>
        <w:overflowPunct/>
        <w:topLinePunct w:val="0"/>
        <w:bidi w:val="0"/>
        <w:spacing w:before="0" w:beforeLines="0" w:after="0" w:afterLines="0" w:line="480" w:lineRule="auto"/>
        <w:ind w:left="0" w:leftChars="0" w:right="0" w:rightChars="0" w:firstLine="0" w:firstLineChars="0"/>
        <w:jc w:val="center"/>
        <w:rPr>
          <w:rFonts w:hint="default" w:ascii="Times New Roman" w:hAnsi="Times New Roman" w:eastAsia="宋体" w:cs="Times New Roman"/>
          <w:b/>
          <w:bCs/>
          <w:sz w:val="44"/>
          <w:szCs w:val="44"/>
          <w:highlight w:val="none"/>
        </w:rPr>
      </w:pPr>
      <w:r>
        <w:rPr>
          <w:rFonts w:hint="default" w:ascii="Times New Roman" w:hAnsi="Times New Roman" w:eastAsia="宋体" w:cs="Times New Roman"/>
          <w:b/>
          <w:bCs/>
          <w:sz w:val="44"/>
          <w:szCs w:val="44"/>
          <w:highlight w:val="none"/>
        </w:rPr>
        <w:t>目</w:t>
      </w:r>
      <w:r>
        <w:rPr>
          <w:rFonts w:hint="default" w:ascii="Times New Roman" w:hAnsi="Times New Roman" w:eastAsia="宋体" w:cs="Times New Roman"/>
          <w:b/>
          <w:bCs/>
          <w:sz w:val="44"/>
          <w:szCs w:val="44"/>
          <w:highlight w:val="none"/>
          <w:lang w:val="en-US" w:eastAsia="zh-CN"/>
        </w:rPr>
        <w:t xml:space="preserve">  </w:t>
      </w:r>
      <w:r>
        <w:rPr>
          <w:rFonts w:hint="default" w:ascii="Times New Roman" w:hAnsi="Times New Roman" w:eastAsia="宋体" w:cs="Times New Roman"/>
          <w:b/>
          <w:bCs/>
          <w:sz w:val="44"/>
          <w:szCs w:val="44"/>
          <w:highlight w:val="none"/>
        </w:rPr>
        <w:t>录</w:t>
      </w:r>
    </w:p>
    <w:p w14:paraId="6211CB53">
      <w:pPr>
        <w:pStyle w:val="13"/>
        <w:tabs>
          <w:tab w:val="right" w:leader="dot" w:pos="9184"/>
        </w:tabs>
        <w:spacing w:line="600" w:lineRule="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"1-1"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_Toc15381 </w:instrText>
      </w:r>
      <w:r>
        <w:rPr>
          <w:rFonts w:hint="eastAsia" w:ascii="宋体" w:hAnsi="宋体" w:eastAsia="宋体" w:cs="宋体"/>
          <w:sz w:val="24"/>
          <w:szCs w:val="24"/>
          <w:highlight w:val="none"/>
        </w:rPr>
        <w:fldChar w:fldCharType="separate"/>
      </w:r>
      <w:r>
        <w:rPr>
          <w:rFonts w:hint="eastAsia" w:ascii="宋体" w:hAnsi="宋体" w:eastAsia="宋体" w:cs="宋体"/>
          <w:bCs/>
          <w:spacing w:val="0"/>
          <w:sz w:val="24"/>
          <w:szCs w:val="24"/>
          <w:highlight w:val="none"/>
        </w:rPr>
        <w:t>第一章</w:t>
      </w:r>
      <w:r>
        <w:rPr>
          <w:rFonts w:hint="eastAsia" w:ascii="宋体" w:hAnsi="宋体" w:eastAsia="宋体" w:cs="宋体"/>
          <w:bCs/>
          <w:spacing w:val="0"/>
          <w:sz w:val="24"/>
          <w:szCs w:val="24"/>
          <w:highlight w:val="none"/>
          <w:lang w:eastAsia="zh-CN"/>
        </w:rPr>
        <w:t>、</w:t>
      </w:r>
      <w:r>
        <w:rPr>
          <w:rFonts w:hint="eastAsia" w:ascii="宋体" w:hAnsi="宋体" w:eastAsia="宋体" w:cs="宋体"/>
          <w:bCs/>
          <w:spacing w:val="0"/>
          <w:sz w:val="24"/>
          <w:szCs w:val="24"/>
          <w:highlight w:val="none"/>
        </w:rPr>
        <w:t>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_Toc15381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2F2209D">
      <w:pPr>
        <w:pStyle w:val="13"/>
        <w:tabs>
          <w:tab w:val="right" w:leader="dot" w:pos="9184"/>
        </w:tabs>
        <w:spacing w:line="600" w:lineRule="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_Toc7732 </w:instrText>
      </w:r>
      <w:r>
        <w:rPr>
          <w:rFonts w:hint="eastAsia" w:ascii="宋体" w:hAnsi="宋体" w:eastAsia="宋体" w:cs="宋体"/>
          <w:sz w:val="24"/>
          <w:szCs w:val="24"/>
          <w:highlight w:val="none"/>
        </w:rPr>
        <w:fldChar w:fldCharType="separate"/>
      </w:r>
      <w:r>
        <w:rPr>
          <w:rFonts w:hint="eastAsia" w:ascii="宋体" w:hAnsi="宋体" w:eastAsia="宋体" w:cs="宋体"/>
          <w:bCs/>
          <w:spacing w:val="0"/>
          <w:sz w:val="24"/>
          <w:szCs w:val="24"/>
          <w:highlight w:val="none"/>
        </w:rPr>
        <w:t>第二章</w:t>
      </w:r>
      <w:r>
        <w:rPr>
          <w:rFonts w:hint="eastAsia" w:ascii="宋体" w:hAnsi="宋体" w:eastAsia="宋体" w:cs="宋体"/>
          <w:bCs/>
          <w:spacing w:val="0"/>
          <w:sz w:val="24"/>
          <w:szCs w:val="24"/>
          <w:highlight w:val="none"/>
          <w:lang w:eastAsia="zh-CN"/>
        </w:rPr>
        <w:t>、</w:t>
      </w:r>
      <w:r>
        <w:rPr>
          <w:rFonts w:hint="eastAsia" w:ascii="宋体" w:hAnsi="宋体" w:eastAsia="宋体" w:cs="宋体"/>
          <w:bCs/>
          <w:spacing w:val="0"/>
          <w:sz w:val="24"/>
          <w:szCs w:val="24"/>
          <w:highlight w:val="none"/>
        </w:rPr>
        <w:t>投标人须知及前附表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_Toc7732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37FD8C1">
      <w:pPr>
        <w:pStyle w:val="13"/>
        <w:tabs>
          <w:tab w:val="right" w:leader="dot" w:pos="9184"/>
        </w:tabs>
        <w:spacing w:line="600" w:lineRule="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_Toc1328 </w:instrText>
      </w:r>
      <w:r>
        <w:rPr>
          <w:rFonts w:hint="eastAsia" w:ascii="宋体" w:hAnsi="宋体" w:eastAsia="宋体" w:cs="宋体"/>
          <w:sz w:val="24"/>
          <w:szCs w:val="24"/>
          <w:highlight w:val="none"/>
        </w:rPr>
        <w:fldChar w:fldCharType="separate"/>
      </w:r>
      <w:r>
        <w:rPr>
          <w:rFonts w:hint="eastAsia" w:ascii="宋体" w:hAnsi="宋体" w:eastAsia="宋体" w:cs="宋体"/>
          <w:bCs/>
          <w:snapToGrid w:val="0"/>
          <w:spacing w:val="0"/>
          <w:kern w:val="0"/>
          <w:sz w:val="24"/>
          <w:szCs w:val="24"/>
          <w:highlight w:val="none"/>
          <w:lang w:val="en-US" w:eastAsia="zh-CN"/>
        </w:rPr>
        <w:t>第三章、</w:t>
      </w:r>
      <w:r>
        <w:rPr>
          <w:rFonts w:hint="eastAsia" w:ascii="宋体" w:hAnsi="宋体" w:eastAsia="宋体" w:cs="宋体"/>
          <w:bCs/>
          <w:spacing w:val="0"/>
          <w:sz w:val="24"/>
          <w:szCs w:val="24"/>
          <w:highlight w:val="none"/>
          <w:lang w:val="en-US" w:eastAsia="zh-CN"/>
        </w:rPr>
        <w:t>招标内容及要求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6D466DE">
      <w:pPr>
        <w:pStyle w:val="13"/>
        <w:tabs>
          <w:tab w:val="right" w:leader="dot" w:pos="9184"/>
        </w:tabs>
        <w:spacing w:line="600" w:lineRule="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_Toc12775 </w:instrText>
      </w:r>
      <w:r>
        <w:rPr>
          <w:rFonts w:hint="eastAsia" w:ascii="宋体" w:hAnsi="宋体" w:eastAsia="宋体" w:cs="宋体"/>
          <w:sz w:val="24"/>
          <w:szCs w:val="24"/>
          <w:highlight w:val="none"/>
        </w:rPr>
        <w:fldChar w:fldCharType="separate"/>
      </w:r>
      <w:r>
        <w:rPr>
          <w:rFonts w:hint="eastAsia" w:ascii="宋体" w:hAnsi="宋体" w:eastAsia="宋体" w:cs="宋体"/>
          <w:bCs/>
          <w:snapToGrid w:val="0"/>
          <w:spacing w:val="0"/>
          <w:kern w:val="0"/>
          <w:sz w:val="24"/>
          <w:szCs w:val="24"/>
          <w:highlight w:val="none"/>
          <w:lang w:val="en-US" w:eastAsia="zh-CN"/>
        </w:rPr>
        <w:t>第四章、</w:t>
      </w:r>
      <w:r>
        <w:rPr>
          <w:rFonts w:hint="eastAsia" w:ascii="宋体" w:hAnsi="宋体" w:eastAsia="宋体" w:cs="宋体"/>
          <w:bCs/>
          <w:spacing w:val="0"/>
          <w:sz w:val="24"/>
          <w:szCs w:val="24"/>
          <w:highlight w:val="none"/>
          <w:lang w:val="en-US" w:eastAsia="zh-CN"/>
        </w:rPr>
        <w:t>商务要求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_Toc12775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6D7932E">
      <w:pPr>
        <w:pStyle w:val="13"/>
        <w:tabs>
          <w:tab w:val="right" w:leader="dot" w:pos="9184"/>
        </w:tabs>
        <w:spacing w:line="600" w:lineRule="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_Toc10669 </w:instrText>
      </w:r>
      <w:r>
        <w:rPr>
          <w:rFonts w:hint="eastAsia" w:ascii="宋体" w:hAnsi="宋体" w:eastAsia="宋体" w:cs="宋体"/>
          <w:sz w:val="24"/>
          <w:szCs w:val="24"/>
          <w:highlight w:val="none"/>
        </w:rPr>
        <w:fldChar w:fldCharType="separate"/>
      </w:r>
      <w:r>
        <w:rPr>
          <w:rFonts w:hint="eastAsia" w:ascii="宋体" w:hAnsi="宋体" w:eastAsia="宋体" w:cs="宋体"/>
          <w:bCs/>
          <w:spacing w:val="0"/>
          <w:sz w:val="24"/>
          <w:szCs w:val="24"/>
          <w:highlight w:val="none"/>
        </w:rPr>
        <w:t>第</w:t>
      </w:r>
      <w:r>
        <w:rPr>
          <w:rFonts w:hint="eastAsia" w:ascii="宋体" w:hAnsi="宋体" w:eastAsia="宋体" w:cs="宋体"/>
          <w:bCs/>
          <w:spacing w:val="0"/>
          <w:sz w:val="24"/>
          <w:szCs w:val="24"/>
          <w:highlight w:val="none"/>
          <w:lang w:val="en-US" w:eastAsia="zh-CN"/>
        </w:rPr>
        <w:t>五</w:t>
      </w:r>
      <w:r>
        <w:rPr>
          <w:rFonts w:hint="eastAsia" w:ascii="宋体" w:hAnsi="宋体" w:eastAsia="宋体" w:cs="宋体"/>
          <w:bCs/>
          <w:spacing w:val="0"/>
          <w:sz w:val="24"/>
          <w:szCs w:val="24"/>
          <w:highlight w:val="none"/>
        </w:rPr>
        <w:t>章</w:t>
      </w:r>
      <w:r>
        <w:rPr>
          <w:rFonts w:hint="eastAsia" w:ascii="宋体" w:hAnsi="宋体" w:eastAsia="宋体" w:cs="宋体"/>
          <w:bCs/>
          <w:spacing w:val="0"/>
          <w:sz w:val="24"/>
          <w:szCs w:val="24"/>
          <w:highlight w:val="none"/>
          <w:lang w:eastAsia="zh-CN"/>
        </w:rPr>
        <w:t>、</w:t>
      </w:r>
      <w:r>
        <w:rPr>
          <w:rFonts w:hint="eastAsia" w:ascii="宋体" w:hAnsi="宋体" w:eastAsia="宋体" w:cs="宋体"/>
          <w:bCs/>
          <w:spacing w:val="0"/>
          <w:sz w:val="24"/>
          <w:szCs w:val="24"/>
          <w:highlight w:val="none"/>
        </w:rPr>
        <w:t>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_Toc10669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9E1CC6B">
      <w:pPr>
        <w:pStyle w:val="13"/>
        <w:tabs>
          <w:tab w:val="right" w:leader="dot" w:pos="9184"/>
        </w:tabs>
        <w:spacing w:line="600" w:lineRule="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_Toc8137 </w:instrText>
      </w:r>
      <w:r>
        <w:rPr>
          <w:rFonts w:hint="eastAsia" w:ascii="宋体" w:hAnsi="宋体" w:eastAsia="宋体" w:cs="宋体"/>
          <w:sz w:val="24"/>
          <w:szCs w:val="24"/>
          <w:highlight w:val="none"/>
        </w:rPr>
        <w:fldChar w:fldCharType="separate"/>
      </w:r>
      <w:r>
        <w:rPr>
          <w:rFonts w:hint="eastAsia" w:ascii="宋体" w:hAnsi="宋体" w:eastAsia="宋体" w:cs="宋体"/>
          <w:bCs/>
          <w:spacing w:val="0"/>
          <w:sz w:val="24"/>
          <w:szCs w:val="24"/>
          <w:highlight w:val="none"/>
        </w:rPr>
        <w:t>第</w:t>
      </w:r>
      <w:r>
        <w:rPr>
          <w:rFonts w:hint="eastAsia" w:ascii="宋体" w:hAnsi="宋体" w:eastAsia="宋体" w:cs="宋体"/>
          <w:bCs/>
          <w:spacing w:val="0"/>
          <w:sz w:val="24"/>
          <w:szCs w:val="24"/>
          <w:highlight w:val="none"/>
          <w:lang w:val="en-US" w:eastAsia="zh-CN"/>
        </w:rPr>
        <w:t>六</w:t>
      </w:r>
      <w:r>
        <w:rPr>
          <w:rFonts w:hint="eastAsia" w:ascii="宋体" w:hAnsi="宋体" w:eastAsia="宋体" w:cs="宋体"/>
          <w:bCs/>
          <w:spacing w:val="0"/>
          <w:sz w:val="24"/>
          <w:szCs w:val="24"/>
          <w:highlight w:val="none"/>
        </w:rPr>
        <w:t>章</w:t>
      </w:r>
      <w:r>
        <w:rPr>
          <w:rFonts w:hint="eastAsia" w:ascii="宋体" w:hAnsi="宋体" w:eastAsia="宋体" w:cs="宋体"/>
          <w:bCs/>
          <w:spacing w:val="0"/>
          <w:sz w:val="24"/>
          <w:szCs w:val="24"/>
          <w:highlight w:val="none"/>
          <w:lang w:eastAsia="zh-CN"/>
        </w:rPr>
        <w:t>、</w:t>
      </w:r>
      <w:r>
        <w:rPr>
          <w:rFonts w:hint="eastAsia" w:ascii="宋体" w:hAnsi="宋体" w:eastAsia="宋体" w:cs="宋体"/>
          <w:bCs/>
          <w:spacing w:val="0"/>
          <w:sz w:val="24"/>
          <w:szCs w:val="24"/>
          <w:highlight w:val="none"/>
        </w:rPr>
        <w:t>投标文件构成及格式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_Toc8137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0D617EC">
      <w:pPr>
        <w:pStyle w:val="13"/>
        <w:keepNext w:val="0"/>
        <w:keepLines w:val="0"/>
        <w:pageBreakBefore w:val="0"/>
        <w:widowControl/>
        <w:tabs>
          <w:tab w:val="right" w:leader="dot" w:pos="9184"/>
        </w:tabs>
        <w:kinsoku/>
        <w:wordWrap/>
        <w:overflowPunct/>
        <w:topLinePunct w:val="0"/>
        <w:autoSpaceDE w:val="0"/>
        <w:autoSpaceDN w:val="0"/>
        <w:bidi w:val="0"/>
        <w:adjustRightInd w:val="0"/>
        <w:snapToGrid w:val="0"/>
        <w:spacing w:line="600" w:lineRule="auto"/>
        <w:textAlignment w:val="baseline"/>
        <w:rPr>
          <w:rFonts w:hint="default" w:ascii="Times New Roman" w:hAnsi="Times New Roman" w:cs="Times New Roman"/>
          <w:highlight w:val="none"/>
        </w:rPr>
      </w:pPr>
      <w:r>
        <w:rPr>
          <w:rFonts w:hint="eastAsia" w:ascii="宋体" w:hAnsi="宋体" w:eastAsia="宋体" w:cs="宋体"/>
          <w:sz w:val="24"/>
          <w:szCs w:val="24"/>
          <w:highlight w:val="none"/>
        </w:rPr>
        <w:fldChar w:fldCharType="end"/>
      </w:r>
    </w:p>
    <w:p w14:paraId="017C05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line="480" w:lineRule="atLeast"/>
        <w:ind w:left="0" w:firstLine="0"/>
        <w:jc w:val="center"/>
        <w:rPr>
          <w:rFonts w:hint="default" w:ascii="Times New Roman" w:hAnsi="Times New Roman" w:eastAsia="宋体" w:cs="Times New Roman"/>
          <w:b/>
          <w:bCs/>
          <w:color w:val="auto"/>
          <w:spacing w:val="0"/>
          <w:sz w:val="35"/>
          <w:szCs w:val="35"/>
          <w:highlight w:val="none"/>
        </w:rPr>
        <w:sectPr>
          <w:headerReference r:id="rId5" w:type="default"/>
          <w:footerReference r:id="rId6" w:type="default"/>
          <w:pgSz w:w="11906" w:h="16839"/>
          <w:pgMar w:top="1417" w:right="1361" w:bottom="1417" w:left="1361" w:header="964" w:footer="986" w:gutter="0"/>
          <w:pgBorders>
            <w:top w:val="none" w:sz="0" w:space="0"/>
            <w:left w:val="none" w:sz="0" w:space="0"/>
            <w:bottom w:val="none" w:sz="0" w:space="0"/>
            <w:right w:val="none" w:sz="0" w:space="0"/>
          </w:pgBorders>
          <w:pgNumType w:fmt="decimal" w:start="1"/>
          <w:cols w:space="0" w:num="1"/>
          <w:rtlGutter w:val="0"/>
          <w:docGrid w:linePitch="0" w:charSpace="0"/>
        </w:sectPr>
      </w:pPr>
      <w:bookmarkStart w:id="5" w:name="_Toc2637"/>
      <w:bookmarkStart w:id="6" w:name="_Toc13272"/>
    </w:p>
    <w:p w14:paraId="3A38CE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val="0"/>
        <w:autoSpaceDN w:val="0"/>
        <w:bidi w:val="0"/>
        <w:adjustRightInd w:val="0"/>
        <w:snapToGrid w:val="0"/>
        <w:spacing w:line="360" w:lineRule="auto"/>
        <w:ind w:left="0" w:firstLine="0"/>
        <w:jc w:val="center"/>
        <w:textAlignment w:val="baseline"/>
        <w:outlineLvl w:val="0"/>
        <w:rPr>
          <w:rFonts w:hint="default" w:ascii="Times New Roman" w:hAnsi="Times New Roman" w:eastAsia="宋体" w:cs="Times New Roman"/>
          <w:b/>
          <w:bCs/>
          <w:color w:val="auto"/>
          <w:spacing w:val="0"/>
          <w:sz w:val="35"/>
          <w:szCs w:val="35"/>
          <w:highlight w:val="none"/>
        </w:rPr>
      </w:pPr>
      <w:bookmarkStart w:id="7" w:name="_Toc28416"/>
      <w:bookmarkStart w:id="8" w:name="_Toc15381"/>
      <w:r>
        <w:rPr>
          <w:rFonts w:hint="default" w:ascii="Times New Roman" w:hAnsi="Times New Roman" w:eastAsia="宋体" w:cs="Times New Roman"/>
          <w:b/>
          <w:bCs/>
          <w:color w:val="auto"/>
          <w:spacing w:val="0"/>
          <w:sz w:val="35"/>
          <w:szCs w:val="35"/>
          <w:highlight w:val="none"/>
        </w:rPr>
        <w:t>第一章</w:t>
      </w:r>
      <w:r>
        <w:rPr>
          <w:rFonts w:hint="default" w:ascii="Times New Roman" w:hAnsi="Times New Roman" w:eastAsia="宋体" w:cs="Times New Roman"/>
          <w:b/>
          <w:bCs/>
          <w:color w:val="auto"/>
          <w:spacing w:val="0"/>
          <w:sz w:val="35"/>
          <w:szCs w:val="35"/>
          <w:highlight w:val="none"/>
          <w:lang w:eastAsia="zh-CN"/>
        </w:rPr>
        <w:t>、</w:t>
      </w:r>
      <w:r>
        <w:rPr>
          <w:rFonts w:hint="default" w:ascii="Times New Roman" w:hAnsi="Times New Roman" w:eastAsia="宋体" w:cs="Times New Roman"/>
          <w:b/>
          <w:bCs/>
          <w:color w:val="auto"/>
          <w:spacing w:val="0"/>
          <w:sz w:val="35"/>
          <w:szCs w:val="35"/>
          <w:highlight w:val="none"/>
        </w:rPr>
        <w:t>招标公告</w:t>
      </w:r>
      <w:bookmarkEnd w:id="5"/>
      <w:bookmarkEnd w:id="6"/>
      <w:bookmarkEnd w:id="7"/>
      <w:bookmarkEnd w:id="8"/>
    </w:p>
    <w:p w14:paraId="440BDA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Fonts w:hint="eastAsia" w:cs="宋体"/>
          <w:b/>
          <w:bCs/>
          <w:i w:val="0"/>
          <w:iCs w:val="0"/>
          <w:caps w:val="0"/>
          <w:color w:val="auto"/>
          <w:spacing w:val="0"/>
          <w:sz w:val="28"/>
          <w:szCs w:val="28"/>
          <w:highlight w:val="none"/>
          <w:shd w:val="clear" w:fill="FFFFFF"/>
          <w:lang w:val="en-US" w:eastAsia="zh-CN"/>
        </w:rPr>
        <w:t>宝鸡市第二人民医院彩超采购项目</w:t>
      </w:r>
      <w:r>
        <w:rPr>
          <w:rFonts w:hint="eastAsia" w:ascii="宋体" w:hAnsi="宋体" w:eastAsia="宋体" w:cs="宋体"/>
          <w:b/>
          <w:bCs/>
          <w:i w:val="0"/>
          <w:iCs w:val="0"/>
          <w:caps w:val="0"/>
          <w:color w:val="auto"/>
          <w:spacing w:val="0"/>
          <w:sz w:val="28"/>
          <w:szCs w:val="28"/>
          <w:highlight w:val="none"/>
          <w:shd w:val="clear" w:fill="FFFFFF"/>
        </w:rPr>
        <w:t>招标公告</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0"/>
      </w:tblGrid>
      <w:tr w14:paraId="17AA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9380" w:type="dxa"/>
          </w:tcPr>
          <w:p w14:paraId="114664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fill="FFFFFF"/>
              </w:rPr>
              <w:t>项目概况</w:t>
            </w:r>
          </w:p>
          <w:p w14:paraId="0446D38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Style w:val="23"/>
                <w:rFonts w:hint="eastAsia" w:ascii="宋体" w:hAnsi="宋体" w:eastAsia="宋体" w:cs="宋体"/>
                <w:b/>
                <w:bCs/>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lang w:val="en-US" w:eastAsia="zh-CN"/>
              </w:rPr>
              <w:t>宝鸡市第二人民医院彩超采购项目</w:t>
            </w:r>
            <w:r>
              <w:rPr>
                <w:rFonts w:hint="eastAsia" w:ascii="宋体" w:hAnsi="宋体" w:eastAsia="宋体" w:cs="宋体"/>
                <w:i w:val="0"/>
                <w:iCs w:val="0"/>
                <w:caps w:val="0"/>
                <w:color w:val="auto"/>
                <w:spacing w:val="0"/>
                <w:sz w:val="24"/>
                <w:szCs w:val="24"/>
                <w:highlight w:val="none"/>
                <w:shd w:val="clear" w:fill="FFFFFF"/>
              </w:rPr>
              <w:t>招标项目的潜在投标人应在全国公共资源交易平台（陕西省·宝鸡市）（</w:t>
            </w:r>
            <w:r>
              <w:rPr>
                <w:rFonts w:hint="eastAsia" w:ascii="宋体" w:hAnsi="宋体" w:eastAsia="宋体" w:cs="宋体"/>
                <w:i w:val="0"/>
                <w:iCs w:val="0"/>
                <w:caps w:val="0"/>
                <w:color w:val="auto"/>
                <w:spacing w:val="0"/>
                <w:sz w:val="24"/>
                <w:szCs w:val="24"/>
                <w:highlight w:val="none"/>
                <w:shd w:val="clear" w:fill="FFFFFF"/>
                <w:lang w:eastAsia="zh-CN"/>
              </w:rPr>
              <w:t>http://ggzy.baoji.gov.cn/</w:t>
            </w:r>
            <w:r>
              <w:rPr>
                <w:rFonts w:hint="eastAsia" w:ascii="宋体" w:hAnsi="宋体" w:eastAsia="宋体" w:cs="宋体"/>
                <w:i w:val="0"/>
                <w:iCs w:val="0"/>
                <w:caps w:val="0"/>
                <w:color w:val="auto"/>
                <w:spacing w:val="0"/>
                <w:sz w:val="24"/>
                <w:szCs w:val="24"/>
                <w:highlight w:val="none"/>
                <w:shd w:val="clear" w:fill="FFFFFF"/>
              </w:rPr>
              <w:t>）网上下载获取招标文件，并于202</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03</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25</w:t>
            </w:r>
            <w:r>
              <w:rPr>
                <w:rFonts w:hint="eastAsia" w:ascii="宋体" w:hAnsi="宋体" w:eastAsia="宋体" w:cs="宋体"/>
                <w:i w:val="0"/>
                <w:iCs w:val="0"/>
                <w:caps w:val="0"/>
                <w:color w:val="auto"/>
                <w:spacing w:val="0"/>
                <w:sz w:val="24"/>
                <w:szCs w:val="24"/>
                <w:highlight w:val="none"/>
                <w:shd w:val="clear" w:fill="FFFFFF"/>
              </w:rPr>
              <w:t>日09时00分（北京时间）前递交投标文件。</w:t>
            </w:r>
          </w:p>
        </w:tc>
      </w:tr>
    </w:tbl>
    <w:p w14:paraId="13C2A1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一、项目基本情况</w:t>
      </w:r>
    </w:p>
    <w:p w14:paraId="6ED7353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项目编号：LHZBZC2026014B</w:t>
      </w:r>
    </w:p>
    <w:p w14:paraId="57D41F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ascii="宋体" w:hAnsi="宋体" w:eastAsia="宋体" w:cs="宋体"/>
          <w:i w:val="0"/>
          <w:iCs w:val="0"/>
          <w:caps w:val="0"/>
          <w:color w:val="auto"/>
          <w:spacing w:val="0"/>
          <w:sz w:val="24"/>
          <w:szCs w:val="24"/>
          <w:highlight w:val="none"/>
          <w:shd w:val="clear" w:fill="FFFFFF"/>
          <w:lang w:eastAsia="zh-CN"/>
        </w:rPr>
        <w:t>宝鸡市第二人民医院彩超采购项目</w:t>
      </w:r>
    </w:p>
    <w:p w14:paraId="7C91EE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采购方式：公开招标</w:t>
      </w:r>
    </w:p>
    <w:p w14:paraId="48CEFC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预算金额：</w:t>
      </w:r>
      <w:r>
        <w:rPr>
          <w:rFonts w:hint="eastAsia" w:ascii="宋体" w:hAnsi="宋体" w:eastAsia="宋体" w:cs="宋体"/>
          <w:i w:val="0"/>
          <w:iCs w:val="0"/>
          <w:caps w:val="0"/>
          <w:color w:val="auto"/>
          <w:spacing w:val="0"/>
          <w:sz w:val="24"/>
          <w:szCs w:val="24"/>
          <w:highlight w:val="none"/>
          <w:shd w:val="clear" w:fill="FFFFFF"/>
          <w:lang w:val="en-US" w:eastAsia="zh-CN"/>
        </w:rPr>
        <w:t>16322600</w:t>
      </w:r>
      <w:r>
        <w:rPr>
          <w:rFonts w:hint="eastAsia" w:ascii="宋体" w:hAnsi="宋体" w:eastAsia="宋体" w:cs="宋体"/>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shd w:val="clear" w:fill="FFFFFF"/>
        </w:rPr>
        <w:t>元</w:t>
      </w:r>
    </w:p>
    <w:p w14:paraId="5064151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采购需求：</w:t>
      </w:r>
    </w:p>
    <w:p w14:paraId="1F24B0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eastAsia="zh-CN"/>
        </w:rPr>
        <w:t>合同包1(超高端心血管及超高端便携彩色多普勒超声诊断仪)</w:t>
      </w:r>
      <w:r>
        <w:rPr>
          <w:rFonts w:hint="eastAsia" w:ascii="宋体" w:hAnsi="宋体" w:eastAsia="宋体" w:cs="宋体"/>
          <w:i w:val="0"/>
          <w:iCs w:val="0"/>
          <w:caps w:val="0"/>
          <w:color w:val="auto"/>
          <w:spacing w:val="0"/>
          <w:sz w:val="24"/>
          <w:szCs w:val="24"/>
          <w:highlight w:val="none"/>
          <w:shd w:val="clear" w:fill="FFFFFF"/>
        </w:rPr>
        <w:t>:</w:t>
      </w:r>
    </w:p>
    <w:p w14:paraId="3EE695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6602600.00</w:t>
      </w:r>
      <w:r>
        <w:rPr>
          <w:rFonts w:hint="eastAsia" w:ascii="宋体" w:hAnsi="宋体" w:eastAsia="宋体" w:cs="宋体"/>
          <w:i w:val="0"/>
          <w:iCs w:val="0"/>
          <w:caps w:val="0"/>
          <w:color w:val="auto"/>
          <w:spacing w:val="0"/>
          <w:sz w:val="24"/>
          <w:szCs w:val="24"/>
          <w:highlight w:val="none"/>
          <w:shd w:val="clear" w:fill="FFFFFF"/>
        </w:rPr>
        <w:t>元</w:t>
      </w:r>
    </w:p>
    <w:p w14:paraId="41F498F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5257000.00</w:t>
      </w:r>
      <w:r>
        <w:rPr>
          <w:rFonts w:hint="eastAsia" w:ascii="宋体" w:hAnsi="宋体" w:eastAsia="宋体" w:cs="宋体"/>
          <w:i w:val="0"/>
          <w:iCs w:val="0"/>
          <w:caps w:val="0"/>
          <w:color w:val="auto"/>
          <w:spacing w:val="0"/>
          <w:sz w:val="24"/>
          <w:szCs w:val="24"/>
          <w:highlight w:val="none"/>
          <w:shd w:val="clear" w:fill="FFFFFF"/>
        </w:rPr>
        <w:t>元</w:t>
      </w:r>
    </w:p>
    <w:tbl>
      <w:tblPr>
        <w:tblStyle w:val="20"/>
        <w:tblW w:w="89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8"/>
        <w:gridCol w:w="1477"/>
        <w:gridCol w:w="1600"/>
        <w:gridCol w:w="1418"/>
        <w:gridCol w:w="1638"/>
        <w:gridCol w:w="1726"/>
      </w:tblGrid>
      <w:tr w14:paraId="2FFAB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7" w:hRule="atLeast"/>
          <w:jc w:val="center"/>
        </w:trPr>
        <w:tc>
          <w:tcPr>
            <w:tcW w:w="1078" w:type="dxa"/>
            <w:vAlign w:val="center"/>
          </w:tcPr>
          <w:p w14:paraId="6902554D">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477" w:type="dxa"/>
            <w:vAlign w:val="center"/>
          </w:tcPr>
          <w:p w14:paraId="444C9852">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1600" w:type="dxa"/>
            <w:vAlign w:val="center"/>
          </w:tcPr>
          <w:p w14:paraId="7855E04C">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1418" w:type="dxa"/>
            <w:vAlign w:val="center"/>
          </w:tcPr>
          <w:p w14:paraId="6CF52B65">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数量（单位）</w:t>
            </w:r>
          </w:p>
        </w:tc>
        <w:tc>
          <w:tcPr>
            <w:tcW w:w="1638" w:type="dxa"/>
            <w:vAlign w:val="center"/>
          </w:tcPr>
          <w:p w14:paraId="5FE48517">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1726" w:type="dxa"/>
            <w:vAlign w:val="center"/>
          </w:tcPr>
          <w:p w14:paraId="20817768">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r>
      <w:tr w14:paraId="4A22A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jc w:val="center"/>
        </w:trPr>
        <w:tc>
          <w:tcPr>
            <w:tcW w:w="1078" w:type="dxa"/>
            <w:vAlign w:val="center"/>
          </w:tcPr>
          <w:p w14:paraId="2C38409E">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477" w:type="dxa"/>
            <w:vAlign w:val="center"/>
          </w:tcPr>
          <w:p w14:paraId="60558882">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医用超声波仪器及设备</w:t>
            </w:r>
          </w:p>
        </w:tc>
        <w:tc>
          <w:tcPr>
            <w:tcW w:w="1600" w:type="dxa"/>
            <w:vAlign w:val="center"/>
          </w:tcPr>
          <w:p w14:paraId="1F1BB2B4">
            <w:pPr>
              <w:pStyle w:val="54"/>
              <w:keepNext w:val="0"/>
              <w:keepLines w:val="0"/>
              <w:kinsoku/>
              <w:overflowPunct/>
              <w:topLinePunct w:val="0"/>
              <w:bidi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宝鸡市第二人民医院超高端心血管及超高端便携彩色</w:t>
            </w:r>
            <w:r>
              <w:rPr>
                <w:rFonts w:hint="eastAsia" w:ascii="宋体" w:hAnsi="宋体" w:eastAsia="宋体" w:cs="宋体"/>
                <w:sz w:val="24"/>
                <w:szCs w:val="24"/>
                <w:highlight w:val="none"/>
                <w:lang w:val="en-US" w:eastAsia="zh-CN"/>
              </w:rPr>
              <w:t>多普勒</w:t>
            </w:r>
            <w:r>
              <w:rPr>
                <w:rFonts w:hint="eastAsia" w:ascii="宋体" w:hAnsi="宋体" w:eastAsia="宋体" w:cs="宋体"/>
                <w:sz w:val="24"/>
                <w:szCs w:val="24"/>
                <w:highlight w:val="none"/>
                <w:lang w:eastAsia="zh-CN"/>
              </w:rPr>
              <w:t>超声诊断仪</w:t>
            </w:r>
          </w:p>
        </w:tc>
        <w:tc>
          <w:tcPr>
            <w:tcW w:w="1418" w:type="dxa"/>
            <w:vAlign w:val="center"/>
          </w:tcPr>
          <w:p w14:paraId="4E4DBBC7">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批</w:t>
            </w:r>
            <w:r>
              <w:rPr>
                <w:rFonts w:hint="eastAsia" w:ascii="宋体" w:hAnsi="宋体" w:eastAsia="宋体" w:cs="宋体"/>
                <w:sz w:val="24"/>
                <w:szCs w:val="24"/>
                <w:highlight w:val="none"/>
              </w:rPr>
              <w:t>)</w:t>
            </w:r>
          </w:p>
        </w:tc>
        <w:tc>
          <w:tcPr>
            <w:tcW w:w="1638" w:type="dxa"/>
            <w:vAlign w:val="center"/>
          </w:tcPr>
          <w:p w14:paraId="77FF7EF2">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1726" w:type="dxa"/>
            <w:vAlign w:val="center"/>
          </w:tcPr>
          <w:p w14:paraId="6E6958CD">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6602600.00</w:t>
            </w:r>
          </w:p>
        </w:tc>
      </w:tr>
    </w:tbl>
    <w:p w14:paraId="70723B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Lines="10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 本合同包不接受联合体投标</w:t>
      </w:r>
    </w:p>
    <w:p w14:paraId="595B2CC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 合同履行期限：合同签订后至质保期结束</w:t>
      </w:r>
    </w:p>
    <w:p w14:paraId="0A1571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eastAsia="zh-CN"/>
        </w:rPr>
        <w:t>合同包2(超高端彩色多普勒超声诊断仪(偏肌骨))</w:t>
      </w:r>
      <w:r>
        <w:rPr>
          <w:rFonts w:hint="eastAsia" w:ascii="宋体" w:hAnsi="宋体" w:eastAsia="宋体" w:cs="宋体"/>
          <w:i w:val="0"/>
          <w:iCs w:val="0"/>
          <w:caps w:val="0"/>
          <w:color w:val="auto"/>
          <w:spacing w:val="0"/>
          <w:sz w:val="24"/>
          <w:szCs w:val="24"/>
          <w:highlight w:val="none"/>
          <w:shd w:val="clear" w:fill="FFFFFF"/>
        </w:rPr>
        <w:t>:</w:t>
      </w:r>
    </w:p>
    <w:p w14:paraId="2D2224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4920000.00</w:t>
      </w:r>
      <w:r>
        <w:rPr>
          <w:rFonts w:hint="eastAsia" w:ascii="宋体" w:hAnsi="宋体" w:eastAsia="宋体" w:cs="宋体"/>
          <w:i w:val="0"/>
          <w:iCs w:val="0"/>
          <w:caps w:val="0"/>
          <w:color w:val="auto"/>
          <w:spacing w:val="0"/>
          <w:sz w:val="24"/>
          <w:szCs w:val="24"/>
          <w:highlight w:val="none"/>
          <w:shd w:val="clear" w:fill="FFFFFF"/>
        </w:rPr>
        <w:t>元</w:t>
      </w:r>
    </w:p>
    <w:p w14:paraId="54F1485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3600000.00</w:t>
      </w:r>
      <w:r>
        <w:rPr>
          <w:rFonts w:hint="eastAsia" w:ascii="宋体" w:hAnsi="宋体" w:eastAsia="宋体" w:cs="宋体"/>
          <w:i w:val="0"/>
          <w:iCs w:val="0"/>
          <w:caps w:val="0"/>
          <w:color w:val="auto"/>
          <w:spacing w:val="0"/>
          <w:sz w:val="24"/>
          <w:szCs w:val="24"/>
          <w:highlight w:val="none"/>
          <w:shd w:val="clear" w:fill="FFFFFF"/>
        </w:rPr>
        <w:t>元</w:t>
      </w:r>
    </w:p>
    <w:tbl>
      <w:tblPr>
        <w:tblStyle w:val="20"/>
        <w:tblW w:w="89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8"/>
        <w:gridCol w:w="1477"/>
        <w:gridCol w:w="1600"/>
        <w:gridCol w:w="1418"/>
        <w:gridCol w:w="1638"/>
        <w:gridCol w:w="1726"/>
      </w:tblGrid>
      <w:tr w14:paraId="464D5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7" w:hRule="atLeast"/>
          <w:jc w:val="center"/>
        </w:trPr>
        <w:tc>
          <w:tcPr>
            <w:tcW w:w="1078" w:type="dxa"/>
            <w:vAlign w:val="center"/>
          </w:tcPr>
          <w:p w14:paraId="41D46CD1">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477" w:type="dxa"/>
            <w:vAlign w:val="center"/>
          </w:tcPr>
          <w:p w14:paraId="6C644C92">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1600" w:type="dxa"/>
            <w:vAlign w:val="center"/>
          </w:tcPr>
          <w:p w14:paraId="587B78FE">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1418" w:type="dxa"/>
            <w:vAlign w:val="center"/>
          </w:tcPr>
          <w:p w14:paraId="6330328E">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数量（单位）</w:t>
            </w:r>
          </w:p>
        </w:tc>
        <w:tc>
          <w:tcPr>
            <w:tcW w:w="1638" w:type="dxa"/>
            <w:vAlign w:val="center"/>
          </w:tcPr>
          <w:p w14:paraId="41C2BABA">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1726" w:type="dxa"/>
            <w:vAlign w:val="center"/>
          </w:tcPr>
          <w:p w14:paraId="2E097FF9">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r>
      <w:tr w14:paraId="3895D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jc w:val="center"/>
        </w:trPr>
        <w:tc>
          <w:tcPr>
            <w:tcW w:w="1078" w:type="dxa"/>
            <w:vAlign w:val="center"/>
          </w:tcPr>
          <w:p w14:paraId="42417CB6">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p>
        </w:tc>
        <w:tc>
          <w:tcPr>
            <w:tcW w:w="1477" w:type="dxa"/>
            <w:vAlign w:val="center"/>
          </w:tcPr>
          <w:p w14:paraId="3C990CDC">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医用超声波仪器及设备</w:t>
            </w:r>
          </w:p>
        </w:tc>
        <w:tc>
          <w:tcPr>
            <w:tcW w:w="1600" w:type="dxa"/>
            <w:vAlign w:val="center"/>
          </w:tcPr>
          <w:p w14:paraId="2D29C9A8">
            <w:pPr>
              <w:pStyle w:val="54"/>
              <w:keepNext w:val="0"/>
              <w:keepLines w:val="0"/>
              <w:kinsoku/>
              <w:overflowPunct/>
              <w:topLinePunct w:val="0"/>
              <w:bidi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宝鸡市第二人民医院超高端彩色</w:t>
            </w:r>
            <w:r>
              <w:rPr>
                <w:rFonts w:hint="eastAsia" w:ascii="宋体" w:hAnsi="宋体" w:eastAsia="宋体" w:cs="宋体"/>
                <w:sz w:val="24"/>
                <w:szCs w:val="24"/>
                <w:highlight w:val="none"/>
                <w:lang w:val="en-US" w:eastAsia="zh-CN"/>
              </w:rPr>
              <w:t>多普勒</w:t>
            </w:r>
            <w:r>
              <w:rPr>
                <w:rFonts w:hint="eastAsia" w:ascii="宋体" w:hAnsi="宋体" w:eastAsia="宋体" w:cs="宋体"/>
                <w:sz w:val="24"/>
                <w:szCs w:val="24"/>
                <w:highlight w:val="none"/>
                <w:lang w:eastAsia="zh-CN"/>
              </w:rPr>
              <w:t>超声诊断仪(偏肌骨)</w:t>
            </w:r>
          </w:p>
        </w:tc>
        <w:tc>
          <w:tcPr>
            <w:tcW w:w="1418" w:type="dxa"/>
            <w:vAlign w:val="center"/>
          </w:tcPr>
          <w:p w14:paraId="19B64BA9">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批</w:t>
            </w:r>
            <w:r>
              <w:rPr>
                <w:rFonts w:hint="eastAsia" w:ascii="宋体" w:hAnsi="宋体" w:eastAsia="宋体" w:cs="宋体"/>
                <w:sz w:val="24"/>
                <w:szCs w:val="24"/>
                <w:highlight w:val="none"/>
              </w:rPr>
              <w:t>)</w:t>
            </w:r>
          </w:p>
        </w:tc>
        <w:tc>
          <w:tcPr>
            <w:tcW w:w="1638" w:type="dxa"/>
            <w:vAlign w:val="center"/>
          </w:tcPr>
          <w:p w14:paraId="345E7394">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1726" w:type="dxa"/>
            <w:vAlign w:val="center"/>
          </w:tcPr>
          <w:p w14:paraId="461C196C">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4920000.00</w:t>
            </w:r>
          </w:p>
        </w:tc>
      </w:tr>
    </w:tbl>
    <w:p w14:paraId="5A5AB86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Lines="10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 本合同包不接受联合体投标</w:t>
      </w:r>
    </w:p>
    <w:p w14:paraId="4A15FBD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 合同履行期限：合同签订后至质保期结束</w:t>
      </w:r>
    </w:p>
    <w:p w14:paraId="55881E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eastAsia="zh-CN"/>
        </w:rPr>
        <w:t>合同包3(超高端彩色多普勒超声诊断仪(全身机-1))</w:t>
      </w:r>
      <w:r>
        <w:rPr>
          <w:rFonts w:hint="eastAsia" w:ascii="宋体" w:hAnsi="宋体" w:eastAsia="宋体" w:cs="宋体"/>
          <w:i w:val="0"/>
          <w:iCs w:val="0"/>
          <w:caps w:val="0"/>
          <w:color w:val="auto"/>
          <w:spacing w:val="0"/>
          <w:sz w:val="24"/>
          <w:szCs w:val="24"/>
          <w:highlight w:val="none"/>
          <w:shd w:val="clear" w:fill="FFFFFF"/>
        </w:rPr>
        <w:t>:</w:t>
      </w:r>
    </w:p>
    <w:p w14:paraId="50A1F1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sz w:val="24"/>
          <w:szCs w:val="24"/>
          <w:highlight w:val="none"/>
        </w:rPr>
        <w:t>2400000</w:t>
      </w:r>
      <w:r>
        <w:rPr>
          <w:rFonts w:hint="eastAsia" w:ascii="宋体" w:hAnsi="宋体" w:eastAsia="宋体" w:cs="宋体"/>
          <w:sz w:val="24"/>
          <w:szCs w:val="24"/>
          <w:highlight w:val="none"/>
          <w:lang w:val="en-US" w:eastAsia="zh-CN"/>
        </w:rPr>
        <w:t>.00</w:t>
      </w:r>
      <w:r>
        <w:rPr>
          <w:rFonts w:hint="eastAsia" w:ascii="宋体" w:hAnsi="宋体" w:eastAsia="宋体" w:cs="宋体"/>
          <w:i w:val="0"/>
          <w:iCs w:val="0"/>
          <w:caps w:val="0"/>
          <w:color w:val="auto"/>
          <w:spacing w:val="0"/>
          <w:sz w:val="24"/>
          <w:szCs w:val="24"/>
          <w:highlight w:val="none"/>
          <w:shd w:val="clear" w:fill="FFFFFF"/>
        </w:rPr>
        <w:t>元</w:t>
      </w:r>
    </w:p>
    <w:p w14:paraId="71B484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1980000.00</w:t>
      </w:r>
      <w:r>
        <w:rPr>
          <w:rFonts w:hint="eastAsia" w:ascii="宋体" w:hAnsi="宋体" w:eastAsia="宋体" w:cs="宋体"/>
          <w:i w:val="0"/>
          <w:iCs w:val="0"/>
          <w:caps w:val="0"/>
          <w:color w:val="auto"/>
          <w:spacing w:val="0"/>
          <w:sz w:val="24"/>
          <w:szCs w:val="24"/>
          <w:highlight w:val="none"/>
          <w:shd w:val="clear" w:fill="FFFFFF"/>
        </w:rPr>
        <w:t>元</w:t>
      </w:r>
    </w:p>
    <w:tbl>
      <w:tblPr>
        <w:tblStyle w:val="20"/>
        <w:tblW w:w="89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8"/>
        <w:gridCol w:w="1477"/>
        <w:gridCol w:w="1600"/>
        <w:gridCol w:w="1418"/>
        <w:gridCol w:w="1801"/>
        <w:gridCol w:w="1563"/>
      </w:tblGrid>
      <w:tr w14:paraId="0E2D5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7" w:hRule="atLeast"/>
          <w:jc w:val="center"/>
        </w:trPr>
        <w:tc>
          <w:tcPr>
            <w:tcW w:w="1078" w:type="dxa"/>
            <w:vAlign w:val="center"/>
          </w:tcPr>
          <w:p w14:paraId="4AC219FC">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477" w:type="dxa"/>
            <w:vAlign w:val="center"/>
          </w:tcPr>
          <w:p w14:paraId="2C170290">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1600" w:type="dxa"/>
            <w:vAlign w:val="center"/>
          </w:tcPr>
          <w:p w14:paraId="5E60F175">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1418" w:type="dxa"/>
            <w:vAlign w:val="center"/>
          </w:tcPr>
          <w:p w14:paraId="32806CE1">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数量（单位）</w:t>
            </w:r>
          </w:p>
        </w:tc>
        <w:tc>
          <w:tcPr>
            <w:tcW w:w="1801" w:type="dxa"/>
            <w:vAlign w:val="center"/>
          </w:tcPr>
          <w:p w14:paraId="65879C6C">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1563" w:type="dxa"/>
            <w:vAlign w:val="center"/>
          </w:tcPr>
          <w:p w14:paraId="69229F98">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r>
      <w:tr w14:paraId="777F5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jc w:val="center"/>
        </w:trPr>
        <w:tc>
          <w:tcPr>
            <w:tcW w:w="1078" w:type="dxa"/>
            <w:vAlign w:val="center"/>
          </w:tcPr>
          <w:p w14:paraId="10E957B9">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p>
        </w:tc>
        <w:tc>
          <w:tcPr>
            <w:tcW w:w="1477" w:type="dxa"/>
            <w:vAlign w:val="center"/>
          </w:tcPr>
          <w:p w14:paraId="081C6AF2">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医用超声波仪器及设备</w:t>
            </w:r>
          </w:p>
        </w:tc>
        <w:tc>
          <w:tcPr>
            <w:tcW w:w="1600" w:type="dxa"/>
            <w:vAlign w:val="center"/>
          </w:tcPr>
          <w:p w14:paraId="66C90643">
            <w:pPr>
              <w:pStyle w:val="54"/>
              <w:keepNext w:val="0"/>
              <w:keepLines w:val="0"/>
              <w:kinsoku/>
              <w:overflowPunct/>
              <w:topLinePunct w:val="0"/>
              <w:bidi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宝鸡市第二人民医院超高端彩色多普勒超声诊断仪(全</w:t>
            </w:r>
            <w:r>
              <w:rPr>
                <w:rFonts w:hint="eastAsia" w:ascii="宋体" w:hAnsi="宋体" w:eastAsia="宋体" w:cs="宋体"/>
                <w:sz w:val="24"/>
                <w:szCs w:val="24"/>
                <w:highlight w:val="none"/>
                <w:lang w:val="en-US" w:eastAsia="zh-CN"/>
              </w:rPr>
              <w:t>身</w:t>
            </w:r>
            <w:r>
              <w:rPr>
                <w:rFonts w:hint="eastAsia" w:ascii="宋体" w:hAnsi="宋体" w:eastAsia="宋体" w:cs="宋体"/>
                <w:sz w:val="24"/>
                <w:szCs w:val="24"/>
                <w:highlight w:val="none"/>
                <w:lang w:eastAsia="zh-CN"/>
              </w:rPr>
              <w:t>机-1)</w:t>
            </w:r>
          </w:p>
        </w:tc>
        <w:tc>
          <w:tcPr>
            <w:tcW w:w="1418" w:type="dxa"/>
            <w:vAlign w:val="center"/>
          </w:tcPr>
          <w:p w14:paraId="223DC930">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批</w:t>
            </w:r>
            <w:r>
              <w:rPr>
                <w:rFonts w:hint="eastAsia" w:ascii="宋体" w:hAnsi="宋体" w:eastAsia="宋体" w:cs="宋体"/>
                <w:sz w:val="24"/>
                <w:szCs w:val="24"/>
                <w:highlight w:val="none"/>
              </w:rPr>
              <w:t>)</w:t>
            </w:r>
          </w:p>
        </w:tc>
        <w:tc>
          <w:tcPr>
            <w:tcW w:w="1801" w:type="dxa"/>
            <w:vAlign w:val="center"/>
          </w:tcPr>
          <w:p w14:paraId="27E8CCE7">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1563" w:type="dxa"/>
            <w:vAlign w:val="center"/>
          </w:tcPr>
          <w:p w14:paraId="0F4D7B46">
            <w:pPr>
              <w:pStyle w:val="54"/>
              <w:keepNext w:val="0"/>
              <w:keepLines w:val="0"/>
              <w:kinsoku/>
              <w:overflowPunct/>
              <w:topLinePunct w:val="0"/>
              <w:bidi w:val="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2400000</w:t>
            </w:r>
            <w:r>
              <w:rPr>
                <w:rFonts w:hint="eastAsia" w:ascii="宋体" w:hAnsi="宋体" w:eastAsia="宋体" w:cs="宋体"/>
                <w:sz w:val="24"/>
                <w:szCs w:val="24"/>
                <w:highlight w:val="none"/>
                <w:lang w:val="en-US" w:eastAsia="zh-CN"/>
              </w:rPr>
              <w:t>.00</w:t>
            </w:r>
          </w:p>
        </w:tc>
      </w:tr>
    </w:tbl>
    <w:p w14:paraId="52E42F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Lines="10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 本合同包不接受联合体投标</w:t>
      </w:r>
    </w:p>
    <w:p w14:paraId="03E344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 合同履行期限：合同签订后至质保期结束</w:t>
      </w:r>
    </w:p>
    <w:p w14:paraId="65BA82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eastAsia="zh-CN"/>
        </w:rPr>
        <w:t>合同包4(超高端彩色多普勒超声诊断仪(全身机-2))</w:t>
      </w:r>
      <w:r>
        <w:rPr>
          <w:rFonts w:hint="eastAsia" w:ascii="宋体" w:hAnsi="宋体" w:eastAsia="宋体" w:cs="宋体"/>
          <w:i w:val="0"/>
          <w:iCs w:val="0"/>
          <w:caps w:val="0"/>
          <w:color w:val="auto"/>
          <w:spacing w:val="0"/>
          <w:sz w:val="24"/>
          <w:szCs w:val="24"/>
          <w:highlight w:val="none"/>
          <w:shd w:val="clear" w:fill="FFFFFF"/>
        </w:rPr>
        <w:t>:</w:t>
      </w:r>
    </w:p>
    <w:p w14:paraId="004095C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sz w:val="24"/>
          <w:szCs w:val="24"/>
          <w:highlight w:val="none"/>
        </w:rPr>
        <w:t>2400000</w:t>
      </w:r>
      <w:r>
        <w:rPr>
          <w:rFonts w:hint="eastAsia" w:ascii="宋体" w:hAnsi="宋体" w:eastAsia="宋体" w:cs="宋体"/>
          <w:sz w:val="24"/>
          <w:szCs w:val="24"/>
          <w:highlight w:val="none"/>
          <w:lang w:val="en-US" w:eastAsia="zh-CN"/>
        </w:rPr>
        <w:t>.00</w:t>
      </w:r>
      <w:r>
        <w:rPr>
          <w:rFonts w:hint="eastAsia" w:ascii="宋体" w:hAnsi="宋体" w:eastAsia="宋体" w:cs="宋体"/>
          <w:i w:val="0"/>
          <w:iCs w:val="0"/>
          <w:caps w:val="0"/>
          <w:color w:val="auto"/>
          <w:spacing w:val="0"/>
          <w:sz w:val="24"/>
          <w:szCs w:val="24"/>
          <w:highlight w:val="none"/>
          <w:shd w:val="clear" w:fill="FFFFFF"/>
        </w:rPr>
        <w:t>元</w:t>
      </w:r>
    </w:p>
    <w:p w14:paraId="41C60B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1980000.00</w:t>
      </w:r>
      <w:r>
        <w:rPr>
          <w:rFonts w:hint="eastAsia" w:ascii="宋体" w:hAnsi="宋体" w:eastAsia="宋体" w:cs="宋体"/>
          <w:i w:val="0"/>
          <w:iCs w:val="0"/>
          <w:caps w:val="0"/>
          <w:color w:val="auto"/>
          <w:spacing w:val="0"/>
          <w:sz w:val="24"/>
          <w:szCs w:val="24"/>
          <w:highlight w:val="none"/>
          <w:shd w:val="clear" w:fill="FFFFFF"/>
        </w:rPr>
        <w:t>元</w:t>
      </w:r>
    </w:p>
    <w:tbl>
      <w:tblPr>
        <w:tblStyle w:val="20"/>
        <w:tblW w:w="89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8"/>
        <w:gridCol w:w="1477"/>
        <w:gridCol w:w="1600"/>
        <w:gridCol w:w="1418"/>
        <w:gridCol w:w="1801"/>
        <w:gridCol w:w="1563"/>
      </w:tblGrid>
      <w:tr w14:paraId="74E64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7" w:hRule="atLeast"/>
          <w:jc w:val="center"/>
        </w:trPr>
        <w:tc>
          <w:tcPr>
            <w:tcW w:w="1078" w:type="dxa"/>
            <w:vAlign w:val="center"/>
          </w:tcPr>
          <w:p w14:paraId="2154E3CC">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477" w:type="dxa"/>
            <w:vAlign w:val="center"/>
          </w:tcPr>
          <w:p w14:paraId="3B7ED50F">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1600" w:type="dxa"/>
            <w:vAlign w:val="center"/>
          </w:tcPr>
          <w:p w14:paraId="0EE538AE">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1418" w:type="dxa"/>
            <w:vAlign w:val="center"/>
          </w:tcPr>
          <w:p w14:paraId="05A55183">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数量（单位）</w:t>
            </w:r>
          </w:p>
        </w:tc>
        <w:tc>
          <w:tcPr>
            <w:tcW w:w="1801" w:type="dxa"/>
            <w:vAlign w:val="center"/>
          </w:tcPr>
          <w:p w14:paraId="742D5046">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1563" w:type="dxa"/>
            <w:vAlign w:val="center"/>
          </w:tcPr>
          <w:p w14:paraId="678BAB96">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r>
      <w:tr w14:paraId="7CCFF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jc w:val="center"/>
        </w:trPr>
        <w:tc>
          <w:tcPr>
            <w:tcW w:w="1078" w:type="dxa"/>
            <w:vAlign w:val="center"/>
          </w:tcPr>
          <w:p w14:paraId="20597F5B">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p>
        </w:tc>
        <w:tc>
          <w:tcPr>
            <w:tcW w:w="1477" w:type="dxa"/>
            <w:vAlign w:val="center"/>
          </w:tcPr>
          <w:p w14:paraId="348FB5F8">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医用超声波仪器及设备</w:t>
            </w:r>
          </w:p>
        </w:tc>
        <w:tc>
          <w:tcPr>
            <w:tcW w:w="1600" w:type="dxa"/>
            <w:vAlign w:val="center"/>
          </w:tcPr>
          <w:p w14:paraId="314E80EA">
            <w:pPr>
              <w:pStyle w:val="54"/>
              <w:keepNext w:val="0"/>
              <w:keepLines w:val="0"/>
              <w:kinsoku/>
              <w:overflowPunct/>
              <w:topLinePunct w:val="0"/>
              <w:bidi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宝鸡市第二人民医院超高端彩色多普勒超声诊断仪(全</w:t>
            </w:r>
            <w:r>
              <w:rPr>
                <w:rFonts w:hint="eastAsia" w:ascii="宋体" w:hAnsi="宋体" w:eastAsia="宋体" w:cs="宋体"/>
                <w:sz w:val="24"/>
                <w:szCs w:val="24"/>
                <w:highlight w:val="none"/>
                <w:lang w:val="en-US" w:eastAsia="zh-CN"/>
              </w:rPr>
              <w:t>身</w:t>
            </w:r>
            <w:r>
              <w:rPr>
                <w:rFonts w:hint="eastAsia" w:ascii="宋体" w:hAnsi="宋体" w:eastAsia="宋体" w:cs="宋体"/>
                <w:sz w:val="24"/>
                <w:szCs w:val="24"/>
                <w:highlight w:val="none"/>
                <w:lang w:eastAsia="zh-CN"/>
              </w:rPr>
              <w:t>机-</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p>
        </w:tc>
        <w:tc>
          <w:tcPr>
            <w:tcW w:w="1418" w:type="dxa"/>
            <w:vAlign w:val="center"/>
          </w:tcPr>
          <w:p w14:paraId="0EE4A4F9">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批</w:t>
            </w:r>
            <w:r>
              <w:rPr>
                <w:rFonts w:hint="eastAsia" w:ascii="宋体" w:hAnsi="宋体" w:eastAsia="宋体" w:cs="宋体"/>
                <w:sz w:val="24"/>
                <w:szCs w:val="24"/>
                <w:highlight w:val="none"/>
              </w:rPr>
              <w:t>)</w:t>
            </w:r>
          </w:p>
        </w:tc>
        <w:tc>
          <w:tcPr>
            <w:tcW w:w="1801" w:type="dxa"/>
            <w:vAlign w:val="center"/>
          </w:tcPr>
          <w:p w14:paraId="208FCDE9">
            <w:pPr>
              <w:pStyle w:val="54"/>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1563" w:type="dxa"/>
            <w:vAlign w:val="center"/>
          </w:tcPr>
          <w:p w14:paraId="39DA2D93">
            <w:pPr>
              <w:pStyle w:val="54"/>
              <w:keepNext w:val="0"/>
              <w:keepLines w:val="0"/>
              <w:kinsoku/>
              <w:overflowPunct/>
              <w:topLinePunct w:val="0"/>
              <w:bidi w:val="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2400000</w:t>
            </w:r>
            <w:r>
              <w:rPr>
                <w:rFonts w:hint="eastAsia" w:ascii="宋体" w:hAnsi="宋体" w:eastAsia="宋体" w:cs="宋体"/>
                <w:sz w:val="24"/>
                <w:szCs w:val="24"/>
                <w:highlight w:val="none"/>
                <w:lang w:val="en-US" w:eastAsia="zh-CN"/>
              </w:rPr>
              <w:t>.00</w:t>
            </w:r>
          </w:p>
        </w:tc>
      </w:tr>
    </w:tbl>
    <w:p w14:paraId="4586F1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Lines="10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 本合同包不接受联合体投标</w:t>
      </w:r>
    </w:p>
    <w:p w14:paraId="665C4C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 合同履行期限：合同签订后至质保期结束</w:t>
      </w:r>
    </w:p>
    <w:p w14:paraId="258878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二、申请人的资格要求：</w:t>
      </w:r>
    </w:p>
    <w:p w14:paraId="7771EAD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14:paraId="0606405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14:paraId="3B0301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eastAsia="zh-CN"/>
        </w:rPr>
        <w:t>合同包1(超高端心血管及超高端便携彩色多普勒超声诊断仪)</w:t>
      </w:r>
      <w:r>
        <w:rPr>
          <w:rFonts w:hint="eastAsia" w:ascii="宋体" w:hAnsi="宋体" w:eastAsia="宋体" w:cs="宋体"/>
          <w:i w:val="0"/>
          <w:iCs w:val="0"/>
          <w:caps w:val="0"/>
          <w:color w:val="auto"/>
          <w:spacing w:val="0"/>
          <w:sz w:val="24"/>
          <w:szCs w:val="24"/>
          <w:highlight w:val="none"/>
          <w:shd w:val="clear" w:fill="FFFFFF"/>
        </w:rPr>
        <w:t>落实政府采购政策需满足的资格要求如下:</w:t>
      </w:r>
    </w:p>
    <w:p w14:paraId="6BD7DA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国务院办公厅关于建立政府强制采购节能产品制度的通知》（国办发〔2007〕51号）；（2）关于印发《政府采购促进中小企业发展管理办法》的通知（财库〔2020〕46号）；（3）《财政部司法部关于政府采购支持监狱企业发展有关问题的通知》（财库〔2014〕68号）；（4）《三部门联合发布关于促进残疾人就业政府采购政策的通知》（财库〔2017〕141号）；（5）《财政部发展改革委生态环境部市场监管总局关于调整优化节能产品、环境标志产品政府采购执行机制的通知》（财库〔2019〕9号）；（6）《陕西省中小企业政府采购信用融资办法》（陕财办采〔2018〕23号）；（7）《关于运用政府采购政策支持乡村产业振兴的通知》（财库〔2021〕19号）；（8）《关于印发环境标志产品政府采购品目清单的通知》(财库〔2019〕18号)；（9）《关于印发节能产品政府采购品目清单的通知》（财库〔2019〕19号）；（10）《陕西省财政厅关于加快推进我省中小企业政府采购信用融资工作的通知》（陕财办采〔2020〕15号）；（11）财政部关于进一步加大政府采购支持中小企业力度的通知（财库〔2022〕19号）；（12）《国务院办公厅关于在政府采购中实施本国产品标准及相关政策的通知》（国办发〔2025〕34 号）；（13）其他需要落实的最新政府采购政策；（14）本项目非专门面向中小企业。</w:t>
      </w:r>
    </w:p>
    <w:p w14:paraId="02536F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合同包2(超高端彩色多普勒超声诊断仪(偏肌骨))</w:t>
      </w:r>
      <w:r>
        <w:rPr>
          <w:rFonts w:hint="eastAsia" w:ascii="宋体" w:hAnsi="宋体" w:eastAsia="宋体" w:cs="宋体"/>
          <w:i w:val="0"/>
          <w:iCs w:val="0"/>
          <w:caps w:val="0"/>
          <w:color w:val="auto"/>
          <w:spacing w:val="0"/>
          <w:sz w:val="24"/>
          <w:szCs w:val="24"/>
          <w:highlight w:val="none"/>
          <w:shd w:val="clear" w:fill="FFFFFF"/>
        </w:rPr>
        <w:t>落实政府采购政策需满足的资格要求如下:</w:t>
      </w:r>
    </w:p>
    <w:p w14:paraId="45073B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同合同包1</w:t>
      </w:r>
      <w:r>
        <w:rPr>
          <w:rFonts w:hint="eastAsia" w:ascii="宋体" w:hAnsi="宋体" w:eastAsia="宋体" w:cs="宋体"/>
          <w:i w:val="0"/>
          <w:iCs w:val="0"/>
          <w:caps w:val="0"/>
          <w:color w:val="auto"/>
          <w:spacing w:val="0"/>
          <w:sz w:val="24"/>
          <w:szCs w:val="24"/>
          <w:highlight w:val="none"/>
          <w:shd w:val="clear" w:fill="FFFFFF"/>
        </w:rPr>
        <w:t>落实政府采购政策需满足的资格要求</w:t>
      </w:r>
    </w:p>
    <w:p w14:paraId="53B456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合同包3(超高端彩色多普勒超声诊断仪(全身机-1))</w:t>
      </w:r>
      <w:r>
        <w:rPr>
          <w:rFonts w:hint="eastAsia" w:ascii="宋体" w:hAnsi="宋体" w:eastAsia="宋体" w:cs="宋体"/>
          <w:i w:val="0"/>
          <w:iCs w:val="0"/>
          <w:caps w:val="0"/>
          <w:color w:val="auto"/>
          <w:spacing w:val="0"/>
          <w:sz w:val="24"/>
          <w:szCs w:val="24"/>
          <w:highlight w:val="none"/>
          <w:shd w:val="clear" w:fill="FFFFFF"/>
        </w:rPr>
        <w:t>落实政府采购政策需满足的资格要求如下:</w:t>
      </w:r>
    </w:p>
    <w:p w14:paraId="40310D0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同合同包1</w:t>
      </w:r>
      <w:r>
        <w:rPr>
          <w:rFonts w:hint="eastAsia" w:ascii="宋体" w:hAnsi="宋体" w:eastAsia="宋体" w:cs="宋体"/>
          <w:i w:val="0"/>
          <w:iCs w:val="0"/>
          <w:caps w:val="0"/>
          <w:color w:val="auto"/>
          <w:spacing w:val="0"/>
          <w:sz w:val="24"/>
          <w:szCs w:val="24"/>
          <w:highlight w:val="none"/>
          <w:shd w:val="clear" w:fill="FFFFFF"/>
        </w:rPr>
        <w:t>落实政府采购政策需满足的资格要求</w:t>
      </w:r>
    </w:p>
    <w:p w14:paraId="3E0A794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合同包4(超高端彩色多普勒超声诊断仪(全身机-2))</w:t>
      </w:r>
      <w:r>
        <w:rPr>
          <w:rFonts w:hint="eastAsia" w:ascii="宋体" w:hAnsi="宋体" w:eastAsia="宋体" w:cs="宋体"/>
          <w:i w:val="0"/>
          <w:iCs w:val="0"/>
          <w:caps w:val="0"/>
          <w:color w:val="auto"/>
          <w:spacing w:val="0"/>
          <w:sz w:val="24"/>
          <w:szCs w:val="24"/>
          <w:highlight w:val="none"/>
          <w:shd w:val="clear" w:fill="FFFFFF"/>
        </w:rPr>
        <w:t>落实政府采购政策需满足的资格要求如下:</w:t>
      </w:r>
    </w:p>
    <w:p w14:paraId="7D94149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同合同包1</w:t>
      </w:r>
      <w:r>
        <w:rPr>
          <w:rFonts w:hint="eastAsia" w:ascii="宋体" w:hAnsi="宋体" w:eastAsia="宋体" w:cs="宋体"/>
          <w:i w:val="0"/>
          <w:iCs w:val="0"/>
          <w:caps w:val="0"/>
          <w:color w:val="auto"/>
          <w:spacing w:val="0"/>
          <w:sz w:val="24"/>
          <w:szCs w:val="24"/>
          <w:highlight w:val="none"/>
          <w:shd w:val="clear" w:fill="FFFFFF"/>
        </w:rPr>
        <w:t>落实政府采购政策需满足的资格要求</w:t>
      </w:r>
    </w:p>
    <w:p w14:paraId="7C4574C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14:paraId="6E8A13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合同包1(超高端心血管及超高端便携彩色多普勒超声诊断仪)</w:t>
      </w:r>
      <w:r>
        <w:rPr>
          <w:rFonts w:hint="eastAsia" w:ascii="宋体" w:hAnsi="宋体" w:eastAsia="宋体" w:cs="宋体"/>
          <w:i w:val="0"/>
          <w:iCs w:val="0"/>
          <w:caps w:val="0"/>
          <w:color w:val="auto"/>
          <w:spacing w:val="0"/>
          <w:sz w:val="24"/>
          <w:szCs w:val="24"/>
          <w:highlight w:val="none"/>
          <w:shd w:val="clear" w:fill="FFFFFF"/>
        </w:rPr>
        <w:t>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7010A34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投标人具有独立承担民事责任的能力（包括企业法人、事业法人、其他组织或自然人，企业法人应提供具有统一社会信用代码的营业执照等证明文件；事业法人应提供事业单位法人证等证明文件；其他组织应提供合法证明文件；自然人提供身份证明文件）；</w:t>
      </w:r>
    </w:p>
    <w:p w14:paraId="68DC70E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投标人应授权合法的人员参加投标全过程，其中法定代表人直接参加投标的，须出具法定代表人身份证明，并与营业执照上信息一致；法定代表人授权代表参加投标的，须出具法定代表人授权书（附法定代表人、被授权代表身份证复印件）</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授权代表本单位证明（投标截止前三个月的养老保险缴纳证明或劳动合同）；</w:t>
      </w:r>
    </w:p>
    <w:p w14:paraId="2E29C68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（3）投标人为经销商的应具有《医疗器械经营许可证》或《经营备案凭证》（投标产品须在其经营范围内）</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并提供</w:t>
      </w:r>
      <w:r>
        <w:rPr>
          <w:rFonts w:hint="eastAsia" w:ascii="宋体" w:hAnsi="宋体" w:eastAsia="宋体" w:cs="宋体"/>
          <w:i w:val="0"/>
          <w:iCs w:val="0"/>
          <w:caps w:val="0"/>
          <w:color w:val="auto"/>
          <w:spacing w:val="0"/>
          <w:sz w:val="24"/>
          <w:szCs w:val="24"/>
          <w:highlight w:val="none"/>
          <w:shd w:val="clear" w:fill="FFFFFF"/>
        </w:rPr>
        <w:t>制造厂家《医疗器械生产许可证》（投标产品须在其生产范围内）；投标人为制造厂家应具有《医疗器械生产许可证》（投标产品须在其生产范围内），具有《医疗器械经营许可证》或《经营备案凭证》（投标产品须在其经营范围内）；</w:t>
      </w:r>
      <w:r>
        <w:rPr>
          <w:rFonts w:hint="eastAsia" w:ascii="宋体" w:hAnsi="宋体" w:eastAsia="宋体" w:cs="宋体"/>
          <w:i w:val="0"/>
          <w:iCs w:val="0"/>
          <w:caps w:val="0"/>
          <w:color w:val="auto"/>
          <w:spacing w:val="0"/>
          <w:sz w:val="24"/>
          <w:szCs w:val="24"/>
          <w:highlight w:val="none"/>
          <w:shd w:val="clear" w:fill="FFFFFF"/>
          <w:lang w:val="en-US" w:eastAsia="zh-CN"/>
        </w:rPr>
        <w:t>注：进口产品无须提供</w:t>
      </w:r>
      <w:r>
        <w:rPr>
          <w:rFonts w:hint="eastAsia" w:ascii="宋体" w:hAnsi="宋体" w:eastAsia="宋体" w:cs="宋体"/>
          <w:i w:val="0"/>
          <w:iCs w:val="0"/>
          <w:caps w:val="0"/>
          <w:color w:val="auto"/>
          <w:spacing w:val="0"/>
          <w:sz w:val="24"/>
          <w:szCs w:val="24"/>
          <w:highlight w:val="none"/>
          <w:shd w:val="clear" w:fill="FFFFFF"/>
        </w:rPr>
        <w:t>《医疗器械生产许可证》</w:t>
      </w:r>
      <w:r>
        <w:rPr>
          <w:rFonts w:hint="eastAsia" w:ascii="宋体" w:hAnsi="宋体" w:eastAsia="宋体" w:cs="宋体"/>
          <w:i w:val="0"/>
          <w:iCs w:val="0"/>
          <w:caps w:val="0"/>
          <w:color w:val="auto"/>
          <w:spacing w:val="0"/>
          <w:sz w:val="24"/>
          <w:szCs w:val="24"/>
          <w:highlight w:val="none"/>
          <w:shd w:val="clear" w:fill="FFFFFF"/>
          <w:lang w:eastAsia="zh-CN"/>
        </w:rPr>
        <w:t>。</w:t>
      </w:r>
    </w:p>
    <w:p w14:paraId="1A5086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lang w:eastAsia="zh-CN"/>
        </w:rPr>
        <w:t>）投标产品属于医疗器械管理范围的须提供医疗器械注册证；</w:t>
      </w:r>
    </w:p>
    <w:p w14:paraId="003A85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lang w:eastAsia="zh-CN"/>
        </w:rPr>
        <w:t>）投标产品属于进口产品须提供制造商授权书及相应的完整授权链；</w:t>
      </w:r>
    </w:p>
    <w:p w14:paraId="7C4FBA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投标人须提供2024年度具有财务审计资质的单位出具的完整财务报告或银行出具的资信证明；成立时间至提交投标文件截止时间不足一年的可提供成立至今财务报表或具有财务审计资质的单位出具的财务报告（至少包括资产负债表和利润表），或提供投标截止时间前其基本开户银行出具的资信证明（附开户许可证或开户备案证明）</w:t>
      </w:r>
      <w:r>
        <w:rPr>
          <w:rFonts w:hint="eastAsia" w:ascii="宋体" w:hAnsi="宋体" w:eastAsia="宋体" w:cs="宋体"/>
          <w:i w:val="0"/>
          <w:iCs w:val="0"/>
          <w:caps w:val="0"/>
          <w:color w:val="auto"/>
          <w:spacing w:val="0"/>
          <w:sz w:val="24"/>
          <w:szCs w:val="24"/>
          <w:highlight w:val="none"/>
          <w:shd w:val="clear" w:fill="FFFFFF"/>
        </w:rPr>
        <w:t>；</w:t>
      </w:r>
    </w:p>
    <w:p w14:paraId="6C3056D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）投标人须提供</w:t>
      </w:r>
      <w:r>
        <w:rPr>
          <w:rFonts w:hint="eastAsia" w:ascii="宋体" w:hAnsi="宋体" w:eastAsia="宋体" w:cs="宋体"/>
          <w:i w:val="0"/>
          <w:iCs w:val="0"/>
          <w:caps w:val="0"/>
          <w:color w:val="auto"/>
          <w:spacing w:val="0"/>
          <w:sz w:val="24"/>
          <w:szCs w:val="24"/>
          <w:highlight w:val="none"/>
          <w:shd w:val="clear" w:fill="FFFFFF"/>
          <w:lang w:eastAsia="zh-CN"/>
        </w:rPr>
        <w:t>投标文件递交截止日前</w:t>
      </w:r>
      <w:r>
        <w:rPr>
          <w:rFonts w:hint="eastAsia" w:ascii="宋体" w:hAnsi="宋体" w:eastAsia="宋体" w:cs="宋体"/>
          <w:i w:val="0"/>
          <w:iCs w:val="0"/>
          <w:caps w:val="0"/>
          <w:color w:val="auto"/>
          <w:spacing w:val="0"/>
          <w:sz w:val="24"/>
          <w:szCs w:val="24"/>
          <w:highlight w:val="none"/>
          <w:shd w:val="clear" w:fill="FFFFFF"/>
          <w:lang w:val="en-US" w:eastAsia="zh-CN"/>
        </w:rPr>
        <w:t>六</w:t>
      </w:r>
      <w:r>
        <w:rPr>
          <w:rFonts w:hint="eastAsia" w:ascii="宋体" w:hAnsi="宋体" w:eastAsia="宋体" w:cs="宋体"/>
          <w:i w:val="0"/>
          <w:iCs w:val="0"/>
          <w:caps w:val="0"/>
          <w:color w:val="auto"/>
          <w:spacing w:val="0"/>
          <w:sz w:val="24"/>
          <w:szCs w:val="24"/>
          <w:highlight w:val="none"/>
          <w:shd w:val="clear" w:fill="FFFFFF"/>
        </w:rPr>
        <w:t>个月</w:t>
      </w:r>
      <w:r>
        <w:rPr>
          <w:rFonts w:hint="eastAsia" w:ascii="宋体" w:hAnsi="宋体" w:eastAsia="宋体" w:cs="宋体"/>
          <w:i w:val="0"/>
          <w:iCs w:val="0"/>
          <w:caps w:val="0"/>
          <w:color w:val="auto"/>
          <w:spacing w:val="0"/>
          <w:sz w:val="24"/>
          <w:szCs w:val="24"/>
          <w:highlight w:val="none"/>
          <w:shd w:val="clear" w:fill="FFFFFF"/>
          <w:lang w:eastAsia="zh-CN"/>
        </w:rPr>
        <w:t>内</w:t>
      </w:r>
      <w:r>
        <w:rPr>
          <w:rFonts w:hint="eastAsia" w:ascii="宋体" w:hAnsi="宋体" w:eastAsia="宋体" w:cs="宋体"/>
          <w:i w:val="0"/>
          <w:iCs w:val="0"/>
          <w:caps w:val="0"/>
          <w:color w:val="auto"/>
          <w:spacing w:val="0"/>
          <w:sz w:val="24"/>
          <w:szCs w:val="24"/>
          <w:highlight w:val="none"/>
          <w:shd w:val="clear" w:fill="FFFFFF"/>
        </w:rPr>
        <w:t>已缴存的</w:t>
      </w:r>
      <w:r>
        <w:rPr>
          <w:rFonts w:hint="eastAsia" w:ascii="宋体" w:hAnsi="宋体" w:eastAsia="宋体" w:cs="宋体"/>
          <w:i w:val="0"/>
          <w:iCs w:val="0"/>
          <w:caps w:val="0"/>
          <w:color w:val="auto"/>
          <w:spacing w:val="0"/>
          <w:sz w:val="24"/>
          <w:szCs w:val="24"/>
          <w:highlight w:val="none"/>
          <w:shd w:val="clear" w:fill="FFFFFF"/>
          <w:lang w:val="en-US" w:eastAsia="zh-CN"/>
        </w:rPr>
        <w:t>至少一个月</w:t>
      </w:r>
      <w:r>
        <w:rPr>
          <w:rFonts w:hint="eastAsia" w:ascii="宋体" w:hAnsi="宋体" w:eastAsia="宋体" w:cs="宋体"/>
          <w:i w:val="0"/>
          <w:iCs w:val="0"/>
          <w:caps w:val="0"/>
          <w:color w:val="auto"/>
          <w:spacing w:val="0"/>
          <w:sz w:val="24"/>
          <w:szCs w:val="24"/>
          <w:highlight w:val="none"/>
          <w:shd w:val="clear" w:fill="FFFFFF"/>
        </w:rPr>
        <w:t>的纳税证明或完税证明，依法免税的单位应提供相关证明材料；</w:t>
      </w:r>
    </w:p>
    <w:p w14:paraId="2320E6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）投标人须提供</w:t>
      </w:r>
      <w:r>
        <w:rPr>
          <w:rFonts w:hint="eastAsia" w:ascii="宋体" w:hAnsi="宋体" w:eastAsia="宋体" w:cs="宋体"/>
          <w:i w:val="0"/>
          <w:iCs w:val="0"/>
          <w:caps w:val="0"/>
          <w:color w:val="auto"/>
          <w:spacing w:val="0"/>
          <w:sz w:val="24"/>
          <w:szCs w:val="24"/>
          <w:highlight w:val="none"/>
          <w:shd w:val="clear" w:fill="FFFFFF"/>
          <w:lang w:eastAsia="zh-CN"/>
        </w:rPr>
        <w:t>投标文件递交截止日前</w:t>
      </w:r>
      <w:r>
        <w:rPr>
          <w:rFonts w:hint="eastAsia" w:ascii="宋体" w:hAnsi="宋体" w:eastAsia="宋体" w:cs="宋体"/>
          <w:i w:val="0"/>
          <w:iCs w:val="0"/>
          <w:caps w:val="0"/>
          <w:color w:val="auto"/>
          <w:spacing w:val="0"/>
          <w:sz w:val="24"/>
          <w:szCs w:val="24"/>
          <w:highlight w:val="none"/>
          <w:shd w:val="clear" w:fill="FFFFFF"/>
          <w:lang w:val="en-US" w:eastAsia="zh-CN"/>
        </w:rPr>
        <w:t>六</w:t>
      </w:r>
      <w:r>
        <w:rPr>
          <w:rFonts w:hint="eastAsia" w:ascii="宋体" w:hAnsi="宋体" w:eastAsia="宋体" w:cs="宋体"/>
          <w:i w:val="0"/>
          <w:iCs w:val="0"/>
          <w:caps w:val="0"/>
          <w:color w:val="auto"/>
          <w:spacing w:val="0"/>
          <w:sz w:val="24"/>
          <w:szCs w:val="24"/>
          <w:highlight w:val="none"/>
          <w:shd w:val="clear" w:fill="FFFFFF"/>
        </w:rPr>
        <w:t>个月</w:t>
      </w:r>
      <w:r>
        <w:rPr>
          <w:rFonts w:hint="eastAsia" w:ascii="宋体" w:hAnsi="宋体" w:eastAsia="宋体" w:cs="宋体"/>
          <w:i w:val="0"/>
          <w:iCs w:val="0"/>
          <w:caps w:val="0"/>
          <w:color w:val="auto"/>
          <w:spacing w:val="0"/>
          <w:sz w:val="24"/>
          <w:szCs w:val="24"/>
          <w:highlight w:val="none"/>
          <w:shd w:val="clear" w:fill="FFFFFF"/>
          <w:lang w:eastAsia="zh-CN"/>
        </w:rPr>
        <w:t>内</w:t>
      </w:r>
      <w:r>
        <w:rPr>
          <w:rFonts w:hint="eastAsia" w:ascii="宋体" w:hAnsi="宋体" w:eastAsia="宋体" w:cs="宋体"/>
          <w:i w:val="0"/>
          <w:iCs w:val="0"/>
          <w:caps w:val="0"/>
          <w:color w:val="auto"/>
          <w:spacing w:val="0"/>
          <w:sz w:val="24"/>
          <w:szCs w:val="24"/>
          <w:highlight w:val="none"/>
          <w:shd w:val="clear" w:fill="FFFFFF"/>
        </w:rPr>
        <w:t>已缴存的</w:t>
      </w:r>
      <w:r>
        <w:rPr>
          <w:rFonts w:hint="eastAsia" w:ascii="宋体" w:hAnsi="宋体" w:eastAsia="宋体" w:cs="宋体"/>
          <w:i w:val="0"/>
          <w:iCs w:val="0"/>
          <w:caps w:val="0"/>
          <w:color w:val="auto"/>
          <w:spacing w:val="0"/>
          <w:sz w:val="24"/>
          <w:szCs w:val="24"/>
          <w:highlight w:val="none"/>
          <w:shd w:val="clear" w:fill="FFFFFF"/>
          <w:lang w:val="en-US" w:eastAsia="zh-CN"/>
        </w:rPr>
        <w:t>至少一个月</w:t>
      </w:r>
      <w:r>
        <w:rPr>
          <w:rFonts w:hint="eastAsia" w:ascii="宋体" w:hAnsi="宋体" w:eastAsia="宋体" w:cs="宋体"/>
          <w:i w:val="0"/>
          <w:iCs w:val="0"/>
          <w:caps w:val="0"/>
          <w:color w:val="auto"/>
          <w:spacing w:val="0"/>
          <w:sz w:val="24"/>
          <w:szCs w:val="24"/>
          <w:highlight w:val="none"/>
          <w:shd w:val="clear" w:fill="FFFFFF"/>
        </w:rPr>
        <w:t>的社会保险参保缴费情况证明，依法不需要缴纳社会保障资金的单位应提供相关证明材料；</w:t>
      </w:r>
    </w:p>
    <w:p w14:paraId="5EF354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）投标人须提供参加政府采购活动近3年内，在经营活动中没有重大违法记录的书面声明；</w:t>
      </w:r>
    </w:p>
    <w:p w14:paraId="41ECC9A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）投标人须提供具备履行合同所必须的设备和专业技术能力的书面声明；</w:t>
      </w:r>
    </w:p>
    <w:p w14:paraId="7B9773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投标人不得在“信用中国”网站（www.creditchina.gov.cn）中被列入重大税收违法失信主体；不得在“中国执行信息公开网”（zxgk.court.gov.cn/shixin/）被列入失信被执行人；不得在“中国政府采购网”（www.ccgp.gov.cn）政府采购严重违法失信行为记录名单中被财政部门禁止参加政府采购活动</w:t>
      </w:r>
      <w:r>
        <w:rPr>
          <w:rFonts w:hint="eastAsia" w:ascii="宋体" w:hAnsi="宋体" w:eastAsia="宋体" w:cs="宋体"/>
          <w:i w:val="0"/>
          <w:iCs w:val="0"/>
          <w:caps w:val="0"/>
          <w:color w:val="auto"/>
          <w:spacing w:val="0"/>
          <w:sz w:val="24"/>
          <w:szCs w:val="24"/>
          <w:highlight w:val="none"/>
          <w:shd w:val="clear" w:fill="FFFFFF"/>
        </w:rPr>
        <w:t>。</w:t>
      </w:r>
    </w:p>
    <w:p w14:paraId="78412E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合同包2(超高端彩色多普勒超声诊断仪(偏肌骨))</w:t>
      </w:r>
      <w:r>
        <w:rPr>
          <w:rFonts w:hint="eastAsia" w:ascii="宋体" w:hAnsi="宋体" w:eastAsia="宋体" w:cs="宋体"/>
          <w:i w:val="0"/>
          <w:iCs w:val="0"/>
          <w:caps w:val="0"/>
          <w:color w:val="auto"/>
          <w:spacing w:val="0"/>
          <w:sz w:val="24"/>
          <w:szCs w:val="24"/>
          <w:highlight w:val="none"/>
          <w:shd w:val="clear" w:fill="FFFFFF"/>
        </w:rPr>
        <w:t>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24B1A99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同</w:t>
      </w:r>
      <w:r>
        <w:rPr>
          <w:rFonts w:hint="eastAsia" w:ascii="宋体" w:hAnsi="宋体" w:eastAsia="宋体" w:cs="宋体"/>
          <w:i w:val="0"/>
          <w:iCs w:val="0"/>
          <w:caps w:val="0"/>
          <w:color w:val="auto"/>
          <w:spacing w:val="0"/>
          <w:sz w:val="24"/>
          <w:szCs w:val="24"/>
          <w:highlight w:val="none"/>
          <w:shd w:val="clear" w:fill="FFFFFF"/>
        </w:rPr>
        <w:t>合同包1特定资格要求</w:t>
      </w:r>
    </w:p>
    <w:p w14:paraId="096B3A3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合同包3(超高端彩色多普勒超声诊断仪(全身机-1))</w:t>
      </w:r>
      <w:r>
        <w:rPr>
          <w:rFonts w:hint="eastAsia" w:ascii="宋体" w:hAnsi="宋体" w:eastAsia="宋体" w:cs="宋体"/>
          <w:i w:val="0"/>
          <w:iCs w:val="0"/>
          <w:caps w:val="0"/>
          <w:color w:val="auto"/>
          <w:spacing w:val="0"/>
          <w:sz w:val="24"/>
          <w:szCs w:val="24"/>
          <w:highlight w:val="none"/>
          <w:shd w:val="clear" w:fill="FFFFFF"/>
        </w:rPr>
        <w:t>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777E217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同</w:t>
      </w:r>
      <w:r>
        <w:rPr>
          <w:rFonts w:hint="eastAsia" w:ascii="宋体" w:hAnsi="宋体" w:eastAsia="宋体" w:cs="宋体"/>
          <w:i w:val="0"/>
          <w:iCs w:val="0"/>
          <w:caps w:val="0"/>
          <w:color w:val="auto"/>
          <w:spacing w:val="0"/>
          <w:sz w:val="24"/>
          <w:szCs w:val="24"/>
          <w:highlight w:val="none"/>
          <w:shd w:val="clear" w:fill="FFFFFF"/>
        </w:rPr>
        <w:t>合同包1特定资格要求</w:t>
      </w:r>
    </w:p>
    <w:p w14:paraId="460348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合同包4(超高端彩色多普勒超声诊断仪(全身机-2))</w:t>
      </w:r>
      <w:r>
        <w:rPr>
          <w:rFonts w:hint="eastAsia" w:ascii="宋体" w:hAnsi="宋体" w:eastAsia="宋体" w:cs="宋体"/>
          <w:i w:val="0"/>
          <w:iCs w:val="0"/>
          <w:caps w:val="0"/>
          <w:color w:val="auto"/>
          <w:spacing w:val="0"/>
          <w:sz w:val="24"/>
          <w:szCs w:val="24"/>
          <w:highlight w:val="none"/>
          <w:shd w:val="clear" w:fill="FFFFFF"/>
        </w:rPr>
        <w:t>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138E99B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同</w:t>
      </w:r>
      <w:r>
        <w:rPr>
          <w:rFonts w:hint="eastAsia" w:ascii="宋体" w:hAnsi="宋体" w:eastAsia="宋体" w:cs="宋体"/>
          <w:i w:val="0"/>
          <w:iCs w:val="0"/>
          <w:caps w:val="0"/>
          <w:color w:val="auto"/>
          <w:spacing w:val="0"/>
          <w:sz w:val="24"/>
          <w:szCs w:val="24"/>
          <w:highlight w:val="none"/>
          <w:shd w:val="clear" w:fill="FFFFFF"/>
        </w:rPr>
        <w:t>合同包1特定资格要求</w:t>
      </w:r>
    </w:p>
    <w:p w14:paraId="684C9B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三、获取招标文件</w:t>
      </w:r>
    </w:p>
    <w:p w14:paraId="2CAE0A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02</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rPr>
        <w:t>日至202</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02</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27</w:t>
      </w:r>
      <w:r>
        <w:rPr>
          <w:rFonts w:hint="eastAsia" w:ascii="宋体" w:hAnsi="宋体" w:eastAsia="宋体" w:cs="宋体"/>
          <w:i w:val="0"/>
          <w:iCs w:val="0"/>
          <w:caps w:val="0"/>
          <w:color w:val="auto"/>
          <w:spacing w:val="0"/>
          <w:sz w:val="24"/>
          <w:szCs w:val="24"/>
          <w:highlight w:val="none"/>
          <w:shd w:val="clear" w:fill="FFFFFF"/>
        </w:rPr>
        <w:t>日，每天上午0</w:t>
      </w:r>
      <w:r>
        <w:rPr>
          <w:rFonts w:hint="eastAsia" w:ascii="宋体" w:hAnsi="宋体"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rPr>
        <w:t>:00:00至12:00:00，下午1</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:00:00至</w:t>
      </w:r>
      <w:r>
        <w:rPr>
          <w:rFonts w:hint="eastAsia" w:ascii="宋体" w:hAnsi="宋体" w:eastAsia="宋体" w:cs="宋体"/>
          <w:i w:val="0"/>
          <w:iCs w:val="0"/>
          <w:caps w:val="0"/>
          <w:color w:val="auto"/>
          <w:spacing w:val="0"/>
          <w:sz w:val="24"/>
          <w:szCs w:val="24"/>
          <w:highlight w:val="none"/>
          <w:shd w:val="clear" w:fill="FFFFFF"/>
          <w:lang w:val="en-US" w:eastAsia="zh-CN"/>
        </w:rPr>
        <w:t>23</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59</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59</w:t>
      </w:r>
      <w:r>
        <w:rPr>
          <w:rFonts w:hint="eastAsia" w:ascii="宋体" w:hAnsi="宋体" w:eastAsia="宋体" w:cs="宋体"/>
          <w:i w:val="0"/>
          <w:iCs w:val="0"/>
          <w:caps w:val="0"/>
          <w:color w:val="auto"/>
          <w:spacing w:val="0"/>
          <w:sz w:val="24"/>
          <w:szCs w:val="24"/>
          <w:highlight w:val="none"/>
          <w:shd w:val="clear" w:fill="FFFFFF"/>
        </w:rPr>
        <w:t>（北京时间）</w:t>
      </w:r>
    </w:p>
    <w:p w14:paraId="44B925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途径：全国公共资源交易平台（陕西省·宝鸡市）（http://ggzy.baoji.gov.cn/）</w:t>
      </w:r>
    </w:p>
    <w:p w14:paraId="4BD101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14:paraId="5BF9ECA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售价：0元</w:t>
      </w:r>
    </w:p>
    <w:p w14:paraId="45350C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14:paraId="6CE851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w:t>
      </w:r>
      <w:r>
        <w:rPr>
          <w:rFonts w:hint="eastAsia" w:ascii="宋体" w:hAnsi="宋体" w:eastAsia="宋体" w:cs="宋体"/>
          <w:i w:val="0"/>
          <w:iCs w:val="0"/>
          <w:caps w:val="0"/>
          <w:color w:val="auto"/>
          <w:spacing w:val="0"/>
          <w:sz w:val="24"/>
          <w:szCs w:val="24"/>
          <w:highlight w:val="none"/>
          <w:shd w:val="clear" w:fill="FFFFFF"/>
          <w:lang w:eastAsia="zh-CN"/>
        </w:rPr>
        <w:t>2026</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03</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25</w:t>
      </w:r>
      <w:r>
        <w:rPr>
          <w:rFonts w:hint="eastAsia" w:ascii="宋体" w:hAnsi="宋体" w:eastAsia="宋体" w:cs="宋体"/>
          <w:i w:val="0"/>
          <w:iCs w:val="0"/>
          <w:caps w:val="0"/>
          <w:color w:val="auto"/>
          <w:spacing w:val="0"/>
          <w:sz w:val="24"/>
          <w:szCs w:val="24"/>
          <w:highlight w:val="none"/>
          <w:shd w:val="clear" w:fill="FFFFFF"/>
        </w:rPr>
        <w:t>日09时00分00秒（北京时间）</w:t>
      </w:r>
    </w:p>
    <w:p w14:paraId="2C3E569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提交投标文件地点：全国公共资源交易平台（陕西省·宝鸡市）（</w:t>
      </w:r>
      <w:r>
        <w:rPr>
          <w:rFonts w:hint="eastAsia" w:ascii="宋体" w:hAnsi="宋体" w:eastAsia="宋体" w:cs="宋体"/>
          <w:i w:val="0"/>
          <w:iCs w:val="0"/>
          <w:caps w:val="0"/>
          <w:color w:val="auto"/>
          <w:spacing w:val="0"/>
          <w:sz w:val="24"/>
          <w:szCs w:val="24"/>
          <w:highlight w:val="none"/>
          <w:shd w:val="clear" w:fill="FFFFFF"/>
          <w:lang w:eastAsia="zh-CN"/>
        </w:rPr>
        <w:t>http://ggzy.baoji.gov.cn/</w:t>
      </w:r>
      <w:r>
        <w:rPr>
          <w:rFonts w:hint="eastAsia" w:ascii="宋体" w:hAnsi="宋体" w:eastAsia="宋体" w:cs="宋体"/>
          <w:i w:val="0"/>
          <w:iCs w:val="0"/>
          <w:caps w:val="0"/>
          <w:color w:val="auto"/>
          <w:spacing w:val="0"/>
          <w:sz w:val="24"/>
          <w:szCs w:val="24"/>
          <w:highlight w:val="none"/>
          <w:shd w:val="clear" w:fill="FFFFFF"/>
        </w:rPr>
        <w:t>）线上提交</w:t>
      </w:r>
    </w:p>
    <w:p w14:paraId="025134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开标地点：【全国公共资源交易平台（陕西省·宝鸡市）】不见面开标大厅</w:t>
      </w:r>
    </w:p>
    <w:p w14:paraId="027439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五、公告期限</w:t>
      </w:r>
    </w:p>
    <w:p w14:paraId="2F9608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自本公告发布之日起5个工作日。</w:t>
      </w:r>
    </w:p>
    <w:p w14:paraId="1774E2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六、其他补充事宜</w:t>
      </w:r>
    </w:p>
    <w:p w14:paraId="4DCCFA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2"/>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(1)、请投标人按照陕西省财政厅关于政府采购供应商注册登记有关事项的通知中的要求，通过陕西省政府采购网(https://www.ccgp-shaanxi.gov.cn/)注册登记加入陕西省政府采购供应商库。</w:t>
      </w:r>
    </w:p>
    <w:p w14:paraId="6F3B99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招标文件获取：投标人使用捆绑CA证书登录全国公共资源交易平台(陕西省·宝鸡市)宝鸡市公共资源交易中心(http://ggzy.baoji.gov.cn/)，选择电子交易平台中的陕西政府采购交易系统-企业端进行登录，登录后选择“交易乙方”身份进入投标人界面进行报名，投标人应在招标文件获取时间内下载招标文件（*.SXSZF格式），逾期下载通道将关闭，未及时下载招标文件将会影响后续开评标活动，一切后果及损失投标人自行承担。</w:t>
      </w:r>
    </w:p>
    <w:p w14:paraId="088F09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(3)、CA锁办理地址及流程：宝鸡市金台区行政大道8号海棠风尚宝鸡市公共资源交易中心4楼2号窗口（办理流程：http://ggzy.baoji.gov.cn/fwzn/004002/20220524/05ccf80e-6a61-43e9-90e9-ebdd8da75241.html）</w:t>
      </w:r>
    </w:p>
    <w:p w14:paraId="55051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七、对本次招标提出询问，请按以下方式联系。</w:t>
      </w:r>
    </w:p>
    <w:p w14:paraId="596136B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3"/>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1.采购人信息</w:t>
      </w:r>
    </w:p>
    <w:p w14:paraId="4CE3D5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名称：</w:t>
      </w:r>
      <w:r>
        <w:rPr>
          <w:rFonts w:hint="eastAsia" w:ascii="宋体" w:hAnsi="宋体" w:eastAsia="宋体" w:cs="宋体"/>
          <w:i w:val="0"/>
          <w:iCs w:val="0"/>
          <w:caps w:val="0"/>
          <w:color w:val="auto"/>
          <w:spacing w:val="0"/>
          <w:sz w:val="24"/>
          <w:szCs w:val="24"/>
          <w:highlight w:val="none"/>
          <w:shd w:val="clear" w:fill="FFFFFF"/>
          <w:lang w:eastAsia="zh-CN"/>
        </w:rPr>
        <w:t>宝鸡市第二人民医院</w:t>
      </w:r>
    </w:p>
    <w:p w14:paraId="2B0360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地址：</w:t>
      </w:r>
      <w:r>
        <w:rPr>
          <w:rFonts w:hint="eastAsia" w:ascii="宋体" w:hAnsi="宋体" w:eastAsia="宋体" w:cs="宋体"/>
          <w:i w:val="0"/>
          <w:iCs w:val="0"/>
          <w:caps w:val="0"/>
          <w:color w:val="auto"/>
          <w:spacing w:val="0"/>
          <w:sz w:val="24"/>
          <w:szCs w:val="24"/>
          <w:highlight w:val="none"/>
          <w:shd w:val="clear" w:fill="FFFFFF"/>
          <w:lang w:eastAsia="zh-CN"/>
        </w:rPr>
        <w:t>宝鸡市金台区上马营红卫路1号</w:t>
      </w:r>
    </w:p>
    <w:p w14:paraId="503B72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ascii="宋体" w:hAnsi="宋体" w:eastAsia="宋体" w:cs="宋体"/>
          <w:i w:val="0"/>
          <w:iCs w:val="0"/>
          <w:caps w:val="0"/>
          <w:color w:val="auto"/>
          <w:spacing w:val="0"/>
          <w:sz w:val="24"/>
          <w:szCs w:val="24"/>
          <w:highlight w:val="none"/>
          <w:shd w:val="clear" w:fill="FFFFFF"/>
          <w:lang w:eastAsia="zh-CN"/>
        </w:rPr>
        <w:t>0917-3830427</w:t>
      </w:r>
    </w:p>
    <w:p w14:paraId="6262238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3"/>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2.采购代理机构信息</w:t>
      </w:r>
    </w:p>
    <w:p w14:paraId="79171D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名称：</w:t>
      </w:r>
      <w:r>
        <w:rPr>
          <w:rFonts w:hint="eastAsia" w:ascii="宋体" w:hAnsi="宋体" w:eastAsia="宋体" w:cs="宋体"/>
          <w:i w:val="0"/>
          <w:iCs w:val="0"/>
          <w:caps w:val="0"/>
          <w:color w:val="auto"/>
          <w:spacing w:val="0"/>
          <w:sz w:val="24"/>
          <w:szCs w:val="24"/>
          <w:highlight w:val="none"/>
          <w:shd w:val="clear" w:fill="FFFFFF"/>
          <w:lang w:eastAsia="zh-CN"/>
        </w:rPr>
        <w:t>凌辉建设工程咨询有限公司</w:t>
      </w:r>
    </w:p>
    <w:p w14:paraId="4636BE1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地址：</w:t>
      </w:r>
      <w:r>
        <w:rPr>
          <w:rFonts w:hint="eastAsia" w:ascii="宋体" w:hAnsi="宋体" w:eastAsia="宋体" w:cs="宋体"/>
          <w:i w:val="0"/>
          <w:iCs w:val="0"/>
          <w:caps w:val="0"/>
          <w:color w:val="auto"/>
          <w:spacing w:val="0"/>
          <w:sz w:val="24"/>
          <w:szCs w:val="24"/>
          <w:highlight w:val="none"/>
          <w:shd w:val="clear" w:fill="FFFFFF"/>
          <w:lang w:eastAsia="zh-CN"/>
        </w:rPr>
        <w:t>陕西省宝鸡市金台区行政东路三迪金融中心1304室</w:t>
      </w:r>
    </w:p>
    <w:p w14:paraId="1BEC02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ascii="宋体" w:hAnsi="宋体" w:eastAsia="宋体" w:cs="宋体"/>
          <w:i w:val="0"/>
          <w:iCs w:val="0"/>
          <w:caps w:val="0"/>
          <w:color w:val="auto"/>
          <w:spacing w:val="0"/>
          <w:sz w:val="24"/>
          <w:szCs w:val="24"/>
          <w:highlight w:val="none"/>
          <w:shd w:val="clear" w:fill="FFFFFF"/>
          <w:lang w:eastAsia="zh-CN"/>
        </w:rPr>
        <w:t>0917-3667177</w:t>
      </w:r>
    </w:p>
    <w:p w14:paraId="6620DC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3"/>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3.项目联系方式</w:t>
      </w:r>
    </w:p>
    <w:p w14:paraId="63050DE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项目联系人：</w:t>
      </w:r>
      <w:r>
        <w:rPr>
          <w:rFonts w:hint="eastAsia" w:ascii="宋体" w:hAnsi="宋体" w:eastAsia="宋体" w:cs="宋体"/>
          <w:i w:val="0"/>
          <w:iCs w:val="0"/>
          <w:caps w:val="0"/>
          <w:color w:val="auto"/>
          <w:spacing w:val="0"/>
          <w:sz w:val="24"/>
          <w:szCs w:val="24"/>
          <w:highlight w:val="none"/>
          <w:shd w:val="clear" w:fill="FFFFFF"/>
          <w:lang w:val="en-US" w:eastAsia="zh-CN"/>
        </w:rPr>
        <w:t>张泽莹</w:t>
      </w:r>
    </w:p>
    <w:p w14:paraId="0297ED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电话：</w:t>
      </w:r>
      <w:r>
        <w:rPr>
          <w:rFonts w:hint="eastAsia" w:ascii="宋体" w:hAnsi="宋体" w:eastAsia="宋体" w:cs="宋体"/>
          <w:i w:val="0"/>
          <w:iCs w:val="0"/>
          <w:caps w:val="0"/>
          <w:color w:val="auto"/>
          <w:spacing w:val="0"/>
          <w:sz w:val="24"/>
          <w:szCs w:val="24"/>
          <w:highlight w:val="none"/>
          <w:shd w:val="clear" w:fill="FFFFFF"/>
          <w:lang w:val="en-US" w:eastAsia="zh-CN"/>
        </w:rPr>
        <w:t>0917-3667177</w:t>
      </w:r>
    </w:p>
    <w:p w14:paraId="143333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3"/>
        <w:jc w:val="right"/>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凌辉建设工程咨询有限公司</w:t>
      </w:r>
    </w:p>
    <w:p w14:paraId="6DA4893D">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5A8280F6">
      <w:pPr>
        <w:keepNext w:val="0"/>
        <w:keepLines w:val="0"/>
        <w:kinsoku/>
        <w:overflowPunct/>
        <w:topLinePunct w:val="0"/>
        <w:bidi w:val="0"/>
        <w:spacing w:before="114" w:line="480" w:lineRule="auto"/>
        <w:jc w:val="center"/>
        <w:outlineLvl w:val="0"/>
        <w:rPr>
          <w:rFonts w:hint="default" w:ascii="Times New Roman" w:hAnsi="Times New Roman" w:eastAsia="宋体" w:cs="Times New Roman"/>
          <w:b/>
          <w:bCs/>
          <w:color w:val="auto"/>
          <w:spacing w:val="0"/>
          <w:sz w:val="35"/>
          <w:szCs w:val="35"/>
          <w:highlight w:val="none"/>
        </w:rPr>
      </w:pPr>
      <w:bookmarkStart w:id="9" w:name="_bookmark2"/>
      <w:bookmarkEnd w:id="9"/>
      <w:bookmarkStart w:id="10" w:name="_Toc10512"/>
      <w:bookmarkStart w:id="11" w:name="_Toc8013"/>
      <w:bookmarkStart w:id="12" w:name="_Toc7732"/>
      <w:bookmarkStart w:id="13" w:name="_Toc308"/>
      <w:r>
        <w:rPr>
          <w:rFonts w:hint="default" w:ascii="Times New Roman" w:hAnsi="Times New Roman" w:eastAsia="宋体" w:cs="Times New Roman"/>
          <w:b/>
          <w:bCs/>
          <w:color w:val="auto"/>
          <w:spacing w:val="0"/>
          <w:sz w:val="35"/>
          <w:szCs w:val="35"/>
          <w:highlight w:val="none"/>
        </w:rPr>
        <w:t>第二章</w:t>
      </w:r>
      <w:r>
        <w:rPr>
          <w:rFonts w:hint="default" w:ascii="Times New Roman" w:hAnsi="Times New Roman" w:eastAsia="宋体" w:cs="Times New Roman"/>
          <w:b/>
          <w:bCs/>
          <w:color w:val="auto"/>
          <w:spacing w:val="0"/>
          <w:sz w:val="35"/>
          <w:szCs w:val="35"/>
          <w:highlight w:val="none"/>
          <w:lang w:eastAsia="zh-CN"/>
        </w:rPr>
        <w:t>、</w:t>
      </w:r>
      <w:r>
        <w:rPr>
          <w:rFonts w:hint="default" w:ascii="Times New Roman" w:hAnsi="Times New Roman" w:eastAsia="宋体" w:cs="Times New Roman"/>
          <w:b/>
          <w:bCs/>
          <w:color w:val="auto"/>
          <w:spacing w:val="0"/>
          <w:sz w:val="35"/>
          <w:szCs w:val="35"/>
          <w:highlight w:val="none"/>
        </w:rPr>
        <w:t>投标人须知及前附表</w:t>
      </w:r>
      <w:bookmarkEnd w:id="10"/>
      <w:bookmarkEnd w:id="11"/>
      <w:bookmarkEnd w:id="12"/>
      <w:bookmarkEnd w:id="13"/>
    </w:p>
    <w:p w14:paraId="0980C08D">
      <w:pPr>
        <w:keepNext w:val="0"/>
        <w:keepLines w:val="0"/>
        <w:kinsoku/>
        <w:overflowPunct/>
        <w:topLinePunct w:val="0"/>
        <w:bidi w:val="0"/>
        <w:spacing w:before="91" w:line="360" w:lineRule="auto"/>
        <w:ind w:left="50"/>
        <w:jc w:val="both"/>
        <w:outlineLvl w:val="1"/>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Times New Roman" w:cs="Times New Roman"/>
          <w:b/>
          <w:bCs/>
          <w:color w:val="auto"/>
          <w:spacing w:val="0"/>
          <w:sz w:val="24"/>
          <w:szCs w:val="24"/>
          <w:highlight w:val="none"/>
        </w:rPr>
        <w:t>A</w:t>
      </w:r>
      <w:r>
        <w:rPr>
          <w:rFonts w:hint="default" w:ascii="Times New Roman" w:hAnsi="Times New Roman" w:eastAsia="宋体" w:cs="Times New Roman"/>
          <w:color w:val="auto"/>
          <w:spacing w:val="0"/>
          <w:sz w:val="24"/>
          <w:szCs w:val="24"/>
          <w:highlight w:val="none"/>
        </w:rPr>
        <w:t>、</w:t>
      </w:r>
      <w:r>
        <w:rPr>
          <w:rFonts w:hint="default" w:ascii="Times New Roman" w:hAnsi="Times New Roman" w:eastAsia="宋体" w:cs="Times New Roman"/>
          <w:b/>
          <w:bCs/>
          <w:color w:val="auto"/>
          <w:spacing w:val="0"/>
          <w:sz w:val="24"/>
          <w:szCs w:val="24"/>
          <w:highlight w:val="none"/>
        </w:rPr>
        <w:t>投标人须知前附表</w:t>
      </w:r>
    </w:p>
    <w:tbl>
      <w:tblPr>
        <w:tblStyle w:val="37"/>
        <w:tblW w:w="97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1734"/>
        <w:gridCol w:w="7124"/>
      </w:tblGrid>
      <w:tr w14:paraId="6C64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872" w:type="dxa"/>
            <w:vAlign w:val="center"/>
          </w:tcPr>
          <w:p w14:paraId="5E7F734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序号</w:t>
            </w:r>
          </w:p>
        </w:tc>
        <w:tc>
          <w:tcPr>
            <w:tcW w:w="1734" w:type="dxa"/>
            <w:vAlign w:val="center"/>
          </w:tcPr>
          <w:p w14:paraId="794E024C">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条款名称</w:t>
            </w:r>
          </w:p>
        </w:tc>
        <w:tc>
          <w:tcPr>
            <w:tcW w:w="7124" w:type="dxa"/>
            <w:vAlign w:val="center"/>
          </w:tcPr>
          <w:p w14:paraId="5069EAEB">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说明与要求</w:t>
            </w:r>
          </w:p>
        </w:tc>
      </w:tr>
      <w:tr w14:paraId="5ADDB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872" w:type="dxa"/>
            <w:vAlign w:val="center"/>
          </w:tcPr>
          <w:p w14:paraId="367E062D">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734" w:type="dxa"/>
            <w:vAlign w:val="center"/>
          </w:tcPr>
          <w:p w14:paraId="14B59F50">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7124" w:type="dxa"/>
            <w:vAlign w:val="center"/>
          </w:tcPr>
          <w:p w14:paraId="7B170312">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宝鸡市第二人民医院彩超采购项目</w:t>
            </w:r>
          </w:p>
        </w:tc>
      </w:tr>
      <w:tr w14:paraId="2C0AC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872" w:type="dxa"/>
            <w:vAlign w:val="center"/>
          </w:tcPr>
          <w:p w14:paraId="7F58E9AD">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1-1</w:t>
            </w:r>
          </w:p>
        </w:tc>
        <w:tc>
          <w:tcPr>
            <w:tcW w:w="1734" w:type="dxa"/>
            <w:vAlign w:val="center"/>
          </w:tcPr>
          <w:p w14:paraId="2B22B494">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合同包</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名称</w:t>
            </w:r>
          </w:p>
        </w:tc>
        <w:tc>
          <w:tcPr>
            <w:tcW w:w="7124" w:type="dxa"/>
            <w:vAlign w:val="center"/>
          </w:tcPr>
          <w:p w14:paraId="06362079">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eastAsia="zh-CN"/>
              </w:rPr>
              <w:t>合同包1(超高端心血管及超高端便携彩色多普勒超声诊断仪)</w:t>
            </w:r>
          </w:p>
        </w:tc>
      </w:tr>
      <w:tr w14:paraId="3696A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872" w:type="dxa"/>
            <w:vAlign w:val="center"/>
          </w:tcPr>
          <w:p w14:paraId="01C3FD17">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1-2</w:t>
            </w:r>
          </w:p>
        </w:tc>
        <w:tc>
          <w:tcPr>
            <w:tcW w:w="1734" w:type="dxa"/>
            <w:vAlign w:val="center"/>
          </w:tcPr>
          <w:p w14:paraId="030036F7">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合同包</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名称</w:t>
            </w:r>
          </w:p>
        </w:tc>
        <w:tc>
          <w:tcPr>
            <w:tcW w:w="7124" w:type="dxa"/>
            <w:vAlign w:val="center"/>
          </w:tcPr>
          <w:p w14:paraId="086CF13A">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合同包2(超高端彩色多普勒超声诊断仪(偏肌骨))</w:t>
            </w:r>
          </w:p>
        </w:tc>
      </w:tr>
      <w:tr w14:paraId="438B5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872" w:type="dxa"/>
            <w:vAlign w:val="center"/>
          </w:tcPr>
          <w:p w14:paraId="5C38DAD1">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1-3</w:t>
            </w:r>
          </w:p>
        </w:tc>
        <w:tc>
          <w:tcPr>
            <w:tcW w:w="1734" w:type="dxa"/>
            <w:vAlign w:val="center"/>
          </w:tcPr>
          <w:p w14:paraId="55768C5D">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合同包</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名称</w:t>
            </w:r>
          </w:p>
        </w:tc>
        <w:tc>
          <w:tcPr>
            <w:tcW w:w="7124" w:type="dxa"/>
            <w:vAlign w:val="center"/>
          </w:tcPr>
          <w:p w14:paraId="6627F946">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合同包3(超高端彩色多普勒超声诊断仪(全身机-1))</w:t>
            </w:r>
          </w:p>
        </w:tc>
      </w:tr>
      <w:tr w14:paraId="4D70E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872" w:type="dxa"/>
            <w:vAlign w:val="center"/>
          </w:tcPr>
          <w:p w14:paraId="025C6233">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1-4</w:t>
            </w:r>
          </w:p>
        </w:tc>
        <w:tc>
          <w:tcPr>
            <w:tcW w:w="1734" w:type="dxa"/>
            <w:vAlign w:val="center"/>
          </w:tcPr>
          <w:p w14:paraId="2A276A6F">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合同包</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名称</w:t>
            </w:r>
          </w:p>
        </w:tc>
        <w:tc>
          <w:tcPr>
            <w:tcW w:w="7124" w:type="dxa"/>
            <w:vAlign w:val="center"/>
          </w:tcPr>
          <w:p w14:paraId="15695E55">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合同包4(超高端彩色多普勒超声诊断仪(全身机-2))</w:t>
            </w:r>
          </w:p>
        </w:tc>
      </w:tr>
      <w:tr w14:paraId="6477C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872" w:type="dxa"/>
            <w:vAlign w:val="center"/>
          </w:tcPr>
          <w:p w14:paraId="39630F3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w:t>
            </w:r>
          </w:p>
        </w:tc>
        <w:tc>
          <w:tcPr>
            <w:tcW w:w="1734" w:type="dxa"/>
            <w:shd w:val="clear" w:color="auto" w:fill="auto"/>
            <w:vAlign w:val="center"/>
          </w:tcPr>
          <w:p w14:paraId="22B6CC30">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项目编号</w:t>
            </w:r>
          </w:p>
        </w:tc>
        <w:tc>
          <w:tcPr>
            <w:tcW w:w="7124" w:type="dxa"/>
            <w:shd w:val="clear" w:color="auto" w:fill="auto"/>
            <w:vAlign w:val="center"/>
          </w:tcPr>
          <w:p w14:paraId="7E67A2CF">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default" w:ascii="宋体" w:hAnsi="宋体" w:eastAsia="宋体" w:cs="宋体"/>
                <w:snapToGrid w:val="0"/>
                <w:color w:val="auto"/>
                <w:spacing w:val="0"/>
                <w:kern w:val="0"/>
                <w:sz w:val="24"/>
                <w:szCs w:val="24"/>
                <w:highlight w:val="none"/>
                <w:lang w:val="en-US" w:eastAsia="zh-CN"/>
              </w:rPr>
            </w:pPr>
            <w:r>
              <w:rPr>
                <w:rFonts w:hint="default" w:ascii="宋体" w:hAnsi="宋体" w:eastAsia="宋体" w:cs="宋体"/>
                <w:snapToGrid w:val="0"/>
                <w:color w:val="auto"/>
                <w:spacing w:val="0"/>
                <w:kern w:val="0"/>
                <w:sz w:val="24"/>
                <w:szCs w:val="24"/>
                <w:highlight w:val="none"/>
                <w:lang w:val="en-US" w:eastAsia="zh-CN"/>
              </w:rPr>
              <w:t>LHZBZC2026014B</w:t>
            </w:r>
          </w:p>
        </w:tc>
      </w:tr>
      <w:tr w14:paraId="3DF1F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72" w:type="dxa"/>
            <w:vAlign w:val="center"/>
          </w:tcPr>
          <w:p w14:paraId="0313FF61">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3</w:t>
            </w:r>
          </w:p>
        </w:tc>
        <w:tc>
          <w:tcPr>
            <w:tcW w:w="1734" w:type="dxa"/>
            <w:shd w:val="clear" w:color="auto" w:fill="auto"/>
            <w:vAlign w:val="center"/>
          </w:tcPr>
          <w:p w14:paraId="753EBDF0">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采购人</w:t>
            </w:r>
          </w:p>
        </w:tc>
        <w:tc>
          <w:tcPr>
            <w:tcW w:w="7124" w:type="dxa"/>
            <w:shd w:val="clear" w:color="auto" w:fill="auto"/>
            <w:vAlign w:val="center"/>
          </w:tcPr>
          <w:p w14:paraId="2C4F0B1F">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名称：宝鸡市第二人民医院</w:t>
            </w:r>
          </w:p>
          <w:p w14:paraId="59B98E26">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地址：宝鸡市金台区上马营红卫路1号</w:t>
            </w:r>
          </w:p>
          <w:p w14:paraId="01E9572A">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联系人：李女士</w:t>
            </w:r>
          </w:p>
          <w:p w14:paraId="75F80C0E">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联系方式：0917-3830427</w:t>
            </w:r>
          </w:p>
        </w:tc>
      </w:tr>
      <w:tr w14:paraId="27692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9" w:hRule="atLeast"/>
          <w:jc w:val="center"/>
        </w:trPr>
        <w:tc>
          <w:tcPr>
            <w:tcW w:w="872" w:type="dxa"/>
            <w:vAlign w:val="center"/>
          </w:tcPr>
          <w:p w14:paraId="11CE473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4</w:t>
            </w:r>
          </w:p>
        </w:tc>
        <w:tc>
          <w:tcPr>
            <w:tcW w:w="1734" w:type="dxa"/>
            <w:shd w:val="clear" w:color="auto" w:fill="auto"/>
            <w:vAlign w:val="center"/>
          </w:tcPr>
          <w:p w14:paraId="4F7DE9EF">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采购代理机构</w:t>
            </w:r>
          </w:p>
        </w:tc>
        <w:tc>
          <w:tcPr>
            <w:tcW w:w="7124" w:type="dxa"/>
            <w:shd w:val="clear" w:color="auto" w:fill="auto"/>
            <w:vAlign w:val="center"/>
          </w:tcPr>
          <w:p w14:paraId="20F70FB9">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名称：凌辉建设工程咨询有限公司</w:t>
            </w:r>
          </w:p>
          <w:p w14:paraId="50E9B887">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地址：陕西省宝鸡市金台区行政东路三迪金融中心1304室</w:t>
            </w:r>
          </w:p>
          <w:p w14:paraId="25212C4F">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联系人：张工</w:t>
            </w:r>
          </w:p>
          <w:p w14:paraId="0AA8F2E0">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联系方式：0917-3667177</w:t>
            </w:r>
          </w:p>
        </w:tc>
      </w:tr>
      <w:tr w14:paraId="2AEA6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872" w:type="dxa"/>
            <w:vAlign w:val="center"/>
          </w:tcPr>
          <w:p w14:paraId="397D82D3">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p>
        </w:tc>
        <w:tc>
          <w:tcPr>
            <w:tcW w:w="1734" w:type="dxa"/>
            <w:shd w:val="clear" w:color="auto" w:fill="auto"/>
            <w:vAlign w:val="center"/>
          </w:tcPr>
          <w:p w14:paraId="3720EA8F">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yellow"/>
                <w:lang w:val="en-US" w:eastAsia="zh-CN"/>
              </w:rPr>
            </w:pPr>
            <w:r>
              <w:rPr>
                <w:rFonts w:hint="eastAsia" w:ascii="宋体" w:hAnsi="宋体" w:eastAsia="宋体" w:cs="宋体"/>
                <w:color w:val="auto"/>
                <w:spacing w:val="0"/>
                <w:sz w:val="24"/>
                <w:szCs w:val="24"/>
                <w:highlight w:val="none"/>
              </w:rPr>
              <w:t>资金来源</w:t>
            </w:r>
          </w:p>
        </w:tc>
        <w:tc>
          <w:tcPr>
            <w:tcW w:w="7124" w:type="dxa"/>
            <w:shd w:val="clear" w:color="auto" w:fill="auto"/>
            <w:vAlign w:val="center"/>
          </w:tcPr>
          <w:p w14:paraId="40CD20FA">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yellow"/>
                <w:lang w:val="en-US" w:eastAsia="zh-CN"/>
              </w:rPr>
            </w:pPr>
            <w:r>
              <w:rPr>
                <w:rFonts w:hint="eastAsia" w:ascii="宋体" w:hAnsi="宋体" w:eastAsia="宋体" w:cs="宋体"/>
                <w:snapToGrid w:val="0"/>
                <w:color w:val="auto"/>
                <w:spacing w:val="0"/>
                <w:kern w:val="0"/>
                <w:sz w:val="24"/>
                <w:szCs w:val="24"/>
                <w:highlight w:val="none"/>
                <w:lang w:val="en-US" w:eastAsia="zh-CN"/>
              </w:rPr>
              <w:t>政府性基金预算资金</w:t>
            </w:r>
          </w:p>
        </w:tc>
      </w:tr>
      <w:tr w14:paraId="29243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72" w:type="dxa"/>
            <w:vAlign w:val="center"/>
          </w:tcPr>
          <w:p w14:paraId="7964DD67">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6</w:t>
            </w:r>
          </w:p>
        </w:tc>
        <w:tc>
          <w:tcPr>
            <w:tcW w:w="1734" w:type="dxa"/>
            <w:shd w:val="clear" w:color="auto" w:fill="auto"/>
            <w:vAlign w:val="center"/>
          </w:tcPr>
          <w:p w14:paraId="567B5BF6">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资格审查方式</w:t>
            </w:r>
          </w:p>
        </w:tc>
        <w:tc>
          <w:tcPr>
            <w:tcW w:w="7124" w:type="dxa"/>
            <w:shd w:val="clear" w:color="auto" w:fill="auto"/>
            <w:vAlign w:val="center"/>
          </w:tcPr>
          <w:p w14:paraId="7A22D86E">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资格后审</w:t>
            </w:r>
          </w:p>
        </w:tc>
      </w:tr>
      <w:tr w14:paraId="35C99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72" w:type="dxa"/>
            <w:vAlign w:val="center"/>
          </w:tcPr>
          <w:p w14:paraId="5C9A7F47">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7</w:t>
            </w:r>
          </w:p>
        </w:tc>
        <w:tc>
          <w:tcPr>
            <w:tcW w:w="1734" w:type="dxa"/>
            <w:shd w:val="clear" w:color="auto" w:fill="auto"/>
            <w:vAlign w:val="center"/>
          </w:tcPr>
          <w:p w14:paraId="297E65B0">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采购预算金额及</w:t>
            </w:r>
          </w:p>
          <w:p w14:paraId="35389AF4">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最高限价</w:t>
            </w:r>
          </w:p>
        </w:tc>
        <w:tc>
          <w:tcPr>
            <w:tcW w:w="7124" w:type="dxa"/>
            <w:shd w:val="clear" w:color="auto" w:fill="auto"/>
            <w:vAlign w:val="center"/>
          </w:tcPr>
          <w:p w14:paraId="5A6840E6">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i w:val="0"/>
                <w:iCs w:val="0"/>
                <w:caps w:val="0"/>
                <w:color w:val="auto"/>
                <w:spacing w:val="0"/>
                <w:sz w:val="24"/>
                <w:szCs w:val="24"/>
                <w:highlight w:val="yellow"/>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合同包1(超高端心血管及超高端便携彩色多普勒超声诊断仪)</w:t>
            </w:r>
          </w:p>
          <w:p w14:paraId="72A08CDA">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预算金额：6602600.00元</w:t>
            </w:r>
          </w:p>
          <w:p w14:paraId="5C8E9963">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最高限价：</w:t>
            </w:r>
            <w:r>
              <w:rPr>
                <w:rFonts w:hint="eastAsia" w:ascii="宋体" w:hAnsi="宋体" w:eastAsia="宋体" w:cs="宋体"/>
                <w:i w:val="0"/>
                <w:iCs w:val="0"/>
                <w:caps w:val="0"/>
                <w:color w:val="auto"/>
                <w:spacing w:val="0"/>
                <w:sz w:val="24"/>
                <w:szCs w:val="24"/>
                <w:highlight w:val="none"/>
                <w:shd w:val="clear" w:fill="FFFFFF"/>
                <w:lang w:val="en-US" w:eastAsia="zh-CN"/>
              </w:rPr>
              <w:t>5257000.00</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元</w:t>
            </w:r>
          </w:p>
          <w:p w14:paraId="4E63C219">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合同包2(超高端彩色多普勒超声诊断仪(偏肌骨))</w:t>
            </w:r>
          </w:p>
          <w:p w14:paraId="531B6CC3">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预算金额：</w:t>
            </w:r>
            <w:r>
              <w:rPr>
                <w:rFonts w:hint="eastAsia" w:ascii="宋体" w:hAnsi="宋体" w:eastAsia="宋体" w:cs="宋体"/>
                <w:i w:val="0"/>
                <w:iCs w:val="0"/>
                <w:caps w:val="0"/>
                <w:color w:val="auto"/>
                <w:spacing w:val="0"/>
                <w:sz w:val="24"/>
                <w:szCs w:val="24"/>
                <w:highlight w:val="none"/>
                <w:shd w:val="clear" w:fill="FFFFFF"/>
                <w:lang w:val="en-US" w:eastAsia="zh-CN"/>
              </w:rPr>
              <w:t>4920000.00</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元</w:t>
            </w:r>
          </w:p>
          <w:p w14:paraId="2DDD548F">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最高限价：</w:t>
            </w:r>
            <w:r>
              <w:rPr>
                <w:rFonts w:hint="eastAsia" w:ascii="宋体" w:hAnsi="宋体" w:eastAsia="宋体" w:cs="宋体"/>
                <w:i w:val="0"/>
                <w:iCs w:val="0"/>
                <w:caps w:val="0"/>
                <w:color w:val="auto"/>
                <w:spacing w:val="0"/>
                <w:sz w:val="24"/>
                <w:szCs w:val="24"/>
                <w:highlight w:val="none"/>
                <w:shd w:val="clear" w:fill="FFFFFF"/>
                <w:lang w:val="en-US" w:eastAsia="zh-CN"/>
              </w:rPr>
              <w:t>3600000.00</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元</w:t>
            </w:r>
          </w:p>
          <w:p w14:paraId="065E9461">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合同包3(超高端彩色多普勒超声诊断仪(全身机-1))</w:t>
            </w:r>
          </w:p>
          <w:p w14:paraId="05D681B9">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预算金额：</w:t>
            </w:r>
            <w:r>
              <w:rPr>
                <w:rFonts w:hint="eastAsia" w:ascii="宋体" w:hAnsi="宋体" w:eastAsia="宋体" w:cs="宋体"/>
                <w:i w:val="0"/>
                <w:iCs w:val="0"/>
                <w:caps w:val="0"/>
                <w:color w:val="auto"/>
                <w:spacing w:val="0"/>
                <w:sz w:val="24"/>
                <w:szCs w:val="24"/>
                <w:highlight w:val="none"/>
                <w:shd w:val="clear" w:fill="FFFFFF"/>
                <w:lang w:val="en-US" w:eastAsia="zh-CN"/>
              </w:rPr>
              <w:t>2400000.00</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元</w:t>
            </w:r>
          </w:p>
          <w:p w14:paraId="6ECC7967">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最高限价：</w:t>
            </w:r>
            <w:r>
              <w:rPr>
                <w:rFonts w:hint="eastAsia" w:ascii="宋体" w:hAnsi="宋体" w:eastAsia="宋体" w:cs="宋体"/>
                <w:i w:val="0"/>
                <w:iCs w:val="0"/>
                <w:caps w:val="0"/>
                <w:color w:val="auto"/>
                <w:spacing w:val="0"/>
                <w:sz w:val="24"/>
                <w:szCs w:val="24"/>
                <w:highlight w:val="none"/>
                <w:shd w:val="clear" w:fill="FFFFFF"/>
                <w:lang w:val="en-US" w:eastAsia="zh-CN"/>
              </w:rPr>
              <w:t>1980000.00</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元</w:t>
            </w:r>
          </w:p>
          <w:p w14:paraId="56937D5C">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合同包4(超高端彩色多普勒超声诊断仪(全身机-2))</w:t>
            </w:r>
          </w:p>
          <w:p w14:paraId="498D13F1">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预算金额：</w:t>
            </w:r>
            <w:r>
              <w:rPr>
                <w:rFonts w:hint="eastAsia" w:ascii="宋体" w:hAnsi="宋体" w:eastAsia="宋体" w:cs="宋体"/>
                <w:i w:val="0"/>
                <w:iCs w:val="0"/>
                <w:caps w:val="0"/>
                <w:color w:val="auto"/>
                <w:spacing w:val="0"/>
                <w:sz w:val="24"/>
                <w:szCs w:val="24"/>
                <w:highlight w:val="none"/>
                <w:shd w:val="clear" w:fill="FFFFFF"/>
                <w:lang w:val="en-US" w:eastAsia="zh-CN"/>
              </w:rPr>
              <w:t>2400000.00</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元</w:t>
            </w:r>
          </w:p>
          <w:p w14:paraId="2DAF02F0">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最高限价：</w:t>
            </w:r>
            <w:r>
              <w:rPr>
                <w:rFonts w:hint="eastAsia" w:ascii="宋体" w:hAnsi="宋体" w:eastAsia="宋体" w:cs="宋体"/>
                <w:i w:val="0"/>
                <w:iCs w:val="0"/>
                <w:caps w:val="0"/>
                <w:color w:val="auto"/>
                <w:spacing w:val="0"/>
                <w:sz w:val="24"/>
                <w:szCs w:val="24"/>
                <w:highlight w:val="none"/>
                <w:shd w:val="clear" w:fill="FFFFFF"/>
                <w:lang w:val="en-US" w:eastAsia="zh-CN"/>
              </w:rPr>
              <w:t>1980000.00</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元</w:t>
            </w:r>
          </w:p>
          <w:p w14:paraId="177A27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供应商</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投标报价</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不能超过</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最高限价</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，超出</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最高限价</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的，作为不实质性响应采购文件，按无效响应处理。</w:t>
            </w:r>
          </w:p>
        </w:tc>
      </w:tr>
      <w:tr w14:paraId="41CE2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2" w:type="dxa"/>
            <w:vAlign w:val="center"/>
          </w:tcPr>
          <w:p w14:paraId="0836739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8</w:t>
            </w:r>
          </w:p>
        </w:tc>
        <w:tc>
          <w:tcPr>
            <w:tcW w:w="1734" w:type="dxa"/>
            <w:vAlign w:val="center"/>
          </w:tcPr>
          <w:p w14:paraId="06BF1C93">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投标人资格要求</w:t>
            </w:r>
          </w:p>
        </w:tc>
        <w:tc>
          <w:tcPr>
            <w:tcW w:w="7124" w:type="dxa"/>
            <w:vAlign w:val="center"/>
          </w:tcPr>
          <w:p w14:paraId="5AADA6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312" w:lineRule="auto"/>
              <w:ind w:left="0" w:leftChars="0" w:right="0" w:rightChars="0" w:firstLine="480" w:firstLineChars="20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合同包1(超高端心血管及超高端便携彩色多普勒超声诊断仪)特定资格要求如下：</w:t>
            </w:r>
          </w:p>
          <w:p w14:paraId="1175FE5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312" w:lineRule="auto"/>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投标人具有独立承担民事责任的能力（包括企业法人、事业法人、其他组织或自然人，企业法人应提供具有统一社会信用代码的营业执照等证明文件；事业法人应提供事业单位法人证等证明文件；其他组织应提供合法证明文件；自然人提供身份证明文件）；</w:t>
            </w:r>
          </w:p>
          <w:p w14:paraId="1C1872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312" w:lineRule="auto"/>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投标人应授权合法的人员参加投标全过程，其中法定代表人直接参加投标的，须出具法定代表人身份证明，并与营业执照上信息一致；法定代表人授权代表参加投标的，须出具法定代表人授权书（附法定代表人、被授权代表身份证复印件）、授权代表本单位证明（投标截止前三个月的养老保险缴纳证明或劳动合同）；</w:t>
            </w:r>
          </w:p>
          <w:p w14:paraId="5E8F5A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312" w:lineRule="auto"/>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投标人为经销商的应具有《医疗器械经营许可证》或《经营备案凭证》（投标产品须在其经营范围内），并提供制造厂家《医疗器械生产许可证》（投标产品须在其生产范围内）；投标人为制造厂家应具有《医疗器械生产许可证》（投标产品须在其生产范围内），具有《医疗器械经营许可证》或《经营备案凭证》（投标产品须在其经营范围内）；注：进口产品无须提供《医疗器械生产许可证》；</w:t>
            </w:r>
          </w:p>
          <w:p w14:paraId="289E179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312" w:lineRule="auto"/>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（4）投标产品属于医疗器械管理范围的须提供医疗器械注册证；</w:t>
            </w:r>
          </w:p>
          <w:p w14:paraId="393182B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312" w:lineRule="auto"/>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（5）投标产品属于进口产品须提供制造商授权书及相应的完整授权链；</w:t>
            </w:r>
          </w:p>
          <w:p w14:paraId="21F1C2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312" w:lineRule="auto"/>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6）投标人须提供2024年度具有财务审计资质的单位出具的完整财务报告或银行出具的资信证明；成立时间至提交投标文件截止时间不足一年的可提供成立至今财务报表或具有财务审计资质的单位出具的财务报告（至少包括资产负债表和利润表），或提供投标截止时间前其基本开户银行出具的资信证明（附开户许可证或开户备案证明）；</w:t>
            </w:r>
          </w:p>
          <w:p w14:paraId="0852EB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312" w:lineRule="auto"/>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（7）投标人须提供投标文件递交截止日前六个月内已缴存的至少一个月的纳税证明或完税证明，依法免税的单位应提供相关证明材料；</w:t>
            </w:r>
          </w:p>
          <w:p w14:paraId="5F447B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312" w:lineRule="auto"/>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（8）投标人须提供投标文件递交截止日前六个月内已缴存的至少一个月的社会保险参保缴费情况证明，依法不需要缴纳社会保障资金的单位应提供相关证明材料；</w:t>
            </w:r>
          </w:p>
          <w:p w14:paraId="78B4B0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312" w:lineRule="auto"/>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（9）投标人须提供参加政府采购活动近3年内，在经营活动中没有重大违法记录的书面声明；</w:t>
            </w:r>
          </w:p>
          <w:p w14:paraId="29D553F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312" w:lineRule="auto"/>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（10）投标人须提供具备履行合同所必须的设备和专业技术能力的书面声明；</w:t>
            </w:r>
          </w:p>
          <w:p w14:paraId="6FED31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312" w:lineRule="auto"/>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11）投标人不得在“信用中国”网站（www.creditchina.gov.cn）中被列入重大税收违法失信主体；不得在“中国执行信息公开网”（zxgk.court.gov.cn/shixin/）被列入失信被执行人；不得在“中国政府采购网”（www.ccgp.gov.cn）政府采购严重违法失信行为记录名单中被财政部门禁止参加政府采购活动。</w:t>
            </w:r>
          </w:p>
          <w:p w14:paraId="0EDC4CD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2"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合同包2(超高端彩色多普勒超声诊断仪(偏肌骨))</w:t>
            </w:r>
            <w:r>
              <w:rPr>
                <w:rFonts w:hint="eastAsia" w:ascii="宋体" w:hAnsi="宋体" w:eastAsia="宋体" w:cs="宋体"/>
                <w:i w:val="0"/>
                <w:iCs w:val="0"/>
                <w:caps w:val="0"/>
                <w:color w:val="auto"/>
                <w:spacing w:val="0"/>
                <w:sz w:val="24"/>
                <w:szCs w:val="24"/>
                <w:highlight w:val="none"/>
                <w:shd w:val="clear" w:fill="FFFFFF"/>
              </w:rPr>
              <w:t>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33BC12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2"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同</w:t>
            </w:r>
            <w:r>
              <w:rPr>
                <w:rFonts w:hint="eastAsia" w:ascii="宋体" w:hAnsi="宋体" w:eastAsia="宋体" w:cs="宋体"/>
                <w:i w:val="0"/>
                <w:iCs w:val="0"/>
                <w:caps w:val="0"/>
                <w:color w:val="auto"/>
                <w:spacing w:val="0"/>
                <w:sz w:val="24"/>
                <w:szCs w:val="24"/>
                <w:highlight w:val="none"/>
                <w:shd w:val="clear" w:fill="FFFFFF"/>
              </w:rPr>
              <w:t>合同包1特定资格要求</w:t>
            </w:r>
          </w:p>
          <w:p w14:paraId="437D39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2"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合同包3(超高端彩色多普勒超声诊断仪(全身机-1))</w:t>
            </w:r>
            <w:r>
              <w:rPr>
                <w:rFonts w:hint="eastAsia" w:ascii="宋体" w:hAnsi="宋体" w:eastAsia="宋体" w:cs="宋体"/>
                <w:i w:val="0"/>
                <w:iCs w:val="0"/>
                <w:caps w:val="0"/>
                <w:color w:val="auto"/>
                <w:spacing w:val="0"/>
                <w:sz w:val="24"/>
                <w:szCs w:val="24"/>
                <w:highlight w:val="none"/>
                <w:shd w:val="clear" w:fill="FFFFFF"/>
              </w:rPr>
              <w:t>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3B62B6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2"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同</w:t>
            </w:r>
            <w:r>
              <w:rPr>
                <w:rFonts w:hint="eastAsia" w:ascii="宋体" w:hAnsi="宋体" w:eastAsia="宋体" w:cs="宋体"/>
                <w:i w:val="0"/>
                <w:iCs w:val="0"/>
                <w:caps w:val="0"/>
                <w:color w:val="auto"/>
                <w:spacing w:val="0"/>
                <w:sz w:val="24"/>
                <w:szCs w:val="24"/>
                <w:highlight w:val="none"/>
                <w:shd w:val="clear" w:fill="FFFFFF"/>
              </w:rPr>
              <w:t>合同包1特定资格要求</w:t>
            </w:r>
          </w:p>
          <w:p w14:paraId="042523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2"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合同包4(超高端彩色多普勒超声诊断仪(全身机-2))</w:t>
            </w:r>
            <w:r>
              <w:rPr>
                <w:rFonts w:hint="eastAsia" w:ascii="宋体" w:hAnsi="宋体" w:eastAsia="宋体" w:cs="宋体"/>
                <w:i w:val="0"/>
                <w:iCs w:val="0"/>
                <w:caps w:val="0"/>
                <w:color w:val="auto"/>
                <w:spacing w:val="0"/>
                <w:sz w:val="24"/>
                <w:szCs w:val="24"/>
                <w:highlight w:val="none"/>
                <w:shd w:val="clear" w:fill="FFFFFF"/>
              </w:rPr>
              <w:t>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699987C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312" w:lineRule="auto"/>
              <w:ind w:left="0" w:leftChars="0" w:right="0" w:rightChars="0" w:firstLine="480" w:firstLineChars="20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同</w:t>
            </w:r>
            <w:r>
              <w:rPr>
                <w:rFonts w:hint="eastAsia" w:ascii="宋体" w:hAnsi="宋体" w:eastAsia="宋体" w:cs="宋体"/>
                <w:i w:val="0"/>
                <w:iCs w:val="0"/>
                <w:caps w:val="0"/>
                <w:color w:val="auto"/>
                <w:spacing w:val="0"/>
                <w:sz w:val="24"/>
                <w:szCs w:val="24"/>
                <w:highlight w:val="none"/>
                <w:shd w:val="clear" w:fill="FFFFFF"/>
              </w:rPr>
              <w:t>合同包1特定资格要求</w:t>
            </w:r>
          </w:p>
        </w:tc>
      </w:tr>
      <w:tr w14:paraId="0A566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72" w:type="dxa"/>
            <w:shd w:val="clear" w:color="auto" w:fill="auto"/>
            <w:vAlign w:val="center"/>
          </w:tcPr>
          <w:p w14:paraId="2CDDA58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9</w:t>
            </w:r>
          </w:p>
        </w:tc>
        <w:tc>
          <w:tcPr>
            <w:tcW w:w="1734" w:type="dxa"/>
            <w:shd w:val="clear" w:color="auto" w:fill="auto"/>
            <w:vAlign w:val="center"/>
          </w:tcPr>
          <w:p w14:paraId="6447EDA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交货期及</w:t>
            </w:r>
            <w:r>
              <w:rPr>
                <w:rFonts w:hint="eastAsia" w:ascii="宋体" w:hAnsi="宋体" w:eastAsia="宋体" w:cs="宋体"/>
                <w:color w:val="auto"/>
                <w:spacing w:val="0"/>
                <w:sz w:val="24"/>
                <w:szCs w:val="24"/>
                <w:highlight w:val="none"/>
              </w:rPr>
              <w:t>交货地点</w:t>
            </w:r>
          </w:p>
        </w:tc>
        <w:tc>
          <w:tcPr>
            <w:tcW w:w="7124" w:type="dxa"/>
            <w:shd w:val="clear" w:color="auto" w:fill="auto"/>
            <w:vAlign w:val="center"/>
          </w:tcPr>
          <w:p w14:paraId="6473E7F0">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交货期：自合同签订之日起国产产品30个日历日内交付，进口产品60个日历日交付</w:t>
            </w:r>
          </w:p>
          <w:p w14:paraId="1DA29CD5">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交货地点：采购人指定地点</w:t>
            </w:r>
          </w:p>
        </w:tc>
      </w:tr>
      <w:tr w14:paraId="6508E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72" w:type="dxa"/>
            <w:shd w:val="clear" w:color="auto" w:fill="auto"/>
            <w:vAlign w:val="center"/>
          </w:tcPr>
          <w:p w14:paraId="357ECBA1">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10</w:t>
            </w:r>
          </w:p>
        </w:tc>
        <w:tc>
          <w:tcPr>
            <w:tcW w:w="1734" w:type="dxa"/>
            <w:shd w:val="clear" w:color="auto" w:fill="auto"/>
            <w:vAlign w:val="center"/>
          </w:tcPr>
          <w:p w14:paraId="43A6FB3E">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质量标准</w:t>
            </w:r>
          </w:p>
        </w:tc>
        <w:tc>
          <w:tcPr>
            <w:tcW w:w="7124" w:type="dxa"/>
            <w:shd w:val="clear" w:color="auto" w:fill="auto"/>
            <w:vAlign w:val="center"/>
          </w:tcPr>
          <w:p w14:paraId="31D75FB3">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hAnsi="宋体" w:cs="宋体"/>
                <w:b w:val="0"/>
                <w:bCs/>
                <w:color w:val="auto"/>
                <w:kern w:val="2"/>
                <w:sz w:val="24"/>
                <w:szCs w:val="24"/>
                <w:highlight w:val="none"/>
                <w:lang w:val="en-US" w:eastAsia="zh-CN" w:bidi="ar-SA"/>
              </w:rPr>
              <w:t>符合国家行业相关标准规范要求</w:t>
            </w:r>
          </w:p>
        </w:tc>
      </w:tr>
      <w:tr w14:paraId="3D88F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872" w:type="dxa"/>
            <w:shd w:val="clear" w:color="auto" w:fill="auto"/>
            <w:vAlign w:val="center"/>
          </w:tcPr>
          <w:p w14:paraId="19B64894">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1</w:t>
            </w:r>
          </w:p>
        </w:tc>
        <w:tc>
          <w:tcPr>
            <w:tcW w:w="1734" w:type="dxa"/>
            <w:shd w:val="clear" w:color="auto" w:fill="auto"/>
            <w:vAlign w:val="center"/>
          </w:tcPr>
          <w:p w14:paraId="0C49E16B">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允许进口产品</w:t>
            </w:r>
          </w:p>
        </w:tc>
        <w:tc>
          <w:tcPr>
            <w:tcW w:w="7124" w:type="dxa"/>
            <w:shd w:val="clear" w:color="auto" w:fill="auto"/>
            <w:vAlign w:val="center"/>
          </w:tcPr>
          <w:p w14:paraId="2455DDF5">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是</w:t>
            </w:r>
            <w:r>
              <w:rPr>
                <w:rFonts w:hint="eastAsia" w:ascii="宋体" w:hAnsi="宋体" w:eastAsia="宋体" w:cs="宋体"/>
                <w:snapToGrid w:val="0"/>
                <w:color w:val="auto"/>
                <w:spacing w:val="0"/>
                <w:kern w:val="0"/>
                <w:sz w:val="24"/>
                <w:szCs w:val="24"/>
                <w:highlight w:val="none"/>
                <w:lang w:val="en-US" w:eastAsia="zh-CN"/>
              </w:rPr>
              <w:sym w:font="Wingdings 2" w:char="0052"/>
            </w:r>
            <w:r>
              <w:rPr>
                <w:rFonts w:hint="eastAsia" w:ascii="宋体" w:hAnsi="宋体" w:eastAsia="宋体" w:cs="宋体"/>
                <w:snapToGrid w:val="0"/>
                <w:color w:val="auto"/>
                <w:spacing w:val="0"/>
                <w:kern w:val="0"/>
                <w:sz w:val="24"/>
                <w:szCs w:val="24"/>
                <w:highlight w:val="none"/>
                <w:lang w:val="en-US" w:eastAsia="zh-CN"/>
              </w:rPr>
              <w:t xml:space="preserve">  否</w:t>
            </w:r>
            <w:r>
              <w:rPr>
                <w:rFonts w:hint="eastAsia" w:ascii="宋体" w:hAnsi="宋体" w:eastAsia="宋体" w:cs="宋体"/>
                <w:snapToGrid w:val="0"/>
                <w:color w:val="auto"/>
                <w:spacing w:val="0"/>
                <w:kern w:val="0"/>
                <w:sz w:val="24"/>
                <w:szCs w:val="24"/>
                <w:highlight w:val="none"/>
                <w:lang w:val="en-US" w:eastAsia="zh-CN"/>
              </w:rPr>
              <w:sym w:font="Wingdings 2" w:char="00A3"/>
            </w:r>
          </w:p>
        </w:tc>
      </w:tr>
      <w:tr w14:paraId="57930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872" w:type="dxa"/>
            <w:shd w:val="clear" w:color="auto" w:fill="auto"/>
            <w:vAlign w:val="center"/>
          </w:tcPr>
          <w:p w14:paraId="245FE5C3">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2</w:t>
            </w:r>
          </w:p>
        </w:tc>
        <w:tc>
          <w:tcPr>
            <w:tcW w:w="1734" w:type="dxa"/>
            <w:shd w:val="clear" w:color="auto" w:fill="auto"/>
            <w:vAlign w:val="center"/>
          </w:tcPr>
          <w:p w14:paraId="011E8BC5">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联合体投标</w:t>
            </w:r>
          </w:p>
        </w:tc>
        <w:tc>
          <w:tcPr>
            <w:tcW w:w="7124" w:type="dxa"/>
            <w:shd w:val="clear" w:color="auto" w:fill="auto"/>
            <w:vAlign w:val="center"/>
          </w:tcPr>
          <w:p w14:paraId="6FA8B8A4">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不接受联合体投标</w:t>
            </w:r>
          </w:p>
        </w:tc>
      </w:tr>
      <w:tr w14:paraId="7EAFD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872" w:type="dxa"/>
            <w:shd w:val="clear" w:color="auto" w:fill="auto"/>
            <w:vAlign w:val="center"/>
          </w:tcPr>
          <w:p w14:paraId="78D59AE3">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13</w:t>
            </w:r>
          </w:p>
        </w:tc>
        <w:tc>
          <w:tcPr>
            <w:tcW w:w="1734" w:type="dxa"/>
            <w:shd w:val="clear" w:color="auto" w:fill="auto"/>
            <w:vAlign w:val="center"/>
          </w:tcPr>
          <w:p w14:paraId="4CD795F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勘察现场</w:t>
            </w:r>
          </w:p>
        </w:tc>
        <w:tc>
          <w:tcPr>
            <w:tcW w:w="7124" w:type="dxa"/>
            <w:shd w:val="clear" w:color="auto" w:fill="auto"/>
            <w:vAlign w:val="center"/>
          </w:tcPr>
          <w:p w14:paraId="23C117FD">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本项目不组织统一踏勘、各投标人自行前往项目实施地实地踏勘。相关费用及安全由投标人自行承担。凡因对服务现场、环境、市场行情等了解不清而造成的后果和风险，或因投标人对招标文件阅读疏忽或误解，均由投标人负责。</w:t>
            </w:r>
          </w:p>
        </w:tc>
      </w:tr>
      <w:tr w14:paraId="7A36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872" w:type="dxa"/>
            <w:shd w:val="clear" w:color="auto" w:fill="auto"/>
            <w:vAlign w:val="center"/>
          </w:tcPr>
          <w:p w14:paraId="41E699B7">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14</w:t>
            </w:r>
          </w:p>
        </w:tc>
        <w:tc>
          <w:tcPr>
            <w:tcW w:w="1734" w:type="dxa"/>
            <w:shd w:val="clear" w:color="auto" w:fill="auto"/>
            <w:vAlign w:val="center"/>
          </w:tcPr>
          <w:p w14:paraId="0AE0BF22">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投标保证</w:t>
            </w:r>
          </w:p>
          <w:p w14:paraId="09093F6E">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金额数额</w:t>
            </w:r>
          </w:p>
          <w:p w14:paraId="016BBD5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color w:val="auto"/>
                <w:spacing w:val="0"/>
                <w:sz w:val="24"/>
                <w:szCs w:val="24"/>
                <w:highlight w:val="none"/>
              </w:rPr>
              <w:t>缴纳方式</w:t>
            </w:r>
          </w:p>
        </w:tc>
        <w:tc>
          <w:tcPr>
            <w:tcW w:w="7124" w:type="dxa"/>
            <w:shd w:val="clear" w:color="auto" w:fill="auto"/>
            <w:vAlign w:val="center"/>
          </w:tcPr>
          <w:p w14:paraId="0C743F1A">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合同包1(超高端心血管及超高端便携彩色多普勒超声诊断仪)</w:t>
            </w:r>
          </w:p>
          <w:p w14:paraId="3F4B87C2">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投标保证金金额：壹拾万元整</w:t>
            </w:r>
            <w:r>
              <w:rPr>
                <w:rFonts w:hint="eastAsia" w:ascii="宋体" w:hAnsi="宋体" w:eastAsia="宋体" w:cs="宋体"/>
                <w:snapToGrid w:val="0"/>
                <w:color w:val="auto"/>
                <w:spacing w:val="0"/>
                <w:kern w:val="0"/>
                <w:sz w:val="24"/>
                <w:szCs w:val="24"/>
                <w:highlight w:val="none"/>
                <w:lang w:val="en-US" w:eastAsia="zh-CN"/>
              </w:rPr>
              <w:t>（￥100000.00元）</w:t>
            </w:r>
          </w:p>
          <w:p w14:paraId="49345B1A">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收取投标保证金账号：80602000142101980617020</w:t>
            </w:r>
          </w:p>
          <w:p w14:paraId="52E7FB10">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账户名称：宝鸡市公共资源交易中心保证金专户</w:t>
            </w:r>
          </w:p>
          <w:p w14:paraId="5A0DFBFB">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开户行：长安银行股份有限公司宝鸡分行营业部</w:t>
            </w:r>
          </w:p>
          <w:p w14:paraId="3FCFAF98">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 xml:space="preserve">转账时请备注：17020 </w:t>
            </w:r>
          </w:p>
          <w:p w14:paraId="3008C42F">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合同包2(超高端彩色多普勒超声诊断仪(偏肌骨))</w:t>
            </w:r>
          </w:p>
          <w:p w14:paraId="41B2414A">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投标保证金金额：陆万元整</w:t>
            </w:r>
            <w:r>
              <w:rPr>
                <w:rFonts w:hint="eastAsia" w:ascii="宋体" w:hAnsi="宋体" w:eastAsia="宋体" w:cs="宋体"/>
                <w:snapToGrid w:val="0"/>
                <w:color w:val="auto"/>
                <w:spacing w:val="0"/>
                <w:kern w:val="0"/>
                <w:sz w:val="24"/>
                <w:szCs w:val="24"/>
                <w:highlight w:val="none"/>
                <w:lang w:val="en-US" w:eastAsia="zh-CN"/>
              </w:rPr>
              <w:t>（￥60000.00元）</w:t>
            </w:r>
          </w:p>
          <w:p w14:paraId="54BA0DB3">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收取投标保证金账号：80602000142101980617021</w:t>
            </w:r>
          </w:p>
          <w:p w14:paraId="5AB55AE7">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账户名称：宝鸡市公共资源交易中心保证金专户</w:t>
            </w:r>
          </w:p>
          <w:p w14:paraId="0354ABAC">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开户行：长安银行股份有限公司宝鸡分行营业部</w:t>
            </w:r>
          </w:p>
          <w:p w14:paraId="3F00BD18">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转账时请备注：17021</w:t>
            </w:r>
          </w:p>
          <w:p w14:paraId="61D3E760">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合同包3(超高端彩色多普勒超声诊断仪(全身机-1))</w:t>
            </w:r>
          </w:p>
          <w:p w14:paraId="19539980">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投标保证金金额：叁万元整</w:t>
            </w:r>
            <w:r>
              <w:rPr>
                <w:rFonts w:hint="eastAsia" w:ascii="宋体" w:hAnsi="宋体" w:eastAsia="宋体" w:cs="宋体"/>
                <w:snapToGrid w:val="0"/>
                <w:color w:val="auto"/>
                <w:spacing w:val="0"/>
                <w:kern w:val="0"/>
                <w:sz w:val="24"/>
                <w:szCs w:val="24"/>
                <w:highlight w:val="none"/>
                <w:lang w:val="en-US" w:eastAsia="zh-CN"/>
              </w:rPr>
              <w:t>（￥30000.00元）</w:t>
            </w:r>
          </w:p>
          <w:p w14:paraId="65D7FBBE">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收取投标保证金账号：80602000142101980617022</w:t>
            </w:r>
          </w:p>
          <w:p w14:paraId="4CA0C99B">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账户名称：宝鸡市公共资源交易中心保证金专户</w:t>
            </w:r>
          </w:p>
          <w:p w14:paraId="43E723BD">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开户行：长安银行股份有限公司宝鸡分行营业部</w:t>
            </w:r>
          </w:p>
          <w:p w14:paraId="47A62BED">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转账时请备注：17022</w:t>
            </w:r>
          </w:p>
          <w:p w14:paraId="1B5AE735">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合同包4(超高端彩色多普勒超声诊断仪(全身机-2))</w:t>
            </w:r>
          </w:p>
          <w:p w14:paraId="778E87F0">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投标保证金金额：叁万元整</w:t>
            </w:r>
            <w:r>
              <w:rPr>
                <w:rFonts w:hint="eastAsia" w:ascii="宋体" w:hAnsi="宋体" w:eastAsia="宋体" w:cs="宋体"/>
                <w:snapToGrid w:val="0"/>
                <w:color w:val="auto"/>
                <w:spacing w:val="0"/>
                <w:kern w:val="0"/>
                <w:sz w:val="24"/>
                <w:szCs w:val="24"/>
                <w:highlight w:val="none"/>
                <w:lang w:val="en-US" w:eastAsia="zh-CN"/>
              </w:rPr>
              <w:t>（￥30000.00元）</w:t>
            </w:r>
          </w:p>
          <w:p w14:paraId="20FE3CBB">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收取投标保证金账号：80602000142101980617023</w:t>
            </w:r>
          </w:p>
          <w:p w14:paraId="54AA72C2">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账户名称：宝鸡市公共资源交易中心保证金专户</w:t>
            </w:r>
          </w:p>
          <w:p w14:paraId="052CE40C">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开户行：长安银行股份有限公司宝鸡分行营业部</w:t>
            </w:r>
          </w:p>
          <w:p w14:paraId="107F195F">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转账时请备注：17023</w:t>
            </w:r>
          </w:p>
          <w:p w14:paraId="1D5BC680">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投标保证金形式：电汇、转账（必须从其基本户转出）、保函等非现金方式，投标人的投标保证金须在投标截止时间前缴纳（以资金到账时间为确认保证金缴纳完毕时间）。</w:t>
            </w:r>
          </w:p>
          <w:p w14:paraId="6A44ED6E">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按以上要求提交保证金的投标人须将银行转账凭证/银行保函附在投标文件中（未按规定时间、金额缴纳投标保证金或未附票据的响应文件均视为无效标书）。</w:t>
            </w:r>
          </w:p>
        </w:tc>
      </w:tr>
      <w:tr w14:paraId="5613B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72" w:type="dxa"/>
            <w:shd w:val="clear" w:color="auto" w:fill="auto"/>
            <w:vAlign w:val="center"/>
          </w:tcPr>
          <w:p w14:paraId="5624EDB5">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5</w:t>
            </w:r>
          </w:p>
        </w:tc>
        <w:tc>
          <w:tcPr>
            <w:tcW w:w="1734" w:type="dxa"/>
            <w:shd w:val="clear" w:color="auto" w:fill="auto"/>
            <w:vAlign w:val="center"/>
          </w:tcPr>
          <w:p w14:paraId="39498B22">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color w:val="auto"/>
                <w:spacing w:val="0"/>
                <w:sz w:val="24"/>
                <w:szCs w:val="24"/>
                <w:highlight w:val="none"/>
              </w:rPr>
              <w:t>投标有效期</w:t>
            </w:r>
          </w:p>
        </w:tc>
        <w:tc>
          <w:tcPr>
            <w:tcW w:w="7124" w:type="dxa"/>
            <w:shd w:val="clear" w:color="auto" w:fill="auto"/>
            <w:vAlign w:val="center"/>
          </w:tcPr>
          <w:p w14:paraId="12471F48">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自投标截止时间之日起90日历天</w:t>
            </w:r>
          </w:p>
        </w:tc>
      </w:tr>
      <w:tr w14:paraId="4DE68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872" w:type="dxa"/>
            <w:shd w:val="clear" w:color="auto" w:fill="auto"/>
            <w:vAlign w:val="center"/>
          </w:tcPr>
          <w:p w14:paraId="763D7E35">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16</w:t>
            </w:r>
          </w:p>
        </w:tc>
        <w:tc>
          <w:tcPr>
            <w:tcW w:w="1734" w:type="dxa"/>
            <w:shd w:val="clear" w:color="auto" w:fill="auto"/>
            <w:vAlign w:val="center"/>
          </w:tcPr>
          <w:p w14:paraId="7E3FC65C">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备选投标方案</w:t>
            </w:r>
          </w:p>
        </w:tc>
        <w:tc>
          <w:tcPr>
            <w:tcW w:w="7124" w:type="dxa"/>
            <w:shd w:val="clear" w:color="auto" w:fill="auto"/>
            <w:vAlign w:val="center"/>
          </w:tcPr>
          <w:p w14:paraId="12886AB9">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不接受投标备选方案</w:t>
            </w:r>
          </w:p>
        </w:tc>
      </w:tr>
      <w:tr w14:paraId="2552D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jc w:val="center"/>
        </w:trPr>
        <w:tc>
          <w:tcPr>
            <w:tcW w:w="872" w:type="dxa"/>
            <w:shd w:val="clear" w:color="auto" w:fill="auto"/>
            <w:vAlign w:val="center"/>
          </w:tcPr>
          <w:p w14:paraId="2B38C941">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17</w:t>
            </w:r>
          </w:p>
        </w:tc>
        <w:tc>
          <w:tcPr>
            <w:tcW w:w="1734" w:type="dxa"/>
            <w:shd w:val="clear" w:color="auto" w:fill="auto"/>
            <w:vAlign w:val="center"/>
          </w:tcPr>
          <w:p w14:paraId="418E8FA7">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盖章签字</w:t>
            </w:r>
          </w:p>
        </w:tc>
        <w:tc>
          <w:tcPr>
            <w:tcW w:w="7124" w:type="dxa"/>
            <w:shd w:val="clear" w:color="auto" w:fill="auto"/>
            <w:vAlign w:val="center"/>
          </w:tcPr>
          <w:p w14:paraId="30672531">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14:paraId="1EF5A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872" w:type="dxa"/>
            <w:shd w:val="clear" w:color="auto" w:fill="auto"/>
            <w:vAlign w:val="center"/>
          </w:tcPr>
          <w:p w14:paraId="6824DE5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8</w:t>
            </w:r>
          </w:p>
        </w:tc>
        <w:tc>
          <w:tcPr>
            <w:tcW w:w="1734" w:type="dxa"/>
            <w:shd w:val="clear" w:color="auto" w:fill="auto"/>
            <w:vAlign w:val="center"/>
          </w:tcPr>
          <w:p w14:paraId="65DD3C52">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纸质版投标文件</w:t>
            </w:r>
          </w:p>
          <w:p w14:paraId="2EFC8CC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数量</w:t>
            </w:r>
          </w:p>
        </w:tc>
        <w:tc>
          <w:tcPr>
            <w:tcW w:w="7124" w:type="dxa"/>
            <w:shd w:val="clear" w:color="auto" w:fill="auto"/>
            <w:vAlign w:val="center"/>
          </w:tcPr>
          <w:p w14:paraId="6D1EFF2E">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纸质版投标文件只需由中标供应商提供。</w:t>
            </w:r>
          </w:p>
          <w:p w14:paraId="4FC5C9D9">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 xml:space="preserve">中标供应商在领取中标通知书时须向采购代理机构提交投标文件正本一份，副本两份，电子文件（U 盘）两份。提交的纸质投标文件须与网上上传的电子投标文件内容一致，若不一致导致的一切后果由投标人自负。 </w:t>
            </w:r>
          </w:p>
          <w:p w14:paraId="4FA7EB47">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中标供应商提供的正本和副本的封面上应清楚的标记“正本”或“副本”的字样。投标文件的正本与副本均应采用A4纸印刷，分别各自胶装成册，并编制目录和页码，不得采用活页装订。</w:t>
            </w:r>
          </w:p>
        </w:tc>
      </w:tr>
      <w:tr w14:paraId="3CC21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jc w:val="center"/>
        </w:trPr>
        <w:tc>
          <w:tcPr>
            <w:tcW w:w="872" w:type="dxa"/>
            <w:tcBorders>
              <w:bottom w:val="single" w:color="000000" w:sz="2" w:space="0"/>
            </w:tcBorders>
            <w:shd w:val="clear" w:color="auto" w:fill="auto"/>
            <w:vAlign w:val="center"/>
          </w:tcPr>
          <w:p w14:paraId="60969430">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19</w:t>
            </w:r>
          </w:p>
        </w:tc>
        <w:tc>
          <w:tcPr>
            <w:tcW w:w="1734" w:type="dxa"/>
            <w:tcBorders>
              <w:bottom w:val="single" w:color="000000" w:sz="2" w:space="0"/>
            </w:tcBorders>
            <w:shd w:val="clear" w:color="auto" w:fill="auto"/>
            <w:vAlign w:val="center"/>
          </w:tcPr>
          <w:p w14:paraId="1C8A1DF9">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评标委员会的组建</w:t>
            </w:r>
          </w:p>
        </w:tc>
        <w:tc>
          <w:tcPr>
            <w:tcW w:w="7124" w:type="dxa"/>
            <w:tcBorders>
              <w:bottom w:val="single" w:color="000000" w:sz="2" w:space="0"/>
            </w:tcBorders>
            <w:shd w:val="clear" w:color="auto" w:fill="auto"/>
            <w:vAlign w:val="center"/>
          </w:tcPr>
          <w:p w14:paraId="2C4F00CE">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评标委员会构成：</w:t>
            </w:r>
            <w:r>
              <w:rPr>
                <w:rFonts w:hint="eastAsia" w:ascii="宋体" w:hAnsi="宋体" w:eastAsia="宋体" w:cs="宋体"/>
                <w:snapToGrid w:val="0"/>
                <w:color w:val="auto"/>
                <w:spacing w:val="0"/>
                <w:kern w:val="0"/>
                <w:sz w:val="24"/>
                <w:szCs w:val="24"/>
                <w:highlight w:val="none"/>
                <w:u w:val="single"/>
                <w:lang w:val="en-US" w:eastAsia="zh-CN"/>
              </w:rPr>
              <w:t>7</w:t>
            </w:r>
            <w:r>
              <w:rPr>
                <w:rFonts w:hint="eastAsia" w:ascii="宋体" w:hAnsi="宋体" w:eastAsia="宋体" w:cs="宋体"/>
                <w:snapToGrid w:val="0"/>
                <w:color w:val="auto"/>
                <w:spacing w:val="0"/>
                <w:kern w:val="0"/>
                <w:sz w:val="24"/>
                <w:szCs w:val="24"/>
                <w:highlight w:val="none"/>
                <w:lang w:val="en-US" w:eastAsia="zh-CN"/>
              </w:rPr>
              <w:t>人，从陕西省政府采购评审专家库随机抽取6</w:t>
            </w:r>
            <w:bookmarkStart w:id="72" w:name="_GoBack"/>
            <w:bookmarkEnd w:id="72"/>
            <w:r>
              <w:rPr>
                <w:rFonts w:hint="eastAsia" w:ascii="宋体" w:hAnsi="宋体" w:eastAsia="宋体" w:cs="宋体"/>
                <w:snapToGrid w:val="0"/>
                <w:color w:val="auto"/>
                <w:spacing w:val="0"/>
                <w:kern w:val="0"/>
                <w:sz w:val="24"/>
                <w:szCs w:val="24"/>
                <w:highlight w:val="none"/>
                <w:lang w:val="en-US" w:eastAsia="zh-CN"/>
              </w:rPr>
              <w:t>人，采购人代表1人。</w:t>
            </w:r>
          </w:p>
        </w:tc>
      </w:tr>
      <w:tr w14:paraId="30A8E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jc w:val="center"/>
        </w:trPr>
        <w:tc>
          <w:tcPr>
            <w:tcW w:w="872" w:type="dxa"/>
            <w:shd w:val="clear" w:color="auto" w:fill="auto"/>
            <w:vAlign w:val="center"/>
          </w:tcPr>
          <w:p w14:paraId="5C6CC62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20</w:t>
            </w:r>
          </w:p>
        </w:tc>
        <w:tc>
          <w:tcPr>
            <w:tcW w:w="1734" w:type="dxa"/>
            <w:shd w:val="clear" w:color="auto" w:fill="auto"/>
            <w:vAlign w:val="center"/>
          </w:tcPr>
          <w:p w14:paraId="1EBF93D9">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lang w:val="en-US" w:eastAsia="zh-CN"/>
              </w:rPr>
              <w:t>结果公示</w:t>
            </w:r>
          </w:p>
        </w:tc>
        <w:tc>
          <w:tcPr>
            <w:tcW w:w="7124" w:type="dxa"/>
            <w:shd w:val="clear" w:color="auto" w:fill="auto"/>
            <w:vAlign w:val="center"/>
          </w:tcPr>
          <w:p w14:paraId="1B641F07">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 xml:space="preserve">公示媒体：陕西省政府采购网、全国公共资源交易平台（陕 </w:t>
            </w:r>
          </w:p>
          <w:p w14:paraId="0478993A">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西省宝鸡市）宝鸡市公共资源交易中心网</w:t>
            </w:r>
          </w:p>
          <w:p w14:paraId="32E02207">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公示期：1 个工作日</w:t>
            </w:r>
          </w:p>
        </w:tc>
      </w:tr>
      <w:tr w14:paraId="7DAA8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jc w:val="center"/>
        </w:trPr>
        <w:tc>
          <w:tcPr>
            <w:tcW w:w="872" w:type="dxa"/>
            <w:shd w:val="clear" w:color="auto" w:fill="auto"/>
            <w:vAlign w:val="center"/>
          </w:tcPr>
          <w:p w14:paraId="33273A8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21</w:t>
            </w:r>
          </w:p>
        </w:tc>
        <w:tc>
          <w:tcPr>
            <w:tcW w:w="1734" w:type="dxa"/>
            <w:shd w:val="clear" w:color="auto" w:fill="auto"/>
            <w:vAlign w:val="center"/>
          </w:tcPr>
          <w:p w14:paraId="5482C93F">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投标文件</w:t>
            </w:r>
            <w:r>
              <w:rPr>
                <w:rFonts w:hint="eastAsia" w:ascii="宋体" w:hAnsi="宋体" w:eastAsia="宋体" w:cs="宋体"/>
                <w:color w:val="auto"/>
                <w:spacing w:val="0"/>
                <w:sz w:val="24"/>
                <w:szCs w:val="24"/>
                <w:highlight w:val="none"/>
                <w:lang w:val="en-US" w:eastAsia="zh-CN"/>
              </w:rPr>
              <w:t>制作</w:t>
            </w:r>
          </w:p>
        </w:tc>
        <w:tc>
          <w:tcPr>
            <w:tcW w:w="7124" w:type="dxa"/>
            <w:shd w:val="clear" w:color="auto" w:fill="auto"/>
            <w:vAlign w:val="center"/>
          </w:tcPr>
          <w:p w14:paraId="2093D63C">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投标人在新点投标文件制作软件(陕西省公共资源)制作工具中生成加密电子投标文件后在投标截止时间前将投标文件上传至宝鸡市公共资源交易平台。</w:t>
            </w:r>
          </w:p>
        </w:tc>
      </w:tr>
      <w:tr w14:paraId="5DED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jc w:val="center"/>
        </w:trPr>
        <w:tc>
          <w:tcPr>
            <w:tcW w:w="872" w:type="dxa"/>
            <w:shd w:val="clear" w:color="auto" w:fill="auto"/>
            <w:vAlign w:val="center"/>
          </w:tcPr>
          <w:p w14:paraId="65FA7B11">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22</w:t>
            </w:r>
          </w:p>
        </w:tc>
        <w:tc>
          <w:tcPr>
            <w:tcW w:w="1734" w:type="dxa"/>
            <w:shd w:val="clear" w:color="auto" w:fill="auto"/>
            <w:vAlign w:val="center"/>
          </w:tcPr>
          <w:p w14:paraId="407F90B4">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z w:val="24"/>
                <w:szCs w:val="24"/>
                <w:highlight w:val="none"/>
                <w:lang w:val="en-US" w:eastAsia="zh-CN"/>
              </w:rPr>
              <w:t>是否为专门面向中小企业采购</w:t>
            </w:r>
          </w:p>
        </w:tc>
        <w:tc>
          <w:tcPr>
            <w:tcW w:w="7124" w:type="dxa"/>
            <w:shd w:val="clear" w:color="auto" w:fill="auto"/>
            <w:vAlign w:val="center"/>
          </w:tcPr>
          <w:p w14:paraId="5F6E5B1A">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否</w:t>
            </w:r>
          </w:p>
        </w:tc>
      </w:tr>
      <w:tr w14:paraId="2B8FF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872" w:type="dxa"/>
            <w:shd w:val="clear" w:color="auto" w:fill="auto"/>
            <w:vAlign w:val="center"/>
          </w:tcPr>
          <w:p w14:paraId="54D44183">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23</w:t>
            </w:r>
          </w:p>
        </w:tc>
        <w:tc>
          <w:tcPr>
            <w:tcW w:w="1734" w:type="dxa"/>
            <w:shd w:val="clear" w:color="auto" w:fill="auto"/>
            <w:vAlign w:val="center"/>
          </w:tcPr>
          <w:p w14:paraId="5C7880D2">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本项目采购标的对应的中小企业划分标准所属行业</w:t>
            </w:r>
          </w:p>
        </w:tc>
        <w:tc>
          <w:tcPr>
            <w:tcW w:w="7124" w:type="dxa"/>
            <w:shd w:val="clear" w:color="auto" w:fill="auto"/>
            <w:vAlign w:val="center"/>
          </w:tcPr>
          <w:p w14:paraId="2D3C7CAA">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工业</w:t>
            </w:r>
          </w:p>
        </w:tc>
      </w:tr>
      <w:tr w14:paraId="468E7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872" w:type="dxa"/>
            <w:shd w:val="clear" w:color="auto" w:fill="auto"/>
            <w:vAlign w:val="center"/>
          </w:tcPr>
          <w:p w14:paraId="690ADA15">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24</w:t>
            </w:r>
          </w:p>
        </w:tc>
        <w:tc>
          <w:tcPr>
            <w:tcW w:w="1734" w:type="dxa"/>
            <w:shd w:val="clear" w:color="auto" w:fill="auto"/>
            <w:vAlign w:val="center"/>
          </w:tcPr>
          <w:p w14:paraId="6F82601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中小企业划型标准规定</w:t>
            </w:r>
          </w:p>
        </w:tc>
        <w:tc>
          <w:tcPr>
            <w:tcW w:w="7124" w:type="dxa"/>
            <w:shd w:val="clear" w:color="auto" w:fill="auto"/>
            <w:vAlign w:val="center"/>
          </w:tcPr>
          <w:p w14:paraId="766261A3">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lang w:val="en-US" w:eastAsia="zh-CN"/>
              </w:rPr>
            </w:pPr>
            <w:r>
              <w:rPr>
                <w:rFonts w:hint="eastAsia" w:ascii="宋体" w:hAnsi="宋体" w:eastAsia="宋体" w:cs="宋体"/>
                <w:snapToGrid w:val="0"/>
                <w:color w:val="auto"/>
                <w:spacing w:val="0"/>
                <w:kern w:val="0"/>
                <w:sz w:val="24"/>
                <w:szCs w:val="24"/>
                <w:lang w:val="en-US"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BAA6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872" w:type="dxa"/>
            <w:shd w:val="clear" w:color="auto" w:fill="auto"/>
            <w:vAlign w:val="center"/>
          </w:tcPr>
          <w:p w14:paraId="107E68B5">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25</w:t>
            </w:r>
          </w:p>
        </w:tc>
        <w:tc>
          <w:tcPr>
            <w:tcW w:w="1734" w:type="dxa"/>
            <w:shd w:val="clear" w:color="auto" w:fill="auto"/>
            <w:vAlign w:val="center"/>
          </w:tcPr>
          <w:p w14:paraId="4118593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color w:val="auto"/>
                <w:spacing w:val="0"/>
                <w:sz w:val="24"/>
                <w:szCs w:val="24"/>
                <w:lang w:val="en-US" w:eastAsia="zh-CN"/>
              </w:rPr>
              <w:t>代理服务费</w:t>
            </w:r>
          </w:p>
        </w:tc>
        <w:tc>
          <w:tcPr>
            <w:tcW w:w="7124" w:type="dxa"/>
            <w:shd w:val="clear" w:color="auto" w:fill="auto"/>
            <w:vAlign w:val="center"/>
          </w:tcPr>
          <w:p w14:paraId="1AA752FE">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lang w:val="en-US" w:eastAsia="zh-CN"/>
              </w:rPr>
              <w:t>本项目代理服务费向中标供应商收取：参照原国家计委计价格〔2002〕1980号文和国家发改委发改办价格〔2003〕857号文的计算方法按标准下浮58%收取。</w:t>
            </w:r>
          </w:p>
        </w:tc>
      </w:tr>
    </w:tbl>
    <w:p w14:paraId="691886A3">
      <w:pPr>
        <w:keepNext w:val="0"/>
        <w:keepLines w:val="0"/>
        <w:kinsoku/>
        <w:overflowPunct/>
        <w:topLinePunct w:val="0"/>
        <w:bidi w:val="0"/>
        <w:rPr>
          <w:rFonts w:hint="default"/>
          <w:highlight w:val="none"/>
        </w:rPr>
      </w:pPr>
    </w:p>
    <w:p w14:paraId="19A8747F">
      <w:pPr>
        <w:keepNext w:val="0"/>
        <w:keepLines w:val="0"/>
        <w:pageBreakBefore/>
        <w:widowControl/>
        <w:kinsoku/>
        <w:wordWrap/>
        <w:overflowPunct/>
        <w:topLinePunct w:val="0"/>
        <w:autoSpaceDE w:val="0"/>
        <w:autoSpaceDN w:val="0"/>
        <w:bidi w:val="0"/>
        <w:adjustRightInd w:val="0"/>
        <w:snapToGrid w:val="0"/>
        <w:spacing w:line="360" w:lineRule="auto"/>
        <w:jc w:val="both"/>
        <w:textAlignment w:val="baseline"/>
        <w:outlineLvl w:val="1"/>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Times New Roman" w:cs="Times New Roman"/>
          <w:b/>
          <w:bCs/>
          <w:color w:val="auto"/>
          <w:spacing w:val="0"/>
          <w:sz w:val="24"/>
          <w:szCs w:val="24"/>
          <w:highlight w:val="none"/>
        </w:rPr>
        <w:t>B、</w:t>
      </w:r>
      <w:r>
        <w:rPr>
          <w:rFonts w:hint="default" w:ascii="Times New Roman" w:hAnsi="Times New Roman" w:eastAsia="宋体" w:cs="Times New Roman"/>
          <w:b/>
          <w:bCs/>
          <w:color w:val="auto"/>
          <w:spacing w:val="0"/>
          <w:sz w:val="24"/>
          <w:szCs w:val="24"/>
          <w:highlight w:val="none"/>
        </w:rPr>
        <w:t>投标人须知</w:t>
      </w:r>
      <w:r>
        <w:rPr>
          <w:rFonts w:hint="default" w:ascii="Times New Roman" w:hAnsi="Times New Roman" w:eastAsia="宋体" w:cs="Times New Roman"/>
          <w:b/>
          <w:bCs/>
          <w:color w:val="auto"/>
          <w:spacing w:val="0"/>
          <w:sz w:val="24"/>
          <w:szCs w:val="24"/>
          <w:highlight w:val="none"/>
          <w:lang w:val="en-US" w:eastAsia="zh-CN"/>
        </w:rPr>
        <w:t>正文部分</w:t>
      </w:r>
    </w:p>
    <w:p w14:paraId="56BD41B9">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一、名词解释</w:t>
      </w:r>
    </w:p>
    <w:p w14:paraId="699AECA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1、采购人：采购单位或委托采购单位的法人</w:t>
      </w:r>
      <w:r>
        <w:rPr>
          <w:rFonts w:hint="eastAsia" w:ascii="Times New Roman" w:hAnsi="Times New Roman" w:eastAsia="宋体" w:cs="Times New Roman"/>
          <w:color w:val="auto"/>
          <w:spacing w:val="0"/>
          <w:sz w:val="24"/>
          <w:szCs w:val="24"/>
          <w:highlight w:val="none"/>
          <w:lang w:eastAsia="zh-CN"/>
        </w:rPr>
        <w:t>组织</w:t>
      </w:r>
    </w:p>
    <w:p w14:paraId="5A86A73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2、监督管理机构：公共组织内设专门的行政监督机构</w:t>
      </w:r>
    </w:p>
    <w:p w14:paraId="0051FFB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3、采购代理机构：依法设立、受采购人委托代为</w:t>
      </w:r>
      <w:r>
        <w:rPr>
          <w:rFonts w:hint="default" w:ascii="Times New Roman" w:hAnsi="Times New Roman" w:eastAsia="宋体" w:cs="Times New Roman"/>
          <w:color w:val="auto"/>
          <w:spacing w:val="0"/>
          <w:sz w:val="24"/>
          <w:szCs w:val="24"/>
          <w:highlight w:val="none"/>
        </w:rPr>
        <w:fldChar w:fldCharType="begin"/>
      </w:r>
      <w:r>
        <w:rPr>
          <w:rFonts w:hint="default" w:ascii="Times New Roman" w:hAnsi="Times New Roman" w:eastAsia="宋体" w:cs="Times New Roman"/>
          <w:color w:val="auto"/>
          <w:spacing w:val="0"/>
          <w:sz w:val="24"/>
          <w:szCs w:val="24"/>
          <w:highlight w:val="none"/>
        </w:rPr>
        <w:instrText xml:space="preserve"> HYPERLINK "https://baike.baidu.com/item/%E7%BB%84%E7%BB%87/10200" </w:instrText>
      </w:r>
      <w:r>
        <w:rPr>
          <w:rFonts w:hint="default" w:ascii="Times New Roman" w:hAnsi="Times New Roman" w:eastAsia="宋体" w:cs="Times New Roman"/>
          <w:color w:val="auto"/>
          <w:spacing w:val="0"/>
          <w:sz w:val="24"/>
          <w:szCs w:val="24"/>
          <w:highlight w:val="none"/>
        </w:rPr>
        <w:fldChar w:fldCharType="separate"/>
      </w:r>
      <w:r>
        <w:rPr>
          <w:rFonts w:hint="default" w:ascii="Times New Roman" w:hAnsi="Times New Roman" w:eastAsia="宋体" w:cs="Times New Roman"/>
          <w:color w:val="auto"/>
          <w:spacing w:val="0"/>
          <w:sz w:val="24"/>
          <w:szCs w:val="24"/>
          <w:highlight w:val="none"/>
        </w:rPr>
        <w:t>组织</w:t>
      </w:r>
      <w:r>
        <w:rPr>
          <w:rFonts w:hint="default" w:ascii="Times New Roman" w:hAnsi="Times New Roman" w:eastAsia="宋体" w:cs="Times New Roman"/>
          <w:color w:val="auto"/>
          <w:spacing w:val="0"/>
          <w:sz w:val="24"/>
          <w:szCs w:val="24"/>
          <w:highlight w:val="none"/>
        </w:rPr>
        <w:fldChar w:fldCharType="end"/>
      </w:r>
      <w:r>
        <w:rPr>
          <w:rFonts w:hint="default" w:ascii="Times New Roman" w:hAnsi="Times New Roman" w:eastAsia="宋体" w:cs="Times New Roman"/>
          <w:color w:val="auto"/>
          <w:spacing w:val="0"/>
          <w:sz w:val="24"/>
          <w:szCs w:val="24"/>
          <w:highlight w:val="none"/>
        </w:rPr>
        <w:t>采购活动并提供相关服务的社会中介组织</w:t>
      </w:r>
    </w:p>
    <w:p w14:paraId="65AF98D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4、标书：招标文件与投标文件的统称</w:t>
      </w:r>
    </w:p>
    <w:p w14:paraId="6B8430F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5、投标人：响应招标并且符合招标文件规定资格条件和参加投标的法人、其他组织或者自然人。</w:t>
      </w:r>
    </w:p>
    <w:p w14:paraId="4AB55EE7">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二、招标文件</w:t>
      </w:r>
    </w:p>
    <w:p w14:paraId="5729620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1、招标文件的获取</w:t>
      </w:r>
    </w:p>
    <w:p w14:paraId="2550A34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具备本项目投标人资格要求的企业参加投标，</w:t>
      </w:r>
      <w:r>
        <w:rPr>
          <w:rFonts w:hint="default" w:ascii="Times New Roman" w:hAnsi="Times New Roman" w:eastAsia="宋体" w:cs="Times New Roman"/>
          <w:color w:val="auto"/>
          <w:spacing w:val="0"/>
          <w:sz w:val="24"/>
          <w:szCs w:val="24"/>
          <w:highlight w:val="none"/>
          <w:lang w:val="en-US" w:eastAsia="zh-CN"/>
        </w:rPr>
        <w:t>各投标人凭数字证书（陕西CA锁）自行登录全国公共资源交易平台（陕西省宝鸡市）宝鸡市公共资源交易中心（</w:t>
      </w:r>
      <w:r>
        <w:rPr>
          <w:rFonts w:hint="eastAsia" w:ascii="Times New Roman" w:hAnsi="Times New Roman" w:eastAsia="宋体" w:cs="Times New Roman"/>
          <w:color w:val="auto"/>
          <w:spacing w:val="0"/>
          <w:sz w:val="24"/>
          <w:szCs w:val="24"/>
          <w:highlight w:val="none"/>
          <w:lang w:val="en-US" w:eastAsia="zh-CN"/>
        </w:rPr>
        <w:t>http://ggzy.baoji.gov.cn/</w:t>
      </w:r>
      <w:r>
        <w:rPr>
          <w:rFonts w:hint="default" w:ascii="Times New Roman" w:hAnsi="Times New Roman" w:eastAsia="宋体" w:cs="Times New Roman"/>
          <w:color w:val="auto"/>
          <w:spacing w:val="0"/>
          <w:sz w:val="24"/>
          <w:szCs w:val="24"/>
          <w:highlight w:val="none"/>
          <w:lang w:val="en-US" w:eastAsia="zh-CN"/>
        </w:rPr>
        <w:t>）下载招标文件，仅作为本次投标使用。</w:t>
      </w:r>
    </w:p>
    <w:p w14:paraId="776C850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2、招标文件包括下列内容</w:t>
      </w:r>
      <w:r>
        <w:rPr>
          <w:rFonts w:hint="default" w:ascii="Times New Roman" w:hAnsi="Times New Roman" w:eastAsia="宋体" w:cs="Times New Roman"/>
          <w:color w:val="auto"/>
          <w:spacing w:val="0"/>
          <w:sz w:val="24"/>
          <w:szCs w:val="24"/>
          <w:highlight w:val="none"/>
          <w:lang w:eastAsia="zh-CN"/>
        </w:rPr>
        <w:t>：</w:t>
      </w:r>
    </w:p>
    <w:p w14:paraId="0D43688D">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rPr>
        <w:t>第一章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招标公告</w:t>
      </w:r>
    </w:p>
    <w:p w14:paraId="0B5C2F2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第二章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投标人须知及前附表</w:t>
      </w:r>
    </w:p>
    <w:p w14:paraId="26F74B4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第三章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lang w:val="en-US" w:eastAsia="zh-CN"/>
        </w:rPr>
        <w:t>招标</w:t>
      </w:r>
      <w:r>
        <w:rPr>
          <w:rFonts w:hint="default" w:ascii="Times New Roman" w:hAnsi="Times New Roman" w:eastAsia="宋体" w:cs="Times New Roman"/>
          <w:color w:val="auto"/>
          <w:spacing w:val="0"/>
          <w:sz w:val="24"/>
          <w:szCs w:val="24"/>
          <w:highlight w:val="none"/>
        </w:rPr>
        <w:t>内容及要求</w:t>
      </w:r>
    </w:p>
    <w:p w14:paraId="639CB43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第四章、商务要求</w:t>
      </w:r>
    </w:p>
    <w:p w14:paraId="708CF575">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w:t>
      </w:r>
      <w:r>
        <w:rPr>
          <w:rFonts w:hint="eastAsia" w:ascii="Times New Roman" w:hAnsi="Times New Roman" w:eastAsia="宋体" w:cs="Times New Roman"/>
          <w:color w:val="auto"/>
          <w:spacing w:val="0"/>
          <w:sz w:val="24"/>
          <w:szCs w:val="24"/>
          <w:highlight w:val="none"/>
          <w:lang w:val="en-US" w:eastAsia="zh-CN"/>
        </w:rPr>
        <w:t>五</w:t>
      </w:r>
      <w:r>
        <w:rPr>
          <w:rFonts w:hint="default" w:ascii="Times New Roman" w:hAnsi="Times New Roman" w:eastAsia="宋体" w:cs="Times New Roman"/>
          <w:color w:val="auto"/>
          <w:spacing w:val="0"/>
          <w:sz w:val="24"/>
          <w:szCs w:val="24"/>
          <w:highlight w:val="none"/>
        </w:rPr>
        <w:t>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合同文本</w:t>
      </w:r>
    </w:p>
    <w:p w14:paraId="0796DA2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w:t>
      </w:r>
      <w:r>
        <w:rPr>
          <w:rFonts w:hint="eastAsia" w:ascii="Times New Roman" w:hAnsi="Times New Roman" w:eastAsia="宋体" w:cs="Times New Roman"/>
          <w:color w:val="auto"/>
          <w:spacing w:val="0"/>
          <w:sz w:val="24"/>
          <w:szCs w:val="24"/>
          <w:highlight w:val="none"/>
          <w:lang w:val="en-US" w:eastAsia="zh-CN"/>
        </w:rPr>
        <w:t>六</w:t>
      </w:r>
      <w:r>
        <w:rPr>
          <w:rFonts w:hint="default" w:ascii="Times New Roman" w:hAnsi="Times New Roman" w:eastAsia="宋体" w:cs="Times New Roman"/>
          <w:color w:val="auto"/>
          <w:spacing w:val="0"/>
          <w:sz w:val="24"/>
          <w:szCs w:val="24"/>
          <w:highlight w:val="none"/>
        </w:rPr>
        <w:t>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投标文件构成及格式</w:t>
      </w:r>
    </w:p>
    <w:p w14:paraId="085094F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3、招标文件的检查及阅读</w:t>
      </w:r>
    </w:p>
    <w:p w14:paraId="69F1CFA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投标人获取招标文件后仔细检查招标文件中的所有内容。参加投标的投标人应仔细阅读招标文件中所有的事项、格式、条款和规范要求，在投标文件中对招标文件的各方面都作出实质性的响应，按照招标文件的要求提交全部资料。</w:t>
      </w:r>
    </w:p>
    <w:p w14:paraId="2452205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4、招标文件的澄清</w:t>
      </w:r>
    </w:p>
    <w:p w14:paraId="42B5677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任何要求对招标文件进行澄清的投标人，均应在投标文件递交截止前十日按招标文件中的通讯地址以书面形式通知采购代理机构，采购代理机构对收到的任何澄清要求将在收到投标人书面通知后三个工作日内予以答复，同时将以书面形式通知所有购买招标文件的投标人，涉及变更或修正内容在招标发布媒体上发布更正公告。</w:t>
      </w:r>
    </w:p>
    <w:p w14:paraId="3E906D7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5、招标文件的修改</w:t>
      </w:r>
    </w:p>
    <w:p w14:paraId="23991B9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5.1、在投标截止时间前十五日内，无论出于何种原因，招标组织机构可在职权范围内解答投标人提出的问题。</w:t>
      </w:r>
    </w:p>
    <w:p w14:paraId="777F5DE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5.2、招标文件的修改在投标截止时间前十五日内将以书面形式通知所有投标人，并作为招标文件的补充，与招标文件具有同等法律效力。</w:t>
      </w:r>
    </w:p>
    <w:p w14:paraId="578EF27A">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5.3、为使投标人编写投标文件时，有充分时间对招标文件的修改内容进行研究，招标组织机构可以酌情延长投标截止日期，并及时通知所有投标人。</w:t>
      </w:r>
    </w:p>
    <w:p w14:paraId="3BD1E77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5.4、招标文件的澄清或修改内容均以“电子交易平台”发出的内容为准。当招标文件的澄清、修改、补充等在同一内容的表述上不一致时，以最后发出的为准。所有补充文件将作为招标文件的组成部分，对所有投标人具有约束力。</w:t>
      </w:r>
    </w:p>
    <w:p w14:paraId="766CAAC4">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6、招标文件的解释权归采购人。</w:t>
      </w:r>
    </w:p>
    <w:p w14:paraId="63A36C9C">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三、招标的内容及要求</w:t>
      </w:r>
    </w:p>
    <w:p w14:paraId="03163875">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1、招标的内容：招标文件全部内容</w:t>
      </w:r>
    </w:p>
    <w:p w14:paraId="751727E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2、招标的要求</w:t>
      </w:r>
    </w:p>
    <w:p w14:paraId="2AD1D07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2.1、根据招标文件中的要求，结合实际情况，</w:t>
      </w:r>
      <w:r>
        <w:rPr>
          <w:rFonts w:hint="default" w:ascii="Times New Roman" w:hAnsi="Times New Roman" w:eastAsia="宋体" w:cs="Times New Roman"/>
          <w:color w:val="auto"/>
          <w:spacing w:val="0"/>
          <w:sz w:val="24"/>
          <w:szCs w:val="24"/>
          <w:highlight w:val="none"/>
          <w:lang w:val="en-US" w:eastAsia="zh-CN"/>
        </w:rPr>
        <w:t>进行</w:t>
      </w:r>
      <w:r>
        <w:rPr>
          <w:rFonts w:hint="eastAsia" w:ascii="Times New Roman" w:hAnsi="Times New Roman" w:eastAsia="宋体" w:cs="Times New Roman"/>
          <w:color w:val="auto"/>
          <w:spacing w:val="0"/>
          <w:sz w:val="24"/>
          <w:szCs w:val="24"/>
          <w:highlight w:val="none"/>
          <w:lang w:val="en-US" w:eastAsia="zh-CN"/>
        </w:rPr>
        <w:t>供货</w:t>
      </w:r>
      <w:r>
        <w:rPr>
          <w:rFonts w:hint="default" w:ascii="Times New Roman" w:hAnsi="Times New Roman" w:eastAsia="宋体" w:cs="Times New Roman"/>
          <w:color w:val="auto"/>
          <w:spacing w:val="0"/>
          <w:sz w:val="24"/>
          <w:szCs w:val="24"/>
          <w:highlight w:val="none"/>
          <w:lang w:val="en-US" w:eastAsia="zh-CN"/>
        </w:rPr>
        <w:t>，满足国家相关规范及招标要求。</w:t>
      </w:r>
    </w:p>
    <w:p w14:paraId="422334A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2.2、各投标人根据招标文件</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第</w:t>
      </w:r>
      <w:r>
        <w:rPr>
          <w:rFonts w:hint="default" w:ascii="Times New Roman" w:hAnsi="Times New Roman" w:eastAsia="宋体" w:cs="Times New Roman"/>
          <w:color w:val="auto"/>
          <w:spacing w:val="0"/>
          <w:sz w:val="24"/>
          <w:szCs w:val="24"/>
          <w:highlight w:val="none"/>
          <w:lang w:val="en-US" w:eastAsia="zh-CN"/>
        </w:rPr>
        <w:t>三</w:t>
      </w:r>
      <w:r>
        <w:rPr>
          <w:rFonts w:hint="default" w:ascii="Times New Roman" w:hAnsi="Times New Roman" w:eastAsia="宋体" w:cs="Times New Roman"/>
          <w:color w:val="auto"/>
          <w:spacing w:val="0"/>
          <w:sz w:val="24"/>
          <w:szCs w:val="24"/>
          <w:highlight w:val="none"/>
        </w:rPr>
        <w:t>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招标内容及要求</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编制投标文件，</w:t>
      </w:r>
      <w:r>
        <w:rPr>
          <w:rFonts w:hint="default" w:ascii="Times New Roman" w:hAnsi="Times New Roman" w:eastAsia="宋体" w:cs="Times New Roman"/>
          <w:color w:val="auto"/>
          <w:spacing w:val="0"/>
          <w:sz w:val="24"/>
          <w:szCs w:val="24"/>
          <w:highlight w:val="none"/>
          <w:lang w:val="en-US" w:eastAsia="zh-CN"/>
        </w:rPr>
        <w:t>达到招标要求的交货期限及标准要求。</w:t>
      </w:r>
    </w:p>
    <w:p w14:paraId="6A5E3DA0">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四、投标人资格证明文件</w:t>
      </w:r>
    </w:p>
    <w:p w14:paraId="3B92B82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投标人在编制投标文件时，应按新情况更新或补充其在资格审查时提供的资料，以证实其各项资格条件仍能继续满足要求，具备承担本项目的资质条件、能力和信誉。如投标人的经营、财务状况发生较大变化或者存在其他违法行为的，投标人应告知招标人。因投标人隐瞒造成招标人损失的，其后果由投标人承担。</w:t>
      </w:r>
    </w:p>
    <w:p w14:paraId="2F5693F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五、投标文件的编制及构成</w:t>
      </w:r>
    </w:p>
    <w:p w14:paraId="1A4FBD8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投标文件由以下内容、并按顺序以及提供的格式组成：具体内容格式根据招标文件</w:t>
      </w:r>
      <w:r>
        <w:rPr>
          <w:rFonts w:hint="eastAsia" w:ascii="Times New Roman" w:hAnsi="Times New Roman" w:eastAsia="宋体" w:cs="Times New Roman"/>
          <w:color w:val="auto"/>
          <w:spacing w:val="0"/>
          <w:sz w:val="24"/>
          <w:szCs w:val="24"/>
          <w:highlight w:val="none"/>
          <w:lang w:eastAsia="zh-CN"/>
        </w:rPr>
        <w:t>第六章《投标文件的构成及格式》</w:t>
      </w:r>
      <w:r>
        <w:rPr>
          <w:rFonts w:hint="default" w:ascii="Times New Roman" w:hAnsi="Times New Roman" w:eastAsia="宋体" w:cs="Times New Roman"/>
          <w:color w:val="auto"/>
          <w:spacing w:val="0"/>
          <w:sz w:val="24"/>
          <w:szCs w:val="24"/>
          <w:highlight w:val="none"/>
        </w:rPr>
        <w:t>编制</w:t>
      </w:r>
      <w:r>
        <w:rPr>
          <w:rFonts w:hint="default" w:ascii="Times New Roman" w:hAnsi="Times New Roman" w:eastAsia="宋体" w:cs="Times New Roman"/>
          <w:color w:val="auto"/>
          <w:spacing w:val="0"/>
          <w:sz w:val="24"/>
          <w:szCs w:val="24"/>
          <w:highlight w:val="none"/>
          <w:lang w:eastAsia="zh-CN"/>
        </w:rPr>
        <w:t>。</w:t>
      </w:r>
    </w:p>
    <w:p w14:paraId="4B4C287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文件目录：</w:t>
      </w:r>
    </w:p>
    <w:p w14:paraId="169649F6">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第一部分、资格证明文件</w:t>
      </w:r>
    </w:p>
    <w:p w14:paraId="794BC48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第二部分、符合性证明文件</w:t>
      </w:r>
    </w:p>
    <w:p w14:paraId="5FFBA74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第三部分、投标方案</w:t>
      </w:r>
    </w:p>
    <w:p w14:paraId="7A4823FA">
      <w:pPr>
        <w:pStyle w:val="8"/>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sz w:val="24"/>
          <w:szCs w:val="24"/>
          <w:highlight w:val="none"/>
        </w:rPr>
      </w:pPr>
    </w:p>
    <w:p w14:paraId="5393CEC5">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六、投标文件格式</w:t>
      </w:r>
    </w:p>
    <w:p w14:paraId="0B64BAB5">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1、投标人提供的投标文件应设置目录且逐页标注页码，格式表格不能满足时可按照格式表格扩展。</w:t>
      </w:r>
    </w:p>
    <w:p w14:paraId="7EA42A9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2、投标人应严格按招标文件第</w:t>
      </w:r>
      <w:r>
        <w:rPr>
          <w:rFonts w:hint="eastAsia" w:ascii="Times New Roman" w:hAnsi="Times New Roman" w:eastAsia="宋体" w:cs="Times New Roman"/>
          <w:color w:val="auto"/>
          <w:spacing w:val="0"/>
          <w:sz w:val="24"/>
          <w:szCs w:val="24"/>
          <w:highlight w:val="none"/>
          <w:lang w:val="en-US" w:eastAsia="zh-CN"/>
        </w:rPr>
        <w:t>六</w:t>
      </w:r>
      <w:r>
        <w:rPr>
          <w:rFonts w:hint="default" w:ascii="Times New Roman" w:hAnsi="Times New Roman" w:eastAsia="宋体" w:cs="Times New Roman"/>
          <w:color w:val="auto"/>
          <w:spacing w:val="0"/>
          <w:sz w:val="24"/>
          <w:szCs w:val="24"/>
          <w:highlight w:val="none"/>
        </w:rPr>
        <w:t>章提供的投标文件格式填写。</w:t>
      </w:r>
    </w:p>
    <w:p w14:paraId="1107D634">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七、投标报价</w:t>
      </w:r>
    </w:p>
    <w:p w14:paraId="5D8809D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1、各投标人在投标文件中，按照给定的格式(</w:t>
      </w:r>
      <w:r>
        <w:rPr>
          <w:rFonts w:hint="eastAsia" w:ascii="Times New Roman" w:hAnsi="Times New Roman" w:eastAsia="宋体" w:cs="Times New Roman"/>
          <w:color w:val="auto"/>
          <w:spacing w:val="0"/>
          <w:sz w:val="24"/>
          <w:szCs w:val="24"/>
          <w:highlight w:val="none"/>
          <w:lang w:val="en-US" w:eastAsia="zh-CN"/>
        </w:rPr>
        <w:t>开标</w:t>
      </w:r>
      <w:r>
        <w:rPr>
          <w:rFonts w:hint="default" w:ascii="Times New Roman" w:hAnsi="Times New Roman" w:eastAsia="宋体" w:cs="Times New Roman"/>
          <w:color w:val="auto"/>
          <w:spacing w:val="0"/>
          <w:sz w:val="24"/>
          <w:szCs w:val="24"/>
          <w:highlight w:val="none"/>
        </w:rPr>
        <w:t>一览表)分别报出</w:t>
      </w:r>
      <w:r>
        <w:rPr>
          <w:rFonts w:hint="eastAsia" w:ascii="Times New Roman" w:hAnsi="Times New Roman" w:eastAsia="宋体" w:cs="Times New Roman"/>
          <w:color w:val="auto"/>
          <w:spacing w:val="0"/>
          <w:sz w:val="24"/>
          <w:szCs w:val="24"/>
          <w:highlight w:val="none"/>
          <w:lang w:val="en-US" w:eastAsia="zh-CN"/>
        </w:rPr>
        <w:t>投标</w:t>
      </w:r>
      <w:r>
        <w:rPr>
          <w:rFonts w:hint="default" w:ascii="Times New Roman" w:hAnsi="Times New Roman" w:eastAsia="宋体" w:cs="Times New Roman"/>
          <w:color w:val="auto"/>
          <w:spacing w:val="0"/>
          <w:sz w:val="24"/>
          <w:szCs w:val="24"/>
          <w:highlight w:val="none"/>
        </w:rPr>
        <w:t>报价、</w:t>
      </w:r>
      <w:r>
        <w:rPr>
          <w:rFonts w:hint="eastAsia" w:ascii="Times New Roman" w:hAnsi="Times New Roman" w:eastAsia="宋体" w:cs="Times New Roman"/>
          <w:color w:val="auto"/>
          <w:spacing w:val="0"/>
          <w:sz w:val="24"/>
          <w:szCs w:val="24"/>
          <w:highlight w:val="none"/>
          <w:lang w:val="en-US" w:eastAsia="zh-CN"/>
        </w:rPr>
        <w:t>交货期</w:t>
      </w:r>
      <w:r>
        <w:rPr>
          <w:rFonts w:hint="default" w:ascii="Times New Roman" w:hAnsi="Times New Roman" w:eastAsia="宋体" w:cs="Times New Roman"/>
          <w:color w:val="auto"/>
          <w:spacing w:val="0"/>
          <w:sz w:val="24"/>
          <w:szCs w:val="24"/>
          <w:highlight w:val="none"/>
          <w:lang w:val="en-US" w:eastAsia="zh-CN"/>
        </w:rPr>
        <w:t>、</w:t>
      </w:r>
      <w:r>
        <w:rPr>
          <w:rFonts w:hint="eastAsia" w:ascii="Times New Roman" w:hAnsi="Times New Roman" w:eastAsia="宋体" w:cs="Times New Roman"/>
          <w:color w:val="auto"/>
          <w:spacing w:val="0"/>
          <w:sz w:val="24"/>
          <w:szCs w:val="24"/>
          <w:highlight w:val="none"/>
          <w:lang w:val="en-US" w:eastAsia="zh-CN"/>
        </w:rPr>
        <w:t>交货地点、质量标准</w:t>
      </w:r>
      <w:r>
        <w:rPr>
          <w:rFonts w:hint="default" w:ascii="Times New Roman" w:hAnsi="Times New Roman" w:eastAsia="宋体" w:cs="Times New Roman"/>
          <w:color w:val="auto"/>
          <w:spacing w:val="0"/>
          <w:sz w:val="24"/>
          <w:szCs w:val="24"/>
          <w:highlight w:val="none"/>
          <w:lang w:val="en-US" w:eastAsia="zh-CN"/>
        </w:rPr>
        <w:t>等内容</w:t>
      </w:r>
      <w:r>
        <w:rPr>
          <w:rFonts w:hint="default" w:ascii="Times New Roman" w:hAnsi="Times New Roman" w:eastAsia="宋体" w:cs="Times New Roman"/>
          <w:color w:val="auto"/>
          <w:spacing w:val="0"/>
          <w:sz w:val="24"/>
          <w:szCs w:val="24"/>
          <w:highlight w:val="none"/>
        </w:rPr>
        <w:t>。报价只允许报一个价，任何有选择的报价，招标组织机构不予接受。</w:t>
      </w:r>
    </w:p>
    <w:p w14:paraId="30CC224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w:t>
      </w:r>
      <w:r>
        <w:rPr>
          <w:rFonts w:hint="default" w:ascii="Times New Roman" w:hAnsi="Times New Roman" w:eastAsia="宋体" w:cs="Times New Roman"/>
          <w:color w:val="auto"/>
          <w:spacing w:val="0"/>
          <w:sz w:val="24"/>
          <w:szCs w:val="24"/>
          <w:highlight w:val="none"/>
          <w:lang w:val="en-US" w:eastAsia="zh-CN"/>
        </w:rPr>
        <w:t>招标</w:t>
      </w:r>
      <w:r>
        <w:rPr>
          <w:rFonts w:hint="default" w:ascii="Times New Roman" w:hAnsi="Times New Roman" w:eastAsia="宋体" w:cs="Times New Roman"/>
          <w:color w:val="auto"/>
          <w:spacing w:val="0"/>
          <w:sz w:val="24"/>
          <w:szCs w:val="24"/>
          <w:highlight w:val="none"/>
        </w:rPr>
        <w:t>内容以第</w:t>
      </w:r>
      <w:r>
        <w:rPr>
          <w:rFonts w:hint="default" w:ascii="Times New Roman" w:hAnsi="Times New Roman" w:eastAsia="宋体" w:cs="Times New Roman"/>
          <w:color w:val="auto"/>
          <w:spacing w:val="0"/>
          <w:sz w:val="24"/>
          <w:szCs w:val="24"/>
          <w:highlight w:val="none"/>
          <w:lang w:val="en-US" w:eastAsia="zh-CN"/>
        </w:rPr>
        <w:t>三</w:t>
      </w:r>
      <w:r>
        <w:rPr>
          <w:rFonts w:hint="default" w:ascii="Times New Roman" w:hAnsi="Times New Roman" w:eastAsia="宋体" w:cs="Times New Roman"/>
          <w:color w:val="auto"/>
          <w:spacing w:val="0"/>
          <w:sz w:val="24"/>
          <w:szCs w:val="24"/>
          <w:highlight w:val="none"/>
        </w:rPr>
        <w:t>章《招标内容及要求》的采购要求及招标文件说明为准。</w:t>
      </w:r>
    </w:p>
    <w:p w14:paraId="4D8A1B6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3、本项目以第</w:t>
      </w:r>
      <w:r>
        <w:rPr>
          <w:rFonts w:hint="default" w:ascii="Times New Roman" w:hAnsi="Times New Roman" w:eastAsia="宋体" w:cs="Times New Roman"/>
          <w:color w:val="auto"/>
          <w:spacing w:val="0"/>
          <w:sz w:val="24"/>
          <w:szCs w:val="24"/>
          <w:highlight w:val="none"/>
          <w:lang w:val="en-US" w:eastAsia="zh-CN"/>
        </w:rPr>
        <w:t>三</w:t>
      </w:r>
      <w:r>
        <w:rPr>
          <w:rFonts w:hint="default" w:ascii="Times New Roman" w:hAnsi="Times New Roman" w:eastAsia="宋体" w:cs="Times New Roman"/>
          <w:color w:val="auto"/>
          <w:spacing w:val="0"/>
          <w:sz w:val="24"/>
          <w:szCs w:val="24"/>
          <w:highlight w:val="none"/>
        </w:rPr>
        <w:t>章《招标内容及要求》的采购要求为准，</w:t>
      </w:r>
      <w:r>
        <w:rPr>
          <w:rFonts w:hint="default" w:ascii="Times New Roman" w:hAnsi="Times New Roman" w:eastAsia="宋体" w:cs="Times New Roman"/>
          <w:color w:val="auto"/>
          <w:spacing w:val="0"/>
          <w:sz w:val="24"/>
          <w:szCs w:val="24"/>
          <w:highlight w:val="none"/>
          <w:lang w:val="en-US" w:eastAsia="zh-CN"/>
        </w:rPr>
        <w:t>投标人</w:t>
      </w:r>
      <w:r>
        <w:rPr>
          <w:rFonts w:hint="default" w:ascii="Times New Roman" w:hAnsi="Times New Roman" w:eastAsia="宋体" w:cs="Times New Roman"/>
          <w:color w:val="auto"/>
          <w:spacing w:val="0"/>
          <w:sz w:val="24"/>
          <w:szCs w:val="24"/>
          <w:highlight w:val="none"/>
        </w:rPr>
        <w:t>报价</w:t>
      </w:r>
      <w:r>
        <w:rPr>
          <w:rFonts w:hint="default" w:ascii="Times New Roman" w:hAnsi="Times New Roman" w:eastAsia="宋体" w:cs="Times New Roman"/>
          <w:color w:val="auto"/>
          <w:spacing w:val="0"/>
          <w:sz w:val="24"/>
          <w:szCs w:val="24"/>
          <w:highlight w:val="none"/>
          <w:lang w:val="en-US" w:eastAsia="zh-CN"/>
        </w:rPr>
        <w:t>应</w:t>
      </w:r>
      <w:r>
        <w:rPr>
          <w:rFonts w:hint="default" w:ascii="Times New Roman" w:hAnsi="Times New Roman" w:eastAsia="宋体" w:cs="Times New Roman"/>
          <w:color w:val="auto"/>
          <w:spacing w:val="0"/>
          <w:sz w:val="24"/>
          <w:szCs w:val="24"/>
          <w:highlight w:val="none"/>
        </w:rPr>
        <w:t>根据自身情况自主报价。</w:t>
      </w:r>
    </w:p>
    <w:p w14:paraId="5CA5320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4、投标报价由投标人根据招标文件中第</w:t>
      </w:r>
      <w:r>
        <w:rPr>
          <w:rFonts w:hint="default" w:ascii="Times New Roman" w:hAnsi="Times New Roman" w:eastAsia="宋体" w:cs="Times New Roman"/>
          <w:color w:val="auto"/>
          <w:spacing w:val="0"/>
          <w:sz w:val="24"/>
          <w:szCs w:val="24"/>
          <w:highlight w:val="none"/>
          <w:lang w:val="en-US" w:eastAsia="zh-CN"/>
        </w:rPr>
        <w:t>三</w:t>
      </w:r>
      <w:r>
        <w:rPr>
          <w:rFonts w:hint="default" w:ascii="Times New Roman" w:hAnsi="Times New Roman" w:eastAsia="宋体" w:cs="Times New Roman"/>
          <w:color w:val="auto"/>
          <w:spacing w:val="0"/>
          <w:sz w:val="24"/>
          <w:szCs w:val="24"/>
          <w:highlight w:val="none"/>
        </w:rPr>
        <w:t>章《招标内容及要求》的采购要求及招标文件说明的全部内容和要求的格式，结合投标人自身技术力量、管理水平、市场价格行情自主编制。</w:t>
      </w:r>
    </w:p>
    <w:p w14:paraId="3DFAD8B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5、供应商的投标报价中</w:t>
      </w:r>
      <w:r>
        <w:rPr>
          <w:rFonts w:hint="eastAsia" w:ascii="Times New Roman" w:hAnsi="Times New Roman" w:eastAsia="宋体" w:cs="Times New Roman"/>
          <w:color w:val="auto"/>
          <w:spacing w:val="0"/>
          <w:sz w:val="24"/>
          <w:szCs w:val="24"/>
          <w:highlight w:val="none"/>
          <w:lang w:val="en-US" w:eastAsia="zh-CN"/>
        </w:rPr>
        <w:t>应</w:t>
      </w:r>
      <w:r>
        <w:rPr>
          <w:rFonts w:hint="default" w:ascii="Times New Roman" w:hAnsi="Times New Roman" w:eastAsia="宋体" w:cs="Times New Roman"/>
          <w:color w:val="auto"/>
          <w:spacing w:val="0"/>
          <w:sz w:val="24"/>
          <w:szCs w:val="24"/>
          <w:highlight w:val="none"/>
        </w:rPr>
        <w:t>包含完成本次招标所要求的货物及配套服务且验收合格的所有费用，包括但不限于产品费、仓储配送服务费、规费、税金、招标代理服务费等其他一切相关费用。</w:t>
      </w:r>
    </w:p>
    <w:p w14:paraId="23FEC6A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6、</w:t>
      </w:r>
      <w:r>
        <w:rPr>
          <w:rFonts w:hint="eastAsia" w:ascii="Times New Roman" w:hAnsi="Times New Roman" w:eastAsia="宋体" w:cs="Times New Roman"/>
          <w:color w:val="auto"/>
          <w:spacing w:val="0"/>
          <w:sz w:val="24"/>
          <w:szCs w:val="24"/>
          <w:highlight w:val="none"/>
          <w:lang w:val="en-US" w:eastAsia="zh-CN"/>
        </w:rPr>
        <w:t>投标</w:t>
      </w:r>
      <w:r>
        <w:rPr>
          <w:rFonts w:hint="default" w:ascii="Times New Roman" w:hAnsi="Times New Roman" w:eastAsia="宋体" w:cs="Times New Roman"/>
          <w:color w:val="auto"/>
          <w:spacing w:val="0"/>
          <w:sz w:val="24"/>
          <w:szCs w:val="24"/>
          <w:highlight w:val="none"/>
        </w:rPr>
        <w:t>报价为投标人在投标文件中提出的各项支付金额的</w:t>
      </w:r>
      <w:r>
        <w:rPr>
          <w:rFonts w:hint="eastAsia" w:ascii="Times New Roman" w:hAnsi="Times New Roman" w:eastAsia="宋体" w:cs="Times New Roman"/>
          <w:color w:val="auto"/>
          <w:spacing w:val="0"/>
          <w:sz w:val="24"/>
          <w:szCs w:val="24"/>
          <w:highlight w:val="none"/>
          <w:lang w:val="en-US" w:eastAsia="zh-CN"/>
        </w:rPr>
        <w:t>投标总价</w:t>
      </w:r>
      <w:r>
        <w:rPr>
          <w:rFonts w:hint="default" w:ascii="Times New Roman" w:hAnsi="Times New Roman" w:eastAsia="宋体" w:cs="Times New Roman"/>
          <w:color w:val="auto"/>
          <w:spacing w:val="0"/>
          <w:sz w:val="24"/>
          <w:szCs w:val="24"/>
          <w:highlight w:val="none"/>
        </w:rPr>
        <w:t>。</w:t>
      </w:r>
    </w:p>
    <w:p w14:paraId="02A135F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7、投标人的报价，应是完成招标项目范围的全部工作内容价格的体现。</w:t>
      </w:r>
    </w:p>
    <w:p w14:paraId="45BA4B4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8、参与投标的投标人在报价时，认为应取的费用均应包含在报价中，报价时，不论是否计取，招标人均按已取对待。</w:t>
      </w:r>
    </w:p>
    <w:p w14:paraId="29AB2E8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9、投标报价一览表中标明的价格，在合同执行过程中是固定不变的。</w:t>
      </w:r>
    </w:p>
    <w:p w14:paraId="3323CC0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10、凡因对招标文件阅读不深、理解不透、误解、疏漏、或因市场行情了解不清造成的后果和风险的责任和费用，均由各投标人自行负责。</w:t>
      </w:r>
    </w:p>
    <w:p w14:paraId="2A12CC1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11、报价货币：人民币；单位：元，精确到小数点后二位。</w:t>
      </w:r>
    </w:p>
    <w:p w14:paraId="73D6B6D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12、报价金额的小写与大写不相符时以大写为准。</w:t>
      </w:r>
    </w:p>
    <w:p w14:paraId="3A0028D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八、投标文件的编制</w:t>
      </w:r>
    </w:p>
    <w:p w14:paraId="48C87CC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1、投标文件格式</w:t>
      </w:r>
    </w:p>
    <w:p w14:paraId="3D73138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1.1、投标人应按照招标文件第</w:t>
      </w:r>
      <w:r>
        <w:rPr>
          <w:rFonts w:hint="eastAsia" w:ascii="Times New Roman" w:hAnsi="Times New Roman" w:eastAsia="宋体" w:cs="Times New Roman"/>
          <w:color w:val="auto"/>
          <w:spacing w:val="0"/>
          <w:sz w:val="24"/>
          <w:szCs w:val="24"/>
          <w:highlight w:val="none"/>
          <w:lang w:val="en-US" w:eastAsia="zh-CN"/>
        </w:rPr>
        <w:t>六</w:t>
      </w:r>
      <w:r>
        <w:rPr>
          <w:rFonts w:hint="default" w:ascii="Times New Roman" w:hAnsi="Times New Roman" w:eastAsia="宋体" w:cs="Times New Roman"/>
          <w:color w:val="auto"/>
          <w:spacing w:val="0"/>
          <w:sz w:val="24"/>
          <w:szCs w:val="24"/>
          <w:highlight w:val="none"/>
        </w:rPr>
        <w:t>章《投标文件的构成及格式》中的要求进行编写。</w:t>
      </w:r>
    </w:p>
    <w:p w14:paraId="0880A28D">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1.2、电子投标文件编制必须使用新点投标文件制作软件(陕西省公共资源)制作工具编制，投标文件制作工具可在宝鸡市公共资源交易中心网-服务指南-下载专区下载。请及时关注版本更新情况！</w:t>
      </w:r>
    </w:p>
    <w:p w14:paraId="0B5260B4">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1.3、电子投标文件必须对应上传至宝鸡市公共资源全程电子化交易平台指定</w:t>
      </w:r>
      <w:r>
        <w:rPr>
          <w:rFonts w:hint="eastAsia" w:ascii="Times New Roman" w:hAnsi="Times New Roman" w:eastAsia="宋体" w:cs="Times New Roman"/>
          <w:color w:val="auto"/>
          <w:spacing w:val="0"/>
          <w:sz w:val="24"/>
          <w:szCs w:val="24"/>
          <w:highlight w:val="none"/>
          <w:lang w:val="en-US" w:eastAsia="zh-CN"/>
        </w:rPr>
        <w:t>相关数据端口</w:t>
      </w:r>
      <w:r>
        <w:rPr>
          <w:rFonts w:hint="default" w:ascii="Times New Roman" w:hAnsi="Times New Roman" w:eastAsia="宋体" w:cs="Times New Roman"/>
          <w:color w:val="auto"/>
          <w:spacing w:val="0"/>
          <w:sz w:val="24"/>
          <w:szCs w:val="24"/>
          <w:highlight w:val="none"/>
        </w:rPr>
        <w:t>，如未按要求提供，导致与之相关的评分项不得分的，其责任由投标人自行承担。</w:t>
      </w:r>
    </w:p>
    <w:p w14:paraId="17DE9A8D">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1.4</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投标人提供的证明材料扫描件必须清晰有效，如因扫描件模糊不清评标委员会无法辨认导致不得分的，其责任由投标人自行承担。</w:t>
      </w:r>
    </w:p>
    <w:p w14:paraId="65FB6E7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2、投标文件签署</w:t>
      </w:r>
    </w:p>
    <w:p w14:paraId="65DEFB9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2.1、投标文件必须加盖单位公章，由投标人法定代表人或经法人授权有约束力的投标人代表签字</w:t>
      </w:r>
      <w:r>
        <w:rPr>
          <w:rFonts w:hint="default" w:ascii="Times New Roman" w:hAnsi="Times New Roman" w:eastAsia="宋体" w:cs="Times New Roman"/>
          <w:color w:val="auto"/>
          <w:spacing w:val="0"/>
          <w:sz w:val="24"/>
          <w:szCs w:val="24"/>
          <w:highlight w:val="none"/>
          <w:lang w:val="en-US" w:eastAsia="zh-CN"/>
        </w:rPr>
        <w:t>或盖章</w:t>
      </w:r>
      <w:r>
        <w:rPr>
          <w:rFonts w:hint="default" w:ascii="Times New Roman" w:hAnsi="Times New Roman" w:eastAsia="宋体" w:cs="Times New Roman"/>
          <w:color w:val="auto"/>
          <w:spacing w:val="0"/>
          <w:sz w:val="24"/>
          <w:szCs w:val="24"/>
          <w:highlight w:val="none"/>
        </w:rPr>
        <w:t>。</w:t>
      </w:r>
    </w:p>
    <w:p w14:paraId="5EF544FC">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2.2、除投标人对错处作必要修改外，投标文件不得行间插字、涂改和增删，如有修改错漏处，必须由投标人的法定代表人或其被授权人签字或盖章。</w:t>
      </w:r>
    </w:p>
    <w:p w14:paraId="1A033E36">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3、投标文件有效期</w:t>
      </w:r>
    </w:p>
    <w:p w14:paraId="36FB447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投标文件有效期为自投标截止时间之日起90日历天。如中标，延长至合同执行完毕时止。</w:t>
      </w:r>
    </w:p>
    <w:p w14:paraId="0209CA82">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九、投标保证金</w:t>
      </w:r>
    </w:p>
    <w:p w14:paraId="7981043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1、对于未能按要求提交投标保证金的投标单位，采购人将视为不响应招标而予以拒绝。</w:t>
      </w:r>
    </w:p>
    <w:p w14:paraId="5BDA88C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2、如投标单位有下列情况之一者，将不予退还投标保证金：</w:t>
      </w:r>
    </w:p>
    <w:p w14:paraId="7C29AE7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2.1、投标单位在投标有效期内撤回其投标文件；</w:t>
      </w:r>
    </w:p>
    <w:p w14:paraId="685F114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2.2、中标人接到中标通知书后</w:t>
      </w:r>
      <w:r>
        <w:rPr>
          <w:rFonts w:hint="eastAsia" w:ascii="Times New Roman" w:hAnsi="Times New Roman" w:eastAsia="宋体" w:cs="Times New Roman"/>
          <w:color w:val="auto"/>
          <w:spacing w:val="0"/>
          <w:sz w:val="24"/>
          <w:szCs w:val="24"/>
          <w:highlight w:val="none"/>
          <w:lang w:val="en-US" w:eastAsia="zh-CN"/>
        </w:rPr>
        <w:t>无正当理由</w:t>
      </w:r>
      <w:r>
        <w:rPr>
          <w:rFonts w:hint="default" w:ascii="Times New Roman" w:hAnsi="Times New Roman" w:eastAsia="宋体" w:cs="Times New Roman"/>
          <w:color w:val="auto"/>
          <w:spacing w:val="0"/>
          <w:sz w:val="24"/>
          <w:szCs w:val="24"/>
          <w:highlight w:val="none"/>
        </w:rPr>
        <w:t>拒绝与采购人签订合同；</w:t>
      </w:r>
    </w:p>
    <w:p w14:paraId="26EFC4A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2.3、投标人提交了投标保证金，但无故未投标的；</w:t>
      </w:r>
    </w:p>
    <w:p w14:paraId="3E774516">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2.4、在投标过程中串通、哄抬标价等不正当活动被查处的。</w:t>
      </w:r>
    </w:p>
    <w:p w14:paraId="464B3BB2">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十、投标文件的递交</w:t>
      </w:r>
    </w:p>
    <w:p w14:paraId="6B343C0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1、投标文件的递交</w:t>
      </w:r>
    </w:p>
    <w:p w14:paraId="4FD037F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投标人在新点投标文件软件(陕西省公共资源)制作工具中生成加密</w:t>
      </w:r>
      <w:r>
        <w:rPr>
          <w:rFonts w:hint="default" w:ascii="Times New Roman" w:hAnsi="Times New Roman" w:eastAsia="宋体" w:cs="Times New Roman"/>
          <w:color w:val="auto"/>
          <w:spacing w:val="0"/>
          <w:sz w:val="24"/>
          <w:szCs w:val="24"/>
          <w:highlight w:val="none"/>
          <w:lang w:val="en-US" w:eastAsia="zh-CN"/>
        </w:rPr>
        <w:t>版</w:t>
      </w:r>
      <w:r>
        <w:rPr>
          <w:rFonts w:hint="default" w:ascii="Times New Roman" w:hAnsi="Times New Roman" w:eastAsia="宋体" w:cs="Times New Roman"/>
          <w:color w:val="auto"/>
          <w:spacing w:val="0"/>
          <w:sz w:val="24"/>
          <w:szCs w:val="24"/>
          <w:highlight w:val="none"/>
        </w:rPr>
        <w:t>电子投标文件后即可将投标文件上传至全国公共资源交易平台(陕西省·宝鸡市)(http://ggzy.baoji.gov.cn/)。投标人应在招标文件中规定的投标文件提交截止时间前完成网上电子</w:t>
      </w:r>
      <w:r>
        <w:rPr>
          <w:rFonts w:hint="default" w:ascii="Times New Roman" w:hAnsi="Times New Roman" w:eastAsia="宋体" w:cs="Times New Roman"/>
          <w:color w:val="auto"/>
          <w:spacing w:val="0"/>
          <w:sz w:val="24"/>
          <w:szCs w:val="24"/>
          <w:highlight w:val="none"/>
          <w:lang w:val="en-US" w:eastAsia="zh-CN"/>
        </w:rPr>
        <w:t>投标</w:t>
      </w:r>
      <w:r>
        <w:rPr>
          <w:rFonts w:hint="default" w:ascii="Times New Roman" w:hAnsi="Times New Roman" w:eastAsia="宋体" w:cs="Times New Roman"/>
          <w:color w:val="auto"/>
          <w:spacing w:val="0"/>
          <w:sz w:val="24"/>
          <w:szCs w:val="24"/>
          <w:highlight w:val="none"/>
        </w:rPr>
        <w:t>文件的上传。</w:t>
      </w:r>
    </w:p>
    <w:p w14:paraId="454BAF2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、投标人有下列情况之一者将视为无效：</w:t>
      </w:r>
    </w:p>
    <w:p w14:paraId="2AD9051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.1、投标文件未按本招标文件规定的截止时间</w:t>
      </w:r>
      <w:r>
        <w:rPr>
          <w:rFonts w:hint="eastAsia" w:ascii="Times New Roman" w:hAnsi="Times New Roman" w:eastAsia="宋体" w:cs="Times New Roman"/>
          <w:color w:val="auto"/>
          <w:spacing w:val="0"/>
          <w:sz w:val="24"/>
          <w:szCs w:val="24"/>
          <w:highlight w:val="none"/>
          <w:lang w:val="en-US" w:eastAsia="zh-CN"/>
        </w:rPr>
        <w:t>加密上传</w:t>
      </w:r>
      <w:r>
        <w:rPr>
          <w:rFonts w:hint="default" w:ascii="Times New Roman" w:hAnsi="Times New Roman" w:eastAsia="宋体" w:cs="Times New Roman"/>
          <w:color w:val="auto"/>
          <w:spacing w:val="0"/>
          <w:sz w:val="24"/>
          <w:szCs w:val="24"/>
          <w:highlight w:val="none"/>
        </w:rPr>
        <w:t>的；</w:t>
      </w:r>
    </w:p>
    <w:p w14:paraId="0086866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.2、投标文件未按规定加盖投标人公章及法定代表人印鉴；</w:t>
      </w:r>
    </w:p>
    <w:p w14:paraId="1658D3A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.3、投标人未按照文件的要求缴纳投标保证金；未在投标文件中附银行转账凭证的；</w:t>
      </w:r>
    </w:p>
    <w:p w14:paraId="655C054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.4、投标文件上传格式不正确的；投标文件修改处未加盖法定代表人或委托代表人印鉴的；</w:t>
      </w:r>
    </w:p>
    <w:p w14:paraId="3F7BC63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.5、参会人员</w:t>
      </w:r>
      <w:r>
        <w:rPr>
          <w:rFonts w:hint="eastAsia" w:ascii="Times New Roman" w:hAnsi="Times New Roman" w:eastAsia="宋体" w:cs="Times New Roman"/>
          <w:color w:val="auto"/>
          <w:spacing w:val="0"/>
          <w:sz w:val="24"/>
          <w:szCs w:val="24"/>
          <w:highlight w:val="none"/>
          <w:lang w:val="en-US" w:eastAsia="zh-CN"/>
        </w:rPr>
        <w:t>开标时未在规定解密时间内解密成功</w:t>
      </w:r>
      <w:r>
        <w:rPr>
          <w:rFonts w:hint="default" w:ascii="Times New Roman" w:hAnsi="Times New Roman" w:eastAsia="宋体" w:cs="Times New Roman"/>
          <w:color w:val="auto"/>
          <w:spacing w:val="0"/>
          <w:sz w:val="24"/>
          <w:szCs w:val="24"/>
          <w:highlight w:val="none"/>
        </w:rPr>
        <w:t>；</w:t>
      </w:r>
    </w:p>
    <w:p w14:paraId="38C0AC0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w:t>
      </w:r>
      <w:r>
        <w:rPr>
          <w:rFonts w:hint="eastAsia" w:ascii="Times New Roman" w:hAnsi="Times New Roman" w:eastAsia="宋体" w:cs="Times New Roman"/>
          <w:color w:val="auto"/>
          <w:spacing w:val="0"/>
          <w:sz w:val="24"/>
          <w:szCs w:val="24"/>
          <w:highlight w:val="none"/>
          <w:lang w:val="en-US" w:eastAsia="zh-CN"/>
        </w:rPr>
        <w:t>6</w:t>
      </w:r>
      <w:r>
        <w:rPr>
          <w:rFonts w:hint="default" w:ascii="Times New Roman" w:hAnsi="Times New Roman" w:eastAsia="宋体" w:cs="Times New Roman"/>
          <w:color w:val="auto"/>
          <w:spacing w:val="0"/>
          <w:sz w:val="24"/>
          <w:szCs w:val="24"/>
          <w:highlight w:val="none"/>
        </w:rPr>
        <w:t>、投标文件中投标报价</w:t>
      </w:r>
      <w:r>
        <w:rPr>
          <w:rFonts w:hint="eastAsia" w:ascii="Times New Roman" w:hAnsi="Times New Roman" w:eastAsia="宋体" w:cs="Times New Roman"/>
          <w:color w:val="auto"/>
          <w:spacing w:val="0"/>
          <w:sz w:val="24"/>
          <w:szCs w:val="24"/>
          <w:highlight w:val="none"/>
          <w:lang w:val="en-US" w:eastAsia="zh-CN"/>
        </w:rPr>
        <w:t>高于最高限价或</w:t>
      </w:r>
      <w:r>
        <w:rPr>
          <w:rFonts w:hint="default" w:ascii="Times New Roman" w:hAnsi="Times New Roman" w:eastAsia="宋体" w:cs="Times New Roman"/>
          <w:color w:val="auto"/>
          <w:spacing w:val="0"/>
          <w:sz w:val="24"/>
          <w:szCs w:val="24"/>
          <w:highlight w:val="none"/>
        </w:rPr>
        <w:t>招标控制价的。</w:t>
      </w:r>
    </w:p>
    <w:p w14:paraId="757ADDF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3</w:t>
      </w:r>
      <w:r>
        <w:rPr>
          <w:rFonts w:hint="default" w:ascii="Times New Roman" w:hAnsi="Times New Roman" w:eastAsia="宋体" w:cs="Times New Roman"/>
          <w:color w:val="auto"/>
          <w:spacing w:val="0"/>
          <w:sz w:val="24"/>
          <w:szCs w:val="24"/>
          <w:highlight w:val="none"/>
        </w:rPr>
        <w:t>、投标人在上传电子投标文件后可以对其修改或撤回，但这种修改和撤回，必须在规定的开标时间之前。</w:t>
      </w:r>
    </w:p>
    <w:p w14:paraId="1A81D31A">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4</w:t>
      </w:r>
      <w:r>
        <w:rPr>
          <w:rFonts w:hint="default" w:ascii="Times New Roman" w:hAnsi="Times New Roman" w:eastAsia="宋体" w:cs="Times New Roman"/>
          <w:color w:val="auto"/>
          <w:spacing w:val="0"/>
          <w:sz w:val="24"/>
          <w:szCs w:val="24"/>
          <w:highlight w:val="none"/>
        </w:rPr>
        <w:t>、对于电子投标文件的修改，投标人可在投标截止时间前登录电子交易平台撤回电子投标文件，并上传新的电子投标文件。电子投标文件以最终完成上传的为准。</w:t>
      </w:r>
    </w:p>
    <w:p w14:paraId="51F47E08">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十一、开标和评标</w:t>
      </w:r>
    </w:p>
    <w:p w14:paraId="0667E4A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1、采购代理机构组织招标、开标、评标工作，整个过程受监管机构的监督、管理。</w:t>
      </w:r>
    </w:p>
    <w:p w14:paraId="3DFDA44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为了确保评标工作的公平、公正，依据《中华人民共和国招标投标法》《中华人民共和国政府采购法》和招标之相关法规、法令，成立评标委员会，评标委员会由相关专家共五人组成。评标专家在陕西省政府采购专家库中随机抽取。</w:t>
      </w:r>
    </w:p>
    <w:p w14:paraId="2AD9ACF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采购人或采购代理机构将按照招标文件中的要求组织本项目的“不见面交易”活动。投标人仅需在任意地点通过登录“宝鸡市公共资源交易不见面开标大厅”参加开标会议。参加开标的代表应在系统中签名报到以证明其出席。</w:t>
      </w:r>
    </w:p>
    <w:p w14:paraId="5FC4423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4、开标时，采购代理机构对经检查的有效投标文件，依据投标顺序，以公开唱标的形式，将投标报价一览表的内容公布。</w:t>
      </w:r>
    </w:p>
    <w:p w14:paraId="3B558E6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5、开标后，直到向中标的投标人授予合同为止，凡与审查、投标、澄清、评标过程中的所有资料和内容，评标人均不得向投标人及与评标无关的其他人透露。</w:t>
      </w:r>
    </w:p>
    <w:p w14:paraId="302540E6">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十二、评标方法及标准</w:t>
      </w:r>
    </w:p>
    <w:p w14:paraId="76FD41CA">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1.评标方法</w:t>
      </w:r>
    </w:p>
    <w:p w14:paraId="6CAD986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1.1</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采用综合评分法。</w:t>
      </w:r>
    </w:p>
    <w:p w14:paraId="030D072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1.2</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综合评分法的评</w:t>
      </w:r>
      <w:r>
        <w:rPr>
          <w:rFonts w:hint="eastAsia" w:ascii="Times New Roman" w:hAnsi="Times New Roman" w:eastAsia="宋体" w:cs="Times New Roman"/>
          <w:color w:val="auto"/>
          <w:spacing w:val="0"/>
          <w:sz w:val="24"/>
          <w:szCs w:val="24"/>
          <w:highlight w:val="none"/>
          <w:lang w:val="en-US" w:eastAsia="zh-CN"/>
        </w:rPr>
        <w:t>审</w:t>
      </w:r>
      <w:r>
        <w:rPr>
          <w:rFonts w:hint="default" w:ascii="Times New Roman" w:hAnsi="Times New Roman" w:eastAsia="宋体" w:cs="Times New Roman"/>
          <w:color w:val="auto"/>
          <w:spacing w:val="0"/>
          <w:sz w:val="24"/>
          <w:szCs w:val="24"/>
          <w:highlight w:val="none"/>
        </w:rPr>
        <w:t>因素、分值设置、评审标准，详见《评标要素一览表》。</w:t>
      </w:r>
    </w:p>
    <w:p w14:paraId="5A90BC94">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2.评标工作程序按下列步骤进行，前一步骤评审不合格的，不得进入下一步评审。</w:t>
      </w:r>
    </w:p>
    <w:p w14:paraId="2872D09A">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2.1</w:t>
      </w:r>
      <w:r>
        <w:rPr>
          <w:rFonts w:hint="default" w:ascii="Times New Roman" w:hAnsi="Times New Roman" w:eastAsia="宋体" w:cs="Times New Roman"/>
          <w:color w:val="000000" w:themeColor="text1"/>
          <w:spacing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资格性评审。</w:t>
      </w:r>
    </w:p>
    <w:p w14:paraId="788E3326">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资格性评审：</w:t>
      </w:r>
      <w:r>
        <w:rPr>
          <w:rFonts w:hint="eastAsia" w:ascii="Times New Roman" w:hAnsi="Times New Roman" w:eastAsia="宋体" w:cs="Times New Roman"/>
          <w:color w:val="auto"/>
          <w:spacing w:val="0"/>
          <w:sz w:val="24"/>
          <w:szCs w:val="24"/>
          <w:highlight w:val="none"/>
          <w:lang w:val="en-US" w:eastAsia="zh-CN"/>
        </w:rPr>
        <w:t>采购人</w:t>
      </w:r>
      <w:r>
        <w:rPr>
          <w:rFonts w:hint="default" w:ascii="Times New Roman" w:hAnsi="Times New Roman" w:eastAsia="宋体" w:cs="Times New Roman"/>
          <w:color w:val="auto"/>
          <w:spacing w:val="0"/>
          <w:sz w:val="24"/>
          <w:szCs w:val="24"/>
          <w:highlight w:val="none"/>
          <w:lang w:val="en-US" w:eastAsia="zh-CN"/>
        </w:rPr>
        <w:t>依据法律法规和招标文件的规定，对投标文件中的资格证明文件进行审查，审查内容为公告中所列的供应商资格条件。</w:t>
      </w:r>
    </w:p>
    <w:p w14:paraId="1DDDD67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合同包1(超高端心血管及超高端便携彩色多普勒超声诊断仪)</w:t>
      </w:r>
      <w:r>
        <w:rPr>
          <w:rFonts w:hint="eastAsia" w:ascii="宋体" w:hAnsi="宋体" w:eastAsia="宋体" w:cs="宋体"/>
          <w:i w:val="0"/>
          <w:iCs w:val="0"/>
          <w:caps w:val="0"/>
          <w:color w:val="auto"/>
          <w:spacing w:val="0"/>
          <w:sz w:val="24"/>
          <w:szCs w:val="24"/>
          <w:highlight w:val="none"/>
          <w:shd w:val="clear" w:fill="FFFFFF"/>
        </w:rPr>
        <w:t>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35EAEC8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投标人具有独立承担民事责任的能力（包括企业法人、事业法人、其他组织或自然人，企业法人应提供具有统一社会信用代码的营业执照等证明文件；事业法人应提供事业单位法人证等证明文件；其他组织应提供合法证明文件；自然人提供身份证明文件）；</w:t>
      </w:r>
    </w:p>
    <w:p w14:paraId="40DB59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投标人应授权合法的人员参加投标全过程，其中法定代表人直接参加投标的，须出具法定代表人身份证明，并与营业执照上信息一致；法定代表人授权代表参加投标的，须出具法定代表人授权书（附法定代表人、被授权代表身份证复印件）</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授权代表本单位证明（投标截止前三个月的养老保险缴纳证明或劳动合同）；</w:t>
      </w:r>
    </w:p>
    <w:p w14:paraId="1E0B4A3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（3）投标人为经销商的应具有《医疗器械经营许可证》或《经营备案凭证》（投标产品须在其经营范围内）</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并提供</w:t>
      </w:r>
      <w:r>
        <w:rPr>
          <w:rFonts w:hint="eastAsia" w:ascii="宋体" w:hAnsi="宋体" w:eastAsia="宋体" w:cs="宋体"/>
          <w:i w:val="0"/>
          <w:iCs w:val="0"/>
          <w:caps w:val="0"/>
          <w:color w:val="auto"/>
          <w:spacing w:val="0"/>
          <w:sz w:val="24"/>
          <w:szCs w:val="24"/>
          <w:highlight w:val="none"/>
          <w:shd w:val="clear" w:fill="FFFFFF"/>
        </w:rPr>
        <w:t>制造厂家《医疗器械生产许可证》（投标产品须在其生产范围内）；投标人为制造厂家应具有《医疗器械生产许可证》（投标产品须在其生产范围内），具有《医疗器械经营许可证》或《经营备案凭证》（投标产品须在其经营范围内）；</w:t>
      </w:r>
      <w:r>
        <w:rPr>
          <w:rFonts w:hint="eastAsia" w:ascii="宋体" w:hAnsi="宋体" w:eastAsia="宋体" w:cs="宋体"/>
          <w:i w:val="0"/>
          <w:iCs w:val="0"/>
          <w:caps w:val="0"/>
          <w:color w:val="auto"/>
          <w:spacing w:val="0"/>
          <w:sz w:val="24"/>
          <w:szCs w:val="24"/>
          <w:highlight w:val="none"/>
          <w:shd w:val="clear" w:fill="FFFFFF"/>
          <w:lang w:val="en-US" w:eastAsia="zh-CN"/>
        </w:rPr>
        <w:t>注：进口产品无须提供</w:t>
      </w:r>
      <w:r>
        <w:rPr>
          <w:rFonts w:hint="eastAsia" w:ascii="宋体" w:hAnsi="宋体" w:eastAsia="宋体" w:cs="宋体"/>
          <w:i w:val="0"/>
          <w:iCs w:val="0"/>
          <w:caps w:val="0"/>
          <w:color w:val="auto"/>
          <w:spacing w:val="0"/>
          <w:sz w:val="24"/>
          <w:szCs w:val="24"/>
          <w:highlight w:val="none"/>
          <w:shd w:val="clear" w:fill="FFFFFF"/>
        </w:rPr>
        <w:t>《医疗器械生产许可证》</w:t>
      </w:r>
      <w:r>
        <w:rPr>
          <w:rFonts w:hint="eastAsia" w:ascii="宋体" w:hAnsi="宋体" w:eastAsia="宋体" w:cs="宋体"/>
          <w:i w:val="0"/>
          <w:iCs w:val="0"/>
          <w:caps w:val="0"/>
          <w:color w:val="auto"/>
          <w:spacing w:val="0"/>
          <w:sz w:val="24"/>
          <w:szCs w:val="24"/>
          <w:highlight w:val="none"/>
          <w:shd w:val="clear" w:fill="FFFFFF"/>
          <w:lang w:eastAsia="zh-CN"/>
        </w:rPr>
        <w:t>。</w:t>
      </w:r>
    </w:p>
    <w:p w14:paraId="0A925C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lang w:eastAsia="zh-CN"/>
        </w:rPr>
        <w:t>）投标产品属于医疗器械管理范围的须提供医疗器械注册证；</w:t>
      </w:r>
    </w:p>
    <w:p w14:paraId="6AEF3D5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lang w:eastAsia="zh-CN"/>
        </w:rPr>
        <w:t>）投标产品属于进口产品须提供制造商授权书及相应的完整授权链；</w:t>
      </w:r>
    </w:p>
    <w:p w14:paraId="40E86DB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投标人须提供2024年度具有财务审计资质的单位出具的完整财务报告或银行出具的资信证明；成立时间至提交投标文件截止时间不足一年的可提供成立至今财务报表或具有财务审计资质的单位出具的财务报告（至少包括资产负债表和利润表），或提供投标截止时间前其基本开户银行出具的资信证明（附开户许可证或开户备案证明）</w:t>
      </w:r>
      <w:r>
        <w:rPr>
          <w:rFonts w:hint="eastAsia" w:ascii="宋体" w:hAnsi="宋体" w:eastAsia="宋体" w:cs="宋体"/>
          <w:i w:val="0"/>
          <w:iCs w:val="0"/>
          <w:caps w:val="0"/>
          <w:color w:val="auto"/>
          <w:spacing w:val="0"/>
          <w:sz w:val="24"/>
          <w:szCs w:val="24"/>
          <w:highlight w:val="none"/>
          <w:shd w:val="clear" w:fill="FFFFFF"/>
        </w:rPr>
        <w:t>；</w:t>
      </w:r>
    </w:p>
    <w:p w14:paraId="3FDB8B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）投标人须提供</w:t>
      </w:r>
      <w:r>
        <w:rPr>
          <w:rFonts w:hint="eastAsia" w:ascii="宋体" w:hAnsi="宋体" w:eastAsia="宋体" w:cs="宋体"/>
          <w:i w:val="0"/>
          <w:iCs w:val="0"/>
          <w:caps w:val="0"/>
          <w:color w:val="auto"/>
          <w:spacing w:val="0"/>
          <w:sz w:val="24"/>
          <w:szCs w:val="24"/>
          <w:highlight w:val="none"/>
          <w:shd w:val="clear" w:fill="FFFFFF"/>
          <w:lang w:eastAsia="zh-CN"/>
        </w:rPr>
        <w:t>投标文件递交截止日前</w:t>
      </w:r>
      <w:r>
        <w:rPr>
          <w:rFonts w:hint="eastAsia" w:ascii="宋体" w:hAnsi="宋体" w:eastAsia="宋体" w:cs="宋体"/>
          <w:i w:val="0"/>
          <w:iCs w:val="0"/>
          <w:caps w:val="0"/>
          <w:color w:val="auto"/>
          <w:spacing w:val="0"/>
          <w:sz w:val="24"/>
          <w:szCs w:val="24"/>
          <w:highlight w:val="none"/>
          <w:shd w:val="clear" w:fill="FFFFFF"/>
          <w:lang w:val="en-US" w:eastAsia="zh-CN"/>
        </w:rPr>
        <w:t>六</w:t>
      </w:r>
      <w:r>
        <w:rPr>
          <w:rFonts w:hint="eastAsia" w:ascii="宋体" w:hAnsi="宋体" w:eastAsia="宋体" w:cs="宋体"/>
          <w:i w:val="0"/>
          <w:iCs w:val="0"/>
          <w:caps w:val="0"/>
          <w:color w:val="auto"/>
          <w:spacing w:val="0"/>
          <w:sz w:val="24"/>
          <w:szCs w:val="24"/>
          <w:highlight w:val="none"/>
          <w:shd w:val="clear" w:fill="FFFFFF"/>
        </w:rPr>
        <w:t>个月</w:t>
      </w:r>
      <w:r>
        <w:rPr>
          <w:rFonts w:hint="eastAsia" w:ascii="宋体" w:hAnsi="宋体" w:eastAsia="宋体" w:cs="宋体"/>
          <w:i w:val="0"/>
          <w:iCs w:val="0"/>
          <w:caps w:val="0"/>
          <w:color w:val="auto"/>
          <w:spacing w:val="0"/>
          <w:sz w:val="24"/>
          <w:szCs w:val="24"/>
          <w:highlight w:val="none"/>
          <w:shd w:val="clear" w:fill="FFFFFF"/>
          <w:lang w:eastAsia="zh-CN"/>
        </w:rPr>
        <w:t>内</w:t>
      </w:r>
      <w:r>
        <w:rPr>
          <w:rFonts w:hint="eastAsia" w:ascii="宋体" w:hAnsi="宋体" w:eastAsia="宋体" w:cs="宋体"/>
          <w:i w:val="0"/>
          <w:iCs w:val="0"/>
          <w:caps w:val="0"/>
          <w:color w:val="auto"/>
          <w:spacing w:val="0"/>
          <w:sz w:val="24"/>
          <w:szCs w:val="24"/>
          <w:highlight w:val="none"/>
          <w:shd w:val="clear" w:fill="FFFFFF"/>
        </w:rPr>
        <w:t>已缴存的</w:t>
      </w:r>
      <w:r>
        <w:rPr>
          <w:rFonts w:hint="eastAsia" w:ascii="宋体" w:hAnsi="宋体" w:eastAsia="宋体" w:cs="宋体"/>
          <w:i w:val="0"/>
          <w:iCs w:val="0"/>
          <w:caps w:val="0"/>
          <w:color w:val="auto"/>
          <w:spacing w:val="0"/>
          <w:sz w:val="24"/>
          <w:szCs w:val="24"/>
          <w:highlight w:val="none"/>
          <w:shd w:val="clear" w:fill="FFFFFF"/>
          <w:lang w:val="en-US" w:eastAsia="zh-CN"/>
        </w:rPr>
        <w:t>至少一个月</w:t>
      </w:r>
      <w:r>
        <w:rPr>
          <w:rFonts w:hint="eastAsia" w:ascii="宋体" w:hAnsi="宋体" w:eastAsia="宋体" w:cs="宋体"/>
          <w:i w:val="0"/>
          <w:iCs w:val="0"/>
          <w:caps w:val="0"/>
          <w:color w:val="auto"/>
          <w:spacing w:val="0"/>
          <w:sz w:val="24"/>
          <w:szCs w:val="24"/>
          <w:highlight w:val="none"/>
          <w:shd w:val="clear" w:fill="FFFFFF"/>
        </w:rPr>
        <w:t>的纳税证明或完税证明，依法免税的单位应提供相关证明材料；</w:t>
      </w:r>
    </w:p>
    <w:p w14:paraId="5C6774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）投标人须提供</w:t>
      </w:r>
      <w:r>
        <w:rPr>
          <w:rFonts w:hint="eastAsia" w:ascii="宋体" w:hAnsi="宋体" w:eastAsia="宋体" w:cs="宋体"/>
          <w:i w:val="0"/>
          <w:iCs w:val="0"/>
          <w:caps w:val="0"/>
          <w:color w:val="auto"/>
          <w:spacing w:val="0"/>
          <w:sz w:val="24"/>
          <w:szCs w:val="24"/>
          <w:highlight w:val="none"/>
          <w:shd w:val="clear" w:fill="FFFFFF"/>
          <w:lang w:eastAsia="zh-CN"/>
        </w:rPr>
        <w:t>投标文件递交截止日前</w:t>
      </w:r>
      <w:r>
        <w:rPr>
          <w:rFonts w:hint="eastAsia" w:ascii="宋体" w:hAnsi="宋体" w:eastAsia="宋体" w:cs="宋体"/>
          <w:i w:val="0"/>
          <w:iCs w:val="0"/>
          <w:caps w:val="0"/>
          <w:color w:val="auto"/>
          <w:spacing w:val="0"/>
          <w:sz w:val="24"/>
          <w:szCs w:val="24"/>
          <w:highlight w:val="none"/>
          <w:shd w:val="clear" w:fill="FFFFFF"/>
          <w:lang w:val="en-US" w:eastAsia="zh-CN"/>
        </w:rPr>
        <w:t>六</w:t>
      </w:r>
      <w:r>
        <w:rPr>
          <w:rFonts w:hint="eastAsia" w:ascii="宋体" w:hAnsi="宋体" w:eastAsia="宋体" w:cs="宋体"/>
          <w:i w:val="0"/>
          <w:iCs w:val="0"/>
          <w:caps w:val="0"/>
          <w:color w:val="auto"/>
          <w:spacing w:val="0"/>
          <w:sz w:val="24"/>
          <w:szCs w:val="24"/>
          <w:highlight w:val="none"/>
          <w:shd w:val="clear" w:fill="FFFFFF"/>
        </w:rPr>
        <w:t>个月</w:t>
      </w:r>
      <w:r>
        <w:rPr>
          <w:rFonts w:hint="eastAsia" w:ascii="宋体" w:hAnsi="宋体" w:eastAsia="宋体" w:cs="宋体"/>
          <w:i w:val="0"/>
          <w:iCs w:val="0"/>
          <w:caps w:val="0"/>
          <w:color w:val="auto"/>
          <w:spacing w:val="0"/>
          <w:sz w:val="24"/>
          <w:szCs w:val="24"/>
          <w:highlight w:val="none"/>
          <w:shd w:val="clear" w:fill="FFFFFF"/>
          <w:lang w:eastAsia="zh-CN"/>
        </w:rPr>
        <w:t>内</w:t>
      </w:r>
      <w:r>
        <w:rPr>
          <w:rFonts w:hint="eastAsia" w:ascii="宋体" w:hAnsi="宋体" w:eastAsia="宋体" w:cs="宋体"/>
          <w:i w:val="0"/>
          <w:iCs w:val="0"/>
          <w:caps w:val="0"/>
          <w:color w:val="auto"/>
          <w:spacing w:val="0"/>
          <w:sz w:val="24"/>
          <w:szCs w:val="24"/>
          <w:highlight w:val="none"/>
          <w:shd w:val="clear" w:fill="FFFFFF"/>
        </w:rPr>
        <w:t>已缴存的</w:t>
      </w:r>
      <w:r>
        <w:rPr>
          <w:rFonts w:hint="eastAsia" w:ascii="宋体" w:hAnsi="宋体" w:eastAsia="宋体" w:cs="宋体"/>
          <w:i w:val="0"/>
          <w:iCs w:val="0"/>
          <w:caps w:val="0"/>
          <w:color w:val="auto"/>
          <w:spacing w:val="0"/>
          <w:sz w:val="24"/>
          <w:szCs w:val="24"/>
          <w:highlight w:val="none"/>
          <w:shd w:val="clear" w:fill="FFFFFF"/>
          <w:lang w:val="en-US" w:eastAsia="zh-CN"/>
        </w:rPr>
        <w:t>至少一个月</w:t>
      </w:r>
      <w:r>
        <w:rPr>
          <w:rFonts w:hint="eastAsia" w:ascii="宋体" w:hAnsi="宋体" w:eastAsia="宋体" w:cs="宋体"/>
          <w:i w:val="0"/>
          <w:iCs w:val="0"/>
          <w:caps w:val="0"/>
          <w:color w:val="auto"/>
          <w:spacing w:val="0"/>
          <w:sz w:val="24"/>
          <w:szCs w:val="24"/>
          <w:highlight w:val="none"/>
          <w:shd w:val="clear" w:fill="FFFFFF"/>
        </w:rPr>
        <w:t>的社会保险参保缴费情况证明，依法不需要缴纳社会保障资金的单位应提供相关证明材料；</w:t>
      </w:r>
    </w:p>
    <w:p w14:paraId="1C0C5F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）投标人须提供参加政府采购活动近3年内，在经营活动中没有重大违法记录的书面声明；</w:t>
      </w:r>
    </w:p>
    <w:p w14:paraId="102D7C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）投标人须提供具备履行合同所必须的设备和专业技术能力的书面声明；</w:t>
      </w:r>
    </w:p>
    <w:p w14:paraId="53596F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投标人不得在“信用中国”网站（www.creditchina.gov.cn）中被列入重大税收违法失信主体；不得在“中国执行信息公开网”（zxgk.court.gov.cn/shixin/）被列入失信被执行人；不得在“中国政府采购网”（www.ccgp.gov.cn）政府采购严重违法失信行为记录名单中被财政部门禁止参加政府采购活动</w:t>
      </w:r>
      <w:r>
        <w:rPr>
          <w:rFonts w:hint="eastAsia" w:ascii="宋体" w:hAnsi="宋体" w:eastAsia="宋体" w:cs="宋体"/>
          <w:i w:val="0"/>
          <w:iCs w:val="0"/>
          <w:caps w:val="0"/>
          <w:color w:val="auto"/>
          <w:spacing w:val="0"/>
          <w:sz w:val="24"/>
          <w:szCs w:val="24"/>
          <w:highlight w:val="none"/>
          <w:shd w:val="clear" w:fill="FFFFFF"/>
        </w:rPr>
        <w:t>。</w:t>
      </w:r>
    </w:p>
    <w:p w14:paraId="7897E6C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合同包2(超高端彩色多普勒超声诊断仪(偏肌骨))</w:t>
      </w:r>
      <w:r>
        <w:rPr>
          <w:rFonts w:hint="eastAsia" w:ascii="宋体" w:hAnsi="宋体" w:eastAsia="宋体" w:cs="宋体"/>
          <w:i w:val="0"/>
          <w:iCs w:val="0"/>
          <w:caps w:val="0"/>
          <w:color w:val="auto"/>
          <w:spacing w:val="0"/>
          <w:sz w:val="24"/>
          <w:szCs w:val="24"/>
          <w:highlight w:val="none"/>
          <w:shd w:val="clear" w:fill="FFFFFF"/>
        </w:rPr>
        <w:t>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337796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同</w:t>
      </w:r>
      <w:r>
        <w:rPr>
          <w:rFonts w:hint="eastAsia" w:ascii="宋体" w:hAnsi="宋体" w:eastAsia="宋体" w:cs="宋体"/>
          <w:i w:val="0"/>
          <w:iCs w:val="0"/>
          <w:caps w:val="0"/>
          <w:color w:val="auto"/>
          <w:spacing w:val="0"/>
          <w:sz w:val="24"/>
          <w:szCs w:val="24"/>
          <w:highlight w:val="none"/>
          <w:shd w:val="clear" w:fill="FFFFFF"/>
        </w:rPr>
        <w:t>合同包1特定资格要求</w:t>
      </w:r>
    </w:p>
    <w:p w14:paraId="1F1B09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合同包3(超高端彩色多普勒超声诊断仪(全身机-1))</w:t>
      </w:r>
      <w:r>
        <w:rPr>
          <w:rFonts w:hint="eastAsia" w:ascii="宋体" w:hAnsi="宋体" w:eastAsia="宋体" w:cs="宋体"/>
          <w:i w:val="0"/>
          <w:iCs w:val="0"/>
          <w:caps w:val="0"/>
          <w:color w:val="auto"/>
          <w:spacing w:val="0"/>
          <w:sz w:val="24"/>
          <w:szCs w:val="24"/>
          <w:highlight w:val="none"/>
          <w:shd w:val="clear" w:fill="FFFFFF"/>
        </w:rPr>
        <w:t>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2827028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同</w:t>
      </w:r>
      <w:r>
        <w:rPr>
          <w:rFonts w:hint="eastAsia" w:ascii="宋体" w:hAnsi="宋体" w:eastAsia="宋体" w:cs="宋体"/>
          <w:i w:val="0"/>
          <w:iCs w:val="0"/>
          <w:caps w:val="0"/>
          <w:color w:val="auto"/>
          <w:spacing w:val="0"/>
          <w:sz w:val="24"/>
          <w:szCs w:val="24"/>
          <w:highlight w:val="none"/>
          <w:shd w:val="clear" w:fill="FFFFFF"/>
        </w:rPr>
        <w:t>合同包1特定资格要求</w:t>
      </w:r>
    </w:p>
    <w:p w14:paraId="751F8D5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合同包4(超高端彩色多普勒超声诊断仪(全身机-2))</w:t>
      </w:r>
      <w:r>
        <w:rPr>
          <w:rFonts w:hint="eastAsia" w:ascii="宋体" w:hAnsi="宋体" w:eastAsia="宋体" w:cs="宋体"/>
          <w:i w:val="0"/>
          <w:iCs w:val="0"/>
          <w:caps w:val="0"/>
          <w:color w:val="auto"/>
          <w:spacing w:val="0"/>
          <w:sz w:val="24"/>
          <w:szCs w:val="24"/>
          <w:highlight w:val="none"/>
          <w:shd w:val="clear" w:fill="FFFFFF"/>
        </w:rPr>
        <w:t>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3B16C865">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同</w:t>
      </w:r>
      <w:r>
        <w:rPr>
          <w:rFonts w:hint="eastAsia" w:ascii="宋体" w:hAnsi="宋体" w:eastAsia="宋体" w:cs="宋体"/>
          <w:i w:val="0"/>
          <w:iCs w:val="0"/>
          <w:caps w:val="0"/>
          <w:color w:val="auto"/>
          <w:spacing w:val="0"/>
          <w:sz w:val="24"/>
          <w:szCs w:val="24"/>
          <w:highlight w:val="none"/>
          <w:shd w:val="clear" w:fill="FFFFFF"/>
        </w:rPr>
        <w:t>合同包1特定资格要求</w:t>
      </w:r>
    </w:p>
    <w:p w14:paraId="1B5A4D9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2.2、</w:t>
      </w:r>
      <w:r>
        <w:rPr>
          <w:rFonts w:hint="default" w:ascii="Times New Roman" w:hAnsi="Times New Roman" w:eastAsia="宋体" w:cs="Times New Roman"/>
          <w:color w:val="auto"/>
          <w:spacing w:val="0"/>
          <w:sz w:val="24"/>
          <w:szCs w:val="24"/>
          <w:highlight w:val="none"/>
        </w:rPr>
        <w:t>投标文件初审。</w:t>
      </w:r>
    </w:p>
    <w:p w14:paraId="2244FC9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符合性</w:t>
      </w:r>
      <w:r>
        <w:rPr>
          <w:rFonts w:hint="default" w:ascii="Times New Roman" w:hAnsi="Times New Roman" w:eastAsia="宋体" w:cs="Times New Roman"/>
          <w:color w:val="auto"/>
          <w:spacing w:val="0"/>
          <w:sz w:val="24"/>
          <w:szCs w:val="24"/>
          <w:highlight w:val="none"/>
          <w:lang w:val="en-US" w:eastAsia="zh-CN"/>
        </w:rPr>
        <w:t>评审</w:t>
      </w:r>
      <w:r>
        <w:rPr>
          <w:rFonts w:hint="default" w:ascii="Times New Roman" w:hAnsi="Times New Roman" w:eastAsia="宋体" w:cs="Times New Roman"/>
          <w:color w:val="auto"/>
          <w:spacing w:val="0"/>
          <w:sz w:val="24"/>
          <w:szCs w:val="24"/>
          <w:highlight w:val="none"/>
        </w:rPr>
        <w:t>：依据招标文件的规定，从投标文件的有效性、完整性和对招标文件的响应程度进行</w:t>
      </w:r>
      <w:r>
        <w:rPr>
          <w:rFonts w:hint="default" w:ascii="Times New Roman" w:hAnsi="Times New Roman" w:eastAsia="宋体" w:cs="Times New Roman"/>
          <w:color w:val="auto"/>
          <w:spacing w:val="0"/>
          <w:sz w:val="24"/>
          <w:szCs w:val="24"/>
          <w:highlight w:val="none"/>
          <w:lang w:val="en-US" w:eastAsia="zh-CN"/>
        </w:rPr>
        <w:t>评审</w:t>
      </w:r>
      <w:r>
        <w:rPr>
          <w:rFonts w:hint="default" w:ascii="Times New Roman" w:hAnsi="Times New Roman" w:eastAsia="宋体" w:cs="Times New Roman"/>
          <w:color w:val="auto"/>
          <w:spacing w:val="0"/>
          <w:sz w:val="24"/>
          <w:szCs w:val="24"/>
          <w:highlight w:val="none"/>
        </w:rPr>
        <w:t>，以确定是否对招标文件的实质性要求作出响应。</w:t>
      </w:r>
    </w:p>
    <w:p w14:paraId="2CAF8973">
      <w:pPr>
        <w:keepNext w:val="0"/>
        <w:keepLines w:val="0"/>
        <w:pageBreakBefore w:val="0"/>
        <w:widowControl/>
        <w:kinsoku/>
        <w:wordWrap/>
        <w:overflowPunct/>
        <w:topLinePunct w:val="0"/>
        <w:autoSpaceDE w:val="0"/>
        <w:autoSpaceDN w:val="0"/>
        <w:bidi w:val="0"/>
        <w:adjustRightInd w:val="0"/>
        <w:snapToGrid w:val="0"/>
        <w:spacing w:line="360" w:lineRule="auto"/>
        <w:ind w:firstLine="720" w:firstLineChars="300"/>
        <w:textAlignment w:val="baseline"/>
        <w:outlineLvl w:val="9"/>
        <w:rPr>
          <w:rFonts w:hint="eastAsia"/>
          <w:sz w:val="24"/>
          <w:szCs w:val="24"/>
          <w:highlight w:val="none"/>
          <w:lang w:val="en-US" w:eastAsia="zh-CN"/>
        </w:rPr>
      </w:pPr>
      <w:r>
        <w:rPr>
          <w:rFonts w:hint="eastAsia"/>
          <w:sz w:val="24"/>
          <w:szCs w:val="24"/>
          <w:highlight w:val="none"/>
          <w:lang w:val="en-US" w:eastAsia="zh-CN"/>
        </w:rPr>
        <w:t>符合性审查要求</w:t>
      </w:r>
    </w:p>
    <w:tbl>
      <w:tblPr>
        <w:tblStyle w:val="20"/>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413"/>
        <w:gridCol w:w="4449"/>
      </w:tblGrid>
      <w:tr w14:paraId="3E76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77" w:type="dxa"/>
            <w:noWrap w:val="0"/>
            <w:vAlign w:val="center"/>
          </w:tcPr>
          <w:p w14:paraId="3E893E36">
            <w:pPr>
              <w:keepNext w:val="0"/>
              <w:keepLines w:val="0"/>
              <w:pageBreakBefore w:val="0"/>
              <w:kinsoku/>
              <w:overflowPunct/>
              <w:topLinePunct w:val="0"/>
              <w:bidi w:val="0"/>
              <w:spacing w:line="320" w:lineRule="exact"/>
              <w:jc w:val="center"/>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3413" w:type="dxa"/>
            <w:noWrap w:val="0"/>
            <w:vAlign w:val="center"/>
          </w:tcPr>
          <w:p w14:paraId="34304A9B">
            <w:pPr>
              <w:keepNext w:val="0"/>
              <w:keepLines w:val="0"/>
              <w:pageBreakBefore w:val="0"/>
              <w:kinsoku/>
              <w:overflowPunct/>
              <w:topLinePunct w:val="0"/>
              <w:bidi w:val="0"/>
              <w:spacing w:line="320" w:lineRule="exact"/>
              <w:jc w:val="center"/>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4449" w:type="dxa"/>
            <w:noWrap w:val="0"/>
            <w:vAlign w:val="center"/>
          </w:tcPr>
          <w:p w14:paraId="3784516A">
            <w:pPr>
              <w:keepNext w:val="0"/>
              <w:keepLines w:val="0"/>
              <w:pageBreakBefore w:val="0"/>
              <w:kinsoku/>
              <w:overflowPunct/>
              <w:topLinePunct w:val="0"/>
              <w:bidi w:val="0"/>
              <w:spacing w:line="320" w:lineRule="exact"/>
              <w:jc w:val="center"/>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评审标准</w:t>
            </w:r>
          </w:p>
        </w:tc>
      </w:tr>
      <w:tr w14:paraId="179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77" w:type="dxa"/>
            <w:noWrap w:val="0"/>
            <w:vAlign w:val="center"/>
          </w:tcPr>
          <w:p w14:paraId="5BA73FBE">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3413" w:type="dxa"/>
            <w:noWrap w:val="0"/>
            <w:vAlign w:val="center"/>
          </w:tcPr>
          <w:p w14:paraId="679DD2FB">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投标人</w:t>
            </w:r>
            <w:r>
              <w:rPr>
                <w:rFonts w:hint="eastAsia" w:ascii="宋体" w:hAnsi="宋体" w:eastAsia="宋体" w:cs="宋体"/>
                <w:bCs/>
                <w:color w:val="auto"/>
                <w:kern w:val="0"/>
                <w:sz w:val="24"/>
                <w:szCs w:val="24"/>
                <w:highlight w:val="none"/>
                <w:lang w:eastAsia="zh-CN"/>
              </w:rPr>
              <w:t>名称</w:t>
            </w:r>
          </w:p>
        </w:tc>
        <w:tc>
          <w:tcPr>
            <w:tcW w:w="4449" w:type="dxa"/>
            <w:noWrap w:val="0"/>
            <w:vAlign w:val="center"/>
          </w:tcPr>
          <w:p w14:paraId="69D69C71">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与营业执照一致</w:t>
            </w:r>
          </w:p>
        </w:tc>
      </w:tr>
      <w:tr w14:paraId="31E2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7" w:type="dxa"/>
            <w:noWrap w:val="0"/>
            <w:vAlign w:val="center"/>
          </w:tcPr>
          <w:p w14:paraId="058BCC72">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2</w:t>
            </w:r>
          </w:p>
        </w:tc>
        <w:tc>
          <w:tcPr>
            <w:tcW w:w="3413" w:type="dxa"/>
            <w:noWrap w:val="0"/>
            <w:vAlign w:val="center"/>
          </w:tcPr>
          <w:p w14:paraId="7ACC0B20">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投标</w:t>
            </w:r>
            <w:r>
              <w:rPr>
                <w:rFonts w:hint="eastAsia" w:ascii="宋体" w:hAnsi="宋体" w:eastAsia="宋体" w:cs="宋体"/>
                <w:bCs/>
                <w:color w:val="auto"/>
                <w:kern w:val="0"/>
                <w:sz w:val="24"/>
                <w:szCs w:val="24"/>
                <w:highlight w:val="none"/>
              </w:rPr>
              <w:t>文件项目名称、项目编号</w:t>
            </w:r>
          </w:p>
        </w:tc>
        <w:tc>
          <w:tcPr>
            <w:tcW w:w="4449" w:type="dxa"/>
            <w:noWrap w:val="0"/>
            <w:vAlign w:val="center"/>
          </w:tcPr>
          <w:p w14:paraId="02417B0F">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应符合</w:t>
            </w:r>
            <w:r>
              <w:rPr>
                <w:rFonts w:hint="eastAsia" w:ascii="宋体" w:hAnsi="宋体" w:eastAsia="宋体" w:cs="宋体"/>
                <w:b w:val="0"/>
                <w:bCs w:val="0"/>
                <w:color w:val="auto"/>
                <w:kern w:val="0"/>
                <w:sz w:val="24"/>
                <w:szCs w:val="24"/>
                <w:highlight w:val="none"/>
                <w:lang w:val="en-US" w:eastAsia="zh-CN"/>
              </w:rPr>
              <w:t>招标</w:t>
            </w:r>
            <w:r>
              <w:rPr>
                <w:rFonts w:hint="eastAsia" w:ascii="宋体" w:hAnsi="宋体" w:eastAsia="宋体" w:cs="宋体"/>
                <w:b w:val="0"/>
                <w:bCs w:val="0"/>
                <w:color w:val="auto"/>
                <w:kern w:val="0"/>
                <w:sz w:val="24"/>
                <w:szCs w:val="24"/>
                <w:highlight w:val="none"/>
                <w:lang w:eastAsia="zh-CN"/>
              </w:rPr>
              <w:t>文件</w:t>
            </w:r>
            <w:r>
              <w:rPr>
                <w:rFonts w:hint="eastAsia" w:ascii="宋体" w:hAnsi="宋体" w:eastAsia="宋体" w:cs="宋体"/>
                <w:b w:val="0"/>
                <w:bCs w:val="0"/>
                <w:color w:val="auto"/>
                <w:kern w:val="0"/>
                <w:sz w:val="24"/>
                <w:szCs w:val="24"/>
                <w:highlight w:val="none"/>
              </w:rPr>
              <w:t>规定</w:t>
            </w:r>
          </w:p>
        </w:tc>
      </w:tr>
      <w:tr w14:paraId="24B7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77" w:type="dxa"/>
            <w:noWrap w:val="0"/>
            <w:vAlign w:val="center"/>
          </w:tcPr>
          <w:p w14:paraId="080A40CD">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3</w:t>
            </w:r>
          </w:p>
        </w:tc>
        <w:tc>
          <w:tcPr>
            <w:tcW w:w="3413" w:type="dxa"/>
            <w:noWrap w:val="0"/>
            <w:vAlign w:val="center"/>
          </w:tcPr>
          <w:p w14:paraId="37545DEE">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投标函</w:t>
            </w:r>
            <w:r>
              <w:rPr>
                <w:rFonts w:hint="eastAsia" w:ascii="宋体" w:hAnsi="宋体" w:eastAsia="宋体" w:cs="宋体"/>
                <w:bCs/>
                <w:color w:val="auto"/>
                <w:kern w:val="0"/>
                <w:sz w:val="24"/>
                <w:szCs w:val="24"/>
                <w:highlight w:val="none"/>
              </w:rPr>
              <w:t>的签署、盖章</w:t>
            </w:r>
          </w:p>
        </w:tc>
        <w:tc>
          <w:tcPr>
            <w:tcW w:w="4449" w:type="dxa"/>
            <w:noWrap w:val="0"/>
            <w:vAlign w:val="center"/>
          </w:tcPr>
          <w:p w14:paraId="208560D3">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投标函</w:t>
            </w:r>
            <w:r>
              <w:rPr>
                <w:rFonts w:hint="eastAsia" w:ascii="宋体" w:hAnsi="宋体" w:eastAsia="宋体" w:cs="宋体"/>
                <w:b w:val="0"/>
                <w:bCs w:val="0"/>
                <w:color w:val="auto"/>
                <w:kern w:val="0"/>
                <w:sz w:val="24"/>
                <w:szCs w:val="24"/>
                <w:highlight w:val="none"/>
              </w:rPr>
              <w:t>上法定代表人或其委托代理人的签字齐全并加盖单位章</w:t>
            </w:r>
          </w:p>
        </w:tc>
      </w:tr>
      <w:tr w14:paraId="2DCA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77" w:type="dxa"/>
            <w:noWrap w:val="0"/>
            <w:vAlign w:val="center"/>
          </w:tcPr>
          <w:p w14:paraId="7B681769">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4</w:t>
            </w:r>
          </w:p>
        </w:tc>
        <w:tc>
          <w:tcPr>
            <w:tcW w:w="3413" w:type="dxa"/>
            <w:noWrap w:val="0"/>
            <w:vAlign w:val="center"/>
          </w:tcPr>
          <w:p w14:paraId="2DAE95D6">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投标</w:t>
            </w:r>
            <w:r>
              <w:rPr>
                <w:rFonts w:hint="eastAsia" w:ascii="宋体" w:hAnsi="宋体" w:eastAsia="宋体" w:cs="宋体"/>
                <w:bCs/>
                <w:color w:val="auto"/>
                <w:kern w:val="0"/>
                <w:sz w:val="24"/>
                <w:szCs w:val="24"/>
                <w:highlight w:val="none"/>
              </w:rPr>
              <w:t>文件的格式编制是否严重缺项、漏项</w:t>
            </w:r>
          </w:p>
        </w:tc>
        <w:tc>
          <w:tcPr>
            <w:tcW w:w="4449" w:type="dxa"/>
            <w:noWrap w:val="0"/>
            <w:vAlign w:val="center"/>
          </w:tcPr>
          <w:p w14:paraId="6CE5BD5D">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rPr>
              <w:t>文件内容齐全、无遗漏</w:t>
            </w:r>
          </w:p>
        </w:tc>
      </w:tr>
      <w:tr w14:paraId="6D3D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77" w:type="dxa"/>
            <w:noWrap w:val="0"/>
            <w:vAlign w:val="center"/>
          </w:tcPr>
          <w:p w14:paraId="132AD1BF">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5</w:t>
            </w:r>
          </w:p>
        </w:tc>
        <w:tc>
          <w:tcPr>
            <w:tcW w:w="3413" w:type="dxa"/>
            <w:noWrap w:val="0"/>
            <w:vAlign w:val="center"/>
          </w:tcPr>
          <w:p w14:paraId="09F2BFF7">
            <w:pPr>
              <w:keepNext w:val="0"/>
              <w:keepLines w:val="0"/>
              <w:pageBreakBefore w:val="0"/>
              <w:kinsoku/>
              <w:overflowPunct/>
              <w:topLinePunct w:val="0"/>
              <w:bidi w:val="0"/>
              <w:spacing w:line="320" w:lineRule="exact"/>
              <w:jc w:val="both"/>
              <w:outlineLvl w:val="9"/>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交货期、交货地点、</w:t>
            </w:r>
            <w:r>
              <w:rPr>
                <w:rFonts w:hint="eastAsia" w:ascii="Times New Roman" w:hAnsi="Times New Roman" w:eastAsia="宋体" w:cs="Times New Roman"/>
                <w:color w:val="auto"/>
                <w:spacing w:val="0"/>
                <w:sz w:val="24"/>
                <w:szCs w:val="24"/>
                <w:highlight w:val="none"/>
                <w:lang w:val="en-US" w:eastAsia="zh-CN"/>
              </w:rPr>
              <w:t>质量标准</w:t>
            </w:r>
          </w:p>
        </w:tc>
        <w:tc>
          <w:tcPr>
            <w:tcW w:w="4449" w:type="dxa"/>
            <w:noWrap w:val="0"/>
            <w:vAlign w:val="center"/>
          </w:tcPr>
          <w:p w14:paraId="5C716AB1">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应符合</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招标</w:t>
            </w:r>
            <w:r>
              <w:rPr>
                <w:rFonts w:hint="eastAsia" w:ascii="宋体" w:hAnsi="宋体" w:eastAsia="宋体" w:cs="宋体"/>
                <w:b w:val="0"/>
                <w:bCs w:val="0"/>
                <w:color w:val="000000" w:themeColor="text1"/>
                <w:kern w:val="0"/>
                <w:sz w:val="24"/>
                <w:szCs w:val="24"/>
                <w:highlight w:val="none"/>
                <w14:textFill>
                  <w14:solidFill>
                    <w14:schemeClr w14:val="tx1"/>
                  </w14:solidFill>
                </w14:textFill>
              </w:rPr>
              <w:t>文件的要求</w:t>
            </w:r>
          </w:p>
        </w:tc>
      </w:tr>
      <w:tr w14:paraId="5DFD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7" w:type="dxa"/>
            <w:noWrap w:val="0"/>
            <w:vAlign w:val="center"/>
          </w:tcPr>
          <w:p w14:paraId="635AFFC6">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6</w:t>
            </w:r>
          </w:p>
        </w:tc>
        <w:tc>
          <w:tcPr>
            <w:tcW w:w="3413" w:type="dxa"/>
            <w:noWrap w:val="0"/>
            <w:vAlign w:val="center"/>
          </w:tcPr>
          <w:p w14:paraId="1DE4EB79">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投标</w:t>
            </w:r>
            <w:r>
              <w:rPr>
                <w:rFonts w:hint="eastAsia" w:ascii="宋体" w:hAnsi="宋体" w:eastAsia="宋体" w:cs="宋体"/>
                <w:bCs/>
                <w:color w:val="auto"/>
                <w:kern w:val="0"/>
                <w:sz w:val="24"/>
                <w:szCs w:val="24"/>
                <w:highlight w:val="none"/>
              </w:rPr>
              <w:t>文件的有效期</w:t>
            </w:r>
          </w:p>
        </w:tc>
        <w:tc>
          <w:tcPr>
            <w:tcW w:w="4449" w:type="dxa"/>
            <w:noWrap w:val="0"/>
            <w:vAlign w:val="center"/>
          </w:tcPr>
          <w:p w14:paraId="4B98C28E">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应符合</w:t>
            </w:r>
            <w:r>
              <w:rPr>
                <w:rFonts w:hint="eastAsia" w:ascii="宋体" w:hAnsi="宋体" w:eastAsia="宋体" w:cs="宋体"/>
                <w:b w:val="0"/>
                <w:bCs w:val="0"/>
                <w:color w:val="auto"/>
                <w:kern w:val="0"/>
                <w:sz w:val="24"/>
                <w:szCs w:val="24"/>
                <w:highlight w:val="none"/>
                <w:lang w:val="en-US" w:eastAsia="zh-CN"/>
              </w:rPr>
              <w:t>招标</w:t>
            </w:r>
            <w:r>
              <w:rPr>
                <w:rFonts w:hint="eastAsia" w:ascii="宋体" w:hAnsi="宋体" w:eastAsia="宋体" w:cs="宋体"/>
                <w:b w:val="0"/>
                <w:bCs w:val="0"/>
                <w:color w:val="auto"/>
                <w:kern w:val="0"/>
                <w:sz w:val="24"/>
                <w:szCs w:val="24"/>
                <w:highlight w:val="none"/>
              </w:rPr>
              <w:t>文件的规定</w:t>
            </w:r>
          </w:p>
        </w:tc>
      </w:tr>
      <w:tr w14:paraId="6F2D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77" w:type="dxa"/>
            <w:noWrap w:val="0"/>
            <w:vAlign w:val="center"/>
          </w:tcPr>
          <w:p w14:paraId="509C2146">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7</w:t>
            </w:r>
          </w:p>
        </w:tc>
        <w:tc>
          <w:tcPr>
            <w:tcW w:w="3413" w:type="dxa"/>
            <w:noWrap w:val="0"/>
            <w:vAlign w:val="center"/>
          </w:tcPr>
          <w:p w14:paraId="151B5F5F">
            <w:pPr>
              <w:keepNext w:val="0"/>
              <w:keepLines w:val="0"/>
              <w:pageBreakBefore w:val="0"/>
              <w:kinsoku/>
              <w:overflowPunct/>
              <w:topLinePunct w:val="0"/>
              <w:bidi w:val="0"/>
              <w:spacing w:line="320" w:lineRule="exact"/>
              <w:jc w:val="left"/>
              <w:outlineLvl w:val="9"/>
              <w:rPr>
                <w:rFonts w:hint="default"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投标</w:t>
            </w:r>
            <w:r>
              <w:rPr>
                <w:rFonts w:hint="eastAsia" w:ascii="宋体" w:hAnsi="宋体" w:eastAsia="宋体" w:cs="宋体"/>
                <w:bCs/>
                <w:color w:val="auto"/>
                <w:kern w:val="0"/>
                <w:sz w:val="24"/>
                <w:szCs w:val="24"/>
                <w:highlight w:val="none"/>
              </w:rPr>
              <w:t>文件报价是否超出</w:t>
            </w:r>
            <w:r>
              <w:rPr>
                <w:rFonts w:hint="eastAsia" w:ascii="宋体" w:hAnsi="宋体" w:eastAsia="宋体" w:cs="宋体"/>
                <w:bCs/>
                <w:color w:val="auto"/>
                <w:kern w:val="0"/>
                <w:sz w:val="24"/>
                <w:szCs w:val="24"/>
                <w:highlight w:val="none"/>
                <w:lang w:val="en-US" w:eastAsia="zh-CN"/>
              </w:rPr>
              <w:t xml:space="preserve">最高限价 </w:t>
            </w:r>
          </w:p>
        </w:tc>
        <w:tc>
          <w:tcPr>
            <w:tcW w:w="4449" w:type="dxa"/>
            <w:noWrap w:val="0"/>
            <w:vAlign w:val="center"/>
          </w:tcPr>
          <w:p w14:paraId="36FC3578">
            <w:pPr>
              <w:keepNext w:val="0"/>
              <w:keepLines w:val="0"/>
              <w:pageBreakBefore w:val="0"/>
              <w:kinsoku/>
              <w:overflowPunct/>
              <w:topLinePunct w:val="0"/>
              <w:bidi w:val="0"/>
              <w:spacing w:line="320" w:lineRule="exact"/>
              <w:jc w:val="left"/>
              <w:outlineLvl w:val="9"/>
              <w:rPr>
                <w:rFonts w:hint="default"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rPr>
              <w:t>只能有一个有效报价，不得提交选择性报价，且报价不超过</w:t>
            </w:r>
            <w:r>
              <w:rPr>
                <w:rFonts w:hint="eastAsia" w:ascii="宋体" w:hAnsi="宋体" w:eastAsia="宋体" w:cs="宋体"/>
                <w:b w:val="0"/>
                <w:bCs w:val="0"/>
                <w:color w:val="auto"/>
                <w:kern w:val="0"/>
                <w:sz w:val="24"/>
                <w:szCs w:val="24"/>
                <w:highlight w:val="none"/>
                <w:lang w:val="en-US" w:eastAsia="zh-CN"/>
              </w:rPr>
              <w:t>最高限价</w:t>
            </w:r>
          </w:p>
        </w:tc>
      </w:tr>
      <w:tr w14:paraId="4128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77" w:type="dxa"/>
            <w:noWrap w:val="0"/>
            <w:vAlign w:val="center"/>
          </w:tcPr>
          <w:p w14:paraId="2343157D">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8</w:t>
            </w:r>
          </w:p>
        </w:tc>
        <w:tc>
          <w:tcPr>
            <w:tcW w:w="3413" w:type="dxa"/>
            <w:noWrap w:val="0"/>
            <w:vAlign w:val="center"/>
          </w:tcPr>
          <w:p w14:paraId="4172C466">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是否交纳</w:t>
            </w:r>
            <w:r>
              <w:rPr>
                <w:rFonts w:hint="eastAsia" w:ascii="宋体" w:hAnsi="宋体" w:eastAsia="宋体" w:cs="宋体"/>
                <w:bCs/>
                <w:color w:val="auto"/>
                <w:kern w:val="0"/>
                <w:sz w:val="24"/>
                <w:szCs w:val="24"/>
                <w:highlight w:val="none"/>
                <w:lang w:val="en-US" w:eastAsia="zh-CN"/>
              </w:rPr>
              <w:t>投标</w:t>
            </w:r>
            <w:r>
              <w:rPr>
                <w:rFonts w:hint="eastAsia" w:ascii="宋体" w:hAnsi="宋体" w:eastAsia="宋体" w:cs="宋体"/>
                <w:bCs/>
                <w:color w:val="auto"/>
                <w:kern w:val="0"/>
                <w:sz w:val="24"/>
                <w:szCs w:val="24"/>
                <w:highlight w:val="none"/>
              </w:rPr>
              <w:t>保证金</w:t>
            </w:r>
          </w:p>
        </w:tc>
        <w:tc>
          <w:tcPr>
            <w:tcW w:w="4449" w:type="dxa"/>
            <w:noWrap w:val="0"/>
            <w:vAlign w:val="center"/>
          </w:tcPr>
          <w:p w14:paraId="3DF296E4">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已</w:t>
            </w:r>
            <w:r>
              <w:rPr>
                <w:rFonts w:hint="eastAsia" w:ascii="宋体" w:hAnsi="宋体" w:eastAsia="宋体" w:cs="宋体"/>
                <w:b w:val="0"/>
                <w:bCs w:val="0"/>
                <w:color w:val="auto"/>
                <w:kern w:val="0"/>
                <w:sz w:val="24"/>
                <w:szCs w:val="24"/>
                <w:highlight w:val="none"/>
              </w:rPr>
              <w:t>交纳</w:t>
            </w:r>
            <w:r>
              <w:rPr>
                <w:rFonts w:hint="eastAsia" w:ascii="宋体" w:hAnsi="宋体" w:eastAsia="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rPr>
              <w:t>保证金</w:t>
            </w:r>
          </w:p>
        </w:tc>
      </w:tr>
    </w:tbl>
    <w:p w14:paraId="591E149E">
      <w:pPr>
        <w:keepNext w:val="0"/>
        <w:keepLines w:val="0"/>
        <w:kinsoku/>
        <w:overflowPunct/>
        <w:topLinePunct w:val="0"/>
        <w:bidi w:val="0"/>
        <w:rPr>
          <w:rFonts w:hint="default"/>
          <w:highlight w:val="none"/>
          <w:lang w:val="en-US" w:eastAsia="zh-CN"/>
        </w:rPr>
      </w:pPr>
    </w:p>
    <w:p w14:paraId="693DA80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w:t>
      </w:r>
      <w:r>
        <w:rPr>
          <w:rFonts w:hint="default" w:ascii="Times New Roman" w:hAnsi="Times New Roman" w:eastAsia="宋体" w:cs="Times New Roman"/>
          <w:color w:val="auto"/>
          <w:spacing w:val="0"/>
          <w:sz w:val="24"/>
          <w:szCs w:val="24"/>
          <w:highlight w:val="none"/>
          <w:lang w:val="en-US" w:eastAsia="zh-CN"/>
        </w:rPr>
        <w:t>3、</w:t>
      </w:r>
      <w:r>
        <w:rPr>
          <w:rFonts w:hint="default" w:ascii="Times New Roman" w:hAnsi="Times New Roman" w:eastAsia="宋体" w:cs="Times New Roman"/>
          <w:color w:val="auto"/>
          <w:spacing w:val="0"/>
          <w:sz w:val="24"/>
          <w:szCs w:val="24"/>
          <w:highlight w:val="none"/>
        </w:rPr>
        <w:t>澄清有关问题。对投标文件中含义不明确、同类问题表述不一致或者有明显文字和计算错误的内容，评标委员会可以要求投标人作出必要的澄清、说明或者纠正。投标人的澄清、说明或者补正应当采用书面形式，由其授权代理人签字，并不得超出投标文件的范围或者改变投标文件的实质性内容。投标人在规定的澄清时限</w:t>
      </w:r>
      <w:r>
        <w:rPr>
          <w:rFonts w:hint="eastAsia"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期限</w:t>
      </w:r>
      <w:r>
        <w:rPr>
          <w:rFonts w:hint="eastAsia"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内，未能答复或者拒绝答复澄清、说明或者补正内容的，评标委员会将根据其投标文件，按</w:t>
      </w:r>
      <w:r>
        <w:rPr>
          <w:rFonts w:hint="eastAsia" w:ascii="Times New Roman" w:hAnsi="Times New Roman" w:eastAsia="宋体" w:cs="Times New Roman"/>
          <w:color w:val="auto"/>
          <w:spacing w:val="0"/>
          <w:sz w:val="24"/>
          <w:szCs w:val="24"/>
          <w:highlight w:val="none"/>
          <w:lang w:val="en-US" w:eastAsia="zh-CN"/>
        </w:rPr>
        <w:t>不利于投标人的</w:t>
      </w:r>
      <w:r>
        <w:rPr>
          <w:rFonts w:hint="default" w:ascii="Times New Roman" w:hAnsi="Times New Roman" w:eastAsia="宋体" w:cs="Times New Roman"/>
          <w:color w:val="auto"/>
          <w:spacing w:val="0"/>
          <w:sz w:val="24"/>
          <w:szCs w:val="24"/>
          <w:highlight w:val="none"/>
        </w:rPr>
        <w:t>采购风险进行评审。</w:t>
      </w:r>
    </w:p>
    <w:p w14:paraId="1C3362B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2.</w:t>
      </w:r>
      <w:r>
        <w:rPr>
          <w:rFonts w:hint="default" w:ascii="Times New Roman" w:hAnsi="Times New Roman" w:eastAsia="宋体" w:cs="Times New Roman"/>
          <w:color w:val="auto"/>
          <w:spacing w:val="0"/>
          <w:sz w:val="24"/>
          <w:szCs w:val="24"/>
          <w:highlight w:val="none"/>
          <w:lang w:val="en-US" w:eastAsia="zh-CN"/>
        </w:rPr>
        <w:t>4</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比较与评价。按招标文件中规定的评标方法和标准，对</w:t>
      </w:r>
      <w:r>
        <w:rPr>
          <w:rFonts w:hint="default" w:ascii="Times New Roman" w:hAnsi="Times New Roman" w:eastAsia="宋体" w:cs="Times New Roman"/>
          <w:color w:val="auto"/>
          <w:spacing w:val="0"/>
          <w:sz w:val="24"/>
          <w:szCs w:val="24"/>
          <w:highlight w:val="none"/>
          <w:lang w:val="en-US" w:eastAsia="zh-CN"/>
        </w:rPr>
        <w:t>资格性评审和</w:t>
      </w:r>
      <w:r>
        <w:rPr>
          <w:rFonts w:hint="default" w:ascii="Times New Roman" w:hAnsi="Times New Roman" w:eastAsia="宋体" w:cs="Times New Roman"/>
          <w:color w:val="auto"/>
          <w:spacing w:val="0"/>
          <w:sz w:val="24"/>
          <w:szCs w:val="24"/>
          <w:highlight w:val="none"/>
        </w:rPr>
        <w:t>符合性</w:t>
      </w:r>
      <w:r>
        <w:rPr>
          <w:rFonts w:hint="default" w:ascii="Times New Roman" w:hAnsi="Times New Roman" w:eastAsia="宋体" w:cs="Times New Roman"/>
          <w:color w:val="auto"/>
          <w:spacing w:val="0"/>
          <w:sz w:val="24"/>
          <w:szCs w:val="24"/>
          <w:highlight w:val="none"/>
          <w:lang w:val="en-US" w:eastAsia="zh-CN"/>
        </w:rPr>
        <w:t>评审</w:t>
      </w:r>
      <w:r>
        <w:rPr>
          <w:rFonts w:hint="default" w:ascii="Times New Roman" w:hAnsi="Times New Roman" w:eastAsia="宋体" w:cs="Times New Roman"/>
          <w:color w:val="auto"/>
          <w:spacing w:val="0"/>
          <w:sz w:val="24"/>
          <w:szCs w:val="24"/>
          <w:highlight w:val="none"/>
        </w:rPr>
        <w:t>合格的投标文件进行综合评估，综合比较与评价打分</w:t>
      </w:r>
      <w:r>
        <w:rPr>
          <w:rFonts w:hint="eastAsia" w:ascii="Times New Roman" w:hAnsi="Times New Roman" w:eastAsia="宋体" w:cs="Times New Roman"/>
          <w:color w:val="auto"/>
          <w:spacing w:val="0"/>
          <w:sz w:val="24"/>
          <w:szCs w:val="24"/>
          <w:highlight w:val="none"/>
          <w:lang w:eastAsia="zh-CN"/>
        </w:rPr>
        <w:t>。</w:t>
      </w:r>
    </w:p>
    <w:p w14:paraId="2076C8A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1</w:t>
      </w:r>
      <w:r>
        <w:rPr>
          <w:rFonts w:hint="eastAsia" w:ascii="Times New Roman" w:hAnsi="Times New Roman" w:eastAsia="宋体" w:cs="Times New Roman"/>
          <w:color w:val="auto"/>
          <w:spacing w:val="0"/>
          <w:sz w:val="24"/>
          <w:szCs w:val="24"/>
          <w:highlight w:val="none"/>
          <w:lang w:eastAsia="zh-CN"/>
        </w:rPr>
        <w:t>）若出现综合得分相同时，投标报价得分高者为第一中标候选人，若投标报价得分相同，技术得分高者为第一中标候选人，若上述两项得分相同，则由全体评标委员会成员无记名投票，得票高者为第一中标候选人。</w:t>
      </w:r>
    </w:p>
    <w:p w14:paraId="397CDC1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非单一产品采购项目，多家投标人提供的核心产品品牌相同的，按照前款规定处理。</w:t>
      </w:r>
    </w:p>
    <w:p w14:paraId="36C1C776">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2</w:t>
      </w:r>
      <w:r>
        <w:rPr>
          <w:rFonts w:hint="eastAsia" w:ascii="Times New Roman" w:hAnsi="Times New Roman" w:eastAsia="宋体" w:cs="Times New Roman"/>
          <w:color w:val="auto"/>
          <w:spacing w:val="0"/>
          <w:sz w:val="24"/>
          <w:szCs w:val="24"/>
          <w:highlight w:val="none"/>
          <w:lang w:eastAsia="zh-CN"/>
        </w:rPr>
        <w:t>）提供相同品牌产品且通过资格审查、符合性审查的不同投标人参加同一合同项下投标的，按一家投标人计算，评审后得分最高的同品牌投标人获得中标人推荐资格；评审得分相同的，依次比较投标人报价得分、服务方案得分、得分高者为获得中标人推荐资格，若上述两项得分相同，则由全体评标委员会成员无记名投票，得票高者获得中标人推荐资格，其他同品牌投标人不作为中标候选人。</w:t>
      </w:r>
    </w:p>
    <w:p w14:paraId="1176845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2.</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pacing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价格分以投标报价中的价格为准打分。所有合格投标人中报价的最</w:t>
      </w:r>
      <w:r>
        <w:rPr>
          <w:rFonts w:hint="eastAsia"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低价</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为基准价，计</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30</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分；投标报价得分=</w:t>
      </w:r>
      <w:r>
        <w:rPr>
          <w:rFonts w:hint="eastAsia" w:ascii="Times New Roman" w:hAnsi="Times New Roman" w:eastAsia="宋体" w:cs="Times New Roman"/>
          <w:color w:val="000000" w:themeColor="text1"/>
          <w:spacing w:val="0"/>
          <w:sz w:val="24"/>
          <w:szCs w:val="24"/>
          <w:highlight w:val="none"/>
          <w:lang w:eastAsia="zh-CN"/>
          <w14:textFill>
            <w14:solidFill>
              <w14:schemeClr w14:val="tx1"/>
            </w14:solidFill>
          </w14:textFill>
        </w:rPr>
        <w:t>基准价</w:t>
      </w:r>
      <w:r>
        <w:rPr>
          <w:rFonts w:hint="eastAsia"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pacing w:val="0"/>
          <w:sz w:val="24"/>
          <w:szCs w:val="24"/>
          <w:highlight w:val="none"/>
          <w:lang w:eastAsia="zh-CN"/>
          <w14:textFill>
            <w14:solidFill>
              <w14:schemeClr w14:val="tx1"/>
            </w14:solidFill>
          </w14:textFill>
        </w:rPr>
        <w:t>各投标人投标报价</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30</w:t>
      </w:r>
      <w:r>
        <w:rPr>
          <w:rFonts w:hint="eastAsia"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w:t>
      </w:r>
    </w:p>
    <w:p w14:paraId="7B4BAD3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w:t>
      </w:r>
      <w:r>
        <w:rPr>
          <w:rFonts w:hint="default" w:ascii="Times New Roman" w:hAnsi="Times New Roman" w:eastAsia="宋体" w:cs="Times New Roman"/>
          <w:color w:val="auto"/>
          <w:spacing w:val="0"/>
          <w:sz w:val="24"/>
          <w:szCs w:val="24"/>
          <w:highlight w:val="none"/>
          <w:lang w:val="en-US" w:eastAsia="zh-CN"/>
        </w:rPr>
        <w:t>6</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在评标委员会各成员独立评价打分的基础上，评标委员会综合汇总，按照汇总得分由高到低排序，得分最高者为第一候选中标人,以此类推,推荐三名候选中标人。当排序推荐中标人名单出现多数评委成员的评审意见比较一致，某一个别评委的赋分畸高畸低，导致排序结果改变的，采购人应当发回该评委重新进行评价，并向评标委员会说明其赋分的合理理由，对拒绝说明、拒绝重新评价的，其个人评审意见与赋分作为无效处理。</w:t>
      </w:r>
    </w:p>
    <w:p w14:paraId="68AD9C8C">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评标委员会根据评审结果推荐第一、第二、第三中标候选人，原则上确定第一中标候选人为中标人。中标人将进行公示一个工作日，在公示期间若对中标人有异议，并经核实反映内容属实，将取消其中标资格，由第二中标候选人替补。</w:t>
      </w:r>
    </w:p>
    <w:p w14:paraId="08FB781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如中标人无正当理由放弃中标资格，除不予退还投标保证金外，还必须向采购方缴纳其中标报价与第二中标候选人报价的差价款。</w:t>
      </w:r>
    </w:p>
    <w:p w14:paraId="00383A4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3.投标文件属下列情形之一的，按无效投标处理：</w:t>
      </w:r>
    </w:p>
    <w:p w14:paraId="3824FB2C">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未交、或未按规定交纳投标保证金的；</w:t>
      </w:r>
    </w:p>
    <w:p w14:paraId="7AF1843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未按招标文件规定要求加密、签署、盖章的；</w:t>
      </w:r>
    </w:p>
    <w:p w14:paraId="449B29F5">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以他人名义投标的；</w:t>
      </w:r>
    </w:p>
    <w:p w14:paraId="39CFA70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3.4</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投标文件有效期不符合招标文件要求的；</w:t>
      </w:r>
    </w:p>
    <w:p w14:paraId="40D1AF0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3.5</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明显不符合技术规格、标准和商务要求的；</w:t>
      </w:r>
    </w:p>
    <w:p w14:paraId="1C494BB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3.6</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有重大缺漏项的；</w:t>
      </w:r>
    </w:p>
    <w:p w14:paraId="5CFC2FB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3.7</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附有采购人不能接受的条款的；</w:t>
      </w:r>
    </w:p>
    <w:p w14:paraId="410033E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3.8</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不符合法律、法规和招标文件中规定的其他实质性要求的。</w:t>
      </w:r>
    </w:p>
    <w:p w14:paraId="449793D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3.9</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交货期</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交货地点</w:t>
      </w:r>
      <w:r>
        <w:rPr>
          <w:rFonts w:hint="eastAsia" w:ascii="宋体" w:hAnsi="宋体" w:eastAsia="宋体" w:cs="宋体"/>
          <w:color w:val="auto"/>
          <w:spacing w:val="0"/>
          <w:sz w:val="24"/>
          <w:szCs w:val="24"/>
          <w:highlight w:val="none"/>
        </w:rPr>
        <w:t>等主要条款不满足招标文件要求的。</w:t>
      </w:r>
    </w:p>
    <w:p w14:paraId="68F60D42">
      <w:pPr>
        <w:keepNext w:val="0"/>
        <w:keepLines w:val="0"/>
        <w:pageBreakBefore w:val="0"/>
        <w:widowControl/>
        <w:kinsoku/>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评审要素一览表</w:t>
      </w:r>
      <w:r>
        <w:rPr>
          <w:rFonts w:hint="eastAsia" w:ascii="宋体" w:hAnsi="宋体" w:eastAsia="宋体" w:cs="宋体"/>
          <w:color w:val="auto"/>
          <w:spacing w:val="0"/>
          <w:sz w:val="24"/>
          <w:szCs w:val="24"/>
          <w:highlight w:val="none"/>
          <w:lang w:eastAsia="zh-CN"/>
        </w:rPr>
        <w:t>》</w:t>
      </w:r>
    </w:p>
    <w:tbl>
      <w:tblPr>
        <w:tblStyle w:val="21"/>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275"/>
        <w:gridCol w:w="1191"/>
        <w:gridCol w:w="6137"/>
      </w:tblGrid>
      <w:tr w14:paraId="0A60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83" w:type="dxa"/>
            <w:vAlign w:val="center"/>
          </w:tcPr>
          <w:p w14:paraId="0B1BD6A1">
            <w:pPr>
              <w:keepNext w:val="0"/>
              <w:keepLines w:val="0"/>
              <w:widowControl/>
              <w:suppressLineNumbers w:val="0"/>
              <w:kinsoku/>
              <w:overflowPunct/>
              <w:topLinePunct w:val="0"/>
              <w:bidi w:val="0"/>
              <w:jc w:val="center"/>
              <w:rPr>
                <w:rFonts w:hint="eastAsia" w:ascii="宋体" w:hAnsi="宋体" w:eastAsia="宋体" w:cs="宋体"/>
                <w:b/>
                <w:bCs/>
                <w:color w:val="auto"/>
                <w:spacing w:val="0"/>
                <w:sz w:val="24"/>
                <w:szCs w:val="24"/>
                <w:highlight w:val="none"/>
                <w:vertAlign w:val="baseline"/>
                <w:lang w:val="en-US" w:eastAsia="zh-CN"/>
              </w:rPr>
            </w:pPr>
            <w:r>
              <w:rPr>
                <w:rFonts w:hint="eastAsia" w:ascii="宋体" w:hAnsi="宋体" w:eastAsia="宋体" w:cs="宋体"/>
                <w:b/>
                <w:bCs/>
                <w:color w:val="auto"/>
                <w:spacing w:val="0"/>
                <w:sz w:val="24"/>
                <w:szCs w:val="24"/>
                <w:highlight w:val="none"/>
                <w:vertAlign w:val="baseline"/>
                <w:lang w:val="en-US" w:eastAsia="zh-CN"/>
              </w:rPr>
              <w:t>序号</w:t>
            </w:r>
          </w:p>
        </w:tc>
        <w:tc>
          <w:tcPr>
            <w:tcW w:w="1275" w:type="dxa"/>
            <w:vAlign w:val="center"/>
          </w:tcPr>
          <w:p w14:paraId="51B7AAAD">
            <w:pPr>
              <w:keepNext w:val="0"/>
              <w:keepLines w:val="0"/>
              <w:widowControl/>
              <w:suppressLineNumbers w:val="0"/>
              <w:kinsoku/>
              <w:overflowPunct/>
              <w:topLinePunct w:val="0"/>
              <w:bidi w:val="0"/>
              <w:jc w:val="center"/>
              <w:rPr>
                <w:rFonts w:hint="eastAsia" w:ascii="宋体" w:hAnsi="宋体" w:eastAsia="宋体" w:cs="宋体"/>
                <w:b/>
                <w:bCs/>
                <w:snapToGrid w:val="0"/>
                <w:color w:val="000000"/>
                <w:kern w:val="0"/>
                <w:sz w:val="24"/>
                <w:szCs w:val="24"/>
                <w:highlight w:val="none"/>
                <w:lang w:val="en-US" w:eastAsia="zh-CN" w:bidi="ar"/>
              </w:rPr>
            </w:pPr>
            <w:r>
              <w:rPr>
                <w:rFonts w:hint="eastAsia" w:ascii="宋体" w:hAnsi="宋体" w:eastAsia="宋体" w:cs="宋体"/>
                <w:b/>
                <w:bCs/>
                <w:snapToGrid w:val="0"/>
                <w:color w:val="000000"/>
                <w:kern w:val="0"/>
                <w:sz w:val="24"/>
                <w:szCs w:val="24"/>
                <w:highlight w:val="none"/>
                <w:lang w:val="en-US" w:eastAsia="zh-CN" w:bidi="ar"/>
              </w:rPr>
              <w:t>评审因素</w:t>
            </w:r>
          </w:p>
        </w:tc>
        <w:tc>
          <w:tcPr>
            <w:tcW w:w="1191" w:type="dxa"/>
            <w:vAlign w:val="center"/>
          </w:tcPr>
          <w:p w14:paraId="28DB1144">
            <w:pPr>
              <w:keepNext w:val="0"/>
              <w:keepLines w:val="0"/>
              <w:widowControl/>
              <w:suppressLineNumbers w:val="0"/>
              <w:kinsoku/>
              <w:overflowPunct/>
              <w:topLinePunct w:val="0"/>
              <w:bidi w:val="0"/>
              <w:jc w:val="center"/>
              <w:rPr>
                <w:rFonts w:hint="eastAsia" w:ascii="宋体" w:hAnsi="宋体" w:eastAsia="宋体" w:cs="宋体"/>
                <w:b/>
                <w:bCs/>
                <w:color w:val="auto"/>
                <w:spacing w:val="0"/>
                <w:sz w:val="24"/>
                <w:szCs w:val="24"/>
                <w:highlight w:val="none"/>
                <w:vertAlign w:val="baseline"/>
              </w:rPr>
            </w:pPr>
            <w:r>
              <w:rPr>
                <w:rFonts w:hint="eastAsia" w:ascii="宋体" w:hAnsi="宋体" w:eastAsia="宋体" w:cs="宋体"/>
                <w:b/>
                <w:bCs/>
                <w:snapToGrid w:val="0"/>
                <w:color w:val="000000"/>
                <w:kern w:val="0"/>
                <w:sz w:val="24"/>
                <w:szCs w:val="24"/>
                <w:highlight w:val="none"/>
                <w:lang w:val="en-US" w:eastAsia="zh-CN" w:bidi="ar"/>
              </w:rPr>
              <w:t>分值</w:t>
            </w:r>
          </w:p>
        </w:tc>
        <w:tc>
          <w:tcPr>
            <w:tcW w:w="6137" w:type="dxa"/>
            <w:vAlign w:val="center"/>
          </w:tcPr>
          <w:p w14:paraId="675987A6">
            <w:pPr>
              <w:keepNext w:val="0"/>
              <w:keepLines w:val="0"/>
              <w:widowControl/>
              <w:suppressLineNumbers w:val="0"/>
              <w:kinsoku/>
              <w:overflowPunct/>
              <w:topLinePunct w:val="0"/>
              <w:bidi w:val="0"/>
              <w:jc w:val="center"/>
              <w:rPr>
                <w:rFonts w:hint="eastAsia" w:ascii="宋体" w:hAnsi="宋体" w:eastAsia="宋体" w:cs="宋体"/>
                <w:b/>
                <w:bCs/>
                <w:color w:val="auto"/>
                <w:spacing w:val="0"/>
                <w:sz w:val="24"/>
                <w:szCs w:val="24"/>
                <w:highlight w:val="none"/>
                <w:vertAlign w:val="baseline"/>
              </w:rPr>
            </w:pPr>
            <w:r>
              <w:rPr>
                <w:rFonts w:hint="eastAsia" w:ascii="宋体" w:hAnsi="宋体" w:eastAsia="宋体" w:cs="宋体"/>
                <w:b/>
                <w:bCs/>
                <w:snapToGrid w:val="0"/>
                <w:color w:val="000000"/>
                <w:kern w:val="0"/>
                <w:sz w:val="24"/>
                <w:szCs w:val="24"/>
                <w:highlight w:val="none"/>
                <w:lang w:val="en-US" w:eastAsia="zh-CN" w:bidi="ar"/>
              </w:rPr>
              <w:t>评审标准</w:t>
            </w:r>
          </w:p>
        </w:tc>
      </w:tr>
      <w:tr w14:paraId="36E6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jc w:val="center"/>
        </w:trPr>
        <w:tc>
          <w:tcPr>
            <w:tcW w:w="783" w:type="dxa"/>
            <w:vAlign w:val="center"/>
          </w:tcPr>
          <w:p w14:paraId="0FA9F817">
            <w:pPr>
              <w:keepNext w:val="0"/>
              <w:keepLines w:val="0"/>
              <w:widowControl/>
              <w:suppressLineNumbers w:val="0"/>
              <w:kinsoku/>
              <w:overflowPunct/>
              <w:topLinePunct w:val="0"/>
              <w:bidi w:val="0"/>
              <w:jc w:val="center"/>
              <w:rPr>
                <w:rFonts w:hint="eastAsia"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1</w:t>
            </w:r>
          </w:p>
        </w:tc>
        <w:tc>
          <w:tcPr>
            <w:tcW w:w="1275" w:type="dxa"/>
            <w:vAlign w:val="center"/>
          </w:tcPr>
          <w:p w14:paraId="699DDFFE">
            <w:pPr>
              <w:keepNext w:val="0"/>
              <w:keepLines w:val="0"/>
              <w:widowControl/>
              <w:suppressLineNumbers w:val="0"/>
              <w:kinsoku/>
              <w:overflowPunct/>
              <w:topLinePunct w:val="0"/>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投标报价</w:t>
            </w:r>
          </w:p>
        </w:tc>
        <w:tc>
          <w:tcPr>
            <w:tcW w:w="1191" w:type="dxa"/>
            <w:vAlign w:val="center"/>
          </w:tcPr>
          <w:p w14:paraId="14B088FD">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30分</w:t>
            </w:r>
          </w:p>
        </w:tc>
        <w:tc>
          <w:tcPr>
            <w:tcW w:w="6137" w:type="dxa"/>
            <w:vAlign w:val="center"/>
          </w:tcPr>
          <w:p w14:paraId="00911D17">
            <w:pPr>
              <w:keepNext w:val="0"/>
              <w:keepLines w:val="0"/>
              <w:widowControl w:val="0"/>
              <w:kinsoku/>
              <w:overflowPunct/>
              <w:topLinePunct w:val="0"/>
              <w:bidi w:val="0"/>
              <w:jc w:val="both"/>
              <w:rPr>
                <w:rFonts w:hint="eastAsia" w:ascii="宋体" w:hAnsi="宋体" w:eastAsia="宋体" w:cs="宋体"/>
                <w:b w:val="0"/>
                <w:bCs w:val="0"/>
                <w:color w:val="auto"/>
                <w:spacing w:val="0"/>
                <w:sz w:val="24"/>
                <w:szCs w:val="24"/>
                <w:highlight w:val="none"/>
                <w:vertAlign w:val="baseline"/>
              </w:rPr>
            </w:pPr>
            <w:r>
              <w:rPr>
                <w:rFonts w:hint="eastAsia" w:ascii="宋体" w:hAnsi="宋体" w:eastAsia="宋体" w:cs="宋体"/>
                <w:b w:val="0"/>
                <w:bCs w:val="0"/>
                <w:color w:val="auto"/>
                <w:spacing w:val="0"/>
                <w:sz w:val="24"/>
                <w:szCs w:val="24"/>
                <w:highlight w:val="none"/>
                <w:vertAlign w:val="baseline"/>
              </w:rPr>
              <w:t>按照财政部《政府采购货物和服务招标投标管理办法》（财政部令第87号）的有关规定：价格分采用低价优先法计算，即满足招标文件要求且投标价格</w:t>
            </w:r>
            <w:r>
              <w:rPr>
                <w:rFonts w:hint="eastAsia" w:ascii="宋体" w:hAnsi="宋体" w:eastAsia="宋体" w:cs="宋体"/>
                <w:b w:val="0"/>
                <w:bCs w:val="0"/>
                <w:color w:val="auto"/>
                <w:spacing w:val="0"/>
                <w:sz w:val="24"/>
                <w:szCs w:val="24"/>
                <w:highlight w:val="none"/>
                <w:vertAlign w:val="baseline"/>
                <w:lang w:val="en-US" w:eastAsia="zh-CN"/>
              </w:rPr>
              <w:t>最低</w:t>
            </w:r>
            <w:r>
              <w:rPr>
                <w:rFonts w:hint="eastAsia" w:ascii="宋体" w:hAnsi="宋体" w:eastAsia="宋体" w:cs="宋体"/>
                <w:b w:val="0"/>
                <w:bCs w:val="0"/>
                <w:color w:val="auto"/>
                <w:spacing w:val="0"/>
                <w:sz w:val="24"/>
                <w:szCs w:val="24"/>
                <w:highlight w:val="none"/>
                <w:vertAlign w:val="baseline"/>
              </w:rPr>
              <w:t>的投标报价为评标基准价，其价格分为满分。其他投标人的价格分统一按照下列公式计算：</w:t>
            </w:r>
          </w:p>
          <w:p w14:paraId="20508C4A">
            <w:pPr>
              <w:keepNext w:val="0"/>
              <w:keepLines w:val="0"/>
              <w:widowControl w:val="0"/>
              <w:kinsoku/>
              <w:overflowPunct/>
              <w:topLinePunct w:val="0"/>
              <w:bidi w:val="0"/>
              <w:jc w:val="both"/>
              <w:rPr>
                <w:rFonts w:hint="eastAsia" w:ascii="宋体" w:hAnsi="宋体" w:eastAsia="宋体" w:cs="宋体"/>
                <w:b w:val="0"/>
                <w:bCs w:val="0"/>
                <w:color w:val="auto"/>
                <w:spacing w:val="0"/>
                <w:sz w:val="24"/>
                <w:szCs w:val="24"/>
                <w:highlight w:val="none"/>
                <w:vertAlign w:val="baseline"/>
              </w:rPr>
            </w:pPr>
            <w:r>
              <w:rPr>
                <w:rFonts w:hint="eastAsia" w:ascii="宋体" w:hAnsi="宋体" w:eastAsia="宋体" w:cs="宋体"/>
                <w:b w:val="0"/>
                <w:bCs w:val="0"/>
                <w:color w:val="auto"/>
                <w:spacing w:val="0"/>
                <w:sz w:val="24"/>
                <w:szCs w:val="24"/>
                <w:highlight w:val="none"/>
                <w:vertAlign w:val="baseline"/>
              </w:rPr>
              <w:t>投标报价得分=（</w:t>
            </w:r>
            <w:r>
              <w:rPr>
                <w:rFonts w:hint="eastAsia" w:ascii="宋体" w:hAnsi="宋体" w:eastAsia="宋体" w:cs="宋体"/>
                <w:b w:val="0"/>
                <w:bCs w:val="0"/>
                <w:color w:val="auto"/>
                <w:spacing w:val="0"/>
                <w:sz w:val="24"/>
                <w:szCs w:val="24"/>
                <w:highlight w:val="none"/>
                <w:vertAlign w:val="baseline"/>
                <w:lang w:eastAsia="zh-CN"/>
              </w:rPr>
              <w:t>评标基准价</w:t>
            </w:r>
            <w:r>
              <w:rPr>
                <w:rFonts w:hint="eastAsia" w:ascii="宋体" w:hAnsi="宋体" w:eastAsia="宋体" w:cs="宋体"/>
                <w:b w:val="0"/>
                <w:bCs w:val="0"/>
                <w:color w:val="auto"/>
                <w:spacing w:val="0"/>
                <w:sz w:val="24"/>
                <w:szCs w:val="24"/>
                <w:highlight w:val="none"/>
                <w:vertAlign w:val="baseline"/>
                <w:lang w:val="en-US" w:eastAsia="zh-CN"/>
              </w:rPr>
              <w:t>/</w:t>
            </w:r>
            <w:r>
              <w:rPr>
                <w:rFonts w:hint="eastAsia" w:ascii="宋体" w:hAnsi="宋体" w:eastAsia="宋体" w:cs="宋体"/>
                <w:b w:val="0"/>
                <w:bCs w:val="0"/>
                <w:color w:val="auto"/>
                <w:spacing w:val="0"/>
                <w:sz w:val="24"/>
                <w:szCs w:val="24"/>
                <w:highlight w:val="none"/>
                <w:vertAlign w:val="baseline"/>
                <w:lang w:eastAsia="zh-CN"/>
              </w:rPr>
              <w:t>投标报价</w:t>
            </w:r>
            <w:r>
              <w:rPr>
                <w:rFonts w:hint="eastAsia" w:ascii="宋体" w:hAnsi="宋体" w:eastAsia="宋体" w:cs="宋体"/>
                <w:b w:val="0"/>
                <w:bCs w:val="0"/>
                <w:color w:val="auto"/>
                <w:spacing w:val="0"/>
                <w:sz w:val="24"/>
                <w:szCs w:val="24"/>
                <w:highlight w:val="none"/>
                <w:vertAlign w:val="baseline"/>
              </w:rPr>
              <w:t>）×30</w:t>
            </w:r>
          </w:p>
          <w:p w14:paraId="685484A9">
            <w:pPr>
              <w:keepNext w:val="0"/>
              <w:keepLines w:val="0"/>
              <w:widowControl w:val="0"/>
              <w:kinsoku/>
              <w:overflowPunct/>
              <w:topLinePunct w:val="0"/>
              <w:bidi w:val="0"/>
              <w:jc w:val="both"/>
              <w:rPr>
                <w:rFonts w:hint="eastAsia" w:ascii="宋体" w:hAnsi="宋体" w:eastAsia="宋体" w:cs="宋体"/>
                <w:b w:val="0"/>
                <w:bCs w:val="0"/>
                <w:color w:val="auto"/>
                <w:spacing w:val="0"/>
                <w:sz w:val="24"/>
                <w:szCs w:val="24"/>
                <w:highlight w:val="none"/>
                <w:vertAlign w:val="baseline"/>
              </w:rPr>
            </w:pPr>
            <w:r>
              <w:rPr>
                <w:rFonts w:hint="eastAsia" w:ascii="宋体" w:hAnsi="宋体" w:eastAsia="宋体" w:cs="宋体"/>
                <w:b w:val="0"/>
                <w:bCs w:val="0"/>
                <w:color w:val="auto"/>
                <w:spacing w:val="0"/>
                <w:sz w:val="24"/>
                <w:szCs w:val="24"/>
                <w:highlight w:val="none"/>
                <w:vertAlign w:val="baseline"/>
              </w:rPr>
              <w:t>因落实政府采购政策进行价格调整的，以调整后的价格计算评标基准价和投标报价。</w:t>
            </w:r>
            <w:r>
              <w:rPr>
                <w:rFonts w:hint="eastAsia" w:ascii="宋体" w:hAnsi="宋体" w:eastAsia="宋体" w:cs="宋体"/>
                <w:b w:val="0"/>
                <w:bCs w:val="0"/>
                <w:color w:val="auto"/>
                <w:spacing w:val="0"/>
                <w:sz w:val="24"/>
                <w:szCs w:val="24"/>
                <w:highlight w:val="none"/>
                <w:vertAlign w:val="baseline"/>
                <w:lang w:val="en-US" w:eastAsia="zh-CN"/>
              </w:rPr>
              <w:t>注：</w:t>
            </w:r>
            <w:r>
              <w:rPr>
                <w:rFonts w:hint="eastAsia" w:ascii="宋体" w:hAnsi="宋体" w:eastAsia="宋体" w:cs="宋体"/>
                <w:b w:val="0"/>
                <w:bCs w:val="0"/>
                <w:color w:val="auto"/>
                <w:spacing w:val="0"/>
                <w:sz w:val="24"/>
                <w:szCs w:val="24"/>
                <w:highlight w:val="none"/>
                <w:vertAlign w:val="baseline"/>
              </w:rPr>
              <w:t>当评标委员会认为某个供应商的报价明显低于其他通过符合性审查供应商的报价，有可能影响货物质量和不能诚信履约的，应要求该供应商在评标现场合理的时间内提供书面说明，必要时提交相关证明材料；供应商不能证明其报价合理</w:t>
            </w:r>
            <w:r>
              <w:rPr>
                <w:rFonts w:hint="eastAsia" w:ascii="宋体" w:hAnsi="宋体" w:eastAsia="宋体" w:cs="宋体"/>
                <w:b w:val="0"/>
                <w:bCs w:val="0"/>
                <w:color w:val="auto"/>
                <w:spacing w:val="0"/>
                <w:sz w:val="24"/>
                <w:szCs w:val="24"/>
                <w:highlight w:val="none"/>
                <w:vertAlign w:val="baseline"/>
                <w:lang w:val="en-US" w:eastAsia="zh-CN"/>
              </w:rPr>
              <w:t>性</w:t>
            </w:r>
            <w:r>
              <w:rPr>
                <w:rFonts w:hint="eastAsia" w:ascii="宋体" w:hAnsi="宋体" w:eastAsia="宋体" w:cs="宋体"/>
                <w:b w:val="0"/>
                <w:bCs w:val="0"/>
                <w:color w:val="auto"/>
                <w:spacing w:val="0"/>
                <w:sz w:val="24"/>
                <w:szCs w:val="24"/>
                <w:highlight w:val="none"/>
                <w:vertAlign w:val="baseline"/>
              </w:rPr>
              <w:t>的，评标委员会将其作为无效投标报价。</w:t>
            </w:r>
          </w:p>
        </w:tc>
      </w:tr>
      <w:tr w14:paraId="63F3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6" w:hRule="atLeast"/>
          <w:jc w:val="center"/>
        </w:trPr>
        <w:tc>
          <w:tcPr>
            <w:tcW w:w="783" w:type="dxa"/>
            <w:vAlign w:val="center"/>
          </w:tcPr>
          <w:p w14:paraId="14BA5A9A">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2</w:t>
            </w:r>
          </w:p>
        </w:tc>
        <w:tc>
          <w:tcPr>
            <w:tcW w:w="1275" w:type="dxa"/>
            <w:vAlign w:val="center"/>
          </w:tcPr>
          <w:p w14:paraId="4F9B4399">
            <w:pPr>
              <w:keepNext w:val="0"/>
              <w:keepLines w:val="0"/>
              <w:widowControl w:val="0"/>
              <w:kinsoku/>
              <w:overflowPunct/>
              <w:topLinePunct w:val="0"/>
              <w:bidi w:val="0"/>
              <w:adjustRightInd w:val="0"/>
              <w:snapToGrid w:val="0"/>
              <w:spacing w:line="276" w:lineRule="auto"/>
              <w:jc w:val="center"/>
              <w:rPr>
                <w:rFonts w:hint="eastAsia" w:ascii="宋体" w:hAnsi="宋体" w:eastAsia="宋体" w:cs="宋体"/>
                <w:b w:val="0"/>
                <w:bCs w:val="0"/>
                <w:sz w:val="24"/>
                <w:highlight w:val="none"/>
                <w:lang w:val="zh-CN"/>
              </w:rPr>
            </w:pPr>
            <w:r>
              <w:rPr>
                <w:rFonts w:hint="eastAsia" w:ascii="宋体" w:hAnsi="宋体" w:eastAsia="宋体" w:cs="宋体"/>
                <w:b w:val="0"/>
                <w:bCs w:val="0"/>
                <w:sz w:val="24"/>
                <w:highlight w:val="none"/>
              </w:rPr>
              <w:t>节能、环境标志产品</w:t>
            </w:r>
          </w:p>
          <w:p w14:paraId="37E3592C">
            <w:pPr>
              <w:keepNext w:val="0"/>
              <w:keepLines w:val="0"/>
              <w:widowControl w:val="0"/>
              <w:kinsoku/>
              <w:overflowPunct/>
              <w:topLinePunct w:val="0"/>
              <w:bidi w:val="0"/>
              <w:jc w:val="center"/>
              <w:rPr>
                <w:rFonts w:hint="eastAsia" w:ascii="宋体" w:hAnsi="宋体" w:eastAsia="宋体" w:cs="宋体"/>
                <w:color w:val="auto"/>
                <w:sz w:val="24"/>
                <w:szCs w:val="24"/>
                <w:highlight w:val="none"/>
              </w:rPr>
            </w:pPr>
          </w:p>
        </w:tc>
        <w:tc>
          <w:tcPr>
            <w:tcW w:w="1191" w:type="dxa"/>
            <w:vAlign w:val="center"/>
          </w:tcPr>
          <w:p w14:paraId="4EA33D22">
            <w:pPr>
              <w:keepNext w:val="0"/>
              <w:keepLines w:val="0"/>
              <w:widowControl w:val="0"/>
              <w:kinsoku/>
              <w:overflowPunct/>
              <w:topLinePunct w:val="0"/>
              <w:bidi w:val="0"/>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000000"/>
                <w:kern w:val="0"/>
                <w:sz w:val="24"/>
                <w:szCs w:val="24"/>
                <w:highlight w:val="none"/>
                <w:lang w:val="en-US" w:eastAsia="zh-CN"/>
              </w:rPr>
              <w:t>分</w:t>
            </w:r>
          </w:p>
        </w:tc>
        <w:tc>
          <w:tcPr>
            <w:tcW w:w="6137" w:type="dxa"/>
            <w:vAlign w:val="center"/>
          </w:tcPr>
          <w:p w14:paraId="7944516E">
            <w:pPr>
              <w:keepNext w:val="0"/>
              <w:keepLines w:val="0"/>
              <w:widowControl w:val="0"/>
              <w:kinsoku/>
              <w:overflowPunct/>
              <w:topLinePunct w:val="0"/>
              <w:bidi w:val="0"/>
              <w:adjustRightInd w:val="0"/>
              <w:snapToGrid w:val="0"/>
              <w:spacing w:line="276" w:lineRule="auto"/>
              <w:rPr>
                <w:rFonts w:hint="eastAsia" w:ascii="宋体" w:hAnsi="宋体" w:eastAsia="宋体" w:cs="宋体"/>
                <w:b w:val="0"/>
                <w:bCs w:val="0"/>
                <w:sz w:val="24"/>
                <w:highlight w:val="none"/>
                <w:lang w:val="zh-CN"/>
              </w:rPr>
            </w:pPr>
            <w:r>
              <w:rPr>
                <w:rFonts w:hint="eastAsia" w:ascii="宋体" w:hAnsi="宋体" w:eastAsia="宋体" w:cs="宋体"/>
                <w:b w:val="0"/>
                <w:bCs w:val="0"/>
                <w:sz w:val="24"/>
                <w:highlight w:val="none"/>
                <w:lang w:val="zh-CN"/>
              </w:rPr>
              <w:t>投标人所投产品属于节能产品、环境标志产品优先采购范围（除政府强制采购的节能产品外）：</w:t>
            </w:r>
          </w:p>
          <w:p w14:paraId="70705D37">
            <w:pPr>
              <w:keepNext w:val="0"/>
              <w:keepLines w:val="0"/>
              <w:widowControl w:val="0"/>
              <w:numPr>
                <w:ilvl w:val="0"/>
                <w:numId w:val="0"/>
              </w:numPr>
              <w:kinsoku/>
              <w:overflowPunct/>
              <w:topLinePunct w:val="0"/>
              <w:bidi w:val="0"/>
              <w:adjustRightInd w:val="0"/>
              <w:snapToGrid w:val="0"/>
              <w:spacing w:line="276" w:lineRule="auto"/>
              <w:rPr>
                <w:rFonts w:hint="eastAsia" w:ascii="宋体" w:hAnsi="宋体" w:eastAsia="宋体" w:cs="宋体"/>
                <w:b w:val="0"/>
                <w:bCs w:val="0"/>
                <w:sz w:val="24"/>
                <w:highlight w:val="none"/>
                <w:lang w:val="zh-CN"/>
              </w:rPr>
            </w:pPr>
            <w:r>
              <w:rPr>
                <w:rFonts w:hint="eastAsia" w:ascii="宋体" w:hAnsi="宋体" w:eastAsia="宋体" w:cs="宋体"/>
                <w:b w:val="0"/>
                <w:bCs w:val="0"/>
                <w:kern w:val="2"/>
                <w:sz w:val="24"/>
                <w:szCs w:val="24"/>
                <w:highlight w:val="none"/>
                <w:lang w:val="zh-CN" w:eastAsia="zh-CN" w:bidi="ar-SA"/>
              </w:rPr>
              <w:t>1、</w:t>
            </w:r>
            <w:r>
              <w:rPr>
                <w:rFonts w:hint="eastAsia" w:ascii="宋体" w:hAnsi="宋体" w:eastAsia="宋体" w:cs="宋体"/>
                <w:b w:val="0"/>
                <w:bCs w:val="0"/>
                <w:sz w:val="24"/>
                <w:highlight w:val="none"/>
                <w:lang w:val="zh-CN"/>
              </w:rPr>
              <w:t>所投产品属于节能产品得</w:t>
            </w:r>
            <w:r>
              <w:rPr>
                <w:rFonts w:hint="eastAsia" w:ascii="宋体" w:hAnsi="宋体" w:eastAsia="宋体" w:cs="宋体"/>
                <w:b w:val="0"/>
                <w:bCs w:val="0"/>
                <w:sz w:val="24"/>
                <w:highlight w:val="none"/>
              </w:rPr>
              <w:t>0.5</w:t>
            </w:r>
            <w:r>
              <w:rPr>
                <w:rFonts w:hint="eastAsia" w:ascii="宋体" w:hAnsi="宋体" w:eastAsia="宋体" w:cs="宋体"/>
                <w:b w:val="0"/>
                <w:bCs w:val="0"/>
                <w:sz w:val="24"/>
                <w:highlight w:val="none"/>
                <w:lang w:val="zh-CN"/>
              </w:rPr>
              <w:t>分；</w:t>
            </w:r>
          </w:p>
          <w:p w14:paraId="4D907AB4">
            <w:pPr>
              <w:keepNext w:val="0"/>
              <w:keepLines w:val="0"/>
              <w:widowControl w:val="0"/>
              <w:kinsoku/>
              <w:overflowPunct/>
              <w:topLinePunct w:val="0"/>
              <w:bidi w:val="0"/>
              <w:adjustRightInd w:val="0"/>
              <w:snapToGrid w:val="0"/>
              <w:spacing w:line="276" w:lineRule="auto"/>
              <w:rPr>
                <w:rFonts w:hint="eastAsia" w:ascii="宋体" w:hAnsi="宋体" w:eastAsia="宋体" w:cs="宋体"/>
                <w:b w:val="0"/>
                <w:bCs w:val="0"/>
                <w:sz w:val="24"/>
                <w:highlight w:val="none"/>
                <w:lang w:val="zh-CN"/>
              </w:rPr>
            </w:pPr>
            <w:r>
              <w:rPr>
                <w:rFonts w:hint="eastAsia" w:ascii="宋体" w:hAnsi="宋体" w:eastAsia="宋体" w:cs="宋体"/>
                <w:b w:val="0"/>
                <w:bCs w:val="0"/>
                <w:sz w:val="24"/>
                <w:highlight w:val="none"/>
                <w:lang w:val="zh-CN"/>
              </w:rPr>
              <w:t>评审依据：所投产品具有国家确定的认证机构出具的、处于有效期之内的节能产品认证证书（提供证书扫描件）。</w:t>
            </w:r>
          </w:p>
          <w:p w14:paraId="59796B17">
            <w:pPr>
              <w:keepNext w:val="0"/>
              <w:keepLines w:val="0"/>
              <w:widowControl w:val="0"/>
              <w:numPr>
                <w:ilvl w:val="0"/>
                <w:numId w:val="0"/>
              </w:numPr>
              <w:kinsoku/>
              <w:overflowPunct/>
              <w:topLinePunct w:val="0"/>
              <w:bidi w:val="0"/>
              <w:adjustRightInd w:val="0"/>
              <w:snapToGrid w:val="0"/>
              <w:spacing w:line="276" w:lineRule="auto"/>
              <w:rPr>
                <w:rFonts w:hint="eastAsia" w:ascii="宋体" w:hAnsi="宋体" w:eastAsia="宋体" w:cs="宋体"/>
                <w:b w:val="0"/>
                <w:bCs w:val="0"/>
                <w:sz w:val="24"/>
                <w:highlight w:val="none"/>
                <w:lang w:val="zh-CN"/>
              </w:rPr>
            </w:pPr>
            <w:r>
              <w:rPr>
                <w:rFonts w:hint="eastAsia" w:ascii="宋体" w:hAnsi="宋体" w:eastAsia="宋体" w:cs="宋体"/>
                <w:b w:val="0"/>
                <w:bCs w:val="0"/>
                <w:kern w:val="2"/>
                <w:sz w:val="24"/>
                <w:szCs w:val="24"/>
                <w:highlight w:val="none"/>
                <w:lang w:val="zh-CN" w:eastAsia="zh-CN" w:bidi="ar-SA"/>
              </w:rPr>
              <w:t>2、</w:t>
            </w:r>
            <w:r>
              <w:rPr>
                <w:rFonts w:hint="eastAsia" w:ascii="宋体" w:hAnsi="宋体" w:eastAsia="宋体" w:cs="宋体"/>
                <w:b w:val="0"/>
                <w:bCs w:val="0"/>
                <w:sz w:val="24"/>
                <w:highlight w:val="none"/>
                <w:lang w:val="zh-CN"/>
              </w:rPr>
              <w:t>所投产品属于环境标志产品得</w:t>
            </w:r>
            <w:r>
              <w:rPr>
                <w:rFonts w:hint="eastAsia" w:ascii="宋体" w:hAnsi="宋体" w:eastAsia="宋体" w:cs="宋体"/>
                <w:b w:val="0"/>
                <w:bCs w:val="0"/>
                <w:sz w:val="24"/>
                <w:highlight w:val="none"/>
              </w:rPr>
              <w:t>0.5</w:t>
            </w:r>
            <w:r>
              <w:rPr>
                <w:rFonts w:hint="eastAsia" w:ascii="宋体" w:hAnsi="宋体" w:eastAsia="宋体" w:cs="宋体"/>
                <w:b w:val="0"/>
                <w:bCs w:val="0"/>
                <w:sz w:val="24"/>
                <w:highlight w:val="none"/>
                <w:lang w:val="zh-CN"/>
              </w:rPr>
              <w:t>分；</w:t>
            </w:r>
          </w:p>
          <w:p w14:paraId="7D7F0727">
            <w:pPr>
              <w:keepNext w:val="0"/>
              <w:keepLines w:val="0"/>
              <w:widowControl w:val="0"/>
              <w:kinsoku/>
              <w:overflowPunct/>
              <w:topLinePunct w:val="0"/>
              <w:bidi w:val="0"/>
              <w:adjustRightInd w:val="0"/>
              <w:snapToGrid w:val="0"/>
              <w:spacing w:line="276" w:lineRule="auto"/>
              <w:rPr>
                <w:rFonts w:hint="eastAsia" w:ascii="宋体" w:hAnsi="宋体" w:eastAsia="宋体" w:cs="宋体"/>
                <w:b w:val="0"/>
                <w:bCs w:val="0"/>
                <w:sz w:val="24"/>
                <w:highlight w:val="none"/>
                <w:lang w:val="zh-CN"/>
              </w:rPr>
            </w:pPr>
            <w:r>
              <w:rPr>
                <w:rFonts w:hint="eastAsia" w:ascii="宋体" w:hAnsi="宋体" w:eastAsia="宋体" w:cs="宋体"/>
                <w:b w:val="0"/>
                <w:bCs w:val="0"/>
                <w:sz w:val="24"/>
                <w:highlight w:val="none"/>
                <w:lang w:val="zh-CN"/>
              </w:rPr>
              <w:t>评审依据：所投产品具有国家确定的认证机构出具的、处于有效期之内的环境标志产品认证证书（提供证书扫描件）。</w:t>
            </w:r>
          </w:p>
          <w:p w14:paraId="350C24C6">
            <w:pPr>
              <w:keepNext w:val="0"/>
              <w:keepLines w:val="0"/>
              <w:widowControl w:val="0"/>
              <w:kinsoku/>
              <w:overflowPunct/>
              <w:topLinePunct w:val="0"/>
              <w:autoSpaceDE w:val="0"/>
              <w:autoSpaceDN w:val="0"/>
              <w:bidi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z w:val="24"/>
                <w:highlight w:val="none"/>
                <w:lang w:val="zh-CN"/>
              </w:rPr>
              <w:t>注：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14:paraId="6A5D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783" w:type="dxa"/>
            <w:shd w:val="clear" w:color="auto" w:fill="auto"/>
            <w:vAlign w:val="center"/>
          </w:tcPr>
          <w:p w14:paraId="3BD9725F">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3</w:t>
            </w:r>
          </w:p>
        </w:tc>
        <w:tc>
          <w:tcPr>
            <w:tcW w:w="1275" w:type="dxa"/>
            <w:vAlign w:val="center"/>
          </w:tcPr>
          <w:p w14:paraId="28C1BFC3">
            <w:pPr>
              <w:keepNext w:val="0"/>
              <w:keepLines w:val="0"/>
              <w:widowControl/>
              <w:suppressLineNumbers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b w:val="0"/>
                <w:bCs w:val="0"/>
                <w:sz w:val="24"/>
                <w:highlight w:val="none"/>
                <w:lang w:val="zh-CN"/>
              </w:rPr>
              <w:t>技术指标</w:t>
            </w:r>
            <w:r>
              <w:rPr>
                <w:rFonts w:hint="eastAsia" w:ascii="宋体" w:hAnsi="宋体" w:eastAsia="宋体" w:cs="宋体"/>
                <w:b w:val="0"/>
                <w:bCs w:val="0"/>
                <w:sz w:val="24"/>
                <w:highlight w:val="none"/>
                <w:lang w:val="en-US" w:eastAsia="zh-CN"/>
              </w:rPr>
              <w:t>响应</w:t>
            </w:r>
          </w:p>
        </w:tc>
        <w:tc>
          <w:tcPr>
            <w:tcW w:w="1191" w:type="dxa"/>
            <w:vAlign w:val="center"/>
          </w:tcPr>
          <w:p w14:paraId="0A97A672">
            <w:pPr>
              <w:keepNext w:val="0"/>
              <w:keepLines w:val="0"/>
              <w:widowControl/>
              <w:suppressLineNumbers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30分</w:t>
            </w:r>
          </w:p>
        </w:tc>
        <w:tc>
          <w:tcPr>
            <w:tcW w:w="6137" w:type="dxa"/>
            <w:vAlign w:val="center"/>
          </w:tcPr>
          <w:p w14:paraId="7125FE9F">
            <w:pPr>
              <w:keepNext w:val="0"/>
              <w:keepLines w:val="0"/>
              <w:widowControl w:val="0"/>
              <w:kinsoku/>
              <w:overflowPunct/>
              <w:topLinePunct w:val="0"/>
              <w:autoSpaceDE w:val="0"/>
              <w:autoSpaceDN w:val="0"/>
              <w:bidi w:val="0"/>
              <w:adjustRightInd w:val="0"/>
              <w:snapToGrid w:val="0"/>
              <w:spacing w:line="400" w:lineRule="exac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zh-CN"/>
              </w:rPr>
              <w:t>投标产品的技术指标评审：完全响应得3</w:t>
            </w:r>
            <w:r>
              <w:rPr>
                <w:rFonts w:hint="eastAsia" w:ascii="宋体" w:hAnsi="宋体" w:eastAsia="宋体" w:cs="宋体"/>
                <w:b w:val="0"/>
                <w:bCs w:val="0"/>
                <w:sz w:val="24"/>
                <w:highlight w:val="none"/>
                <w:lang w:val="en-US" w:eastAsia="zh-CN"/>
              </w:rPr>
              <w:t>0</w:t>
            </w:r>
            <w:r>
              <w:rPr>
                <w:rFonts w:hint="eastAsia" w:ascii="宋体" w:hAnsi="宋体" w:eastAsia="宋体" w:cs="宋体"/>
                <w:b w:val="0"/>
                <w:bCs w:val="0"/>
                <w:sz w:val="24"/>
                <w:highlight w:val="none"/>
                <w:lang w:val="zh-CN"/>
              </w:rPr>
              <w:t>分。“</w:t>
            </w:r>
            <w:r>
              <w:rPr>
                <w:rFonts w:hint="eastAsia" w:ascii="宋体" w:hAnsi="宋体" w:eastAsia="宋体" w:cs="宋体"/>
                <w:b w:val="0"/>
                <w:bCs w:val="0"/>
                <w:szCs w:val="21"/>
                <w:highlight w:val="none"/>
              </w:rPr>
              <w:t>▲</w:t>
            </w:r>
            <w:r>
              <w:rPr>
                <w:rFonts w:hint="eastAsia" w:ascii="宋体" w:hAnsi="宋体" w:eastAsia="宋体" w:cs="宋体"/>
                <w:b w:val="0"/>
                <w:bCs w:val="0"/>
                <w:sz w:val="24"/>
                <w:highlight w:val="none"/>
                <w:lang w:val="zh-CN"/>
              </w:rPr>
              <w:t>”号技术参数一项不满足扣</w:t>
            </w:r>
            <w:r>
              <w:rPr>
                <w:rFonts w:hint="eastAsia" w:ascii="宋体" w:hAnsi="宋体" w:eastAsia="宋体" w:cs="宋体"/>
                <w:b w:val="0"/>
                <w:bCs w:val="0"/>
                <w:sz w:val="24"/>
                <w:highlight w:val="none"/>
                <w:lang w:val="en-US" w:eastAsia="zh-CN"/>
              </w:rPr>
              <w:t>3</w:t>
            </w:r>
            <w:r>
              <w:rPr>
                <w:rFonts w:hint="eastAsia" w:ascii="宋体" w:hAnsi="宋体" w:eastAsia="宋体" w:cs="宋体"/>
                <w:b w:val="0"/>
                <w:bCs w:val="0"/>
                <w:sz w:val="24"/>
                <w:highlight w:val="none"/>
                <w:lang w:val="zh-CN"/>
              </w:rPr>
              <w:t>分，非“</w:t>
            </w:r>
            <w:r>
              <w:rPr>
                <w:rFonts w:hint="eastAsia" w:ascii="宋体" w:hAnsi="宋体" w:eastAsia="宋体" w:cs="宋体"/>
                <w:b w:val="0"/>
                <w:bCs w:val="0"/>
                <w:szCs w:val="21"/>
                <w:highlight w:val="none"/>
              </w:rPr>
              <w:t>▲</w:t>
            </w:r>
            <w:r>
              <w:rPr>
                <w:rFonts w:hint="eastAsia" w:ascii="宋体" w:hAnsi="宋体" w:eastAsia="宋体" w:cs="宋体"/>
                <w:b w:val="0"/>
                <w:bCs w:val="0"/>
                <w:sz w:val="24"/>
                <w:highlight w:val="none"/>
                <w:lang w:val="zh-CN"/>
              </w:rPr>
              <w:t>”号技术指标参数一项不满足扣</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lang w:val="zh-CN"/>
              </w:rPr>
              <w:t>分，扣完为止</w:t>
            </w:r>
            <w:r>
              <w:rPr>
                <w:rFonts w:hint="eastAsia" w:ascii="宋体" w:hAnsi="宋体" w:eastAsia="宋体" w:cs="宋体"/>
                <w:b w:val="0"/>
                <w:bCs w:val="0"/>
                <w:sz w:val="24"/>
                <w:highlight w:val="none"/>
              </w:rPr>
              <w:t>。</w:t>
            </w:r>
          </w:p>
          <w:p w14:paraId="446065E8">
            <w:pPr>
              <w:keepNext w:val="0"/>
              <w:keepLines w:val="0"/>
              <w:widowControl w:val="0"/>
              <w:kinsoku/>
              <w:overflowPunct/>
              <w:topLinePunct w:val="0"/>
              <w:autoSpaceDE w:val="0"/>
              <w:autoSpaceDN w:val="0"/>
              <w:bidi w:val="0"/>
              <w:adjustRightInd w:val="0"/>
              <w:snapToGrid w:val="0"/>
              <w:spacing w:line="400" w:lineRule="exact"/>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b w:val="0"/>
                <w:bCs w:val="0"/>
                <w:sz w:val="24"/>
                <w:highlight w:val="none"/>
                <w:lang w:val="zh-CN"/>
              </w:rPr>
              <w:t>评审依据：按照技术参数要求提供相应的证明文件（包括不限于检测报告、技术白皮书、厂家产品说明等），在技术</w:t>
            </w:r>
            <w:r>
              <w:rPr>
                <w:rFonts w:hint="eastAsia" w:ascii="宋体" w:hAnsi="宋体" w:eastAsia="宋体" w:cs="宋体"/>
                <w:b w:val="0"/>
                <w:bCs w:val="0"/>
                <w:sz w:val="24"/>
                <w:highlight w:val="none"/>
                <w:lang w:val="en-US" w:eastAsia="zh-CN"/>
              </w:rPr>
              <w:t>指标响应</w:t>
            </w:r>
            <w:r>
              <w:rPr>
                <w:rFonts w:hint="eastAsia" w:ascii="宋体" w:hAnsi="宋体" w:eastAsia="宋体" w:cs="宋体"/>
                <w:b w:val="0"/>
                <w:bCs w:val="0"/>
                <w:sz w:val="24"/>
                <w:highlight w:val="none"/>
                <w:lang w:val="zh-CN"/>
              </w:rPr>
              <w:t>表</w:t>
            </w:r>
            <w:r>
              <w:rPr>
                <w:rFonts w:hint="eastAsia" w:ascii="宋体" w:hAnsi="宋体" w:eastAsia="宋体" w:cs="宋体"/>
                <w:b w:val="0"/>
                <w:bCs w:val="0"/>
                <w:sz w:val="24"/>
                <w:highlight w:val="none"/>
                <w:lang w:val="en-US" w:eastAsia="zh-CN"/>
              </w:rPr>
              <w:t>后附</w:t>
            </w:r>
            <w:r>
              <w:rPr>
                <w:rFonts w:hint="eastAsia" w:ascii="宋体" w:hAnsi="宋体" w:eastAsia="宋体" w:cs="宋体"/>
                <w:b w:val="0"/>
                <w:bCs w:val="0"/>
                <w:sz w:val="24"/>
                <w:highlight w:val="none"/>
                <w:lang w:val="zh-CN"/>
              </w:rPr>
              <w:t>证明材料。</w:t>
            </w:r>
          </w:p>
        </w:tc>
      </w:tr>
      <w:tr w14:paraId="2A51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3" w:type="dxa"/>
            <w:shd w:val="clear" w:color="auto" w:fill="auto"/>
            <w:vAlign w:val="center"/>
          </w:tcPr>
          <w:p w14:paraId="5DBEFF56">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4</w:t>
            </w:r>
          </w:p>
        </w:tc>
        <w:tc>
          <w:tcPr>
            <w:tcW w:w="1275" w:type="dxa"/>
            <w:vAlign w:val="center"/>
          </w:tcPr>
          <w:p w14:paraId="5AC75AE1">
            <w:pPr>
              <w:keepNext w:val="0"/>
              <w:keepLines w:val="0"/>
              <w:widowControl/>
              <w:suppressLineNumbers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b w:val="0"/>
                <w:bCs w:val="0"/>
                <w:sz w:val="24"/>
                <w:highlight w:val="none"/>
                <w:lang w:val="zh-CN"/>
              </w:rPr>
              <w:t>投标产品的可靠性</w:t>
            </w:r>
          </w:p>
        </w:tc>
        <w:tc>
          <w:tcPr>
            <w:tcW w:w="1191" w:type="dxa"/>
            <w:vAlign w:val="center"/>
          </w:tcPr>
          <w:p w14:paraId="6F948940">
            <w:pPr>
              <w:keepNext w:val="0"/>
              <w:keepLines w:val="0"/>
              <w:widowControl/>
              <w:suppressLineNumbers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5分</w:t>
            </w:r>
          </w:p>
        </w:tc>
        <w:tc>
          <w:tcPr>
            <w:tcW w:w="6137" w:type="dxa"/>
            <w:vAlign w:val="center"/>
          </w:tcPr>
          <w:p w14:paraId="01BD8D2A">
            <w:pPr>
              <w:keepNext w:val="0"/>
              <w:keepLines w:val="0"/>
              <w:widowControl w:val="0"/>
              <w:kinsoku/>
              <w:overflowPunct/>
              <w:topLinePunct w:val="0"/>
              <w:autoSpaceDE w:val="0"/>
              <w:autoSpaceDN w:val="0"/>
              <w:bidi w:val="0"/>
              <w:adjustRightInd w:val="0"/>
              <w:snapToGrid w:val="0"/>
              <w:spacing w:line="40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①所投设备技术先进、可靠性强、成熟度高，满足用户需求，得</w:t>
            </w:r>
            <w:r>
              <w:rPr>
                <w:rFonts w:hint="eastAsia" w:ascii="宋体" w:hAnsi="宋体" w:eastAsia="宋体" w:cs="宋体"/>
                <w:sz w:val="24"/>
                <w:highlight w:val="none"/>
              </w:rPr>
              <w:t>5</w:t>
            </w:r>
            <w:r>
              <w:rPr>
                <w:rFonts w:hint="eastAsia" w:ascii="宋体" w:hAnsi="宋体" w:eastAsia="宋体" w:cs="宋体"/>
                <w:sz w:val="24"/>
                <w:highlight w:val="none"/>
                <w:lang w:val="zh-CN"/>
              </w:rPr>
              <w:t>分；</w:t>
            </w:r>
          </w:p>
          <w:p w14:paraId="7E8DE1C0">
            <w:pPr>
              <w:keepNext w:val="0"/>
              <w:keepLines w:val="0"/>
              <w:widowControl w:val="0"/>
              <w:kinsoku/>
              <w:overflowPunct/>
              <w:topLinePunct w:val="0"/>
              <w:autoSpaceDE w:val="0"/>
              <w:autoSpaceDN w:val="0"/>
              <w:bidi w:val="0"/>
              <w:adjustRightInd w:val="0"/>
              <w:snapToGrid w:val="0"/>
              <w:spacing w:line="40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②所投设备技术成熟、性能稳定，基本满足用户需求，得</w:t>
            </w:r>
            <w:r>
              <w:rPr>
                <w:rFonts w:hint="eastAsia" w:ascii="宋体" w:hAnsi="宋体" w:eastAsia="宋体" w:cs="宋体"/>
                <w:sz w:val="24"/>
                <w:highlight w:val="none"/>
              </w:rPr>
              <w:t>3</w:t>
            </w:r>
            <w:r>
              <w:rPr>
                <w:rFonts w:hint="eastAsia" w:ascii="宋体" w:hAnsi="宋体" w:eastAsia="宋体" w:cs="宋体"/>
                <w:sz w:val="24"/>
                <w:highlight w:val="none"/>
                <w:lang w:val="zh-CN"/>
              </w:rPr>
              <w:t>分；</w:t>
            </w:r>
          </w:p>
          <w:p w14:paraId="2CA77019">
            <w:pPr>
              <w:keepNext w:val="0"/>
              <w:keepLines w:val="0"/>
              <w:widowControl/>
              <w:suppressLineNumbers w:val="0"/>
              <w:kinsoku/>
              <w:overflowPunct/>
              <w:topLinePunct w:val="0"/>
              <w:bidi w:val="0"/>
              <w:jc w:val="left"/>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z w:val="24"/>
                <w:highlight w:val="none"/>
                <w:lang w:val="zh-CN"/>
              </w:rPr>
              <w:t>③所投设备技术成熟、性能满足、影响用户使用效果，得</w:t>
            </w:r>
            <w:r>
              <w:rPr>
                <w:rFonts w:hint="eastAsia" w:ascii="宋体" w:hAnsi="宋体" w:eastAsia="宋体" w:cs="宋体"/>
                <w:sz w:val="24"/>
                <w:highlight w:val="none"/>
              </w:rPr>
              <w:t>1</w:t>
            </w:r>
            <w:r>
              <w:rPr>
                <w:rFonts w:hint="eastAsia" w:ascii="宋体" w:hAnsi="宋体" w:eastAsia="宋体" w:cs="宋体"/>
                <w:sz w:val="24"/>
                <w:highlight w:val="none"/>
                <w:lang w:val="zh-CN"/>
              </w:rPr>
              <w:t>分。</w:t>
            </w:r>
          </w:p>
        </w:tc>
      </w:tr>
      <w:tr w14:paraId="33A9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783" w:type="dxa"/>
            <w:shd w:val="clear" w:color="auto" w:fill="auto"/>
            <w:vAlign w:val="center"/>
          </w:tcPr>
          <w:p w14:paraId="70EF96AF">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5</w:t>
            </w:r>
          </w:p>
        </w:tc>
        <w:tc>
          <w:tcPr>
            <w:tcW w:w="1275" w:type="dxa"/>
            <w:vAlign w:val="center"/>
          </w:tcPr>
          <w:p w14:paraId="310B5E37">
            <w:pPr>
              <w:keepNext w:val="0"/>
              <w:keepLines w:val="0"/>
              <w:widowControl/>
              <w:suppressLineNumbers w:val="0"/>
              <w:kinsoku/>
              <w:overflowPunct/>
              <w:topLinePunct w:val="0"/>
              <w:bidi w:val="0"/>
              <w:jc w:val="center"/>
              <w:rPr>
                <w:rFonts w:hint="default"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设备选型的合理性</w:t>
            </w:r>
          </w:p>
        </w:tc>
        <w:tc>
          <w:tcPr>
            <w:tcW w:w="1191" w:type="dxa"/>
            <w:vAlign w:val="center"/>
          </w:tcPr>
          <w:p w14:paraId="118880CD">
            <w:pPr>
              <w:keepNext w:val="0"/>
              <w:keepLines w:val="0"/>
              <w:widowControl/>
              <w:suppressLineNumbers w:val="0"/>
              <w:kinsoku/>
              <w:overflowPunct/>
              <w:topLinePunct w:val="0"/>
              <w:bidi w:val="0"/>
              <w:jc w:val="center"/>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5</w:t>
            </w:r>
          </w:p>
        </w:tc>
        <w:tc>
          <w:tcPr>
            <w:tcW w:w="6137" w:type="dxa"/>
            <w:vAlign w:val="center"/>
          </w:tcPr>
          <w:p w14:paraId="787041A4">
            <w:pPr>
              <w:keepNext w:val="0"/>
              <w:keepLines w:val="0"/>
              <w:widowControl/>
              <w:suppressLineNumbers w:val="0"/>
              <w:kinsoku/>
              <w:overflowPunct/>
              <w:topLinePunct w:val="0"/>
              <w:bidi w:val="0"/>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①设备选型合理，功能、性能满足采购人需求得5分；</w:t>
            </w:r>
          </w:p>
          <w:p w14:paraId="4B2F2B56">
            <w:pPr>
              <w:keepNext w:val="0"/>
              <w:keepLines w:val="0"/>
              <w:widowControl/>
              <w:suppressLineNumbers w:val="0"/>
              <w:kinsoku/>
              <w:overflowPunct/>
              <w:topLinePunct w:val="0"/>
              <w:bidi w:val="0"/>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②设备选型基本合理，功能、性能基本满足采购人需求得3分；</w:t>
            </w:r>
          </w:p>
          <w:p w14:paraId="23773480">
            <w:pPr>
              <w:keepNext w:val="0"/>
              <w:keepLines w:val="0"/>
              <w:widowControl/>
              <w:suppressLineNumbers w:val="0"/>
              <w:kinsoku/>
              <w:overflowPunct/>
              <w:topLinePunct w:val="0"/>
              <w:bidi w:val="0"/>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③设备选型不合理，功能、性能不满足采购人需求得1分。</w:t>
            </w:r>
          </w:p>
        </w:tc>
      </w:tr>
      <w:tr w14:paraId="408F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7" w:hRule="atLeast"/>
          <w:jc w:val="center"/>
        </w:trPr>
        <w:tc>
          <w:tcPr>
            <w:tcW w:w="783" w:type="dxa"/>
            <w:shd w:val="clear" w:color="auto" w:fill="auto"/>
            <w:vAlign w:val="center"/>
          </w:tcPr>
          <w:p w14:paraId="1912105D">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6</w:t>
            </w:r>
          </w:p>
        </w:tc>
        <w:tc>
          <w:tcPr>
            <w:tcW w:w="1275" w:type="dxa"/>
            <w:vAlign w:val="center"/>
          </w:tcPr>
          <w:p w14:paraId="4F346176">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zh-CN" w:eastAsia="zh-CN"/>
              </w:rPr>
              <w:t>实施方案</w:t>
            </w:r>
          </w:p>
        </w:tc>
        <w:tc>
          <w:tcPr>
            <w:tcW w:w="1191" w:type="dxa"/>
            <w:vAlign w:val="center"/>
          </w:tcPr>
          <w:p w14:paraId="2B032ABF">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12分</w:t>
            </w:r>
          </w:p>
        </w:tc>
        <w:tc>
          <w:tcPr>
            <w:tcW w:w="6137" w:type="dxa"/>
            <w:vAlign w:val="center"/>
          </w:tcPr>
          <w:p w14:paraId="00437B54">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zh-CN" w:eastAsia="zh-CN"/>
              </w:rPr>
            </w:pPr>
            <w:r>
              <w:rPr>
                <w:rFonts w:hint="eastAsia" w:ascii="宋体" w:hAnsi="宋体" w:eastAsia="宋体" w:cs="宋体"/>
                <w:snapToGrid w:val="0"/>
                <w:color w:val="000000"/>
                <w:kern w:val="0"/>
                <w:sz w:val="24"/>
                <w:szCs w:val="24"/>
                <w:highlight w:val="none"/>
                <w:lang w:val="zh-CN" w:eastAsia="zh-CN"/>
              </w:rPr>
              <w:t>依据投标人提供的本项目的实施方案评审，内容包含：</w:t>
            </w:r>
          </w:p>
          <w:p w14:paraId="16ADB899">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zh-CN" w:eastAsia="zh-CN"/>
              </w:rPr>
            </w:pPr>
            <w:r>
              <w:rPr>
                <w:rFonts w:hint="eastAsia" w:ascii="宋体" w:hAnsi="宋体" w:eastAsia="宋体" w:cs="宋体"/>
                <w:snapToGrid w:val="0"/>
                <w:color w:val="000000"/>
                <w:kern w:val="0"/>
                <w:sz w:val="24"/>
                <w:szCs w:val="24"/>
                <w:highlight w:val="none"/>
                <w:lang w:val="en-US" w:eastAsia="zh-CN"/>
              </w:rPr>
              <w:t>1、</w:t>
            </w:r>
            <w:r>
              <w:rPr>
                <w:rFonts w:hint="eastAsia" w:ascii="宋体" w:hAnsi="宋体" w:eastAsia="宋体" w:cs="宋体"/>
                <w:snapToGrid w:val="0"/>
                <w:color w:val="000000"/>
                <w:kern w:val="0"/>
                <w:sz w:val="24"/>
                <w:szCs w:val="24"/>
                <w:highlight w:val="none"/>
                <w:lang w:val="zh-CN" w:eastAsia="zh-CN"/>
              </w:rPr>
              <w:t>供货方案（</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）：内容完整、可实施、且有针对性得</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内容完整、可实施得</w:t>
            </w:r>
            <w:r>
              <w:rPr>
                <w:rFonts w:hint="eastAsia" w:ascii="宋体" w:hAnsi="宋体" w:eastAsia="宋体" w:cs="宋体"/>
                <w:snapToGrid w:val="0"/>
                <w:color w:val="000000"/>
                <w:kern w:val="0"/>
                <w:sz w:val="24"/>
                <w:szCs w:val="24"/>
                <w:highlight w:val="none"/>
                <w:lang w:val="en-US" w:eastAsia="zh-CN"/>
              </w:rPr>
              <w:t>2分；</w:t>
            </w:r>
            <w:r>
              <w:rPr>
                <w:rFonts w:hint="eastAsia" w:ascii="宋体" w:hAnsi="宋体" w:eastAsia="宋体" w:cs="宋体"/>
                <w:snapToGrid w:val="0"/>
                <w:color w:val="000000"/>
                <w:kern w:val="0"/>
                <w:sz w:val="24"/>
                <w:szCs w:val="24"/>
                <w:highlight w:val="none"/>
                <w:lang w:val="zh-CN" w:eastAsia="zh-CN"/>
              </w:rPr>
              <w:t>方案基本完整得</w:t>
            </w:r>
            <w:r>
              <w:rPr>
                <w:rFonts w:hint="eastAsia" w:ascii="宋体" w:hAnsi="宋体" w:eastAsia="宋体" w:cs="宋体"/>
                <w:snapToGrid w:val="0"/>
                <w:color w:val="000000"/>
                <w:kern w:val="0"/>
                <w:sz w:val="24"/>
                <w:szCs w:val="24"/>
                <w:highlight w:val="none"/>
                <w:lang w:val="en-US" w:eastAsia="zh-CN"/>
              </w:rPr>
              <w:t>1分；未提供不得分。</w:t>
            </w:r>
          </w:p>
          <w:p w14:paraId="4623B7E8">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2、</w:t>
            </w:r>
            <w:r>
              <w:rPr>
                <w:rFonts w:hint="eastAsia" w:ascii="宋体" w:hAnsi="宋体" w:eastAsia="宋体" w:cs="宋体"/>
                <w:snapToGrid w:val="0"/>
                <w:color w:val="000000"/>
                <w:kern w:val="0"/>
                <w:sz w:val="24"/>
                <w:szCs w:val="24"/>
                <w:highlight w:val="none"/>
                <w:lang w:val="zh-CN" w:eastAsia="zh-CN"/>
              </w:rPr>
              <w:t>安装调试方案（</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）：内容完整、可实施、且有针对性得</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内容完整、可实施得</w:t>
            </w:r>
            <w:r>
              <w:rPr>
                <w:rFonts w:hint="eastAsia" w:ascii="宋体" w:hAnsi="宋体" w:eastAsia="宋体" w:cs="宋体"/>
                <w:snapToGrid w:val="0"/>
                <w:color w:val="000000"/>
                <w:kern w:val="0"/>
                <w:sz w:val="24"/>
                <w:szCs w:val="24"/>
                <w:highlight w:val="none"/>
                <w:lang w:val="en-US" w:eastAsia="zh-CN"/>
              </w:rPr>
              <w:t>2分；</w:t>
            </w:r>
            <w:r>
              <w:rPr>
                <w:rFonts w:hint="eastAsia" w:ascii="宋体" w:hAnsi="宋体" w:eastAsia="宋体" w:cs="宋体"/>
                <w:snapToGrid w:val="0"/>
                <w:color w:val="000000"/>
                <w:kern w:val="0"/>
                <w:sz w:val="24"/>
                <w:szCs w:val="24"/>
                <w:highlight w:val="none"/>
                <w:lang w:val="zh-CN" w:eastAsia="zh-CN"/>
              </w:rPr>
              <w:t>方案基本完整得</w:t>
            </w:r>
            <w:r>
              <w:rPr>
                <w:rFonts w:hint="eastAsia" w:ascii="宋体" w:hAnsi="宋体" w:eastAsia="宋体" w:cs="宋体"/>
                <w:snapToGrid w:val="0"/>
                <w:color w:val="000000"/>
                <w:kern w:val="0"/>
                <w:sz w:val="24"/>
                <w:szCs w:val="24"/>
                <w:highlight w:val="none"/>
                <w:lang w:val="en-US" w:eastAsia="zh-CN"/>
              </w:rPr>
              <w:t>1分；未提供不得分。</w:t>
            </w:r>
          </w:p>
          <w:p w14:paraId="12ADFE47">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3、</w:t>
            </w:r>
            <w:r>
              <w:rPr>
                <w:rFonts w:hint="eastAsia" w:ascii="宋体" w:hAnsi="宋体" w:eastAsia="宋体" w:cs="宋体"/>
                <w:snapToGrid w:val="0"/>
                <w:color w:val="000000"/>
                <w:kern w:val="0"/>
                <w:sz w:val="24"/>
                <w:szCs w:val="24"/>
                <w:highlight w:val="none"/>
                <w:lang w:val="zh-CN" w:eastAsia="zh-CN"/>
              </w:rPr>
              <w:t>技术支持方案（</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）：内容完整、可实施、且有针对性得</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内容完整、可实施得</w:t>
            </w:r>
            <w:r>
              <w:rPr>
                <w:rFonts w:hint="eastAsia" w:ascii="宋体" w:hAnsi="宋体" w:eastAsia="宋体" w:cs="宋体"/>
                <w:snapToGrid w:val="0"/>
                <w:color w:val="000000"/>
                <w:kern w:val="0"/>
                <w:sz w:val="24"/>
                <w:szCs w:val="24"/>
                <w:highlight w:val="none"/>
                <w:lang w:val="en-US" w:eastAsia="zh-CN"/>
              </w:rPr>
              <w:t>2分；</w:t>
            </w:r>
            <w:r>
              <w:rPr>
                <w:rFonts w:hint="eastAsia" w:ascii="宋体" w:hAnsi="宋体" w:eastAsia="宋体" w:cs="宋体"/>
                <w:snapToGrid w:val="0"/>
                <w:color w:val="000000"/>
                <w:kern w:val="0"/>
                <w:sz w:val="24"/>
                <w:szCs w:val="24"/>
                <w:highlight w:val="none"/>
                <w:lang w:val="zh-CN" w:eastAsia="zh-CN"/>
              </w:rPr>
              <w:t>方案基本完整得</w:t>
            </w:r>
            <w:r>
              <w:rPr>
                <w:rFonts w:hint="eastAsia" w:ascii="宋体" w:hAnsi="宋体" w:eastAsia="宋体" w:cs="宋体"/>
                <w:snapToGrid w:val="0"/>
                <w:color w:val="000000"/>
                <w:kern w:val="0"/>
                <w:sz w:val="24"/>
                <w:szCs w:val="24"/>
                <w:highlight w:val="none"/>
                <w:lang w:val="en-US" w:eastAsia="zh-CN"/>
              </w:rPr>
              <w:t>1分；未提供不得分。</w:t>
            </w:r>
          </w:p>
          <w:p w14:paraId="1F1A90EA">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4、</w:t>
            </w:r>
            <w:r>
              <w:rPr>
                <w:rFonts w:hint="eastAsia" w:ascii="宋体" w:hAnsi="宋体" w:eastAsia="宋体" w:cs="宋体"/>
                <w:snapToGrid w:val="0"/>
                <w:color w:val="000000"/>
                <w:kern w:val="0"/>
                <w:sz w:val="24"/>
                <w:szCs w:val="24"/>
                <w:highlight w:val="none"/>
                <w:lang w:val="zh-CN" w:eastAsia="zh-CN"/>
              </w:rPr>
              <w:t>验收方案（</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）：内容完整、可实施、且有针对性得</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内容完整、可实施得</w:t>
            </w:r>
            <w:r>
              <w:rPr>
                <w:rFonts w:hint="eastAsia" w:ascii="宋体" w:hAnsi="宋体" w:eastAsia="宋体" w:cs="宋体"/>
                <w:snapToGrid w:val="0"/>
                <w:color w:val="000000"/>
                <w:kern w:val="0"/>
                <w:sz w:val="24"/>
                <w:szCs w:val="24"/>
                <w:highlight w:val="none"/>
                <w:lang w:val="en-US" w:eastAsia="zh-CN"/>
              </w:rPr>
              <w:t>2分；</w:t>
            </w:r>
            <w:r>
              <w:rPr>
                <w:rFonts w:hint="eastAsia" w:ascii="宋体" w:hAnsi="宋体" w:eastAsia="宋体" w:cs="宋体"/>
                <w:snapToGrid w:val="0"/>
                <w:color w:val="000000"/>
                <w:kern w:val="0"/>
                <w:sz w:val="24"/>
                <w:szCs w:val="24"/>
                <w:highlight w:val="none"/>
                <w:lang w:val="zh-CN" w:eastAsia="zh-CN"/>
              </w:rPr>
              <w:t>方案基本完整得</w:t>
            </w:r>
            <w:r>
              <w:rPr>
                <w:rFonts w:hint="eastAsia" w:ascii="宋体" w:hAnsi="宋体" w:eastAsia="宋体" w:cs="宋体"/>
                <w:snapToGrid w:val="0"/>
                <w:color w:val="000000"/>
                <w:kern w:val="0"/>
                <w:sz w:val="24"/>
                <w:szCs w:val="24"/>
                <w:highlight w:val="none"/>
                <w:lang w:val="en-US" w:eastAsia="zh-CN"/>
              </w:rPr>
              <w:t>1分；未提供不得分。</w:t>
            </w:r>
          </w:p>
        </w:tc>
      </w:tr>
      <w:tr w14:paraId="4381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3" w:type="dxa"/>
            <w:shd w:val="clear" w:color="auto" w:fill="auto"/>
            <w:vAlign w:val="center"/>
          </w:tcPr>
          <w:p w14:paraId="24FA83AE">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7</w:t>
            </w:r>
          </w:p>
        </w:tc>
        <w:tc>
          <w:tcPr>
            <w:tcW w:w="1275" w:type="dxa"/>
            <w:vAlign w:val="center"/>
          </w:tcPr>
          <w:p w14:paraId="0CB4CB9E">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val="zh-CN"/>
              </w:rPr>
              <w:t>售后服务方案</w:t>
            </w:r>
          </w:p>
        </w:tc>
        <w:tc>
          <w:tcPr>
            <w:tcW w:w="1191" w:type="dxa"/>
            <w:vAlign w:val="center"/>
          </w:tcPr>
          <w:p w14:paraId="08FCEDD1">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rPr>
              <w:t>12</w:t>
            </w:r>
            <w:r>
              <w:rPr>
                <w:rFonts w:hint="eastAsia" w:ascii="宋体" w:hAnsi="宋体" w:eastAsia="宋体" w:cs="宋体"/>
                <w:snapToGrid w:val="0"/>
                <w:color w:val="000000"/>
                <w:kern w:val="0"/>
                <w:sz w:val="24"/>
                <w:szCs w:val="24"/>
                <w:highlight w:val="none"/>
                <w:lang w:val="en-US" w:eastAsia="zh-CN"/>
              </w:rPr>
              <w:t>分</w:t>
            </w:r>
          </w:p>
        </w:tc>
        <w:tc>
          <w:tcPr>
            <w:tcW w:w="6137" w:type="dxa"/>
            <w:vAlign w:val="center"/>
          </w:tcPr>
          <w:p w14:paraId="30344C56">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val="zh-CN"/>
              </w:rPr>
              <w:t>依据投标人提供的本</w:t>
            </w:r>
            <w:r>
              <w:rPr>
                <w:rFonts w:hint="eastAsia" w:ascii="宋体" w:hAnsi="宋体" w:eastAsia="宋体" w:cs="宋体"/>
                <w:snapToGrid w:val="0"/>
                <w:color w:val="000000"/>
                <w:kern w:val="0"/>
                <w:sz w:val="24"/>
                <w:szCs w:val="24"/>
                <w:highlight w:val="none"/>
              </w:rPr>
              <w:t>项目的售后服务方案评审，内容包含：</w:t>
            </w:r>
          </w:p>
          <w:p w14:paraId="716A58AE">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1、售后服务范围及保障措施（3分）：</w:t>
            </w:r>
            <w:r>
              <w:rPr>
                <w:rFonts w:hint="eastAsia" w:ascii="宋体" w:hAnsi="宋体" w:eastAsia="宋体" w:cs="宋体"/>
                <w:snapToGrid w:val="0"/>
                <w:color w:val="000000"/>
                <w:kern w:val="0"/>
                <w:sz w:val="24"/>
                <w:szCs w:val="24"/>
                <w:highlight w:val="none"/>
                <w:lang w:val="zh-CN"/>
              </w:rPr>
              <w:t>内容完整、可实施、且有针对性得</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内容完整、可实施得</w:t>
            </w:r>
            <w:r>
              <w:rPr>
                <w:rFonts w:hint="eastAsia" w:ascii="宋体" w:hAnsi="宋体" w:eastAsia="宋体" w:cs="宋体"/>
                <w:snapToGrid w:val="0"/>
                <w:color w:val="000000"/>
                <w:kern w:val="0"/>
                <w:sz w:val="24"/>
                <w:szCs w:val="24"/>
                <w:highlight w:val="none"/>
              </w:rPr>
              <w:t>2分；</w:t>
            </w:r>
            <w:r>
              <w:rPr>
                <w:rFonts w:hint="eastAsia" w:ascii="宋体" w:hAnsi="宋体" w:eastAsia="宋体" w:cs="宋体"/>
                <w:snapToGrid w:val="0"/>
                <w:color w:val="000000"/>
                <w:kern w:val="0"/>
                <w:sz w:val="24"/>
                <w:szCs w:val="24"/>
                <w:highlight w:val="none"/>
                <w:lang w:val="zh-CN"/>
              </w:rPr>
              <w:t>方案基本完整得</w:t>
            </w:r>
            <w:r>
              <w:rPr>
                <w:rFonts w:hint="eastAsia" w:ascii="宋体" w:hAnsi="宋体" w:eastAsia="宋体" w:cs="宋体"/>
                <w:snapToGrid w:val="0"/>
                <w:color w:val="000000"/>
                <w:kern w:val="0"/>
                <w:sz w:val="24"/>
                <w:szCs w:val="24"/>
                <w:highlight w:val="none"/>
              </w:rPr>
              <w:t>1分；未提供不得分。</w:t>
            </w:r>
          </w:p>
          <w:p w14:paraId="2C9B0C72">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zh-CN"/>
              </w:rPr>
            </w:pPr>
            <w:r>
              <w:rPr>
                <w:rFonts w:hint="eastAsia" w:ascii="宋体" w:hAnsi="宋体" w:eastAsia="宋体" w:cs="宋体"/>
                <w:snapToGrid w:val="0"/>
                <w:color w:val="000000"/>
                <w:kern w:val="0"/>
                <w:sz w:val="24"/>
                <w:szCs w:val="24"/>
                <w:highlight w:val="none"/>
              </w:rPr>
              <w:t>2、培训方案（3分）：</w:t>
            </w:r>
            <w:r>
              <w:rPr>
                <w:rFonts w:hint="eastAsia" w:ascii="宋体" w:hAnsi="宋体" w:eastAsia="宋体" w:cs="宋体"/>
                <w:snapToGrid w:val="0"/>
                <w:color w:val="000000"/>
                <w:kern w:val="0"/>
                <w:sz w:val="24"/>
                <w:szCs w:val="24"/>
                <w:highlight w:val="none"/>
                <w:lang w:val="zh-CN"/>
              </w:rPr>
              <w:t>内容完整、可实施、且有针对性得</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内容完整、可实施得</w:t>
            </w:r>
            <w:r>
              <w:rPr>
                <w:rFonts w:hint="eastAsia" w:ascii="宋体" w:hAnsi="宋体" w:eastAsia="宋体" w:cs="宋体"/>
                <w:snapToGrid w:val="0"/>
                <w:color w:val="000000"/>
                <w:kern w:val="0"/>
                <w:sz w:val="24"/>
                <w:szCs w:val="24"/>
                <w:highlight w:val="none"/>
              </w:rPr>
              <w:t>2分；</w:t>
            </w:r>
            <w:r>
              <w:rPr>
                <w:rFonts w:hint="eastAsia" w:ascii="宋体" w:hAnsi="宋体" w:eastAsia="宋体" w:cs="宋体"/>
                <w:snapToGrid w:val="0"/>
                <w:color w:val="000000"/>
                <w:kern w:val="0"/>
                <w:sz w:val="24"/>
                <w:szCs w:val="24"/>
                <w:highlight w:val="none"/>
                <w:lang w:val="zh-CN"/>
              </w:rPr>
              <w:t>方案基本完整得</w:t>
            </w:r>
            <w:r>
              <w:rPr>
                <w:rFonts w:hint="eastAsia" w:ascii="宋体" w:hAnsi="宋体" w:eastAsia="宋体" w:cs="宋体"/>
                <w:snapToGrid w:val="0"/>
                <w:color w:val="000000"/>
                <w:kern w:val="0"/>
                <w:sz w:val="24"/>
                <w:szCs w:val="24"/>
                <w:highlight w:val="none"/>
              </w:rPr>
              <w:t>1分；未提供不得分。</w:t>
            </w:r>
          </w:p>
          <w:p w14:paraId="6B61057A">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zh-CN"/>
              </w:rPr>
            </w:pPr>
            <w:r>
              <w:rPr>
                <w:rFonts w:hint="eastAsia" w:ascii="宋体" w:hAnsi="宋体" w:eastAsia="宋体" w:cs="宋体"/>
                <w:snapToGrid w:val="0"/>
                <w:color w:val="000000"/>
                <w:kern w:val="0"/>
                <w:sz w:val="24"/>
                <w:szCs w:val="24"/>
                <w:highlight w:val="none"/>
              </w:rPr>
              <w:t>3、</w:t>
            </w:r>
            <w:r>
              <w:rPr>
                <w:rFonts w:hint="eastAsia" w:ascii="宋体" w:hAnsi="宋体" w:eastAsia="宋体" w:cs="宋体"/>
                <w:snapToGrid w:val="0"/>
                <w:color w:val="000000"/>
                <w:kern w:val="0"/>
                <w:sz w:val="24"/>
                <w:szCs w:val="24"/>
                <w:highlight w:val="none"/>
                <w:lang w:val="zh-CN"/>
              </w:rPr>
              <w:t>故障处理及补救措施（</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）：内容完整、可实施、且有针对性得</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内容完整、可实施得</w:t>
            </w:r>
            <w:r>
              <w:rPr>
                <w:rFonts w:hint="eastAsia" w:ascii="宋体" w:hAnsi="宋体" w:eastAsia="宋体" w:cs="宋体"/>
                <w:snapToGrid w:val="0"/>
                <w:color w:val="000000"/>
                <w:kern w:val="0"/>
                <w:sz w:val="24"/>
                <w:szCs w:val="24"/>
                <w:highlight w:val="none"/>
              </w:rPr>
              <w:t>2分；</w:t>
            </w:r>
            <w:r>
              <w:rPr>
                <w:rFonts w:hint="eastAsia" w:ascii="宋体" w:hAnsi="宋体" w:eastAsia="宋体" w:cs="宋体"/>
                <w:snapToGrid w:val="0"/>
                <w:color w:val="000000"/>
                <w:kern w:val="0"/>
                <w:sz w:val="24"/>
                <w:szCs w:val="24"/>
                <w:highlight w:val="none"/>
                <w:lang w:val="zh-CN"/>
              </w:rPr>
              <w:t>方案基本完整得</w:t>
            </w:r>
            <w:r>
              <w:rPr>
                <w:rFonts w:hint="eastAsia" w:ascii="宋体" w:hAnsi="宋体" w:eastAsia="宋体" w:cs="宋体"/>
                <w:snapToGrid w:val="0"/>
                <w:color w:val="000000"/>
                <w:kern w:val="0"/>
                <w:sz w:val="24"/>
                <w:szCs w:val="24"/>
                <w:highlight w:val="none"/>
              </w:rPr>
              <w:t>1分；未提供不得分。</w:t>
            </w:r>
          </w:p>
          <w:p w14:paraId="1160F817">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4、</w:t>
            </w:r>
            <w:r>
              <w:rPr>
                <w:rFonts w:hint="eastAsia" w:ascii="宋体" w:hAnsi="宋体" w:eastAsia="宋体" w:cs="宋体"/>
                <w:snapToGrid w:val="0"/>
                <w:color w:val="000000"/>
                <w:kern w:val="0"/>
                <w:sz w:val="24"/>
                <w:szCs w:val="24"/>
                <w:highlight w:val="none"/>
                <w:lang w:val="zh-CN"/>
              </w:rPr>
              <w:t>备品配件服务承诺（</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）：内容完整、可实施、且有针对性得</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内容完整、可实施得</w:t>
            </w:r>
            <w:r>
              <w:rPr>
                <w:rFonts w:hint="eastAsia" w:ascii="宋体" w:hAnsi="宋体" w:eastAsia="宋体" w:cs="宋体"/>
                <w:snapToGrid w:val="0"/>
                <w:color w:val="000000"/>
                <w:kern w:val="0"/>
                <w:sz w:val="24"/>
                <w:szCs w:val="24"/>
                <w:highlight w:val="none"/>
              </w:rPr>
              <w:t>2分；</w:t>
            </w:r>
            <w:r>
              <w:rPr>
                <w:rFonts w:hint="eastAsia" w:ascii="宋体" w:hAnsi="宋体" w:eastAsia="宋体" w:cs="宋体"/>
                <w:snapToGrid w:val="0"/>
                <w:color w:val="000000"/>
                <w:kern w:val="0"/>
                <w:sz w:val="24"/>
                <w:szCs w:val="24"/>
                <w:highlight w:val="none"/>
                <w:lang w:val="zh-CN"/>
              </w:rPr>
              <w:t>方案基本完整得</w:t>
            </w:r>
            <w:r>
              <w:rPr>
                <w:rFonts w:hint="eastAsia" w:ascii="宋体" w:hAnsi="宋体" w:eastAsia="宋体" w:cs="宋体"/>
                <w:snapToGrid w:val="0"/>
                <w:color w:val="000000"/>
                <w:kern w:val="0"/>
                <w:sz w:val="24"/>
                <w:szCs w:val="24"/>
                <w:highlight w:val="none"/>
              </w:rPr>
              <w:t>1分；未提供不得分。</w:t>
            </w:r>
          </w:p>
        </w:tc>
      </w:tr>
      <w:tr w14:paraId="6329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vAlign w:val="center"/>
          </w:tcPr>
          <w:p w14:paraId="05267D75">
            <w:pPr>
              <w:keepNext w:val="0"/>
              <w:keepLines w:val="0"/>
              <w:widowControl w:val="0"/>
              <w:kinsoku/>
              <w:overflowPunct/>
              <w:topLinePunct w:val="0"/>
              <w:bidi w:val="0"/>
              <w:jc w:val="center"/>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8</w:t>
            </w:r>
          </w:p>
        </w:tc>
        <w:tc>
          <w:tcPr>
            <w:tcW w:w="1275" w:type="dxa"/>
            <w:vAlign w:val="center"/>
          </w:tcPr>
          <w:p w14:paraId="28BA674A">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产品</w:t>
            </w:r>
          </w:p>
          <w:p w14:paraId="45DD8A1E">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业绩</w:t>
            </w:r>
          </w:p>
        </w:tc>
        <w:tc>
          <w:tcPr>
            <w:tcW w:w="1191" w:type="dxa"/>
            <w:vAlign w:val="center"/>
          </w:tcPr>
          <w:p w14:paraId="14F443FC">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5分</w:t>
            </w:r>
          </w:p>
        </w:tc>
        <w:tc>
          <w:tcPr>
            <w:tcW w:w="6137" w:type="dxa"/>
            <w:vAlign w:val="center"/>
          </w:tcPr>
          <w:p w14:paraId="400B15A2">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zh-CN"/>
              </w:rPr>
            </w:pPr>
            <w:r>
              <w:rPr>
                <w:rFonts w:hint="eastAsia" w:ascii="宋体" w:hAnsi="宋体" w:eastAsia="宋体" w:cs="宋体"/>
                <w:snapToGrid w:val="0"/>
                <w:color w:val="000000"/>
                <w:kern w:val="0"/>
                <w:sz w:val="24"/>
                <w:szCs w:val="24"/>
                <w:highlight w:val="none"/>
                <w:lang w:val="zh-CN"/>
              </w:rPr>
              <w:t>提供202</w:t>
            </w:r>
            <w:r>
              <w:rPr>
                <w:rFonts w:hint="eastAsia" w:ascii="宋体" w:hAnsi="宋体" w:eastAsia="宋体" w:cs="宋体"/>
                <w:snapToGrid w:val="0"/>
                <w:color w:val="000000"/>
                <w:kern w:val="0"/>
                <w:sz w:val="24"/>
                <w:szCs w:val="24"/>
                <w:highlight w:val="none"/>
                <w:lang w:val="en-US" w:eastAsia="zh-CN"/>
              </w:rPr>
              <w:t>3</w:t>
            </w:r>
            <w:r>
              <w:rPr>
                <w:rFonts w:hint="eastAsia" w:ascii="宋体" w:hAnsi="宋体" w:eastAsia="宋体" w:cs="宋体"/>
                <w:snapToGrid w:val="0"/>
                <w:color w:val="000000"/>
                <w:kern w:val="0"/>
                <w:sz w:val="24"/>
                <w:szCs w:val="24"/>
                <w:highlight w:val="none"/>
                <w:lang w:val="zh-CN"/>
              </w:rPr>
              <w:t>年</w:t>
            </w:r>
            <w:r>
              <w:rPr>
                <w:rFonts w:hint="eastAsia" w:ascii="宋体" w:hAnsi="宋体" w:eastAsia="宋体" w:cs="宋体"/>
                <w:snapToGrid w:val="0"/>
                <w:color w:val="000000"/>
                <w:kern w:val="0"/>
                <w:sz w:val="24"/>
                <w:szCs w:val="24"/>
                <w:highlight w:val="none"/>
              </w:rPr>
              <w:t>1月1日</w:t>
            </w:r>
            <w:r>
              <w:rPr>
                <w:rFonts w:hint="eastAsia" w:ascii="宋体" w:hAnsi="宋体" w:eastAsia="宋体" w:cs="宋体"/>
                <w:snapToGrid w:val="0"/>
                <w:color w:val="000000"/>
                <w:kern w:val="0"/>
                <w:sz w:val="24"/>
                <w:szCs w:val="24"/>
                <w:highlight w:val="none"/>
                <w:lang w:val="zh-CN"/>
              </w:rPr>
              <w:t>至投标截止时间（以合同签订时间为准）所投品牌同类产品业绩，每提供一个业绩得1分，满分</w:t>
            </w:r>
            <w:r>
              <w:rPr>
                <w:rFonts w:hint="eastAsia" w:ascii="宋体" w:hAnsi="宋体" w:eastAsia="宋体" w:cs="宋体"/>
                <w:snapToGrid w:val="0"/>
                <w:color w:val="000000"/>
                <w:kern w:val="0"/>
                <w:sz w:val="24"/>
                <w:szCs w:val="24"/>
                <w:highlight w:val="none"/>
                <w:lang w:val="en-US" w:eastAsia="zh-CN"/>
              </w:rPr>
              <w:t>5</w:t>
            </w:r>
            <w:r>
              <w:rPr>
                <w:rFonts w:hint="eastAsia" w:ascii="宋体" w:hAnsi="宋体" w:eastAsia="宋体" w:cs="宋体"/>
                <w:snapToGrid w:val="0"/>
                <w:color w:val="000000"/>
                <w:kern w:val="0"/>
                <w:sz w:val="24"/>
                <w:szCs w:val="24"/>
                <w:highlight w:val="none"/>
                <w:lang w:val="zh-CN"/>
              </w:rPr>
              <w:t>分。</w:t>
            </w:r>
          </w:p>
          <w:p w14:paraId="4A433FAC">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val="zh-CN"/>
              </w:rPr>
              <w:t>评审依据：以加盖公章的业绩合同复印件为准，合同至少需包含合同首页、产品页、签章页。</w:t>
            </w:r>
          </w:p>
        </w:tc>
      </w:tr>
    </w:tbl>
    <w:p w14:paraId="457ED1E7">
      <w:pPr>
        <w:keepNext w:val="0"/>
        <w:keepLines w:val="0"/>
        <w:kinsoku/>
        <w:overflowPunct/>
        <w:topLinePunct w:val="0"/>
        <w:bidi w:val="0"/>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br w:type="page"/>
      </w:r>
    </w:p>
    <w:p w14:paraId="66B20035">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4、需要落实的政府采购政策</w:t>
      </w:r>
    </w:p>
    <w:p w14:paraId="7C6D7DF5">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4-1-1、中小企业落实政府采购政策</w:t>
      </w:r>
    </w:p>
    <w:p w14:paraId="12BFB419">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(1)对小型、微型企业产品的价格给予</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%、的扣除，用扣除后的价格参与评审，其评审价=投标报价*(1-</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w:t>
      </w:r>
    </w:p>
    <w:p w14:paraId="508DB116">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(2)参加本项目的小微企业须提供</w:t>
      </w:r>
      <w:r>
        <w:rPr>
          <w:rFonts w:hint="eastAsia" w:ascii="Times New Roman" w:hAnsi="Times New Roman" w:eastAsia="宋体" w:cs="Times New Roman"/>
          <w:color w:val="auto"/>
          <w:spacing w:val="0"/>
          <w:sz w:val="24"/>
          <w:szCs w:val="24"/>
          <w:highlight w:val="none"/>
          <w:lang w:eastAsia="zh-CN"/>
        </w:rPr>
        <w:t>《中小企业声明函》</w:t>
      </w:r>
      <w:r>
        <w:rPr>
          <w:rFonts w:hint="default" w:ascii="Times New Roman" w:hAnsi="Times New Roman" w:eastAsia="宋体" w:cs="Times New Roman"/>
          <w:color w:val="auto"/>
          <w:spacing w:val="0"/>
          <w:sz w:val="24"/>
          <w:szCs w:val="24"/>
          <w:highlight w:val="none"/>
        </w:rPr>
        <w:t>(附件)，未提供的不视为小微企业。本项目提供的货物不包括使用大型企业注册商标的货物，小型、微型企业提供中型企业制造的货物的，视同为中型企业，不享受小微企业优惠政策。投标人须做出承诺，保证真实性，如有虚假，将依法承担相应责任。</w:t>
      </w:r>
    </w:p>
    <w:p w14:paraId="31305D0A">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(3)小微企业按《政府采购促进中小企业发展管理办法》财库〔2020〕46号</w:t>
      </w:r>
      <w:r>
        <w:rPr>
          <w:rFonts w:hint="default" w:ascii="Times New Roman" w:hAnsi="Times New Roman" w:eastAsia="宋体" w:cs="Times New Roman"/>
          <w:color w:val="auto"/>
          <w:spacing w:val="0"/>
          <w:sz w:val="24"/>
          <w:szCs w:val="24"/>
          <w:highlight w:val="none"/>
          <w:lang w:eastAsia="zh-CN"/>
        </w:rPr>
        <w:t>、《财政部关于进一步加大政府采购支持中小企业力度的通知》（财库〔2022〕19号）</w:t>
      </w:r>
      <w:r>
        <w:rPr>
          <w:rFonts w:hint="default" w:ascii="Times New Roman" w:hAnsi="Times New Roman" w:eastAsia="宋体" w:cs="Times New Roman"/>
          <w:color w:val="auto"/>
          <w:spacing w:val="0"/>
          <w:sz w:val="24"/>
          <w:szCs w:val="24"/>
          <w:highlight w:val="none"/>
        </w:rPr>
        <w:t>和《工业和信息化部、国家统计局、国家发展和改革委员会、财政部关于印发&lt;中小企业划型标准规定&gt;的通知》(工信部联企业【2011】300号)文件规定标准确认。</w:t>
      </w:r>
    </w:p>
    <w:p w14:paraId="2E64878D">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4-1-2、监狱企业的价格评分标准</w:t>
      </w:r>
    </w:p>
    <w:p w14:paraId="3DF4544B">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(1)在政府采购活动中，监狱企业视同小型、微型企业，享受预留份额、评审中价格扣除等政府采购促进中小企业发展的政府采购政策。对监狱企业产品的价格给予</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%的扣除，用扣除后的价格参与评审，其评审价=投标报价*(1-</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w:t>
      </w:r>
    </w:p>
    <w:p w14:paraId="70BB1B39">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(2)监狱企业参加政府采购活动时，应当提供由省级以上监狱管理局、戒毒管理局出具的属于监狱企业的证明文件。</w:t>
      </w:r>
    </w:p>
    <w:p w14:paraId="12C63966">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(3)监狱企业按《财政部、司法部关于政府采购支持监狱企业发展有关问题的通知》(财库〔2014〕68号)文件规定标准执行。</w:t>
      </w:r>
    </w:p>
    <w:p w14:paraId="24BB1662">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4-1-3、残疾人福利性单位的价格评分标准</w:t>
      </w:r>
    </w:p>
    <w:p w14:paraId="1106C7EA">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(1)在政府采购活动中，残疾人福利性单位视同小型、微型企业，享受预留份额、评审中价格扣除等政府采购促进中小企业发展的政府采购政策。对残疾人福利性单位产品的价格给予</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%的扣除，用扣除后的价格参与评审，其评标价=投标报价*(1-</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w:t>
      </w:r>
    </w:p>
    <w:p w14:paraId="137108B0">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(2)残疾人福利性单位属于小型、微型企业的，不重复享受政策。</w:t>
      </w:r>
    </w:p>
    <w:p w14:paraId="700BF2B8">
      <w:pPr>
        <w:keepNext w:val="0"/>
        <w:keepLines w:val="0"/>
        <w:pageBreakBefore w:val="0"/>
        <w:widowControl w:val="0"/>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(3)符合条件的残疾人福利性单位在参加政府采购活动时，应当提供本通知规定的《残疾人福利性单位声明函》(见附件)，并对声明的真实性负责，未提供的不视为残疾人福利性单位。</w:t>
      </w:r>
    </w:p>
    <w:p w14:paraId="2DC413CB">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4-1-4、节能产品、环境标志产品政策</w:t>
      </w:r>
    </w:p>
    <w:p w14:paraId="375D2937">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(1)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w:t>
      </w:r>
      <w:r>
        <w:rPr>
          <w:rFonts w:hint="default" w:ascii="Times New Roman" w:hAnsi="Times New Roman" w:eastAsia="宋体" w:cs="Times New Roman"/>
          <w:color w:val="auto"/>
          <w:spacing w:val="0"/>
          <w:sz w:val="24"/>
          <w:szCs w:val="24"/>
          <w:highlight w:val="none"/>
        </w:rPr>
        <w:tab/>
      </w:r>
      <w:r>
        <w:rPr>
          <w:rFonts w:hint="default" w:ascii="Times New Roman" w:hAnsi="Times New Roman" w:eastAsia="宋体" w:cs="Times New Roman"/>
          <w:color w:val="auto"/>
          <w:spacing w:val="0"/>
          <w:sz w:val="24"/>
          <w:szCs w:val="24"/>
          <w:highlight w:val="none"/>
        </w:rPr>
        <w:t>(财库〔2019〕18号)的有关规定执行。对节能产品、环境标志产品在评标时予以优先采购，具体见评审因素和指标内容</w:t>
      </w:r>
      <w:r>
        <w:rPr>
          <w:rFonts w:hint="eastAsia" w:ascii="Times New Roman" w:hAnsi="Times New Roman" w:eastAsia="宋体" w:cs="Times New Roman"/>
          <w:color w:val="auto"/>
          <w:spacing w:val="0"/>
          <w:sz w:val="24"/>
          <w:szCs w:val="24"/>
          <w:highlight w:val="none"/>
          <w:lang w:eastAsia="zh-CN"/>
        </w:rPr>
        <w:t>。</w:t>
      </w:r>
    </w:p>
    <w:p w14:paraId="06ED530F">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(2)若节能、环保、环境标志品目清单内的产品仅是构成所投产品的部件、组件或零件的，则该所投产品不享受</w:t>
      </w:r>
      <w:r>
        <w:rPr>
          <w:rFonts w:hint="eastAsia" w:ascii="Times New Roman" w:hAnsi="Times New Roman" w:eastAsia="宋体" w:cs="Times New Roman"/>
          <w:color w:val="auto"/>
          <w:spacing w:val="0"/>
          <w:sz w:val="24"/>
          <w:szCs w:val="24"/>
          <w:highlight w:val="none"/>
          <w:lang w:val="en-US" w:eastAsia="zh-CN"/>
        </w:rPr>
        <w:t>上述</w:t>
      </w:r>
      <w:r>
        <w:rPr>
          <w:rFonts w:hint="default" w:ascii="Times New Roman" w:hAnsi="Times New Roman" w:eastAsia="宋体" w:cs="Times New Roman"/>
          <w:color w:val="auto"/>
          <w:spacing w:val="0"/>
          <w:sz w:val="24"/>
          <w:szCs w:val="24"/>
          <w:highlight w:val="none"/>
        </w:rPr>
        <w:t>政策。</w:t>
      </w:r>
    </w:p>
    <w:p w14:paraId="45A36B00">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rPr>
        <w:t>4-1-5、</w:t>
      </w:r>
      <w:r>
        <w:rPr>
          <w:rFonts w:hint="eastAsia" w:ascii="Times New Roman" w:hAnsi="Times New Roman" w:eastAsia="宋体" w:cs="Times New Roman"/>
          <w:color w:val="auto"/>
          <w:spacing w:val="0"/>
          <w:sz w:val="24"/>
          <w:szCs w:val="24"/>
          <w:highlight w:val="none"/>
          <w:lang w:val="en-US" w:eastAsia="zh-CN"/>
        </w:rPr>
        <w:t>本国产品政策</w:t>
      </w:r>
    </w:p>
    <w:p w14:paraId="61A409F8">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1</w:t>
      </w:r>
      <w:r>
        <w:rPr>
          <w:rFonts w:hint="eastAsia" w:ascii="Times New Roman" w:hAnsi="Times New Roman" w:eastAsia="宋体" w:cs="Times New Roman"/>
          <w:color w:val="auto"/>
          <w:spacing w:val="0"/>
          <w:sz w:val="24"/>
          <w:szCs w:val="24"/>
          <w:highlight w:val="none"/>
          <w:lang w:eastAsia="zh-CN"/>
        </w:rPr>
        <w:t>）供应商所投</w:t>
      </w:r>
      <w:r>
        <w:rPr>
          <w:rFonts w:hint="eastAsia" w:ascii="Times New Roman" w:hAnsi="Times New Roman" w:eastAsia="宋体" w:cs="Times New Roman"/>
          <w:color w:val="auto"/>
          <w:spacing w:val="0"/>
          <w:sz w:val="24"/>
          <w:szCs w:val="24"/>
          <w:highlight w:val="none"/>
          <w:lang w:val="en-US" w:eastAsia="zh-CN"/>
        </w:rPr>
        <w:t>产品</w:t>
      </w:r>
      <w:r>
        <w:rPr>
          <w:rFonts w:hint="eastAsia" w:ascii="Times New Roman" w:hAnsi="Times New Roman" w:eastAsia="宋体" w:cs="Times New Roman"/>
          <w:color w:val="auto"/>
          <w:spacing w:val="0"/>
          <w:sz w:val="24"/>
          <w:szCs w:val="24"/>
          <w:highlight w:val="none"/>
          <w:lang w:eastAsia="zh-CN"/>
        </w:rPr>
        <w:t>需符合《国务院办公厅关于在政府采购中实施本国产品标准及相关政策的通知》（国办发〔2025〕34 号）规定，以供应商出具的《关于符合本国产品标准的声明函》（</w:t>
      </w:r>
      <w:r>
        <w:rPr>
          <w:rFonts w:hint="eastAsia" w:ascii="Times New Roman" w:hAnsi="Times New Roman" w:eastAsia="宋体" w:cs="Times New Roman"/>
          <w:color w:val="auto"/>
          <w:spacing w:val="0"/>
          <w:sz w:val="24"/>
          <w:szCs w:val="24"/>
          <w:highlight w:val="none"/>
          <w:lang w:val="en-US" w:eastAsia="zh-CN"/>
        </w:rPr>
        <w:t>附件</w:t>
      </w:r>
      <w:r>
        <w:rPr>
          <w:rFonts w:hint="eastAsia" w:ascii="Times New Roman" w:hAnsi="Times New Roman" w:eastAsia="宋体" w:cs="Times New Roman"/>
          <w:color w:val="auto"/>
          <w:spacing w:val="0"/>
          <w:sz w:val="24"/>
          <w:szCs w:val="24"/>
          <w:highlight w:val="none"/>
          <w:lang w:eastAsia="zh-CN"/>
        </w:rPr>
        <w:t>）或财政部会同有关部门规定的证明文件为认定依据，未按要求提供的不认定为本国产品。</w:t>
      </w:r>
      <w:r>
        <w:rPr>
          <w:rFonts w:hint="default" w:ascii="Times New Roman" w:hAnsi="Times New Roman" w:eastAsia="宋体" w:cs="Times New Roman"/>
          <w:color w:val="auto"/>
          <w:spacing w:val="0"/>
          <w:sz w:val="24"/>
          <w:szCs w:val="24"/>
          <w:highlight w:val="none"/>
        </w:rPr>
        <w:t>本国产品</w:t>
      </w:r>
      <w:r>
        <w:rPr>
          <w:rFonts w:hint="eastAsia" w:ascii="Times New Roman" w:hAnsi="Times New Roman" w:eastAsia="宋体" w:cs="Times New Roman"/>
          <w:color w:val="auto"/>
          <w:spacing w:val="0"/>
          <w:sz w:val="24"/>
          <w:szCs w:val="24"/>
          <w:highlight w:val="none"/>
          <w:lang w:val="en-US" w:eastAsia="zh-CN"/>
        </w:rPr>
        <w:t>的价格给予20%的</w:t>
      </w:r>
      <w:r>
        <w:rPr>
          <w:rFonts w:hint="default" w:ascii="Times New Roman" w:hAnsi="Times New Roman" w:eastAsia="宋体" w:cs="Times New Roman"/>
          <w:color w:val="auto"/>
          <w:spacing w:val="0"/>
          <w:sz w:val="24"/>
          <w:szCs w:val="24"/>
          <w:highlight w:val="none"/>
        </w:rPr>
        <w:t>扣除，以扣除后价格参与评审</w:t>
      </w: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 xml:space="preserve">  </w:t>
      </w:r>
    </w:p>
    <w:p w14:paraId="0B4EADAD">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2</w:t>
      </w:r>
      <w:r>
        <w:rPr>
          <w:rFonts w:hint="eastAsia" w:ascii="Times New Roman" w:hAnsi="Times New Roman" w:eastAsia="宋体" w:cs="Times New Roman"/>
          <w:color w:val="auto"/>
          <w:spacing w:val="0"/>
          <w:sz w:val="24"/>
          <w:szCs w:val="24"/>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391951B">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3</w:t>
      </w:r>
      <w:r>
        <w:rPr>
          <w:rFonts w:hint="eastAsia"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产品在中国境内生产的组件成本核算，按照国办发〔2025〕34 号文附件 1《中国境内生产的组件成本核算基本规则》执行，以相关会计核算数据、采购合同、进货记录等为计算依据。</w:t>
      </w:r>
    </w:p>
    <w:p w14:paraId="4840BC81">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w:t>
      </w:r>
      <w:r>
        <w:rPr>
          <w:rFonts w:hint="eastAsia" w:ascii="Times New Roman" w:hAnsi="Times New Roman" w:eastAsia="宋体" w:cs="Times New Roman"/>
          <w:color w:val="auto"/>
          <w:spacing w:val="0"/>
          <w:sz w:val="24"/>
          <w:szCs w:val="24"/>
          <w:highlight w:val="none"/>
          <w:lang w:val="en-US" w:eastAsia="zh-CN"/>
        </w:rPr>
        <w:t>6</w:t>
      </w:r>
      <w:r>
        <w:rPr>
          <w:rFonts w:hint="default" w:ascii="Times New Roman" w:hAnsi="Times New Roman" w:eastAsia="宋体" w:cs="Times New Roman"/>
          <w:color w:val="auto"/>
          <w:spacing w:val="0"/>
          <w:sz w:val="24"/>
          <w:szCs w:val="24"/>
          <w:highlight w:val="none"/>
        </w:rPr>
        <w:t>、</w:t>
      </w:r>
      <w:r>
        <w:rPr>
          <w:rFonts w:hint="eastAsia" w:ascii="Times New Roman" w:hAnsi="Times New Roman" w:eastAsia="宋体" w:cs="Times New Roman"/>
          <w:color w:val="auto"/>
          <w:spacing w:val="0"/>
          <w:sz w:val="24"/>
          <w:szCs w:val="24"/>
          <w:highlight w:val="none"/>
          <w:lang w:eastAsia="zh-CN"/>
        </w:rPr>
        <w:t>投标人</w:t>
      </w:r>
      <w:r>
        <w:rPr>
          <w:rFonts w:hint="default" w:ascii="Times New Roman" w:hAnsi="Times New Roman" w:eastAsia="宋体" w:cs="Times New Roman"/>
          <w:color w:val="auto"/>
          <w:spacing w:val="0"/>
          <w:sz w:val="24"/>
          <w:szCs w:val="24"/>
          <w:highlight w:val="none"/>
        </w:rPr>
        <w:t>应如实提供以上证明文件，如存在虚假应标，将取消其投标资格。</w:t>
      </w:r>
    </w:p>
    <w:p w14:paraId="5DF07674">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w:t>
      </w:r>
      <w:r>
        <w:rPr>
          <w:rFonts w:hint="eastAsia" w:ascii="Times New Roman" w:hAnsi="Times New Roman" w:eastAsia="宋体" w:cs="Times New Roman"/>
          <w:color w:val="auto"/>
          <w:spacing w:val="0"/>
          <w:sz w:val="24"/>
          <w:szCs w:val="24"/>
          <w:highlight w:val="none"/>
          <w:lang w:val="en-US" w:eastAsia="zh-CN"/>
        </w:rPr>
        <w:t>7</w:t>
      </w:r>
      <w:r>
        <w:rPr>
          <w:rFonts w:hint="default" w:ascii="Times New Roman" w:hAnsi="Times New Roman" w:eastAsia="宋体" w:cs="Times New Roman"/>
          <w:color w:val="auto"/>
          <w:spacing w:val="0"/>
          <w:sz w:val="24"/>
          <w:szCs w:val="24"/>
          <w:highlight w:val="none"/>
        </w:rPr>
        <w:t>、关于提供相同品牌产品的不同供应商参加同一合同项下政府采购活动有关问题，根据《宝市财办采(2018)4号》文件执行。</w:t>
      </w:r>
    </w:p>
    <w:p w14:paraId="384D2391">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核心产品</w:t>
      </w:r>
      <w:r>
        <w:rPr>
          <w:rFonts w:hint="default" w:ascii="Times New Roman" w:hAnsi="Times New Roman" w:eastAsia="宋体" w:cs="Times New Roman"/>
          <w:color w:val="auto"/>
          <w:spacing w:val="0"/>
          <w:sz w:val="24"/>
          <w:szCs w:val="24"/>
          <w:highlight w:val="none"/>
        </w:rPr>
        <w:t>提供相同品牌产品且质量和服务均能满足招标文件实质性要求的不同供应商参加同一合同项下政府采购活动的，按一家供应商计算，评审后得分最高的同品牌供应商获得中标候选供应商推荐资格；评审得分相同的，由评标委员会按照招标</w:t>
      </w:r>
      <w:r>
        <w:rPr>
          <w:rFonts w:hint="eastAsia" w:ascii="Times New Roman" w:hAnsi="Times New Roman" w:eastAsia="宋体" w:cs="Times New Roman"/>
          <w:color w:val="auto"/>
          <w:spacing w:val="0"/>
          <w:sz w:val="24"/>
          <w:szCs w:val="24"/>
          <w:highlight w:val="none"/>
          <w:lang w:val="en-US" w:eastAsia="zh-CN"/>
        </w:rPr>
        <w:t>文</w:t>
      </w:r>
      <w:r>
        <w:rPr>
          <w:rFonts w:hint="default" w:ascii="Times New Roman" w:hAnsi="Times New Roman" w:eastAsia="宋体" w:cs="Times New Roman"/>
          <w:color w:val="auto"/>
          <w:spacing w:val="0"/>
          <w:sz w:val="24"/>
          <w:szCs w:val="24"/>
          <w:highlight w:val="none"/>
        </w:rPr>
        <w:t>件规定的方式确定一个供应商获得中标候选供应商推荐资格，招标文件未规定的优先采购具有环境标志、节能、自主创新的产品，其他同品牌供应商不作为中标候选人。</w:t>
      </w:r>
    </w:p>
    <w:p w14:paraId="501AD64B">
      <w:pPr>
        <w:keepNext w:val="0"/>
        <w:keepLines w:val="0"/>
        <w:pageBreakBefore w:val="0"/>
        <w:widowControl w:val="0"/>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注：本次采购活动中，若出现</w:t>
      </w:r>
      <w:r>
        <w:rPr>
          <w:rFonts w:hint="eastAsia" w:ascii="Times New Roman" w:hAnsi="Times New Roman" w:eastAsia="宋体" w:cs="Times New Roman"/>
          <w:color w:val="auto"/>
          <w:spacing w:val="0"/>
          <w:sz w:val="24"/>
          <w:szCs w:val="24"/>
          <w:highlight w:val="none"/>
          <w:lang w:val="en-US" w:eastAsia="zh-CN"/>
        </w:rPr>
        <w:t>核心产品为</w:t>
      </w:r>
      <w:r>
        <w:rPr>
          <w:rFonts w:hint="default" w:ascii="Times New Roman" w:hAnsi="Times New Roman" w:eastAsia="宋体" w:cs="Times New Roman"/>
          <w:color w:val="auto"/>
          <w:spacing w:val="0"/>
          <w:sz w:val="24"/>
          <w:szCs w:val="24"/>
          <w:highlight w:val="none"/>
        </w:rPr>
        <w:t>同品牌投标问题，由评标小组确定一名投标人获得中标候选人资格。如若符合上述政策按后附格式要求填写，若无格式附相关证明材料。</w:t>
      </w:r>
    </w:p>
    <w:p w14:paraId="58DC35B4">
      <w:pPr>
        <w:keepNext w:val="0"/>
        <w:keepLines w:val="0"/>
        <w:pageBreakBefore w:val="0"/>
        <w:widowControl w:val="0"/>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5、推荐中标候选人名单：评标委员会根据以上内容进行综合比较，自主打分，由高到低进行汇总排序，推荐一个以上三个以下中标候选单位。评标委员会依据评标结果写出评标报告。</w:t>
      </w:r>
    </w:p>
    <w:p w14:paraId="743B4556">
      <w:pPr>
        <w:keepNext w:val="0"/>
        <w:keepLines w:val="0"/>
        <w:pageBreakBefore w:val="0"/>
        <w:widowControl/>
        <w:kinsoku/>
        <w:wordWrap/>
        <w:overflowPunct/>
        <w:topLinePunct w:val="0"/>
        <w:autoSpaceDE w:val="0"/>
        <w:autoSpaceDN w:val="0"/>
        <w:bidi w:val="0"/>
        <w:adjustRightInd w:val="0"/>
        <w:snapToGrid w:val="0"/>
        <w:spacing w:line="375"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十三、定标</w:t>
      </w:r>
    </w:p>
    <w:p w14:paraId="6822B572">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1、采购代理机构在评标工作结束后，采购人根据评标评标委员会推荐的中标候选人顺序确定中标人。</w:t>
      </w:r>
    </w:p>
    <w:p w14:paraId="31C4C26B">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2、采购代理机构在接到采购人的“定标复函”后，在陕西省政府采购网上发布中标公告并同时向确定的投标人发“中标通知书”。</w:t>
      </w:r>
    </w:p>
    <w:p w14:paraId="2EF270BA">
      <w:pPr>
        <w:keepNext w:val="0"/>
        <w:keepLines w:val="0"/>
        <w:pageBreakBefore w:val="0"/>
        <w:widowControl/>
        <w:kinsoku/>
        <w:wordWrap/>
        <w:overflowPunct/>
        <w:topLinePunct w:val="0"/>
        <w:autoSpaceDE w:val="0"/>
        <w:autoSpaceDN w:val="0"/>
        <w:bidi w:val="0"/>
        <w:adjustRightInd w:val="0"/>
        <w:snapToGrid w:val="0"/>
        <w:spacing w:line="375"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十四、签订合同</w:t>
      </w:r>
    </w:p>
    <w:p w14:paraId="21C10153">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1、定标后，中标人与采购人洽谈合同条款，并签订合同。招标文件及中标人的投标文件均作为经济合同的组成部分。</w:t>
      </w:r>
    </w:p>
    <w:p w14:paraId="5542177C">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2、采购人应当自中标通知书发出之日起</w:t>
      </w:r>
      <w:r>
        <w:rPr>
          <w:rFonts w:hint="eastAsia" w:ascii="Times New Roman" w:hAnsi="Times New Roman" w:eastAsia="宋体" w:cs="Times New Roman"/>
          <w:color w:val="auto"/>
          <w:spacing w:val="0"/>
          <w:sz w:val="24"/>
          <w:szCs w:val="24"/>
          <w:highlight w:val="none"/>
          <w:lang w:val="en-US" w:eastAsia="zh-CN"/>
        </w:rPr>
        <w:t>二十五</w:t>
      </w:r>
      <w:r>
        <w:rPr>
          <w:rFonts w:hint="default" w:ascii="Times New Roman" w:hAnsi="Times New Roman" w:eastAsia="宋体" w:cs="Times New Roman"/>
          <w:color w:val="auto"/>
          <w:spacing w:val="0"/>
          <w:sz w:val="24"/>
          <w:szCs w:val="24"/>
          <w:highlight w:val="none"/>
        </w:rPr>
        <w:t>日内，按照招标文件和中标人投标文件的约定，与中标人签订书面采购合同。所签订的采购合同不得对招标文件和中标人的投标文件内容作实质性修改。</w:t>
      </w:r>
    </w:p>
    <w:p w14:paraId="3D4411EE">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3、中标人因不可抗力或者自身原因不能履行采购合同的，履行相应程序后，采购人可以与排序在中标人之后第一位的投标人洽谈签订政府采购合同，以此类推。</w:t>
      </w:r>
    </w:p>
    <w:p w14:paraId="778D53B8">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4、合同在执行过程中，确需修改、变更时，应当按照相应的审核批准程序办理。</w:t>
      </w:r>
    </w:p>
    <w:p w14:paraId="1D56D0F5">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5、招标文件、投标文件、合同、澄清、补充合同等为合同的组成部分，具有同等法律效力。</w:t>
      </w:r>
    </w:p>
    <w:p w14:paraId="2058030C">
      <w:pPr>
        <w:keepNext w:val="0"/>
        <w:keepLines w:val="0"/>
        <w:pageBreakBefore w:val="0"/>
        <w:widowControl/>
        <w:kinsoku/>
        <w:wordWrap/>
        <w:overflowPunct/>
        <w:topLinePunct w:val="0"/>
        <w:autoSpaceDE w:val="0"/>
        <w:autoSpaceDN w:val="0"/>
        <w:bidi w:val="0"/>
        <w:adjustRightInd w:val="0"/>
        <w:snapToGrid w:val="0"/>
        <w:spacing w:line="375"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十五、其它</w:t>
      </w:r>
    </w:p>
    <w:p w14:paraId="53AFB053">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 xml:space="preserve">1、限制投标的投标人 </w:t>
      </w:r>
    </w:p>
    <w:p w14:paraId="16690323">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1.1、投标人单位负责人为同一人或者存在直接控股、管理关系的不同投标人，不得参加同一项目同一包号的政府采购活动。</w:t>
      </w:r>
    </w:p>
    <w:p w14:paraId="08E6086D">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、开标时，出现下列情况之一的，按废标处理：</w:t>
      </w:r>
    </w:p>
    <w:p w14:paraId="1B70B15E">
      <w:pPr>
        <w:keepNext w:val="0"/>
        <w:keepLines w:val="0"/>
        <w:pageBreakBefore w:val="0"/>
        <w:widowControl/>
        <w:kinsoku/>
        <w:wordWrap/>
        <w:overflowPunct/>
        <w:topLinePunct w:val="0"/>
        <w:autoSpaceDE w:val="0"/>
        <w:autoSpaceDN w:val="0"/>
        <w:bidi w:val="0"/>
        <w:adjustRightInd w:val="0"/>
        <w:snapToGrid w:val="0"/>
        <w:spacing w:line="375" w:lineRule="auto"/>
        <w:ind w:firstLine="480" w:firstLineChars="200"/>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.1、符合专业条件的投标人或者对招标文件做出实质性响应的投标人不足三家。</w:t>
      </w:r>
    </w:p>
    <w:p w14:paraId="7C66A105">
      <w:pPr>
        <w:keepNext w:val="0"/>
        <w:keepLines w:val="0"/>
        <w:pageBreakBefore w:val="0"/>
        <w:widowControl/>
        <w:kinsoku/>
        <w:wordWrap/>
        <w:overflowPunct/>
        <w:topLinePunct w:val="0"/>
        <w:autoSpaceDE w:val="0"/>
        <w:autoSpaceDN w:val="0"/>
        <w:bidi w:val="0"/>
        <w:adjustRightInd w:val="0"/>
        <w:snapToGrid w:val="0"/>
        <w:spacing w:line="375" w:lineRule="auto"/>
        <w:ind w:firstLine="480" w:firstLineChars="200"/>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.2、出现影响招投标公正的违法、违规行为的。</w:t>
      </w:r>
    </w:p>
    <w:p w14:paraId="4789DBF7">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.3、投标人的报价均超出了最高限价的，采购人不能支付的。</w:t>
      </w:r>
    </w:p>
    <w:p w14:paraId="46D8DB97">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.4、因重大变故，招标任务取消。</w:t>
      </w:r>
    </w:p>
    <w:p w14:paraId="4ACB2461">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3</w:t>
      </w:r>
      <w:r>
        <w:rPr>
          <w:rFonts w:hint="default" w:ascii="Times New Roman" w:hAnsi="Times New Roman" w:eastAsia="宋体" w:cs="Times New Roman"/>
          <w:color w:val="auto"/>
          <w:spacing w:val="0"/>
          <w:sz w:val="24"/>
          <w:szCs w:val="24"/>
          <w:highlight w:val="none"/>
        </w:rPr>
        <w:t>、废标后，除招标任务取消外，应当重新组织招标。</w:t>
      </w:r>
    </w:p>
    <w:p w14:paraId="4464952B">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4</w:t>
      </w:r>
      <w:r>
        <w:rPr>
          <w:rFonts w:hint="default" w:ascii="Times New Roman" w:hAnsi="Times New Roman" w:eastAsia="宋体" w:cs="Times New Roman"/>
          <w:color w:val="auto"/>
          <w:spacing w:val="0"/>
          <w:sz w:val="24"/>
          <w:szCs w:val="24"/>
          <w:highlight w:val="none"/>
        </w:rPr>
        <w:t>、定标后，中标人无正当理由拖延或拒签合同，采购代理机构有权取消其中标资格，依照《中华人民共和国招标投标法》第60条规定，其投标保证金不予退还，并按评标结果参照《中华人民共和国招标投标法》第60条规定重新由采购人确认中标人。</w:t>
      </w:r>
    </w:p>
    <w:p w14:paraId="21FDCE19">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5</w:t>
      </w:r>
      <w:r>
        <w:rPr>
          <w:rFonts w:hint="default" w:ascii="Times New Roman" w:hAnsi="Times New Roman" w:eastAsia="宋体" w:cs="Times New Roman"/>
          <w:color w:val="auto"/>
          <w:spacing w:val="0"/>
          <w:sz w:val="24"/>
          <w:szCs w:val="24"/>
          <w:highlight w:val="none"/>
        </w:rPr>
        <w:t>、投标人投标费用自理。</w:t>
      </w:r>
    </w:p>
    <w:p w14:paraId="5241EC98">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6</w:t>
      </w:r>
      <w:r>
        <w:rPr>
          <w:rFonts w:hint="default" w:ascii="Times New Roman" w:hAnsi="Times New Roman" w:eastAsia="宋体" w:cs="Times New Roman"/>
          <w:color w:val="auto"/>
          <w:spacing w:val="0"/>
          <w:sz w:val="24"/>
          <w:szCs w:val="24"/>
          <w:highlight w:val="none"/>
        </w:rPr>
        <w:t>、</w:t>
      </w:r>
      <w:r>
        <w:rPr>
          <w:rFonts w:hint="eastAsia" w:ascii="Times New Roman" w:hAnsi="Times New Roman" w:eastAsia="宋体" w:cs="Times New Roman"/>
          <w:color w:val="auto"/>
          <w:spacing w:val="0"/>
          <w:sz w:val="24"/>
          <w:szCs w:val="24"/>
          <w:highlight w:val="none"/>
          <w:lang w:eastAsia="zh-CN"/>
        </w:rPr>
        <w:t>代理服务费</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本次招标所发生的</w:t>
      </w:r>
      <w:r>
        <w:rPr>
          <w:rFonts w:hint="eastAsia" w:ascii="Times New Roman" w:hAnsi="Times New Roman" w:eastAsia="宋体" w:cs="Times New Roman"/>
          <w:color w:val="auto"/>
          <w:spacing w:val="0"/>
          <w:sz w:val="24"/>
          <w:szCs w:val="24"/>
          <w:highlight w:val="none"/>
          <w:lang w:eastAsia="zh-CN"/>
        </w:rPr>
        <w:t>代理服务费</w:t>
      </w:r>
      <w:r>
        <w:rPr>
          <w:rFonts w:hint="default" w:ascii="Times New Roman" w:hAnsi="Times New Roman" w:eastAsia="宋体" w:cs="Times New Roman"/>
          <w:color w:val="auto"/>
          <w:spacing w:val="0"/>
          <w:sz w:val="24"/>
          <w:szCs w:val="24"/>
          <w:highlight w:val="none"/>
        </w:rPr>
        <w:t>用由中标单位支付，中标人在领取中标通知书的同时，应向采购代理机构交纳</w:t>
      </w:r>
      <w:r>
        <w:rPr>
          <w:rFonts w:hint="eastAsia" w:ascii="Times New Roman" w:hAnsi="Times New Roman" w:eastAsia="宋体" w:cs="Times New Roman"/>
          <w:color w:val="auto"/>
          <w:spacing w:val="0"/>
          <w:sz w:val="24"/>
          <w:szCs w:val="24"/>
          <w:highlight w:val="none"/>
          <w:lang w:eastAsia="zh-CN"/>
        </w:rPr>
        <w:t>代理服务费</w:t>
      </w:r>
      <w:r>
        <w:rPr>
          <w:rFonts w:hint="default" w:ascii="Times New Roman" w:hAnsi="Times New Roman" w:eastAsia="宋体" w:cs="Times New Roman"/>
          <w:color w:val="auto"/>
          <w:spacing w:val="0"/>
          <w:sz w:val="24"/>
          <w:szCs w:val="24"/>
          <w:highlight w:val="none"/>
        </w:rPr>
        <w:t>。</w:t>
      </w:r>
    </w:p>
    <w:p w14:paraId="6E9B03D7">
      <w:pPr>
        <w:keepNext w:val="0"/>
        <w:keepLines w:val="0"/>
        <w:pageBreakBefore w:val="0"/>
        <w:widowControl/>
        <w:kinsoku/>
        <w:wordWrap/>
        <w:overflowPunct/>
        <w:topLinePunct w:val="0"/>
        <w:autoSpaceDE w:val="0"/>
        <w:autoSpaceDN w:val="0"/>
        <w:bidi w:val="0"/>
        <w:adjustRightInd w:val="0"/>
        <w:snapToGrid w:val="0"/>
        <w:spacing w:line="375"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十六、重新招标或者变更招标方式</w:t>
      </w:r>
    </w:p>
    <w:p w14:paraId="115C9C35">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投标截止时间结束后，参加投标的单位不足三家或在评标期间，对招标文件实质响应的投标人不足三家，依照《中华人民共和国政府采购法》第三十六条、《政府采购货物和服务招标投标管理办法》(第87号令)第四十三条规定的相关原则处理。</w:t>
      </w:r>
    </w:p>
    <w:p w14:paraId="17800C11">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中标人因不可抗力或者自身原因不能履行本次招标合同的，采购人可以与排序在中标人之后第一位的中标候选人签订招标合同，以此类推，如果中标候选人全部放弃中标时，重新依法组织招标。同时报请监督机构处通报全市，取消放弃中标者进入招标市场的资格，并按规定予以处罚，并没收其投标保证金。</w:t>
      </w:r>
    </w:p>
    <w:p w14:paraId="3C4A1F72">
      <w:pPr>
        <w:keepNext w:val="0"/>
        <w:keepLines w:val="0"/>
        <w:kinsoku/>
        <w:overflowPunct/>
        <w:topLinePunct w:val="0"/>
        <w:bidi w:val="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br w:type="page"/>
      </w:r>
    </w:p>
    <w:p w14:paraId="35AD9D75">
      <w:pPr>
        <w:keepNext w:val="0"/>
        <w:keepLines w:val="0"/>
        <w:numPr>
          <w:ilvl w:val="0"/>
          <w:numId w:val="0"/>
        </w:numPr>
        <w:kinsoku/>
        <w:overflowPunct/>
        <w:topLinePunct w:val="0"/>
        <w:bidi w:val="0"/>
        <w:spacing w:before="113" w:line="480" w:lineRule="auto"/>
        <w:jc w:val="center"/>
        <w:outlineLvl w:val="0"/>
        <w:rPr>
          <w:rFonts w:hint="default" w:ascii="Times New Roman" w:hAnsi="Times New Roman" w:eastAsia="宋体" w:cs="Times New Roman"/>
          <w:b/>
          <w:bCs/>
          <w:color w:val="auto"/>
          <w:spacing w:val="0"/>
          <w:sz w:val="35"/>
          <w:szCs w:val="35"/>
          <w:highlight w:val="none"/>
          <w:lang w:val="en-US" w:eastAsia="zh-CN"/>
        </w:rPr>
      </w:pPr>
      <w:bookmarkStart w:id="14" w:name="_bookmark3"/>
      <w:bookmarkEnd w:id="14"/>
      <w:bookmarkStart w:id="15" w:name="_Toc1328"/>
      <w:bookmarkStart w:id="16" w:name="_Toc11766"/>
      <w:bookmarkStart w:id="17" w:name="_Toc25079"/>
      <w:r>
        <w:rPr>
          <w:rFonts w:hint="eastAsia" w:ascii="Times New Roman" w:hAnsi="Times New Roman" w:eastAsia="宋体" w:cs="Times New Roman"/>
          <w:b/>
          <w:bCs/>
          <w:snapToGrid w:val="0"/>
          <w:color w:val="auto"/>
          <w:spacing w:val="0"/>
          <w:kern w:val="0"/>
          <w:sz w:val="35"/>
          <w:szCs w:val="35"/>
          <w:highlight w:val="none"/>
          <w:lang w:val="en-US" w:eastAsia="zh-CN"/>
        </w:rPr>
        <w:t>第三章、</w:t>
      </w:r>
      <w:r>
        <w:rPr>
          <w:rFonts w:hint="default" w:ascii="Times New Roman" w:hAnsi="Times New Roman" w:eastAsia="宋体" w:cs="Times New Roman"/>
          <w:b/>
          <w:bCs/>
          <w:color w:val="auto"/>
          <w:spacing w:val="0"/>
          <w:sz w:val="35"/>
          <w:szCs w:val="35"/>
          <w:highlight w:val="none"/>
          <w:lang w:val="en-US" w:eastAsia="zh-CN"/>
        </w:rPr>
        <w:t>招标内容及要求</w:t>
      </w:r>
      <w:bookmarkEnd w:id="15"/>
      <w:bookmarkEnd w:id="16"/>
      <w:bookmarkEnd w:id="17"/>
    </w:p>
    <w:p w14:paraId="2DFD1998">
      <w:pPr>
        <w:kinsoku/>
        <w:spacing w:line="360" w:lineRule="auto"/>
        <w:jc w:val="center"/>
        <w:outlineLvl w:val="1"/>
        <w:rPr>
          <w:rFonts w:hint="eastAsia" w:ascii="宋体" w:hAnsi="宋体" w:eastAsia="宋体" w:cs="宋体"/>
          <w:b/>
          <w:bCs/>
          <w:sz w:val="24"/>
          <w:szCs w:val="24"/>
          <w:lang w:eastAsia="zh-CN"/>
        </w:rPr>
      </w:pPr>
      <w:bookmarkStart w:id="18" w:name="_Toc10993"/>
      <w:r>
        <w:rPr>
          <w:rFonts w:hint="eastAsia" w:ascii="宋体" w:hAnsi="宋体" w:eastAsia="宋体" w:cs="宋体"/>
          <w:b/>
          <w:bCs/>
          <w:sz w:val="24"/>
          <w:szCs w:val="24"/>
          <w:lang w:eastAsia="zh-CN"/>
        </w:rPr>
        <w:t>合同包1(超高端心血管及超高端便携彩色多普勒超声诊断仪)</w:t>
      </w:r>
    </w:p>
    <w:p w14:paraId="4CA2E432">
      <w:pPr>
        <w:kinsoku/>
        <w:spacing w:line="360" w:lineRule="auto"/>
        <w:jc w:val="center"/>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超高端心血管彩色多普勒超声诊断仪技术参数</w:t>
      </w:r>
    </w:p>
    <w:p w14:paraId="201925C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一、设备名称  超高端心血管彩色多普勒超声诊断仪</w:t>
      </w:r>
    </w:p>
    <w:p w14:paraId="7FCB5EC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二、数量2套</w:t>
      </w:r>
    </w:p>
    <w:p w14:paraId="37FF81B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三、设备用途及说明</w:t>
      </w:r>
    </w:p>
    <w:p w14:paraId="6020DEF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3.1用途：主要用于成人心脏、小儿心脏、胎儿心脏的超声诊断及科研工作，覆盖全身超声检查需要，并具备经胸及经食管容积超声心动图成像。</w:t>
      </w:r>
    </w:p>
    <w:p w14:paraId="68158EA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 投标产品要求为满足需求的最高型号和最新软件版本机型。</w:t>
      </w:r>
    </w:p>
    <w:p w14:paraId="1E0D907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四、系统配置及技术要求</w:t>
      </w:r>
    </w:p>
    <w:p w14:paraId="096C77E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4.1主机系统</w:t>
      </w:r>
    </w:p>
    <w:p w14:paraId="2141B69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4.1.1 ≥22英寸</w:t>
      </w:r>
      <w:r>
        <w:rPr>
          <w:rFonts w:hint="eastAsia" w:ascii="宋体" w:hAnsi="宋体" w:eastAsia="宋体" w:cs="宋体"/>
          <w:sz w:val="24"/>
          <w:szCs w:val="24"/>
          <w:highlight w:val="none"/>
          <w:lang w:val="en-US" w:eastAsia="zh-CN"/>
        </w:rPr>
        <w:t>医用</w:t>
      </w:r>
      <w:r>
        <w:rPr>
          <w:rFonts w:hint="eastAsia" w:ascii="宋体" w:hAnsi="宋体" w:eastAsia="宋体" w:cs="宋体"/>
          <w:sz w:val="24"/>
          <w:szCs w:val="24"/>
          <w:highlight w:val="none"/>
        </w:rPr>
        <w:t>高分辨率液晶显示器，分辨率</w:t>
      </w:r>
      <w:r>
        <w:rPr>
          <w:rFonts w:hint="eastAsia" w:ascii="宋体" w:hAnsi="宋体" w:eastAsia="宋体" w:cs="宋体"/>
          <w:sz w:val="24"/>
          <w:szCs w:val="24"/>
          <w:highlight w:val="none"/>
          <w:lang w:bidi="ar"/>
        </w:rPr>
        <w:t>≥</w:t>
      </w:r>
      <w:r>
        <w:rPr>
          <w:rFonts w:hint="eastAsia" w:ascii="宋体" w:hAnsi="宋体" w:eastAsia="宋体" w:cs="宋体"/>
          <w:sz w:val="24"/>
          <w:szCs w:val="24"/>
          <w:highlight w:val="none"/>
        </w:rPr>
        <w:t>1920 × 1080，可上下左右任意旋转。</w:t>
      </w:r>
    </w:p>
    <w:p w14:paraId="71074DA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4.1.2操作面板具备≥12英寸彩色液晶触摸屏，操作平台可灵活调节。</w:t>
      </w:r>
    </w:p>
    <w:p w14:paraId="403A9E0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4.1.3谐波成像技术；实时空间复合成像；斑点噪声抑制；复合滤波技术：扫描区域动态连续聚焦，无焦点显示。 </w:t>
      </w:r>
    </w:p>
    <w:p w14:paraId="23CCC8A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4.1.4 激活探头接口≥4个。</w:t>
      </w:r>
    </w:p>
    <w:p w14:paraId="023AC0A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 探头（为2套配置）：宽频带多点变频探头，中心频率在屏幕上可视可调，相控阵、凸阵，线阵、经食道探头。</w:t>
      </w:r>
    </w:p>
    <w:p w14:paraId="22FCB409">
      <w:pPr>
        <w:tabs>
          <w:tab w:val="left" w:pos="709"/>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4.1.5.1成人经胸相控阵探头x2：单晶体 频率2.0~4.5MHz 阵元数≥120，</w:t>
      </w:r>
      <w:bookmarkStart w:id="19" w:name="_Hlk171878580"/>
      <w:r>
        <w:rPr>
          <w:rFonts w:hint="eastAsia" w:ascii="宋体" w:hAnsi="宋体" w:eastAsia="宋体" w:cs="宋体"/>
          <w:sz w:val="24"/>
          <w:szCs w:val="24"/>
          <w:highlight w:val="none"/>
        </w:rPr>
        <w:t>扫描角度≥110°（提供证明）</w:t>
      </w:r>
      <w:bookmarkEnd w:id="19"/>
      <w:r>
        <w:rPr>
          <w:rFonts w:hint="eastAsia" w:ascii="宋体" w:hAnsi="宋体" w:eastAsia="宋体" w:cs="宋体"/>
          <w:sz w:val="24"/>
          <w:szCs w:val="24"/>
          <w:highlight w:val="none"/>
        </w:rPr>
        <w:t xml:space="preserve">。 </w:t>
      </w:r>
    </w:p>
    <w:p w14:paraId="5393850D">
      <w:pPr>
        <w:tabs>
          <w:tab w:val="left" w:pos="709"/>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4.1.5.2新生儿心脏探头x2：单晶体3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8MHz。</w:t>
      </w:r>
    </w:p>
    <w:p w14:paraId="5D643503">
      <w:pPr>
        <w:spacing w:line="360" w:lineRule="auto"/>
        <w:ind w:firstLine="480" w:firstLineChars="200"/>
        <w:rPr>
          <w:rFonts w:hint="eastAsia" w:ascii="宋体" w:hAnsi="宋体" w:eastAsia="宋体" w:cs="宋体"/>
          <w:sz w:val="24"/>
          <w:szCs w:val="24"/>
          <w:highlight w:val="none"/>
        </w:rPr>
      </w:pPr>
      <w:r>
        <w:rPr>
          <w:rFonts w:eastAsia="宋体"/>
          <w:sz w:val="24"/>
          <w:szCs w:val="24"/>
          <w:highlight w:val="none"/>
        </w:rPr>
        <w:t>▲</w:t>
      </w:r>
      <w:r>
        <w:rPr>
          <w:rFonts w:hint="eastAsia" w:ascii="宋体" w:hAnsi="宋体" w:eastAsia="宋体" w:cs="宋体"/>
          <w:sz w:val="24"/>
          <w:szCs w:val="24"/>
          <w:highlight w:val="none"/>
        </w:rPr>
        <w:t>4.1.5.3经胸心脏容积探头x2：单晶体 频率范围2.0~5.0MHz。</w:t>
      </w:r>
    </w:p>
    <w:p w14:paraId="6852A68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4.1.5.4线阵高频探头x2：单晶体 频率范围3.0~12.0MHz。</w:t>
      </w:r>
    </w:p>
    <w:p w14:paraId="45CA8AB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4.1.5.5 腹部凸阵探头x2：单晶体 频率范围2~5MHz。</w:t>
      </w:r>
    </w:p>
    <w:p w14:paraId="06385EE2">
      <w:pPr>
        <w:spacing w:line="360" w:lineRule="auto"/>
        <w:ind w:firstLine="480" w:firstLineChars="200"/>
        <w:rPr>
          <w:rFonts w:hint="eastAsia" w:ascii="宋体" w:hAnsi="宋体" w:eastAsia="宋体" w:cs="宋体"/>
          <w:sz w:val="24"/>
          <w:szCs w:val="24"/>
          <w:highlight w:val="none"/>
        </w:rPr>
      </w:pPr>
      <w:r>
        <w:rPr>
          <w:rFonts w:eastAsia="宋体"/>
          <w:sz w:val="24"/>
          <w:szCs w:val="24"/>
          <w:highlight w:val="none"/>
        </w:rPr>
        <w:t>▲</w:t>
      </w:r>
      <w:r>
        <w:rPr>
          <w:rFonts w:hint="eastAsia" w:ascii="宋体" w:hAnsi="宋体" w:eastAsia="宋体" w:cs="宋体"/>
          <w:sz w:val="24"/>
          <w:szCs w:val="24"/>
          <w:highlight w:val="none"/>
        </w:rPr>
        <w:t>4.1.5.6经食道容积探头x2: 单晶体 频率范围3.0~8.0MHz。</w:t>
      </w:r>
    </w:p>
    <w:p w14:paraId="3B9CB3C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4.1.6医学数字图像和通信DICOM3.0版接口部件。</w:t>
      </w:r>
    </w:p>
    <w:p w14:paraId="074457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4.1.7内置超声图像存储与病案管理工作站，具备硬盘、DVD/CD、USB等多种存储方式，可将静态及动态图像存储为多种文件格式。</w:t>
      </w:r>
    </w:p>
    <w:p w14:paraId="05A8E10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4.1.8原始数据存储，可对存储后的图像进行增益、彩色显示、多普勒基线位置及角度校正等参数的调节。</w:t>
      </w:r>
    </w:p>
    <w:p w14:paraId="3ACDDBA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4.1.9硬盘容量≥1TB。</w:t>
      </w:r>
    </w:p>
    <w:p w14:paraId="0670772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4.1.10主机具备耦合剂加热装置。</w:t>
      </w:r>
    </w:p>
    <w:p w14:paraId="2397D2B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 成像单元</w:t>
      </w:r>
    </w:p>
    <w:p w14:paraId="127B44C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 M型成像：常规M型，解剖M型，彩色M型。</w:t>
      </w:r>
    </w:p>
    <w:p w14:paraId="1E0AEDD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 二维灰阶成像：</w:t>
      </w:r>
    </w:p>
    <w:p w14:paraId="2452757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4.2.2.1组织谐波成像：多种方式组织谐波成像技术，同时显示谐波频率和基波频率,可视可调。</w:t>
      </w:r>
    </w:p>
    <w:p w14:paraId="0A7150D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4.2.2.2图像一键自动优化技术：可应用在二维、三维、多普勒及造影剂谐波成像等多种模式。</w:t>
      </w:r>
    </w:p>
    <w:p w14:paraId="38361B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4.2.2.3宽景成像及梯形扩展成像。</w:t>
      </w:r>
    </w:p>
    <w:p w14:paraId="0ED1573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4.2.2.4心尖增强成像：心尖宽视野显示，支持相控阵二维及容积探头。</w:t>
      </w:r>
    </w:p>
    <w:p w14:paraId="100C249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4.2.2.5二维心肌斑点追踪成像，能够评估整体和节段心肌的室壁运动，获取心肌组织的位移、速度、应变、应变率、等参数，具备≥17段牛眼图显示及心肌运动同步性参数。</w:t>
      </w:r>
    </w:p>
    <w:p w14:paraId="3CE36FA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4.2.3彩色多普勒成像：</w:t>
      </w:r>
    </w:p>
    <w:p w14:paraId="7C3EE3C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4.2.3.1彩色多普勒：具备速度方差模式、能量图模式、二维彩色模式、彩色M型等多种模式。</w:t>
      </w:r>
    </w:p>
    <w:p w14:paraId="13B55D8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4.2.3.2具备彩色多普勒频率显示，并可独立调节；具备彩色帧频独立调节功能；二维和彩色同步双幅实时显示；彩色消除功能：能在实时、冻结、存储的图像上独立去除彩色信号。</w:t>
      </w:r>
    </w:p>
    <w:p w14:paraId="2FD0DC6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4.2.3.3彩色多普勒帧频（相控阵探头）: 全视野, 18cm深,帧频≥20帧/s；组织多普勒帧频：全视野,18cm深,帧频≥100帧 /</w:t>
      </w:r>
      <w:r>
        <w:rPr>
          <w:rFonts w:hint="eastAsia" w:ascii="宋体" w:hAnsi="宋体" w:eastAsia="宋体" w:cs="宋体"/>
          <w:color w:val="auto"/>
          <w:sz w:val="24"/>
          <w:szCs w:val="24"/>
          <w:highlight w:val="none"/>
        </w:rPr>
        <w:t>s</w:t>
      </w:r>
      <w:r>
        <w:rPr>
          <w:rFonts w:hint="eastAsia" w:ascii="宋体" w:hAnsi="宋体" w:eastAsia="宋体" w:cs="宋体"/>
          <w:sz w:val="24"/>
          <w:szCs w:val="24"/>
          <w:highlight w:val="none"/>
        </w:rPr>
        <w:t>（提供证明）。</w:t>
      </w:r>
    </w:p>
    <w:p w14:paraId="7AA5352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4.2.3.4 彩色增强显示：组织多普勒成像；方向性能量图；微细血管及超低速血流显示（可显示微细血管及超低速血流信号，支持频谱多普勒测量）。</w:t>
      </w:r>
    </w:p>
    <w:p w14:paraId="2EF45D00">
      <w:pPr>
        <w:spacing w:line="360" w:lineRule="auto"/>
        <w:ind w:firstLine="480" w:firstLineChars="200"/>
        <w:rPr>
          <w:rFonts w:hint="eastAsia" w:ascii="宋体" w:hAnsi="宋体" w:eastAsia="宋体" w:cs="宋体"/>
          <w:sz w:val="24"/>
          <w:szCs w:val="24"/>
          <w:highlight w:val="none"/>
        </w:rPr>
      </w:pPr>
      <w:r>
        <w:rPr>
          <w:rFonts w:eastAsia="宋体"/>
          <w:sz w:val="24"/>
          <w:szCs w:val="24"/>
          <w:highlight w:val="none"/>
        </w:rPr>
        <w:t>▲</w:t>
      </w:r>
      <w:r>
        <w:rPr>
          <w:rFonts w:hint="eastAsia" w:ascii="宋体" w:hAnsi="宋体" w:eastAsia="宋体" w:cs="宋体"/>
          <w:sz w:val="24"/>
          <w:szCs w:val="24"/>
          <w:highlight w:val="none"/>
        </w:rPr>
        <w:t>4.2.3.5心腔内血流斑点追踪成像技术：可显示心腔内血流动力学分布的实时状态，支持相控阵探头及经食道容积探头（提供证明）。</w:t>
      </w:r>
    </w:p>
    <w:p w14:paraId="6FA0A86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4.2.3.6冠脉血流显示：可显示冠脉内血流信号。</w:t>
      </w:r>
    </w:p>
    <w:p w14:paraId="01689A3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4.2.4频谱多普勒成像：</w:t>
      </w:r>
    </w:p>
    <w:p w14:paraId="24F0BE9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4.2.4.1方式：脉冲波多普勒（PW）、连续波多普勒（CW）、高脉冲重复频率（HPRF）。</w:t>
      </w:r>
    </w:p>
    <w:p w14:paraId="42CC90C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4.2.4.2最大测量速度：PW：血流速度≥7.5m/s ， CW：血流速度≥12m/s 。</w:t>
      </w:r>
    </w:p>
    <w:p w14:paraId="3CDC0E0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4.2.4.3最低测量速度：≤ 1mm/s （非噪声信号）。 </w:t>
      </w:r>
    </w:p>
    <w:p w14:paraId="61132D4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w:t>
      </w:r>
      <w:r>
        <w:rPr>
          <w:rFonts w:hint="eastAsia" w:ascii="宋体" w:hAnsi="宋体" w:eastAsia="宋体" w:cs="宋体"/>
          <w:color w:val="auto"/>
          <w:sz w:val="24"/>
          <w:szCs w:val="24"/>
          <w:highlight w:val="none"/>
          <w:lang w:val="en-US" w:eastAsia="zh-CN"/>
        </w:rPr>
        <w:t>4</w:t>
      </w:r>
      <w:r>
        <w:rPr>
          <w:rFonts w:hint="eastAsia" w:ascii="宋体" w:hAnsi="宋体" w:eastAsia="宋体" w:cs="宋体"/>
          <w:sz w:val="24"/>
          <w:szCs w:val="24"/>
          <w:highlight w:val="none"/>
        </w:rPr>
        <w:t>取样宽度多级可调，可调范围1mm-15mm。</w:t>
      </w:r>
    </w:p>
    <w:p w14:paraId="37BE18D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4.2.4.5频谱自动测量及多普勒优化功能，可自动测量心脏频谱参数（包括：E峰、A峰、EDT、E’、E/E等参数），根据多普勒取样位置自动聚焦，多普勒标尺及基线可自动调节。</w:t>
      </w:r>
    </w:p>
    <w:p w14:paraId="12CB2A6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4.2.4.6实时三同步功能，支持凸阵、线阵、相控阵探头。</w:t>
      </w:r>
    </w:p>
    <w:p w14:paraId="17274DE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4.2.4.7超声功率输出调节：B/M、PWD、CWD、彩色多普勒输出功率可调。</w:t>
      </w:r>
    </w:p>
    <w:p w14:paraId="59E524A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4.2.5组织多普勒成像：</w:t>
      </w:r>
    </w:p>
    <w:p w14:paraId="46BC3DA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4.2.5.1具备组织速度成像、组织追踪成像、组织同步化成像、组织应变及应变率成像。</w:t>
      </w:r>
    </w:p>
    <w:p w14:paraId="3E9572A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4.2.5.2在机同时显示心肌多节段速度曲线、位移曲线、应变及应变率曲线功能。</w:t>
      </w:r>
    </w:p>
    <w:p w14:paraId="065D363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4.2.5.3二维、彩色M型、速度曲线同屏显示。</w:t>
      </w:r>
    </w:p>
    <w:p w14:paraId="40F6580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4.2.5.4具备在机组织多普勒同步化显像，具有心肌同步化牛眼图。</w:t>
      </w:r>
    </w:p>
    <w:p w14:paraId="459C52F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4.2.6超声造影成像</w:t>
      </w:r>
    </w:p>
    <w:p w14:paraId="1927DE0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4.2.6.1具备心腔造影、低机械指数心肌造影、腹部脏器及血管造影，双造影计时器。</w:t>
      </w:r>
    </w:p>
    <w:p w14:paraId="297E1FB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4.2.6.2具备负荷超声下的心肌灌注造影，具有实时双幅对比模式，并可进行双幅同步测量。</w:t>
      </w:r>
    </w:p>
    <w:p w14:paraId="66929F0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4.2.6.3 支持凸阵，相控阵、容积探头。</w:t>
      </w:r>
    </w:p>
    <w:p w14:paraId="21EB54D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4.2.6.4具备实时三平面造影成像。</w:t>
      </w:r>
    </w:p>
    <w:p w14:paraId="5C23782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4.2.6.5具有在机及脱机造影定量分析软件，可提供时间曲线分析及TIC曲线拟合等参数。</w:t>
      </w:r>
    </w:p>
    <w:p w14:paraId="57C5502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4.2.7负荷超声成像</w:t>
      </w:r>
    </w:p>
    <w:p w14:paraId="47A0B5C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4.2.7.1内置专业负荷超声模块，包括运动负荷及药物负荷。</w:t>
      </w:r>
    </w:p>
    <w:p w14:paraId="7B6B0D7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4.2.7.2具备负荷超声斑点追踪功能，内置在机心肌长轴应变分析软件，可提供≥16节段牛眼图显示、曲线显示、解剖M型显示等，并可同屏对照。</w:t>
      </w:r>
    </w:p>
    <w:p w14:paraId="54F0EE4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4.2.7.3支持经食管容积探头及造影成像。</w:t>
      </w:r>
    </w:p>
    <w:p w14:paraId="39F184B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4.2.7.4具备在机再同步化治疗评估软件。</w:t>
      </w:r>
    </w:p>
    <w:p w14:paraId="017E1EE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4.2.8心脏容积成像</w:t>
      </w:r>
    </w:p>
    <w:p w14:paraId="5E7542E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4.2.8.1支持成人和儿童经胸及经食道容积探头，与主机技术相结合，提供容积显像。</w:t>
      </w:r>
    </w:p>
    <w:p w14:paraId="5393E1A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4.2.8.2容积探头均具备二维、彩色、PW、CW、M型、解剖M型、组织多普勒、多平面及四维、负荷超声、超声造影等全部功能。</w:t>
      </w:r>
    </w:p>
    <w:p w14:paraId="6B45554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4.2.8.3 单心动周期实时容积成像，成像容积角度≥90°×90°，无心电图拼接，支持容积彩色血流显示，容积帧频可独立调节。</w:t>
      </w:r>
    </w:p>
    <w:p w14:paraId="5DE678A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4.2.8.4具备四维彩色模式，可单独显示四维彩色血流束。</w:t>
      </w:r>
    </w:p>
    <w:p w14:paraId="6DAFD7D0">
      <w:pPr>
        <w:spacing w:line="360" w:lineRule="auto"/>
        <w:ind w:firstLine="480" w:firstLineChars="200"/>
        <w:rPr>
          <w:rFonts w:hint="eastAsia" w:ascii="宋体" w:hAnsi="宋体" w:eastAsia="宋体" w:cs="宋体"/>
          <w:sz w:val="24"/>
          <w:szCs w:val="24"/>
          <w:highlight w:val="none"/>
        </w:rPr>
      </w:pPr>
      <w:r>
        <w:rPr>
          <w:rFonts w:eastAsia="宋体"/>
          <w:sz w:val="24"/>
          <w:szCs w:val="24"/>
          <w:highlight w:val="none"/>
        </w:rPr>
        <w:t>▲</w:t>
      </w:r>
      <w:r>
        <w:rPr>
          <w:rFonts w:hint="eastAsia" w:ascii="宋体" w:hAnsi="宋体" w:eastAsia="宋体" w:cs="宋体"/>
          <w:sz w:val="24"/>
          <w:szCs w:val="24"/>
          <w:highlight w:val="none"/>
        </w:rPr>
        <w:t>4.2.8.5心脏四维类解剖结构显示，深度、位置可调整，并具备彩色血流显示及透明度调节功能。（提供证明）</w:t>
      </w:r>
    </w:p>
    <w:p w14:paraId="0DF7406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4.2.8.6具有四维局部放大和感兴趣区取样框功能，可实时双平面观察。</w:t>
      </w:r>
    </w:p>
    <w:p w14:paraId="616E4A0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4.2.8.7具备四维造影成像。（提供证明）</w:t>
      </w:r>
    </w:p>
    <w:p w14:paraId="5F1A67C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4.2.9具备穿刺引导功能，穿刺引导线角度可调。</w:t>
      </w:r>
    </w:p>
    <w:p w14:paraId="130CEFF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4.3测量和分析</w:t>
      </w:r>
    </w:p>
    <w:p w14:paraId="725F0E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4.3.1一般测量：直径、面积、体积、狭窄率、压差等。</w:t>
      </w:r>
    </w:p>
    <w:p w14:paraId="43C5E02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4.3.2心脏功能测量与分析</w:t>
      </w:r>
    </w:p>
    <w:p w14:paraId="1934EA2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4.3.2.1 基于人工智能（AI）自动识别描记左室心内膜并计算左心功能，包括EF射血分数，整体纵向应变GLS等，支持单平面和双平面计算 。（提供证明）</w:t>
      </w:r>
    </w:p>
    <w:p w14:paraId="1E076D34">
      <w:pPr>
        <w:spacing w:line="360" w:lineRule="auto"/>
        <w:ind w:left="25" w:leftChars="12"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4.3.2.2在机心肌斑点追踪成像，分析心肌收缩期长轴峰值应变、收缩后收缩指数等，并提供牛眼图、曲线显示、曲线解剖等模式，并可同步显示EF值（双平面Simpson法），支持常规心脏及经食道探头（提供证明）。</w:t>
      </w:r>
    </w:p>
    <w:p w14:paraId="1DF51C9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4.3.2.3基于斑点追踪技术左心房定量分析，可提供左心房整体应变及应变变化曲线，排空分数及左房容积（包括四腔和两腔切面）等。</w:t>
      </w:r>
    </w:p>
    <w:p w14:paraId="5F5779C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4.3.2.4右心室（RV）定量分析软件，应用斑点追踪技术，分析右心室整体应变、游离壁应变及右心室功能，如ESV、EDV、SV、EF、TAPSE和FAC等数据。</w:t>
      </w:r>
    </w:p>
    <w:p w14:paraId="39E7400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4.3.3心脏三维斑点追踪成像及定量分析功能，可实现三维模型显示、牛眼图显示、心脏容积测量等功能。</w:t>
      </w:r>
    </w:p>
    <w:p w14:paraId="77900EA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4.3.4二尖瓣分析软件，能显示二尖瓣模型，对二尖瓣的形状进行评估和分析，自动测量多项参数。</w:t>
      </w:r>
    </w:p>
    <w:p w14:paraId="6C8E1844">
      <w:pPr>
        <w:spacing w:line="360" w:lineRule="auto"/>
        <w:ind w:firstLine="480" w:firstLineChars="200"/>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4.3.5心脏三维动态模型显示分析，具备左、右心腔三维显示及计算分析功能。</w:t>
      </w:r>
    </w:p>
    <w:p w14:paraId="2245EA8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4.3.6 妇、产科测量与分析。</w:t>
      </w:r>
    </w:p>
    <w:p w14:paraId="6F441B2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4.3.7 血管内中膜自动测量，可同时测量血管内中膜厚度，并计算最大值、平均值及所测范围。</w:t>
      </w:r>
    </w:p>
    <w:p w14:paraId="22D3AC7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4.4在机计算分析软件</w:t>
      </w:r>
      <w:r>
        <w:rPr>
          <w:rFonts w:hint="eastAsia" w:ascii="宋体" w:hAnsi="宋体" w:eastAsia="宋体" w:cs="宋体"/>
          <w:color w:val="auto"/>
          <w:sz w:val="24"/>
          <w:szCs w:val="24"/>
          <w:highlight w:val="none"/>
        </w:rPr>
        <w:t>（永久可用，可升级）</w:t>
      </w:r>
    </w:p>
    <w:p w14:paraId="2D8D567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4.4.1心脏基础分析软件、血管基础分析软件、妇、产科分析测量软件、超声造影及负荷超声分析软件。</w:t>
      </w:r>
    </w:p>
    <w:p w14:paraId="223B9E6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4.4.2心肌应变及斑点追踪分析软件，包含针对胎儿心脏斑点追踪分析。</w:t>
      </w:r>
    </w:p>
    <w:p w14:paraId="64398B1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4.4.3左心房、左心室、右心室及二尖瓣三维定量分析软件。</w:t>
      </w:r>
    </w:p>
    <w:p w14:paraId="0E9A0D3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4.4.4心脏三维动态模型分析软件</w:t>
      </w:r>
    </w:p>
    <w:p w14:paraId="46F97CE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4.4.5容积图像采集、切割、分析软件。</w:t>
      </w:r>
    </w:p>
    <w:p w14:paraId="6C396AC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4.5相控阵、凸阵、线阵探头配备可复消穿刺架及附件、自动活检枪2套。</w:t>
      </w:r>
    </w:p>
    <w:p w14:paraId="71C34636">
      <w:pPr>
        <w:spacing w:line="360" w:lineRule="auto"/>
        <w:ind w:firstLine="480" w:firstLineChars="200"/>
        <w:rPr>
          <w:rFonts w:hint="eastAsia" w:ascii="宋体" w:hAnsi="宋体" w:eastAsia="宋体" w:cs="宋体"/>
          <w:color w:val="EE0000"/>
          <w:sz w:val="24"/>
          <w:szCs w:val="24"/>
          <w:highlight w:val="none"/>
        </w:rPr>
      </w:pPr>
      <w:r>
        <w:rPr>
          <w:rFonts w:hint="eastAsia" w:ascii="宋体" w:hAnsi="宋体" w:eastAsia="宋体" w:cs="宋体"/>
          <w:sz w:val="24"/>
          <w:szCs w:val="24"/>
          <w:highlight w:val="none"/>
        </w:rPr>
        <w:t>五、配套产品及要求</w:t>
      </w:r>
    </w:p>
    <w:p w14:paraId="1D852D8B">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5.1手持式彩色超声诊断仪（无线/有线）2套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具备凸阵及线阵双探头。</w:t>
      </w:r>
      <w:r>
        <w:rPr>
          <w:rFonts w:hint="eastAsia" w:ascii="宋体" w:hAnsi="宋体" w:eastAsia="宋体" w:cs="宋体"/>
          <w:sz w:val="24"/>
          <w:szCs w:val="24"/>
          <w:highlight w:val="none"/>
          <w:lang w:val="en-US" w:eastAsia="zh-CN"/>
        </w:rPr>
        <w:t>具有</w:t>
      </w:r>
      <w:r>
        <w:rPr>
          <w:rFonts w:hint="eastAsia" w:ascii="宋体" w:hAnsi="宋体" w:eastAsia="宋体" w:cs="宋体"/>
          <w:sz w:val="24"/>
          <w:szCs w:val="24"/>
          <w:highlight w:val="none"/>
        </w:rPr>
        <w:t>平板触控</w:t>
      </w:r>
      <w:r>
        <w:rPr>
          <w:rFonts w:hint="eastAsia" w:ascii="宋体" w:hAnsi="宋体" w:eastAsia="宋体" w:cs="宋体"/>
          <w:sz w:val="24"/>
          <w:szCs w:val="24"/>
          <w:highlight w:val="none"/>
          <w:lang w:val="en-US" w:eastAsia="zh-CN"/>
        </w:rPr>
        <w:t>显示</w:t>
      </w:r>
      <w:r>
        <w:rPr>
          <w:rFonts w:hint="eastAsia" w:ascii="宋体" w:hAnsi="宋体" w:eastAsia="宋体" w:cs="宋体"/>
          <w:sz w:val="24"/>
          <w:szCs w:val="24"/>
          <w:highlight w:val="none"/>
        </w:rPr>
        <w:t>屏，分辨率≥2560x1440</w:t>
      </w:r>
      <w:r>
        <w:rPr>
          <w:rFonts w:hint="eastAsia" w:ascii="宋体" w:hAnsi="宋体" w:eastAsia="宋体" w:cs="宋体"/>
          <w:sz w:val="24"/>
          <w:szCs w:val="24"/>
          <w:highlight w:val="none"/>
          <w:lang w:eastAsia="zh-CN"/>
        </w:rPr>
        <w:t>。</w:t>
      </w:r>
    </w:p>
    <w:p w14:paraId="5FC9F9B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经食道探头全自动消洗机和经食道超声探头存储柜</w:t>
      </w:r>
    </w:p>
    <w:p w14:paraId="627E243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5.2.1用于消洗经食道超声探头，盖板具有防水开槽。</w:t>
      </w:r>
    </w:p>
    <w:p w14:paraId="1C40556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5.2.2消洗方式：高压水喷淋。</w:t>
      </w:r>
    </w:p>
    <w:p w14:paraId="6B19412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5.2.3消毒方式：内置酸性氧化电位水生成器。</w:t>
      </w:r>
    </w:p>
    <w:p w14:paraId="42E6901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5.2.4酸化水PH值：2~3，ORP值：≥ 1100mV。</w:t>
      </w:r>
    </w:p>
    <w:p w14:paraId="2232073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5.2.5有效氯含量：60±10mg/L。</w:t>
      </w:r>
    </w:p>
    <w:p w14:paraId="744C7CE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5.3配备超声专用检查床2张、超声专用检查椅4把。</w:t>
      </w:r>
    </w:p>
    <w:p w14:paraId="3561CB7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5.4报告录入电脑</w:t>
      </w:r>
      <w:r>
        <w:rPr>
          <w:rFonts w:hint="eastAsia" w:ascii="宋体" w:hAnsi="宋体" w:eastAsia="宋体" w:cs="宋体"/>
          <w:color w:val="auto"/>
          <w:sz w:val="24"/>
          <w:szCs w:val="24"/>
          <w:highlight w:val="none"/>
        </w:rPr>
        <w:t>2套</w:t>
      </w:r>
      <w:r>
        <w:rPr>
          <w:rFonts w:hint="eastAsia" w:ascii="宋体" w:hAnsi="宋体" w:eastAsia="宋体" w:cs="宋体"/>
          <w:sz w:val="24"/>
          <w:szCs w:val="24"/>
          <w:highlight w:val="none"/>
        </w:rPr>
        <w:t>（i7及以上、内存≥64G、硬盘≥2T、显示器≥23英寸、具备蓝牙及WIFI功能）及电脑桌椅</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套。外置喷墨彩色打印机2套</w:t>
      </w:r>
    </w:p>
    <w:p w14:paraId="158C2EF1">
      <w:pPr>
        <w:pageBreakBefore/>
        <w:widowControl w:val="0"/>
        <w:kinsoku/>
        <w:spacing w:line="360" w:lineRule="auto"/>
        <w:jc w:val="center"/>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超高端便携彩色多普勒超声诊断仪技术参数</w:t>
      </w:r>
    </w:p>
    <w:p w14:paraId="3532BE8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一、设备名称  超高端便携彩色多普勒超声诊断仪</w:t>
      </w:r>
    </w:p>
    <w:p w14:paraId="7F8A1AF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二、数量  1套</w:t>
      </w:r>
    </w:p>
    <w:p w14:paraId="6D53EC9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三、设备用途及说明</w:t>
      </w:r>
    </w:p>
    <w:p w14:paraId="615674F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3.1用途：以成人、小儿、新生儿心脏超声诊断和相关科研为主，支持经食管容积探头，覆盖外周血管、腹部、妇产科、泌尿系统、浅表小器官、术中超声等全身检查需求。</w:t>
      </w:r>
    </w:p>
    <w:p w14:paraId="7B9C29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3.2产品应为满足需求的最高端机型和最新软件版本。</w:t>
      </w:r>
    </w:p>
    <w:p w14:paraId="75E9D3A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四、主要技术规格及系统概述：</w:t>
      </w:r>
      <w:r>
        <w:rPr>
          <w:rFonts w:hint="eastAsia" w:ascii="宋体" w:hAnsi="宋体" w:eastAsia="宋体" w:cs="宋体"/>
          <w:color w:val="auto"/>
          <w:sz w:val="24"/>
          <w:szCs w:val="24"/>
          <w:highlight w:val="none"/>
        </w:rPr>
        <w:br w:type="textWrapping"/>
      </w:r>
      <w:r>
        <w:rPr>
          <w:rFonts w:hint="eastAsia" w:ascii="宋体" w:hAnsi="宋体" w:eastAsia="宋体" w:cs="宋体"/>
          <w:sz w:val="24"/>
          <w:szCs w:val="24"/>
          <w:highlight w:val="none"/>
        </w:rPr>
        <w:t>4.1主机系统性能概括</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4.1.1 高分辨率液晶显示器≥15 英寸, 分辨率≥1920×1080。</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4.1.2 具备液晶触摸屏≥10 英寸,可通过手指滑动触摸屏进行翻页且俯仰调节角度。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4.1.3 具备“自定义”功能的触控板。</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4.1.4 数字高集成宽频声学波束成形器。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▲4.1.5 TGC≥8 段，可触摸屏及控制面板调节 ，LGC≥8 段，可触摸屏调节。</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4.1.6 最大显示成像模式，一键全屏显示高清图像。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4.2.系统成像技术</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4.2.1 二维灰阶成像单元。</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4.2.1.1 空间复合成像技术，实时声束偏转技术。</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4.2.1.2 高清斑点噪声抑制、全数字波束形成技术，并行多倍信号处理，扫查方向全程连续聚焦，实时空间复合成像。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4.2.1.3 实时自动持续优化。</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4.2.1.4 高帧频实时解剖 M 型，360°范围内可平移可旋转。</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4.2.1.5 显示器触摸屏双屏同步实时显示超声图像，支持二维及彩色血流图像。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4.2.1.6 高分辨率放大。</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4.2.1.7 支持扩展成像。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4.2.2 频谱多普勒显示及分析系统。</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4.2.2.1 智能多普勒技术自动调节声束角度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4.2.2.2 实时自动多普勒分析。</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4.2.2.3 智能优化技术自动优化 Doppler 频谱。</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4.2.3 彩色血流成像单元。</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4.2.3.1 超宽频带血流技术。</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4.2.3.2 自适应彩色多普勒技术。</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4.2.3.3 智能优化技术自动优化彩色血流，单键自动调整取样框角度、位置。</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4.2.3.4彩色多普勒增强显示：组织多普勒成像；微细血流及超低速血流成像，支持造影模式，可显示细微血管造影剂灌注。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4.2.3.5 实时双幅对比成像。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4.2.3.6 实时彩色血流 M 型。</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4.2.3.7 彩色能量成像。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4.2.4 组织多普勒成像。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4.2.5 二次谐波成像（自然组织谐波成像）。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4.3.先进成像功能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▲4.3.1 穿刺引导功能：支持穿刺引导功能；凸阵探头穿刺引导角度≥3 个；线阵探头穿刺引导角度≥3个。</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4.3.2 具备超声造影功能。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4.3.3 具备造影分析曲线功能。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4.3.4 具备弹性成像功能。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4.3.5 具备超微血流功能。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4.3.6 具备穿刺针增强技术。</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4.4.测量和分析 (B 型、M 型、频谱多普勒、彩色多普勒、容积模式)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4.4.1 一般测量:距离(直线/曲线)、面积、周长(连续描记/点描记) 、角度、体积等。</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4.4.2 多普勒血流测量及分析(含自动多普勒频谱包络计算)。</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4.4.3 产科测量: 包括全面的产科径线测量、NT 测量、单/多胎儿孕龄及生长曲线、羊水指数、胎儿心脏功能测量等。</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4.4.4腹部及妇产四维分析软件，可对容积数据进行切割、旋转等操作。</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4.4.5 血管测量与分析软件：血管前、后壁内中膜自动测量等。</w:t>
      </w:r>
    </w:p>
    <w:p w14:paraId="4914548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4.4.6 心脏功能测量与分析。</w:t>
      </w:r>
    </w:p>
    <w:p w14:paraId="7C792D4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4.4.6 自动、实时 Doppler 频谱波形分析，实时和冻结状态下都可以进行分析。</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4.4.7 具备多种 AI 自动测量包。</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4.4.7.1 自动二维心功能定量。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4.4.7.2 自动组织瓣环位移功能可自动对房室瓣环运动进行可视化定量分析。</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4.4.7.3 全自动识别左心室切面并追踪，快速获得左心室整体应变值、左心室长径值、左心室 18 节段应变牛眼图和达峰时间牛眼图。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4.5.图像存储与（电影）回放重显单元</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4.6.参考信号：心电图和生理信号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4.7.DICOM 3.0 版接口部件，包括有线和无线传输，打印，检索和通用格式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4.8.记录装置：</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4.8.1 硬盘存储≥500GB</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4.8.2 支持 USB 接口闪存</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五、技术参数及要求</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5.1.系统通用功能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5.1.1 监视器：≥15</w:t>
      </w:r>
      <w:r>
        <w:rPr>
          <w:rFonts w:hint="eastAsia" w:ascii="宋体" w:hAnsi="宋体" w:eastAsia="宋体" w:cs="宋体"/>
          <w:sz w:val="24"/>
          <w:szCs w:val="24"/>
          <w:highlight w:val="none"/>
          <w:lang w:val="en-US" w:eastAsia="zh-CN"/>
        </w:rPr>
        <w:t>英寸</w:t>
      </w:r>
      <w:r>
        <w:rPr>
          <w:rFonts w:hint="eastAsia" w:ascii="宋体" w:hAnsi="宋体" w:eastAsia="宋体" w:cs="宋体"/>
          <w:sz w:val="24"/>
          <w:szCs w:val="24"/>
          <w:highlight w:val="none"/>
        </w:rPr>
        <w:t>高分辨率彩色超薄液晶监视器，亮度可调。</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5.1.2 触摸屏：≥10</w:t>
      </w:r>
      <w:r>
        <w:rPr>
          <w:rFonts w:hint="eastAsia" w:ascii="宋体" w:hAnsi="宋体" w:eastAsia="宋体" w:cs="宋体"/>
          <w:sz w:val="24"/>
          <w:szCs w:val="24"/>
          <w:highlight w:val="none"/>
          <w:lang w:val="en-US" w:eastAsia="zh-CN"/>
        </w:rPr>
        <w:t>英寸</w:t>
      </w:r>
      <w:r>
        <w:rPr>
          <w:rFonts w:hint="eastAsia" w:ascii="宋体" w:hAnsi="宋体" w:eastAsia="宋体" w:cs="宋体"/>
          <w:sz w:val="24"/>
          <w:szCs w:val="24"/>
          <w:highlight w:val="none"/>
        </w:rPr>
        <w:t>触摸屏，且可调节俯仰角度≥30°</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5.2. 探头：宽频带多点变频探头，中心频率在屏幕上可视可调，支持相控阵、凸阵、线阵、经食道容积探头。</w:t>
      </w:r>
    </w:p>
    <w:p w14:paraId="7787DA4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5.2.1 成人心脏探头：单晶体 频率范围 1.0~5.0MHz，成像角度≥1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0°（提供证明）。</w:t>
      </w:r>
    </w:p>
    <w:p w14:paraId="1D14C84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5.2.2儿童心脏探头：单晶体 频率范围 4.0~8.0MHz。</w:t>
      </w:r>
    </w:p>
    <w:p w14:paraId="4DAC94E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5.2.3腹部凸阵探头：单晶体 频率范围1~5MHz。</w:t>
      </w:r>
    </w:p>
    <w:p w14:paraId="6170B96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5.2.4线阵高频探头：单晶体 频率范围4~15MHz。</w:t>
      </w:r>
    </w:p>
    <w:p w14:paraId="1C1D135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5.2.5腔内探头：单晶体 频率范围5.0~9.0Hz，成像角度≥90°，支持弹性成像。</w:t>
      </w:r>
    </w:p>
    <w:p w14:paraId="4BC668F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5.3.二维成像主要参数：</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5.3.1 扫描速率：相控阵，全视野，17cm 深度时，帧速率≥60 帧/s</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5.3.2 增益调节：B/D 可独立调节，TGC 分段≥8，LGC分段≥8</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5.4.频谱多普勒</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5.4.1 方式：脉冲波多普勒 PW，连续波多普勒 CW，HPRF 高脉冲重复频率多普勒。</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5.4.2 多普勒探头与频率：电子扇形 PW，CW。</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5.4.3 显示方式：B/D，M/D，D。</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5.4.4 取样宽度及位置范围：宽度 0.5-20mm; 分级可调。</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5.4.5 显示控制：反转显示(左/右，上/下)，零移位，局部放大及移位。</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5.5.彩色多普勒</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5.5.1 显示方式：具备速度方差显示、速度显示、方差显示、能量图模式、二维图像/频谱多普勒/彩色血流成像三同步模式。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5.5.2 实时双副对比显像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5.5.3 彩色显示帧数：相控阵，85 °，17cm 深度，帧频≥12 帧/s</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5.5.4 组织多普勒帧频：75 °，17cm 深度，帧频≥100 帧/s</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5.5.5 显示位置调整：感兴趣的图像范围：-20°- +20°</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5.5.6 双同步和三同步模式下独立声束偏转技术</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5.6.超声功率输出调节：B/M，PW，CDFI，输出功率选择≥8 级可调</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▲5.7.</w:t>
      </w:r>
      <w:r>
        <w:rPr>
          <w:rFonts w:hint="eastAsia" w:ascii="宋体" w:hAnsi="宋体" w:eastAsia="宋体" w:cs="宋体"/>
          <w:sz w:val="24"/>
          <w:szCs w:val="24"/>
          <w:highlight w:val="none"/>
          <w:lang w:val="en-US" w:eastAsia="zh-CN"/>
        </w:rPr>
        <w:t>台车：配</w:t>
      </w:r>
      <w:r>
        <w:rPr>
          <w:rFonts w:hint="eastAsia" w:ascii="宋体" w:hAnsi="宋体" w:eastAsia="宋体" w:cs="宋体"/>
          <w:sz w:val="24"/>
          <w:szCs w:val="24"/>
          <w:highlight w:val="none"/>
        </w:rPr>
        <w:t>专用三探头</w:t>
      </w:r>
      <w:r>
        <w:rPr>
          <w:rFonts w:hint="eastAsia" w:ascii="宋体" w:hAnsi="宋体" w:eastAsia="宋体" w:cs="宋体"/>
          <w:sz w:val="24"/>
          <w:szCs w:val="24"/>
          <w:highlight w:val="none"/>
          <w:lang w:val="en-US" w:eastAsia="zh-CN"/>
        </w:rPr>
        <w:t>扩展</w:t>
      </w:r>
      <w:r>
        <w:rPr>
          <w:rFonts w:hint="eastAsia" w:ascii="宋体" w:hAnsi="宋体" w:eastAsia="宋体" w:cs="宋体"/>
          <w:sz w:val="24"/>
          <w:szCs w:val="24"/>
          <w:highlight w:val="none"/>
        </w:rPr>
        <w:t>接口，高度可调，可旋转锁定；所有接口均可连接经食管探头。</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5.8.主机及台车均提供续航电池。</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5.9.相控阵、凸阵、线阵及腔内探头配备可复消穿刺架及附件、自动活检枪1套。</w:t>
      </w:r>
    </w:p>
    <w:p w14:paraId="314E03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要求</w:t>
      </w:r>
    </w:p>
    <w:p w14:paraId="09BB83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6.1配备超声专用检查床1张、超声专用检查椅2把。</w:t>
      </w:r>
    </w:p>
    <w:p w14:paraId="6209CB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6.2报告录入电脑1</w:t>
      </w:r>
      <w:r>
        <w:rPr>
          <w:rFonts w:hint="eastAsia" w:ascii="宋体" w:hAnsi="宋体" w:eastAsia="宋体" w:cs="宋体"/>
          <w:color w:val="auto"/>
          <w:sz w:val="24"/>
          <w:szCs w:val="24"/>
          <w:highlight w:val="none"/>
          <w:lang w:val="en-US" w:eastAsia="zh-CN"/>
        </w:rPr>
        <w:t>套</w:t>
      </w:r>
      <w:r>
        <w:rPr>
          <w:rFonts w:hint="eastAsia" w:ascii="宋体" w:hAnsi="宋体" w:eastAsia="宋体" w:cs="宋体"/>
          <w:color w:val="auto"/>
          <w:sz w:val="24"/>
          <w:szCs w:val="24"/>
          <w:highlight w:val="none"/>
        </w:rPr>
        <w:t>（i7及以上、内存≥64G、硬盘≥2T、显示器≥23英寸、具备蓝牙及WIFI功能）及电脑桌椅1套。外置喷墨彩色打印机1套。</w:t>
      </w:r>
    </w:p>
    <w:p w14:paraId="53A644EA">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注：本合同包核心产品为超高端心血管彩色多普勒超声诊断仪</w:t>
      </w:r>
    </w:p>
    <w:p w14:paraId="2E6432E4">
      <w:pPr>
        <w:spacing w:line="360" w:lineRule="auto"/>
        <w:ind w:firstLine="480" w:firstLineChars="200"/>
        <w:rPr>
          <w:rFonts w:hint="eastAsia" w:ascii="宋体" w:hAnsi="宋体" w:eastAsia="宋体" w:cs="宋体"/>
          <w:color w:val="auto"/>
          <w:sz w:val="24"/>
          <w:szCs w:val="24"/>
          <w:highlight w:val="none"/>
        </w:rPr>
      </w:pPr>
    </w:p>
    <w:p w14:paraId="273ADEAD">
      <w:pPr>
        <w:rPr>
          <w:color w:val="EE0000"/>
          <w:highlight w:val="none"/>
        </w:rPr>
      </w:pPr>
    </w:p>
    <w:p w14:paraId="24A26A38">
      <w:pPr>
        <w:pageBreakBefore/>
        <w:widowControl w:val="0"/>
        <w:kinsoku/>
        <w:spacing w:line="360" w:lineRule="auto"/>
        <w:jc w:val="center"/>
        <w:outlineLvl w:val="1"/>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合同包2(超高端彩色多普勒超声诊断仪(偏肌骨))</w:t>
      </w:r>
    </w:p>
    <w:p w14:paraId="7D3F2E97">
      <w:pPr>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8"/>
          <w:szCs w:val="28"/>
          <w:highlight w:val="none"/>
        </w:rPr>
        <w:t>超高端彩色多普勒超声诊断仪技术参数</w:t>
      </w:r>
    </w:p>
    <w:p w14:paraId="410E1F2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一、设备名称  超高端彩色多普勒超声诊断仪</w:t>
      </w:r>
    </w:p>
    <w:p w14:paraId="55CF064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二、数量   2套</w:t>
      </w:r>
    </w:p>
    <w:p w14:paraId="023067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三、设备用途及说明</w:t>
      </w:r>
    </w:p>
    <w:p w14:paraId="1608EC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3.1用途：</w:t>
      </w:r>
      <w:r>
        <w:rPr>
          <w:rFonts w:hint="eastAsia" w:ascii="宋体" w:hAnsi="宋体" w:eastAsia="宋体" w:cs="宋体"/>
          <w:sz w:val="24"/>
          <w:szCs w:val="24"/>
          <w:highlight w:val="none"/>
          <w:lang w:bidi="ar"/>
        </w:rPr>
        <w:t>主要用于腹部、</w:t>
      </w:r>
      <w:r>
        <w:rPr>
          <w:rFonts w:hint="eastAsia" w:ascii="宋体" w:hAnsi="宋体" w:eastAsia="宋体" w:cs="宋体"/>
          <w:sz w:val="24"/>
          <w:szCs w:val="24"/>
          <w:highlight w:val="none"/>
        </w:rPr>
        <w:t>心脏、血管（外周、颅脑、腹部）、浅表小器官、儿科、泌尿、肌骨神经、介入、妇产科等方面的临床诊断及科研工作。</w:t>
      </w:r>
    </w:p>
    <w:p w14:paraId="6F6D282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 投标产品为各厂家满足全身超声检查应用的最高型号最新版本机型。</w:t>
      </w:r>
    </w:p>
    <w:p w14:paraId="49A9651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四、系统配置及技术要求</w:t>
      </w:r>
    </w:p>
    <w:p w14:paraId="0296E00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4.1主机系统</w:t>
      </w:r>
    </w:p>
    <w:p w14:paraId="711CE50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4.1.1 ≥23英寸医用高分辨率液晶显示器，分辨率</w:t>
      </w:r>
      <w:r>
        <w:rPr>
          <w:rFonts w:hint="eastAsia" w:ascii="宋体" w:hAnsi="宋体" w:eastAsia="宋体" w:cs="宋体"/>
          <w:sz w:val="24"/>
          <w:szCs w:val="24"/>
          <w:highlight w:val="none"/>
          <w:lang w:bidi="ar"/>
        </w:rPr>
        <w:t>≥</w:t>
      </w:r>
      <w:r>
        <w:rPr>
          <w:rFonts w:hint="eastAsia" w:ascii="宋体" w:hAnsi="宋体" w:eastAsia="宋体" w:cs="宋体"/>
          <w:sz w:val="24"/>
          <w:szCs w:val="24"/>
          <w:highlight w:val="none"/>
        </w:rPr>
        <w:t>1920 × 1080，支撑臂多方向调节。</w:t>
      </w:r>
    </w:p>
    <w:p w14:paraId="7C8BF74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4.1.2操作面板具备≥12英寸彩色液晶触摸屏，可旋转及升降调节。</w:t>
      </w:r>
    </w:p>
    <w:p w14:paraId="2099F0D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4.1.3组织谐波成像，多倍并行信号处理，实时空间复合成像，各深度全程连续聚焦。</w:t>
      </w:r>
    </w:p>
    <w:p w14:paraId="4CB9AC7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4.1.4 激活探头接口≥4个。</w:t>
      </w:r>
    </w:p>
    <w:p w14:paraId="0A1B3AB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 探头（为2套配置）：宽频带多点变频探头，中心频率在屏幕上可视可调，相控阵、凸阵，线阵及腔内探头。</w:t>
      </w:r>
    </w:p>
    <w:p w14:paraId="51A72E67">
      <w:pPr>
        <w:tabs>
          <w:tab w:val="left" w:pos="709"/>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4.1.5.1成人心脏探头x2：单晶体 频率2.0~5.0MHz 最大成像角度≥110°。</w:t>
      </w:r>
    </w:p>
    <w:p w14:paraId="15AC15A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4.1.5.2腹部凸阵探头x2：单晶体 频率范围2.0~6.0MHz。</w:t>
      </w:r>
    </w:p>
    <w:p w14:paraId="05C7D1FC">
      <w:pPr>
        <w:spacing w:line="360" w:lineRule="auto"/>
        <w:ind w:left="10" w:leftChars="5"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4.1.5.3线阵高频探头x2：频率范围4.0~18MHz。</w:t>
      </w:r>
    </w:p>
    <w:p w14:paraId="5DCF5F00">
      <w:pPr>
        <w:spacing w:line="360" w:lineRule="auto"/>
        <w:ind w:firstLine="480" w:firstLineChars="200"/>
        <w:rPr>
          <w:rFonts w:hint="eastAsia" w:ascii="宋体" w:hAnsi="宋体" w:eastAsia="宋体" w:cs="宋体"/>
          <w:sz w:val="24"/>
          <w:szCs w:val="24"/>
          <w:highlight w:val="none"/>
        </w:rPr>
      </w:pPr>
      <w:r>
        <w:rPr>
          <w:rFonts w:eastAsia="宋体"/>
          <w:sz w:val="24"/>
          <w:szCs w:val="24"/>
          <w:highlight w:val="none"/>
        </w:rPr>
        <w:t>▲</w:t>
      </w:r>
      <w:r>
        <w:rPr>
          <w:rFonts w:hint="eastAsia" w:ascii="宋体" w:hAnsi="宋体" w:eastAsia="宋体" w:cs="宋体"/>
          <w:sz w:val="24"/>
          <w:szCs w:val="24"/>
          <w:highlight w:val="none"/>
        </w:rPr>
        <w:t>4.1.5.4线阵超高频探头x2：频率范围10.0~22MHz。</w:t>
      </w:r>
    </w:p>
    <w:p w14:paraId="777C748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4.1.5.5小口径线阵超高频探头x1：频率范围8.0~18MHz。</w:t>
      </w:r>
    </w:p>
    <w:p w14:paraId="7C8ECCE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4.1.5.6腔内探头x2：频率范围4.0~10.0MHz。</w:t>
      </w:r>
    </w:p>
    <w:p w14:paraId="0D57E24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4.1.5.7线阵高频血管探头x2：频率范围3.0~10.0MHz。</w:t>
      </w:r>
    </w:p>
    <w:p w14:paraId="7F90C3B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4.1.6医学数字图像和通信DICOM3.0版接口部件。</w:t>
      </w:r>
    </w:p>
    <w:p w14:paraId="6FB0277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4.1.6.1内置超声图像存储与病案管理软件，具备多种存储方式，可将静态及动态图像存储为（BMP/ JPEG/MPEG-4/DICOM等）多种文件格式，主机具备≥2个USB接口。</w:t>
      </w:r>
    </w:p>
    <w:p w14:paraId="53E76CE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4.1.6.2原始数据存储，可对回放图像进行参数调节及测量。</w:t>
      </w:r>
    </w:p>
    <w:p w14:paraId="704AB8C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4.1.7硬盘容量≥1TB</w:t>
      </w:r>
    </w:p>
    <w:p w14:paraId="7DA0A89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4.1.8主机具备耦合剂加热装置。</w:t>
      </w:r>
    </w:p>
    <w:p w14:paraId="1770056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 成像单元</w:t>
      </w:r>
    </w:p>
    <w:p w14:paraId="3F8C90A5">
      <w:pPr>
        <w:spacing w:line="360" w:lineRule="auto"/>
        <w:ind w:firstLine="480" w:firstLineChars="200"/>
        <w:rPr>
          <w:rFonts w:hint="eastAsia" w:ascii="宋体" w:hAnsi="宋体" w:eastAsia="宋体" w:cs="宋体"/>
          <w:sz w:val="24"/>
          <w:szCs w:val="24"/>
          <w:highlight w:val="none"/>
        </w:rPr>
      </w:pPr>
      <w:bookmarkStart w:id="20" w:name="_Hlk173246473"/>
      <w:r>
        <w:rPr>
          <w:rFonts w:hint="eastAsia" w:ascii="宋体" w:hAnsi="宋体" w:eastAsia="宋体" w:cs="宋体"/>
          <w:sz w:val="24"/>
          <w:szCs w:val="24"/>
          <w:highlight w:val="none"/>
        </w:rPr>
        <w:t>4.2.1二维灰阶成像</w:t>
      </w:r>
    </w:p>
    <w:p w14:paraId="0E95DB5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4.2.1.1组织谐波成像，包括多种不同谐波成像方式，同时显示谐波频率和基波频率，可视可调。</w:t>
      </w:r>
    </w:p>
    <w:p w14:paraId="260B6FF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4.2.1.2成像每帧最大线密度≥512超声线（线阵探头）。</w:t>
      </w:r>
    </w:p>
    <w:p w14:paraId="1FD24F4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4.2.1.3 A/D≥14bit，系统动态范围≥300dB。</w:t>
      </w:r>
    </w:p>
    <w:p w14:paraId="6237879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4.2.1.4 二维成像扫描深度≥50cm（凸阵探头）。</w:t>
      </w:r>
    </w:p>
    <w:p w14:paraId="0759AC4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4.2.1.5图像一键自动优化技术，可应用在二维、多普勒及造影谐波成像等多种模式。</w:t>
      </w:r>
    </w:p>
    <w:p w14:paraId="16332CB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4.2.1.6宽景成像及梯形扩展成像。</w:t>
      </w:r>
    </w:p>
    <w:p w14:paraId="4447F55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4.2.1.7 穿刺针增强显示技术。</w:t>
      </w:r>
    </w:p>
    <w:p w14:paraId="179B408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▲4.2.1.8具备实体器官的声衰减信号测量分析功能，对衰减系数彩色编码显示，用于不同组织硬度的无创量化评估。（提供证明）</w:t>
      </w:r>
      <w:bookmarkEnd w:id="20"/>
    </w:p>
    <w:p w14:paraId="3A06560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  彩色多普勒：具备速度方差显示、速度显示、方差显示、能量图模式、二维彩色模式、二维图像/频谱多普勒/彩色血流成像三同步模式。</w:t>
      </w:r>
    </w:p>
    <w:p w14:paraId="20200B9D">
      <w:pPr>
        <w:spacing w:line="360" w:lineRule="auto"/>
        <w:ind w:firstLine="480" w:firstLineChars="200"/>
        <w:rPr>
          <w:rFonts w:hint="eastAsia" w:ascii="宋体" w:hAnsi="宋体" w:eastAsia="宋体" w:cs="宋体"/>
          <w:sz w:val="24"/>
          <w:szCs w:val="24"/>
          <w:highlight w:val="none"/>
        </w:rPr>
      </w:pPr>
      <w:bookmarkStart w:id="21" w:name="_Hlk173246599"/>
      <w:r>
        <w:rPr>
          <w:rFonts w:hint="eastAsia" w:ascii="宋体" w:hAnsi="宋体" w:eastAsia="宋体" w:cs="宋体"/>
          <w:sz w:val="24"/>
          <w:szCs w:val="24"/>
          <w:highlight w:val="none"/>
        </w:rPr>
        <w:t>4.2.2.1彩色显示帧数: 全视野, 18cm深,帧频≥19帧/s。</w:t>
      </w:r>
    </w:p>
    <w:p w14:paraId="086A462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4.2.2.2组织多普勒帧频：全视野，18cm深，帧频≥100帧/s。</w:t>
      </w:r>
    </w:p>
    <w:p w14:paraId="7012F26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4.2.2.3彩色显示速度：最低平均血流测量速度≤3mm/s。</w:t>
      </w:r>
    </w:p>
    <w:p w14:paraId="21EA534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彩色分辨率：最小血管空间分辨率≤0.5mm。</w:t>
      </w:r>
    </w:p>
    <w:bookmarkEnd w:id="21"/>
    <w:p w14:paraId="3588A59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4.2.2.4 彩色多普勒增强显示：组织多普勒成像（相控阵、凸阵），方向性能量图，微细血管及超低速血流显示。</w:t>
      </w:r>
    </w:p>
    <w:p w14:paraId="5644E4BF">
      <w:pPr>
        <w:spacing w:line="360" w:lineRule="auto"/>
        <w:ind w:firstLine="480" w:firstLineChars="200"/>
        <w:rPr>
          <w:rFonts w:hint="eastAsia" w:ascii="宋体" w:hAnsi="宋体" w:eastAsia="宋体" w:cs="宋体"/>
          <w:sz w:val="24"/>
          <w:szCs w:val="24"/>
          <w:highlight w:val="none"/>
        </w:rPr>
      </w:pPr>
      <w:r>
        <w:rPr>
          <w:rFonts w:eastAsia="宋体"/>
          <w:sz w:val="24"/>
          <w:szCs w:val="24"/>
          <w:highlight w:val="none"/>
        </w:rPr>
        <w:t>▲</w:t>
      </w:r>
      <w:r>
        <w:rPr>
          <w:rFonts w:hint="eastAsia" w:ascii="宋体" w:hAnsi="宋体" w:eastAsia="宋体" w:cs="宋体"/>
          <w:sz w:val="24"/>
          <w:szCs w:val="24"/>
          <w:highlight w:val="none"/>
        </w:rPr>
        <w:t>4.2.2.4.1微细血管及超低速血流显示：</w:t>
      </w:r>
      <w:bookmarkStart w:id="22" w:name="_Hlk171868830"/>
      <w:r>
        <w:rPr>
          <w:rFonts w:hint="eastAsia" w:ascii="宋体" w:hAnsi="宋体" w:eastAsia="宋体" w:cs="宋体"/>
          <w:sz w:val="24"/>
          <w:szCs w:val="24"/>
          <w:highlight w:val="none"/>
        </w:rPr>
        <w:t>支持凸阵、线阵探头，可显示细小血管及超低速血流信号，低速血流显示≤0.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cm/s，成像帧频≥50帧/s，支持频谱多普勒测量及三同步成像，具备血流参数定量分析功能。</w:t>
      </w:r>
      <w:bookmarkEnd w:id="22"/>
    </w:p>
    <w:p w14:paraId="2C08664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4.2.2.4.2超低速血流定量分析：分析超低速血流信号分布密度，计算在目标区域内的像素、面积及像素比。</w:t>
      </w:r>
    </w:p>
    <w:p w14:paraId="5947908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4.2.2.5具备超低速血流三维立体显像</w:t>
      </w:r>
      <w:r>
        <w:rPr>
          <w:rFonts w:hint="eastAsia" w:ascii="宋体" w:hAnsi="宋体" w:eastAsia="宋体" w:cs="宋体"/>
          <w:sz w:val="24"/>
          <w:szCs w:val="24"/>
          <w:highlight w:val="none"/>
          <w:lang w:val="en-US" w:eastAsia="zh-CN"/>
        </w:rPr>
        <w:t>功能</w:t>
      </w:r>
      <w:r>
        <w:rPr>
          <w:rFonts w:hint="eastAsia" w:ascii="宋体" w:hAnsi="宋体" w:eastAsia="宋体" w:cs="宋体"/>
          <w:sz w:val="24"/>
          <w:szCs w:val="24"/>
          <w:highlight w:val="none"/>
        </w:rPr>
        <w:t>。</w:t>
      </w:r>
    </w:p>
    <w:p w14:paraId="298128E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w:t>
      </w:r>
      <w:bookmarkStart w:id="23" w:name="_Hlk173246831"/>
      <w:r>
        <w:rPr>
          <w:rFonts w:hint="eastAsia" w:ascii="宋体" w:hAnsi="宋体" w:eastAsia="宋体" w:cs="宋体"/>
          <w:sz w:val="24"/>
          <w:szCs w:val="24"/>
          <w:highlight w:val="none"/>
        </w:rPr>
        <w:t>6组织多普勒成像，具备彩色、能量、频谱等多种模式。</w:t>
      </w:r>
    </w:p>
    <w:bookmarkEnd w:id="23"/>
    <w:p w14:paraId="5B0AB17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4.2.2.7冠脉血流成像模式。</w:t>
      </w:r>
    </w:p>
    <w:p w14:paraId="4446AE4B">
      <w:pPr>
        <w:spacing w:line="360" w:lineRule="auto"/>
        <w:ind w:firstLine="480" w:firstLineChars="200"/>
        <w:rPr>
          <w:rFonts w:hint="eastAsia" w:ascii="宋体" w:hAnsi="宋体" w:eastAsia="宋体" w:cs="宋体"/>
          <w:b/>
          <w:bCs/>
          <w:sz w:val="24"/>
          <w:szCs w:val="24"/>
          <w:highlight w:val="none"/>
        </w:rPr>
      </w:pPr>
      <w:bookmarkStart w:id="24" w:name="_Hlk173246889"/>
      <w:r>
        <w:rPr>
          <w:rFonts w:hint="eastAsia" w:ascii="宋体" w:hAnsi="宋体" w:eastAsia="宋体" w:cs="宋体"/>
          <w:sz w:val="24"/>
          <w:szCs w:val="24"/>
          <w:highlight w:val="none"/>
        </w:rPr>
        <w:t>4.2.3频谱多普勒</w:t>
      </w:r>
    </w:p>
    <w:p w14:paraId="6699567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4.2.3.1方式：脉冲波多普勒（PW）、连续波多普勒（CW）、高脉冲重复频率（HPRF）。</w:t>
      </w:r>
    </w:p>
    <w:p w14:paraId="2396668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4.2.3.2最大测量速度：PW：血流速度≥17m/s ， CW：血流速度≥21m/s 。</w:t>
      </w:r>
    </w:p>
    <w:p w14:paraId="5BE7057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4.2.3.3最低测量速度：≤ 0.1mm/s （非噪声信号）。 </w:t>
      </w:r>
    </w:p>
    <w:p w14:paraId="48CA166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4.2.3.4取样宽度多级可调，可调范围0.5mm~20mm。</w:t>
      </w:r>
    </w:p>
    <w:p w14:paraId="0BC940C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4.2.3.5 多普勒优化功能，可根据多普勒取样位置自动聚焦，多普勒标尺及基线可自动调节。</w:t>
      </w:r>
    </w:p>
    <w:p w14:paraId="42C725A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4.2.3.6实时多普勒频谱自动包络测量：PSV， DEV， TAP， RI， PI， S/D等值。</w:t>
      </w:r>
    </w:p>
    <w:p w14:paraId="6CFD42B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4.2.3.7实时三同步功能，支持凸阵、线阵、相控阵探头。</w:t>
      </w:r>
    </w:p>
    <w:p w14:paraId="4AF4B99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4.2.3.8超声功率输出调节：B/M、PWD、CWD、彩色多普勒输出功率可调。</w:t>
      </w:r>
    </w:p>
    <w:bookmarkEnd w:id="24"/>
    <w:p w14:paraId="29810411">
      <w:pPr>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4.2.4超声造影成像</w:t>
      </w:r>
    </w:p>
    <w:p w14:paraId="5585BFB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4.2.4.1支持左心室造影、低机械指数心肌造影、腹部脏器及血管、小器官造影，具备双幅监控模式，支持三维立体显示。</w:t>
      </w:r>
    </w:p>
    <w:p w14:paraId="0718AA8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▲4.2.4.2具备同屏四幅实时显示功能，分别显示不同模式下的造影图像。</w:t>
      </w:r>
    </w:p>
    <w:p w14:paraId="58527E6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▲4.2.4.3</w:t>
      </w:r>
      <w:bookmarkStart w:id="25" w:name="_Hlk173247152"/>
      <w:r>
        <w:rPr>
          <w:rFonts w:hint="eastAsia" w:ascii="宋体" w:hAnsi="宋体" w:eastAsia="宋体" w:cs="宋体"/>
          <w:sz w:val="24"/>
          <w:szCs w:val="24"/>
          <w:highlight w:val="none"/>
        </w:rPr>
        <w:t>彩色造影显示，彩色编码显示造影剂到达的时间顺序，同时显示造影剂灌注的微血管结构；用不同颜色编码显示较大血管及细小血管造影剂灌注状态。</w:t>
      </w:r>
      <w:bookmarkEnd w:id="25"/>
      <w:r>
        <w:rPr>
          <w:rFonts w:hint="eastAsia" w:ascii="宋体" w:hAnsi="宋体" w:eastAsia="宋体" w:cs="宋体"/>
          <w:sz w:val="24"/>
          <w:szCs w:val="24"/>
          <w:highlight w:val="none"/>
        </w:rPr>
        <w:t xml:space="preserve"> </w:t>
      </w:r>
    </w:p>
    <w:p w14:paraId="6FC7A68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4.2.4.4</w:t>
      </w:r>
      <w:bookmarkStart w:id="26" w:name="_Hlk173247306"/>
      <w:r>
        <w:rPr>
          <w:rFonts w:hint="eastAsia" w:ascii="宋体" w:hAnsi="宋体" w:eastAsia="宋体" w:cs="宋体"/>
          <w:sz w:val="24"/>
          <w:szCs w:val="24"/>
          <w:highlight w:val="none"/>
        </w:rPr>
        <w:t>超低速血流造影剂显示模式，可显示≤0.1mm细微血管网内超低速造影剂信号和微血管架构。</w:t>
      </w:r>
      <w:bookmarkEnd w:id="26"/>
    </w:p>
    <w:p w14:paraId="594B9D7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4.2.4.5具有在机及脱机造影定量分析软件，可提供时间曲线分析及TIC曲线拟合等参数。</w:t>
      </w:r>
    </w:p>
    <w:p w14:paraId="44E3FE8C">
      <w:pPr>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4.2.5弹性成像</w:t>
      </w:r>
    </w:p>
    <w:p w14:paraId="79A91C6B">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4.2.5</w:t>
      </w:r>
      <w:r>
        <w:rPr>
          <w:rFonts w:hint="eastAsia" w:ascii="宋体" w:hAnsi="宋体" w:eastAsia="宋体" w:cs="宋体"/>
          <w:bCs/>
          <w:sz w:val="24"/>
          <w:szCs w:val="24"/>
          <w:highlight w:val="none"/>
        </w:rPr>
        <w:t>.1支持凸阵、线阵和腔内探头</w:t>
      </w:r>
      <w:bookmarkStart w:id="27" w:name="_Hlk173247731"/>
      <w:r>
        <w:rPr>
          <w:rFonts w:hint="eastAsia" w:ascii="宋体" w:hAnsi="宋体" w:eastAsia="宋体" w:cs="宋体"/>
          <w:bCs/>
          <w:sz w:val="24"/>
          <w:szCs w:val="24"/>
          <w:highlight w:val="none"/>
        </w:rPr>
        <w:t>二维剪切波弹性成像，</w:t>
      </w:r>
      <w:bookmarkEnd w:id="27"/>
      <w:r>
        <w:rPr>
          <w:rFonts w:hint="eastAsia" w:ascii="宋体" w:hAnsi="宋体" w:eastAsia="宋体" w:cs="宋体"/>
          <w:bCs/>
          <w:sz w:val="24"/>
          <w:szCs w:val="24"/>
          <w:highlight w:val="none"/>
        </w:rPr>
        <w:t>具有剪切波传播到达曲线显示，可对剪切波传播速度做定性评估。</w:t>
      </w:r>
    </w:p>
    <w:p w14:paraId="67B433B9">
      <w:pPr>
        <w:pStyle w:val="8"/>
        <w:spacing w:line="360" w:lineRule="auto"/>
        <w:ind w:right="144"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4.2.5.2具有剪切波速度图(m/s)和组织的弹性图(kPa)显示模式，可定性分析。</w:t>
      </w:r>
    </w:p>
    <w:p w14:paraId="07312DFB">
      <w:pPr>
        <w:pStyle w:val="8"/>
        <w:spacing w:line="360" w:lineRule="auto"/>
        <w:ind w:right="144"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4.2.5.3 具有二维图、速度图同屏显示。</w:t>
      </w:r>
    </w:p>
    <w:p w14:paraId="04BDADA2">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4.2.5</w:t>
      </w:r>
      <w:r>
        <w:rPr>
          <w:rFonts w:hint="eastAsia" w:ascii="宋体" w:hAnsi="宋体" w:eastAsia="宋体" w:cs="宋体"/>
          <w:bCs/>
          <w:sz w:val="24"/>
          <w:szCs w:val="24"/>
          <w:highlight w:val="none"/>
        </w:rPr>
        <w:t>.4灰阶或彩阶图像显示感兴趣区组织的弹性硬度。</w:t>
      </w:r>
    </w:p>
    <w:p w14:paraId="7BBAE335">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4.2.5</w:t>
      </w:r>
      <w:r>
        <w:rPr>
          <w:rFonts w:hint="eastAsia" w:ascii="宋体" w:hAnsi="宋体" w:eastAsia="宋体" w:cs="宋体"/>
          <w:bCs/>
          <w:sz w:val="24"/>
          <w:szCs w:val="24"/>
          <w:highlight w:val="none"/>
        </w:rPr>
        <w:t>.5实时动态显示弹性应变参数，并可进行直径比、面积比、应变、应变率等测量。</w:t>
      </w:r>
    </w:p>
    <w:p w14:paraId="4BAB73C5">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4.2.5</w:t>
      </w:r>
      <w:r>
        <w:rPr>
          <w:rFonts w:hint="eastAsia" w:ascii="宋体" w:hAnsi="宋体" w:eastAsia="宋体" w:cs="宋体"/>
          <w:bCs/>
          <w:sz w:val="24"/>
          <w:szCs w:val="24"/>
          <w:highlight w:val="none"/>
        </w:rPr>
        <w:t>.6具有质量控制参数。</w:t>
      </w:r>
    </w:p>
    <w:p w14:paraId="0B852EC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4.3测量和分析</w:t>
      </w:r>
    </w:p>
    <w:p w14:paraId="0F6126F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4.3.1一般测量：直径、面积、体积、狭窄率、压差等。</w:t>
      </w:r>
    </w:p>
    <w:p w14:paraId="1D20D04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4.3.2 M型测量：常规M型，解剖M型，彩色M型</w:t>
      </w:r>
    </w:p>
    <w:p w14:paraId="0EE3525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4.3.3心脏功能测量与分析</w:t>
      </w:r>
    </w:p>
    <w:p w14:paraId="41DABAEF">
      <w:pPr>
        <w:spacing w:line="360" w:lineRule="auto"/>
        <w:ind w:left="29" w:leftChars="14"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4.3.3.1 自动识别描记左室心内膜，并计算左心功能，包括EF射血分数，整体纵向应变GLS等，支持单平面和双平面计算。</w:t>
      </w:r>
    </w:p>
    <w:p w14:paraId="7F4228CE">
      <w:pPr>
        <w:spacing w:line="360" w:lineRule="auto"/>
        <w:ind w:left="25" w:leftChars="12"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4.3.3.2在机心脏二维室壁运动追踪显像及定量分析功能，心肌运动同步性定量分析功能，具备牛眼图显示，可将分析的数据输出到一个文件中。</w:t>
      </w:r>
    </w:p>
    <w:p w14:paraId="282459B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4.3.4 妇、产科测量与分析：颈项透明层NT自动测量等。</w:t>
      </w:r>
    </w:p>
    <w:p w14:paraId="1592136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4.3.5 血管内中膜自动测量。</w:t>
      </w:r>
    </w:p>
    <w:p w14:paraId="1FFF150F">
      <w:pPr>
        <w:spacing w:line="360" w:lineRule="auto"/>
        <w:ind w:firstLine="480" w:firstLineChars="200"/>
        <w:rPr>
          <w:rFonts w:hint="eastAsia" w:ascii="宋体" w:hAnsi="宋体" w:eastAsia="宋体" w:cs="宋体"/>
          <w:color w:val="EE0000"/>
          <w:sz w:val="24"/>
          <w:szCs w:val="24"/>
          <w:highlight w:val="none"/>
        </w:rPr>
      </w:pPr>
      <w:r>
        <w:rPr>
          <w:rFonts w:hint="eastAsia" w:ascii="宋体" w:hAnsi="宋体" w:eastAsia="宋体" w:cs="宋体"/>
          <w:sz w:val="24"/>
          <w:szCs w:val="24"/>
          <w:highlight w:val="none"/>
        </w:rPr>
        <w:t>4.4在机计算分析软件（永久可用，可升级）</w:t>
      </w:r>
    </w:p>
    <w:p w14:paraId="17D7B49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4.4.1心脏基础分析软件、血管基础分析软件、 弹性成像分析软件、妇、产科分析测量软件及超声造影分析软件。</w:t>
      </w:r>
    </w:p>
    <w:p w14:paraId="4938046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4.4.2二维心肌应变及斑点追踪分析软件，包含针对胎儿心脏斑点追踪分析。</w:t>
      </w:r>
    </w:p>
    <w:p w14:paraId="050D034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4.5具备穿刺引导功能，穿刺引导线角度可调。</w:t>
      </w:r>
    </w:p>
    <w:p w14:paraId="5F43DFA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五、探头穿刺架、自动活检穿刺枪</w:t>
      </w:r>
    </w:p>
    <w:p w14:paraId="49E73B1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相控阵、凸阵、线阵及腔内探头可复消穿刺架及附件、自动活检枪2套。</w:t>
      </w:r>
    </w:p>
    <w:p w14:paraId="46D1E6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要求</w:t>
      </w:r>
    </w:p>
    <w:p w14:paraId="7D894D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6.1配备超声专用检查床2张、超声专用检查椅4把。</w:t>
      </w:r>
    </w:p>
    <w:p w14:paraId="1777F5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6.2报告录入电脑2套（i7及以上、内存≥64G、硬盘≥2T、显示器≥23英寸、具备蓝牙及WIFI功能）及电脑桌椅2套。外置喷墨彩色打印机2套。</w:t>
      </w:r>
    </w:p>
    <w:p w14:paraId="08FAA2B4">
      <w:pPr>
        <w:pageBreakBefore/>
        <w:widowControl w:val="0"/>
        <w:kinsoku/>
        <w:spacing w:line="360" w:lineRule="auto"/>
        <w:jc w:val="center"/>
        <w:outlineLvl w:val="1"/>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合同包3(超高端彩色多普勒超声诊断仪(全身机-1))</w:t>
      </w:r>
    </w:p>
    <w:p w14:paraId="767D86A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超高端彩色多普勒超声诊断仪技术参数</w:t>
      </w:r>
    </w:p>
    <w:p w14:paraId="6A8A39B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一、设备名称  超高端彩色多普勒超声诊断仪</w:t>
      </w:r>
    </w:p>
    <w:p w14:paraId="53D6535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二、数量  1套</w:t>
      </w:r>
    </w:p>
    <w:p w14:paraId="604718B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三、设备用途及说明</w:t>
      </w:r>
    </w:p>
    <w:p w14:paraId="228C6A4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3.1用途：主要用于腹部、浅表小器官、儿科、肌骨神经、介入、妇产科、心脏、血管等方面的临床诊断及科研工作。</w:t>
      </w:r>
    </w:p>
    <w:p w14:paraId="7FD6871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 投标产品要求为各厂家满足全身超声检查应用的最高档次最新版本机型。</w:t>
      </w:r>
    </w:p>
    <w:p w14:paraId="6409D1B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四、系统配置及技术要求</w:t>
      </w:r>
    </w:p>
    <w:p w14:paraId="67BEB78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4.1主机系统</w:t>
      </w:r>
    </w:p>
    <w:p w14:paraId="1A93F81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4.1.1 ≥23英寸医用高分辨率液晶显示器，分辨率≥1920×1080，支撑臂多方向调节。</w:t>
      </w:r>
    </w:p>
    <w:p w14:paraId="39A20EE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4.1.2操作面板具备≥12英寸彩色液晶触摸屏，可与显示器同步显示，可旋转及升降调节。</w:t>
      </w:r>
    </w:p>
    <w:p w14:paraId="1921BD3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4.1.3数字波束形成技术；多倍并行信号处理；实时空间复合成像；成像区域全程连续聚焦，无固定焦点或聚焦带。</w:t>
      </w:r>
    </w:p>
    <w:p w14:paraId="3E65651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4.1.4 激活探头接口≥4个。</w:t>
      </w:r>
    </w:p>
    <w:p w14:paraId="52E2EE7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 探头：宽频带多点变频探头，中心频率在屏幕上可视可调，相控阵、凸阵，线阵及腔内探头。</w:t>
      </w:r>
    </w:p>
    <w:p w14:paraId="66E3AC1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4.1.5.1相控阵探头x1：单晶体 频率1.5~4.5MHz 阵元数≥120，扫描角度≥110°，支持超声造影功能。</w:t>
      </w:r>
    </w:p>
    <w:p w14:paraId="474DCC2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4.1.5.2腹部凸阵探头x1：单晶体 频率范围1.5~5MHz，支持弹性成像及造影成像。</w:t>
      </w:r>
    </w:p>
    <w:p w14:paraId="0E9E50FC">
      <w:pPr>
        <w:spacing w:line="360" w:lineRule="auto"/>
        <w:ind w:firstLine="480" w:firstLineChars="200"/>
        <w:rPr>
          <w:rFonts w:hint="eastAsia" w:ascii="宋体" w:hAnsi="宋体" w:eastAsia="宋体" w:cs="宋体"/>
          <w:sz w:val="24"/>
          <w:szCs w:val="24"/>
          <w:highlight w:val="none"/>
        </w:rPr>
      </w:pPr>
      <w:r>
        <w:rPr>
          <w:rFonts w:eastAsia="宋体"/>
          <w:sz w:val="24"/>
          <w:szCs w:val="24"/>
          <w:highlight w:val="none"/>
        </w:rPr>
        <w:t>▲</w:t>
      </w:r>
      <w:r>
        <w:rPr>
          <w:rFonts w:hint="eastAsia" w:ascii="宋体" w:hAnsi="宋体" w:eastAsia="宋体" w:cs="宋体"/>
          <w:sz w:val="24"/>
          <w:szCs w:val="24"/>
          <w:highlight w:val="none"/>
        </w:rPr>
        <w:t>4.1.5.3 线阵超高频探头x1：单晶体 频率范围4.0~15MHz，阵元数≥192，支持弹性成像及造影成像。</w:t>
      </w:r>
    </w:p>
    <w:p w14:paraId="6A95925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4.1.5.4线阵高频血管探头x1：单晶体 频率范围3.0~9.0MHz，支持弹性成像及超声造影成像。</w:t>
      </w:r>
    </w:p>
    <w:p w14:paraId="071BCF54">
      <w:pPr>
        <w:spacing w:line="360" w:lineRule="auto"/>
        <w:ind w:firstLine="480" w:firstLineChars="200"/>
        <w:rPr>
          <w:rFonts w:hint="eastAsia" w:ascii="宋体" w:hAnsi="宋体" w:eastAsia="宋体" w:cs="宋体"/>
          <w:sz w:val="24"/>
          <w:szCs w:val="24"/>
          <w:highlight w:val="none"/>
        </w:rPr>
      </w:pPr>
      <w:r>
        <w:rPr>
          <w:rFonts w:eastAsia="宋体"/>
          <w:sz w:val="24"/>
          <w:szCs w:val="24"/>
          <w:highlight w:val="none"/>
        </w:rPr>
        <w:t>▲</w:t>
      </w:r>
      <w:r>
        <w:rPr>
          <w:rFonts w:hint="eastAsia" w:ascii="宋体" w:hAnsi="宋体" w:eastAsia="宋体" w:cs="宋体"/>
          <w:sz w:val="24"/>
          <w:szCs w:val="24"/>
          <w:highlight w:val="none"/>
        </w:rPr>
        <w:t>4.1.5.5 小口径线阵超高频探头x1：频率范围6.0~20MHz，阵元数≥192。</w:t>
      </w:r>
    </w:p>
    <w:p w14:paraId="50ED741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4.1.5.6 微凸阵探头x1：单晶体，频率范围2.0~6.0MHz，支持弹性成像（应变、剪切波）及造影成像。</w:t>
      </w:r>
    </w:p>
    <w:p w14:paraId="408ADD5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4.1.6医学数字图像和通信DICOM3.0版接口部件。</w:t>
      </w:r>
    </w:p>
    <w:p w14:paraId="2A59FD5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4.1.6.1内置超声图像存储与病案管理软件，具备多种存储方式，可将静态及动态图像存储为多种文件格式，主机具备≥2个USB接口。</w:t>
      </w:r>
    </w:p>
    <w:p w14:paraId="5957D46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4.1.6.2原始数据存储，可对回放图像进行参数调节。</w:t>
      </w:r>
    </w:p>
    <w:p w14:paraId="197D6F2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4.1.7硬盘容量≥1TB</w:t>
      </w:r>
    </w:p>
    <w:p w14:paraId="7C1E1A4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4.1.8主机具备耦合剂加热装置。</w:t>
      </w:r>
    </w:p>
    <w:p w14:paraId="29E34AA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 成像单元</w:t>
      </w:r>
    </w:p>
    <w:p w14:paraId="0FB46E8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4.2.1二维灰阶成像</w:t>
      </w:r>
    </w:p>
    <w:p w14:paraId="18019DF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4.2.1.1组织谐波成像，包括多种不同谐波成像方式，同时显示谐波频率和基波频率，可视可调。</w:t>
      </w:r>
    </w:p>
    <w:p w14:paraId="1115F3E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4.2.1.2成像每帧最大线密度≥512超声线（线阵探头）。</w:t>
      </w:r>
    </w:p>
    <w:p w14:paraId="123AE9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4.2.1.3 成像速率：凸阵探头，18cm深度，全视野，最高线密度下，二维帧频≥</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0帧/s。</w:t>
      </w:r>
    </w:p>
    <w:p w14:paraId="7924000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4.2.1.4 二维成像扫描深度≥50cm（凸阵探头）。</w:t>
      </w:r>
    </w:p>
    <w:p w14:paraId="7522908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4.2.1.5图像一键自动优化技术，可应用在二维、多普勒及造影谐波成像等多种模式。</w:t>
      </w:r>
    </w:p>
    <w:p w14:paraId="4A1009B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4.2.1.6可显示血管内极低速血流信号。</w:t>
      </w:r>
    </w:p>
    <w:p w14:paraId="6451E75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4.2.1.7具备血管增强显示</w:t>
      </w:r>
      <w:r>
        <w:rPr>
          <w:rFonts w:hint="eastAsia" w:ascii="宋体" w:hAnsi="宋体" w:eastAsia="宋体" w:cs="宋体"/>
          <w:sz w:val="24"/>
          <w:szCs w:val="24"/>
          <w:highlight w:val="none"/>
          <w:lang w:val="en-US" w:eastAsia="zh-CN"/>
        </w:rPr>
        <w:t>功能</w:t>
      </w:r>
      <w:r>
        <w:rPr>
          <w:rFonts w:hint="eastAsia" w:ascii="宋体" w:hAnsi="宋体" w:eastAsia="宋体" w:cs="宋体"/>
          <w:sz w:val="24"/>
          <w:szCs w:val="24"/>
          <w:highlight w:val="none"/>
        </w:rPr>
        <w:t>。</w:t>
      </w:r>
    </w:p>
    <w:p w14:paraId="35247BA6">
      <w:pPr>
        <w:spacing w:line="360" w:lineRule="auto"/>
        <w:ind w:firstLine="480" w:firstLineChars="200"/>
        <w:rPr>
          <w:rFonts w:hint="eastAsia" w:ascii="宋体" w:hAnsi="宋体" w:eastAsia="宋体" w:cs="宋体"/>
          <w:sz w:val="24"/>
          <w:szCs w:val="24"/>
          <w:highlight w:val="none"/>
        </w:rPr>
      </w:pPr>
      <w:bookmarkStart w:id="28" w:name="_Hlk173488439"/>
      <w:r>
        <w:rPr>
          <w:rFonts w:hint="eastAsia" w:ascii="宋体" w:hAnsi="宋体" w:eastAsia="宋体" w:cs="宋体"/>
          <w:sz w:val="24"/>
          <w:szCs w:val="24"/>
          <w:highlight w:val="none"/>
        </w:rPr>
        <w:t>4.2.1.</w:t>
      </w:r>
      <w:bookmarkEnd w:id="28"/>
      <w:r>
        <w:rPr>
          <w:rFonts w:hint="eastAsia" w:ascii="宋体" w:hAnsi="宋体" w:eastAsia="宋体" w:cs="宋体"/>
          <w:sz w:val="24"/>
          <w:szCs w:val="24"/>
          <w:highlight w:val="none"/>
        </w:rPr>
        <w:t>8宽景成像及梯形扩展成像。</w:t>
      </w:r>
    </w:p>
    <w:p w14:paraId="53A86BF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4.2.1.9 具备穿刺引导功能，穿刺引导线角度可调，支持穿刺针增强显示技术：可独立调整穿刺针的显示增益及角度。</w:t>
      </w:r>
    </w:p>
    <w:p w14:paraId="7F43BD3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4.2.1.10具备实体器官的声衰减信号测量分析功能，可对衰减系数彩色编码显示，用于不同组织硬度的无创量化评估。（提供证明）</w:t>
      </w:r>
    </w:p>
    <w:p w14:paraId="64BE23C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 彩色多普勒：具备速度方差显示、速度显示、方差显示、能量图模式、二维图像/频谱多普勒/彩色血流成像三同步模式。</w:t>
      </w:r>
    </w:p>
    <w:p w14:paraId="6D6F191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4.2.2.1成像速率：凸阵探头，18cm深度，全视野，最高线密度下，彩色帧频≥1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帧/s。</w:t>
      </w:r>
    </w:p>
    <w:p w14:paraId="5A22E0C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4.2.2.2 彩色多普勒增强显示：组织多普勒成像（相控阵、凸阵），方向性能量图，微细血管及超低速血流显示。</w:t>
      </w:r>
    </w:p>
    <w:p w14:paraId="0716D0BF">
      <w:pPr>
        <w:spacing w:line="360" w:lineRule="auto"/>
        <w:ind w:firstLine="480" w:firstLineChars="200"/>
        <w:rPr>
          <w:rFonts w:hint="eastAsia" w:ascii="宋体" w:hAnsi="宋体" w:eastAsia="宋体" w:cs="宋体"/>
          <w:sz w:val="24"/>
          <w:szCs w:val="24"/>
          <w:highlight w:val="none"/>
        </w:rPr>
      </w:pPr>
      <w:r>
        <w:rPr>
          <w:rFonts w:eastAsia="宋体"/>
          <w:sz w:val="24"/>
          <w:szCs w:val="24"/>
          <w:highlight w:val="none"/>
        </w:rPr>
        <w:t>▲</w:t>
      </w:r>
      <w:r>
        <w:rPr>
          <w:rFonts w:hint="eastAsia" w:ascii="宋体" w:hAnsi="宋体" w:eastAsia="宋体" w:cs="宋体"/>
          <w:sz w:val="24"/>
          <w:szCs w:val="24"/>
          <w:highlight w:val="none"/>
        </w:rPr>
        <w:t>4.2.2.2.1微细血管及超低速血流显示：支持凸阵、线阵探头。</w:t>
      </w:r>
    </w:p>
    <w:p w14:paraId="1152F2A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4.2.2.2.2</w:t>
      </w:r>
      <w:r>
        <w:rPr>
          <w:rFonts w:hint="eastAsia" w:ascii="宋体" w:hAnsi="宋体" w:eastAsia="宋体" w:cs="宋体"/>
          <w:sz w:val="24"/>
          <w:szCs w:val="24"/>
          <w:highlight w:val="none"/>
          <w:lang w:val="en-US" w:eastAsia="zh-CN"/>
        </w:rPr>
        <w:t>具有</w:t>
      </w:r>
      <w:r>
        <w:rPr>
          <w:rFonts w:hint="eastAsia" w:ascii="宋体" w:hAnsi="宋体" w:eastAsia="宋体" w:cs="宋体"/>
          <w:sz w:val="24"/>
          <w:szCs w:val="24"/>
          <w:highlight w:val="none"/>
        </w:rPr>
        <w:t>血流成像定量分析</w:t>
      </w:r>
      <w:r>
        <w:rPr>
          <w:rFonts w:hint="eastAsia" w:ascii="宋体" w:hAnsi="宋体" w:eastAsia="宋体" w:cs="宋体"/>
          <w:sz w:val="24"/>
          <w:szCs w:val="24"/>
          <w:highlight w:val="none"/>
          <w:lang w:val="en-US" w:eastAsia="zh-CN"/>
        </w:rPr>
        <w:t>功能</w:t>
      </w:r>
      <w:r>
        <w:rPr>
          <w:rFonts w:hint="eastAsia" w:ascii="宋体" w:hAnsi="宋体" w:eastAsia="宋体" w:cs="宋体"/>
          <w:sz w:val="24"/>
          <w:szCs w:val="24"/>
          <w:highlight w:val="none"/>
        </w:rPr>
        <w:t>。</w:t>
      </w:r>
    </w:p>
    <w:p w14:paraId="36348EA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4.2.2.3具备立体血流显示</w:t>
      </w:r>
      <w:r>
        <w:rPr>
          <w:rFonts w:hint="eastAsia" w:ascii="宋体" w:hAnsi="宋体" w:eastAsia="宋体" w:cs="宋体"/>
          <w:sz w:val="24"/>
          <w:szCs w:val="24"/>
          <w:highlight w:val="none"/>
          <w:lang w:val="en-US" w:eastAsia="zh-CN"/>
        </w:rPr>
        <w:t>功能</w:t>
      </w:r>
      <w:r>
        <w:rPr>
          <w:rFonts w:hint="eastAsia" w:ascii="宋体" w:hAnsi="宋体" w:eastAsia="宋体" w:cs="宋体"/>
          <w:sz w:val="24"/>
          <w:szCs w:val="24"/>
          <w:highlight w:val="none"/>
        </w:rPr>
        <w:t>。</w:t>
      </w:r>
    </w:p>
    <w:p w14:paraId="19521C5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4.2.2.4组织多普勒成像，具备彩色、能量、频谱等多种模式。</w:t>
      </w:r>
    </w:p>
    <w:p w14:paraId="7E156C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4.2.3频谱多普勒</w:t>
      </w:r>
    </w:p>
    <w:p w14:paraId="16F7F2F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4.2.3.1方式：脉冲波多普勒（PW）、连续波多普勒（CW）、高脉冲重复频率（HPRF）。</w:t>
      </w:r>
    </w:p>
    <w:p w14:paraId="41316D0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4.2.3.2最大测量速度：PW：血流速度≥10m/s ， CW：血流速度≥21m/s。</w:t>
      </w:r>
    </w:p>
    <w:p w14:paraId="202FE02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4.2.3.3最低测量速度：≤0.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mm/s（非噪声信号）。 </w:t>
      </w:r>
    </w:p>
    <w:p w14:paraId="67B7571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4.2.3.4取样宽度多级可调，可调范围0.5mm-20mm。</w:t>
      </w:r>
    </w:p>
    <w:p w14:paraId="7F94F12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4.2.3.5 多普勒优化功能，可根据多普勒取样位置自动聚焦，多普勒标尺及基线可自动调节。</w:t>
      </w:r>
    </w:p>
    <w:p w14:paraId="0FF489A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4.2.3.6实时多普勒频谱自动包络测量：PSV， DEV， TAP， RI， PI， S/D等值。</w:t>
      </w:r>
    </w:p>
    <w:p w14:paraId="335100A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4.2.3.7实时三同步功能，支持凸阵、线阵、相控阵探头。</w:t>
      </w:r>
    </w:p>
    <w:p w14:paraId="45935A6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4.2.3.8超声功率输出调节：B/M、PWD、CWD、彩色多普勒输出功率可调。</w:t>
      </w:r>
    </w:p>
    <w:p w14:paraId="41007A7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4.2.4超声造影成像</w:t>
      </w:r>
    </w:p>
    <w:p w14:paraId="4A67C90E">
      <w:pPr>
        <w:spacing w:line="360" w:lineRule="auto"/>
        <w:ind w:firstLine="480" w:firstLineChars="200"/>
        <w:rPr>
          <w:rFonts w:hint="eastAsia" w:ascii="宋体" w:hAnsi="宋体" w:eastAsia="宋体" w:cs="宋体"/>
          <w:sz w:val="24"/>
          <w:szCs w:val="24"/>
          <w:highlight w:val="none"/>
        </w:rPr>
      </w:pPr>
      <w:r>
        <w:rPr>
          <w:rFonts w:eastAsia="宋体"/>
          <w:sz w:val="24"/>
          <w:szCs w:val="24"/>
          <w:highlight w:val="none"/>
        </w:rPr>
        <w:t>▲</w:t>
      </w:r>
      <w:r>
        <w:rPr>
          <w:rFonts w:hint="eastAsia" w:ascii="宋体" w:hAnsi="宋体" w:eastAsia="宋体" w:cs="宋体"/>
          <w:sz w:val="24"/>
          <w:szCs w:val="24"/>
          <w:highlight w:val="none"/>
        </w:rPr>
        <w:t>4.2.4.1支持探头包括凸阵、线阵、腔内、腔内容积，具备腹部脏器及血管、甲状腺及乳腺造影。</w:t>
      </w:r>
    </w:p>
    <w:p w14:paraId="0A98E80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4.2.4.2具备实时同屏双幅显示，支持双穿刺引导线及同屏双幅测量，具有双独立计时器。</w:t>
      </w:r>
    </w:p>
    <w:p w14:paraId="270AAC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4.2.4.3彩色造影成像，彩色编码显示造影剂到达的时间顺序，同时显示造影剂灌注的微血管结构。 </w:t>
      </w:r>
    </w:p>
    <w:p w14:paraId="5F7C7E2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4.2.4.4造影采集存储时间≥10分钟。</w:t>
      </w:r>
    </w:p>
    <w:p w14:paraId="45FFD03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4.2.4.5具有在机及脱机造影定量分析软件，可提供时间曲线分析及TIC曲线拟合等参数。</w:t>
      </w:r>
    </w:p>
    <w:p w14:paraId="01E4B7F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4.2.5弹性成像 可支持凸阵、线阵、腔内探头。</w:t>
      </w:r>
    </w:p>
    <w:p w14:paraId="3E721F4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4.2.5.1实时二维剪切波弹性成像，可对剪切波传播速度做定性评估。</w:t>
      </w:r>
    </w:p>
    <w:p w14:paraId="3B25ADA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4.2.5.2具有剪切波速度图(m/s)和组织的弹性图(kPa)显示模式。</w:t>
      </w:r>
    </w:p>
    <w:p w14:paraId="2F838A2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4.2.5.3 具有二维图、速度图同屏显示。</w:t>
      </w:r>
    </w:p>
    <w:p w14:paraId="6457D3A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4.2.5.4灰阶或彩阶图像显示感兴趣区组织的弹性硬度。</w:t>
      </w:r>
    </w:p>
    <w:p w14:paraId="185EC30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4.2.5.5实时动态显示弹性应变参数，并可进行直径比、面积比、应变、应变率等测量。</w:t>
      </w:r>
    </w:p>
    <w:p w14:paraId="066D6AF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4.2.5.6具有质量控制参数。</w:t>
      </w:r>
    </w:p>
    <w:p w14:paraId="2EAE5EA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4.2.6容积成像</w:t>
      </w:r>
    </w:p>
    <w:p w14:paraId="7270FD7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4.2.6.1支持腹部、妇产科和腔内容积成像，具备多种渲染模式：骨骼模式、透明模式等。</w:t>
      </w:r>
    </w:p>
    <w:p w14:paraId="73B96452">
      <w:pPr>
        <w:spacing w:line="360" w:lineRule="auto"/>
        <w:ind w:firstLine="480" w:firstLineChars="200"/>
        <w:rPr>
          <w:rFonts w:hint="eastAsia" w:ascii="宋体" w:hAnsi="宋体" w:eastAsia="宋体" w:cs="宋体"/>
          <w:sz w:val="24"/>
          <w:szCs w:val="24"/>
          <w:highlight w:val="none"/>
        </w:rPr>
      </w:pPr>
      <w:r>
        <w:rPr>
          <w:rFonts w:eastAsia="宋体"/>
          <w:sz w:val="24"/>
          <w:szCs w:val="24"/>
          <w:highlight w:val="none"/>
        </w:rPr>
        <w:t>▲</w:t>
      </w:r>
      <w:r>
        <w:rPr>
          <w:rFonts w:hint="eastAsia" w:ascii="宋体" w:hAnsi="宋体" w:eastAsia="宋体" w:cs="宋体"/>
          <w:sz w:val="24"/>
          <w:szCs w:val="24"/>
          <w:highlight w:val="none"/>
        </w:rPr>
        <w:t>4.2.6.2可对于同一病灶进行连续平行切面扫查。每个层面支持容积对比成像功能。</w:t>
      </w:r>
    </w:p>
    <w:p w14:paraId="2A4A9BB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4.2.6.3具备任意切面成像功能，对于不规则结构，可选择直线、弧线、折线、任意曲线等切割方法，支持三个曲面同时成像，具备快速测量不规则体积，支持3D/4D模式或存储的容积数据。</w:t>
      </w:r>
    </w:p>
    <w:p w14:paraId="0B45AEE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4.3测量和分析</w:t>
      </w:r>
    </w:p>
    <w:p w14:paraId="0B53967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4.3.1一般测量：直径、面积、体积、狭窄率、压差等。</w:t>
      </w:r>
    </w:p>
    <w:p w14:paraId="20BFC55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4.3.2 M型测量：常规M型，解剖M型，彩色M型</w:t>
      </w:r>
    </w:p>
    <w:p w14:paraId="7803903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4.3.3 自动识别描记左室心内膜，并计算左心功能，包括EF射血分数等，支持单平面和双平面计算。</w:t>
      </w:r>
    </w:p>
    <w:p w14:paraId="3BBFC15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4.3.4 妇、产科测量与分析：颈项透明层NT自动测量等。</w:t>
      </w:r>
    </w:p>
    <w:p w14:paraId="4668946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4.3.5 血管内中膜自动测量。</w:t>
      </w:r>
    </w:p>
    <w:p w14:paraId="3511E19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4.4具备在机甲状腺及乳腺自动检测分析功能（AI）</w:t>
      </w:r>
    </w:p>
    <w:p w14:paraId="0A079A0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4.4.1可自动检测病灶位置，提示实时动态图像病灶良、恶性分析预测，支持多病灶同屏显示。</w:t>
      </w:r>
    </w:p>
    <w:p w14:paraId="60AD897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4.4.2自动测量冻结图像病灶大小并做出RADS分类提示。</w:t>
      </w:r>
    </w:p>
    <w:p w14:paraId="185C377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▲4.5在机计算分析软件（永久可用，可升级）</w:t>
      </w:r>
    </w:p>
    <w:p w14:paraId="24C854A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4.5.1心脏基础分析软件、外周血管基础分析软件、 弹性成像分析软件、超声造影分析软件。</w:t>
      </w:r>
    </w:p>
    <w:p w14:paraId="346459A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4.5.2泌尿、妇产科分析测量软件。</w:t>
      </w:r>
    </w:p>
    <w:p w14:paraId="08CFD3A8">
      <w:pPr>
        <w:spacing w:line="360" w:lineRule="auto"/>
        <w:ind w:firstLine="480" w:firstLineChars="200"/>
        <w:rPr>
          <w:rFonts w:hint="eastAsia" w:ascii="宋体" w:hAnsi="宋体" w:eastAsia="宋体" w:cs="宋体"/>
          <w:sz w:val="24"/>
          <w:szCs w:val="24"/>
          <w:highlight w:val="none"/>
        </w:rPr>
      </w:pPr>
      <w:bookmarkStart w:id="29" w:name="_Hlk188268389"/>
      <w:r>
        <w:rPr>
          <w:rFonts w:hint="eastAsia" w:ascii="宋体" w:hAnsi="宋体" w:eastAsia="宋体" w:cs="宋体"/>
          <w:sz w:val="24"/>
          <w:szCs w:val="24"/>
          <w:highlight w:val="none"/>
        </w:rPr>
        <w:t>五、介入用配件及探头穿刺架、自动活检穿刺枪</w:t>
      </w:r>
    </w:p>
    <w:p w14:paraId="0AE0AE5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5.1手持式彩色超声诊断仪（无线/有线）</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套</w:t>
      </w:r>
      <w:r>
        <w:rPr>
          <w:rFonts w:hint="eastAsia" w:ascii="宋体" w:hAnsi="宋体" w:eastAsia="宋体" w:cs="宋体"/>
          <w:sz w:val="24"/>
          <w:szCs w:val="24"/>
          <w:highlight w:val="none"/>
        </w:rPr>
        <w:t>。具备凸阵及线阵双探头。</w:t>
      </w:r>
      <w:r>
        <w:rPr>
          <w:rFonts w:hint="eastAsia" w:ascii="宋体" w:hAnsi="宋体" w:eastAsia="宋体" w:cs="宋体"/>
          <w:sz w:val="24"/>
          <w:szCs w:val="24"/>
          <w:highlight w:val="none"/>
          <w:lang w:val="en-US" w:eastAsia="zh-CN"/>
        </w:rPr>
        <w:t>具有</w:t>
      </w:r>
      <w:r>
        <w:rPr>
          <w:rFonts w:hint="eastAsia" w:ascii="宋体" w:hAnsi="宋体" w:eastAsia="宋体" w:cs="宋体"/>
          <w:sz w:val="24"/>
          <w:szCs w:val="24"/>
          <w:highlight w:val="none"/>
        </w:rPr>
        <w:t>平板触控</w:t>
      </w:r>
      <w:r>
        <w:rPr>
          <w:rFonts w:hint="eastAsia" w:ascii="宋体" w:hAnsi="宋体" w:eastAsia="宋体" w:cs="宋体"/>
          <w:sz w:val="24"/>
          <w:szCs w:val="24"/>
          <w:highlight w:val="none"/>
          <w:lang w:val="en-US" w:eastAsia="zh-CN"/>
        </w:rPr>
        <w:t>显示</w:t>
      </w:r>
      <w:r>
        <w:rPr>
          <w:rFonts w:hint="eastAsia" w:ascii="宋体" w:hAnsi="宋体" w:eastAsia="宋体" w:cs="宋体"/>
          <w:sz w:val="24"/>
          <w:szCs w:val="24"/>
          <w:highlight w:val="none"/>
        </w:rPr>
        <w:t>屏，分辨率≥2560x1440。</w:t>
      </w:r>
    </w:p>
    <w:p w14:paraId="688C93E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5.2相控阵、凸阵、线阵、微凸及腔内探头配备可复消穿刺架及附件、自动活检枪2套。</w:t>
      </w:r>
    </w:p>
    <w:bookmarkEnd w:id="29"/>
    <w:p w14:paraId="7413A2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要求</w:t>
      </w:r>
    </w:p>
    <w:p w14:paraId="304F98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6.1配备超声专用检查床1张、超声专用检查椅2把。</w:t>
      </w:r>
    </w:p>
    <w:p w14:paraId="788F81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6.2报告录入电脑1套（i7及以上、内存≥64G、硬盘≥2T、显示器≥23英寸、具备蓝牙及WIFI功能）及电脑桌椅1套。外置喷墨彩色打印机1套。</w:t>
      </w:r>
    </w:p>
    <w:p w14:paraId="3A1545C2">
      <w:pPr>
        <w:spacing w:line="360" w:lineRule="auto"/>
        <w:ind w:firstLine="480" w:firstLineChars="200"/>
        <w:rPr>
          <w:rFonts w:hint="eastAsia" w:ascii="宋体" w:hAnsi="宋体" w:eastAsia="宋体" w:cs="宋体"/>
          <w:color w:val="auto"/>
          <w:sz w:val="24"/>
          <w:szCs w:val="24"/>
          <w:highlight w:val="none"/>
          <w:lang w:eastAsia="zh-CN"/>
        </w:rPr>
      </w:pPr>
    </w:p>
    <w:p w14:paraId="39A2E728">
      <w:pPr>
        <w:spacing w:line="360" w:lineRule="auto"/>
        <w:ind w:firstLine="480" w:firstLineChars="200"/>
        <w:rPr>
          <w:rFonts w:hint="eastAsia" w:ascii="宋体" w:hAnsi="宋体" w:eastAsia="宋体" w:cs="宋体"/>
          <w:sz w:val="24"/>
          <w:szCs w:val="24"/>
          <w:highlight w:val="none"/>
        </w:rPr>
      </w:pPr>
    </w:p>
    <w:p w14:paraId="0F5915FE">
      <w:pPr>
        <w:rPr>
          <w:highlight w:val="none"/>
        </w:rPr>
      </w:pPr>
    </w:p>
    <w:p w14:paraId="708DF9B1">
      <w:pPr>
        <w:pageBreakBefore/>
        <w:widowControl w:val="0"/>
        <w:spacing w:line="360" w:lineRule="auto"/>
        <w:jc w:val="center"/>
        <w:outlineLvl w:val="1"/>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合同包4(超高端彩色多普勒超声诊断仪(全身机-2))</w:t>
      </w:r>
    </w:p>
    <w:p w14:paraId="7A98EA4E">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b/>
          <w:bCs/>
          <w:sz w:val="28"/>
          <w:szCs w:val="28"/>
          <w:highlight w:val="none"/>
        </w:rPr>
        <w:t>超高端彩色多普勒超声诊断仪技术参数</w:t>
      </w:r>
    </w:p>
    <w:p w14:paraId="5761A11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一、设备名称  超高端彩色多普勒超声诊断仪</w:t>
      </w:r>
    </w:p>
    <w:p w14:paraId="576D681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二、数量  1套</w:t>
      </w:r>
    </w:p>
    <w:p w14:paraId="1B3EFC7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三、设备用途及说明</w:t>
      </w:r>
    </w:p>
    <w:p w14:paraId="5A675CD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3.1用途：主要用于腹部、浅表小器官、儿科、肌骨神经、介入、妇产科、心脏、血管等方面的临床诊断及科研工作。</w:t>
      </w:r>
    </w:p>
    <w:p w14:paraId="4A6132C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 投标产品要求为各厂家满足全身超声检查应用的最高档次最新版本机型。</w:t>
      </w:r>
    </w:p>
    <w:p w14:paraId="0DE6604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四、系统配置及技术要求</w:t>
      </w:r>
    </w:p>
    <w:p w14:paraId="5A09398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4.1主机系统</w:t>
      </w:r>
    </w:p>
    <w:p w14:paraId="2EF185F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4.1.1 ≥23英寸医用高分辨率液晶显示器，分辨率≥1920 × 1080，支撑臂多方向调节。</w:t>
      </w:r>
    </w:p>
    <w:p w14:paraId="02ACB02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4.1.2操作面板具备≥12英寸彩色液晶触摸屏，可与显示器同步显示，可旋转及升降调节。</w:t>
      </w:r>
    </w:p>
    <w:p w14:paraId="35EF22E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4.1.3数字波束形成技术；多倍并行信号处理；实时空间复合成像；成像区域全程连续聚焦，无固定焦点或聚焦带。</w:t>
      </w:r>
    </w:p>
    <w:p w14:paraId="321A19F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4.1.4 激活探头接口≥4个。</w:t>
      </w:r>
    </w:p>
    <w:p w14:paraId="2E62C56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 探头：宽频带多点变频探头，中心频率在屏幕上可视可调，相控阵、凸阵，线阵及腔内探头。</w:t>
      </w:r>
    </w:p>
    <w:p w14:paraId="1E3B4A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4.1.5.1相控阵探头x1：单晶体 频率1.5~4.5MHz 阵元数≥120，扫描角度≥110°，支持超声造影功能。</w:t>
      </w:r>
    </w:p>
    <w:p w14:paraId="63AD5F6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4.1.5.2腹部凸阵探头x1：单晶体 频率范围1.5~5MHz，支持弹性成像及造影成像。</w:t>
      </w:r>
    </w:p>
    <w:p w14:paraId="0D331E30">
      <w:pPr>
        <w:spacing w:line="360" w:lineRule="auto"/>
        <w:ind w:firstLine="480" w:firstLineChars="200"/>
        <w:rPr>
          <w:rFonts w:hint="eastAsia" w:ascii="宋体" w:hAnsi="宋体" w:eastAsia="宋体" w:cs="宋体"/>
          <w:sz w:val="24"/>
          <w:szCs w:val="24"/>
          <w:highlight w:val="none"/>
        </w:rPr>
      </w:pPr>
      <w:r>
        <w:rPr>
          <w:rFonts w:eastAsia="宋体"/>
          <w:sz w:val="24"/>
          <w:szCs w:val="24"/>
          <w:highlight w:val="none"/>
        </w:rPr>
        <w:t>▲</w:t>
      </w:r>
      <w:r>
        <w:rPr>
          <w:rFonts w:hint="eastAsia" w:ascii="宋体" w:hAnsi="宋体" w:eastAsia="宋体" w:cs="宋体"/>
          <w:sz w:val="24"/>
          <w:szCs w:val="24"/>
          <w:highlight w:val="none"/>
        </w:rPr>
        <w:t>4.1.5.3 线阵超高频探头x1：单晶体 频率范围4.0~15MHz，阵元数≥192，支持弹性成像及造影成像。</w:t>
      </w:r>
    </w:p>
    <w:p w14:paraId="7D19CA6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4.1.5.4线阵高频血管探头x1：单晶体 频率范围3.0~9.0MHz，支持弹性成像及超声造影成像。</w:t>
      </w:r>
    </w:p>
    <w:p w14:paraId="61762595">
      <w:pPr>
        <w:spacing w:line="360" w:lineRule="auto"/>
        <w:ind w:firstLine="480" w:firstLineChars="200"/>
        <w:rPr>
          <w:rFonts w:hint="eastAsia" w:ascii="宋体" w:hAnsi="宋体" w:eastAsia="宋体" w:cs="宋体"/>
          <w:color w:val="auto"/>
          <w:sz w:val="24"/>
          <w:szCs w:val="24"/>
          <w:highlight w:val="none"/>
        </w:rPr>
      </w:pPr>
      <w:r>
        <w:rPr>
          <w:rFonts w:eastAsia="宋体"/>
          <w:color w:val="auto"/>
          <w:sz w:val="24"/>
          <w:szCs w:val="24"/>
          <w:highlight w:val="none"/>
        </w:rPr>
        <w:t>▲</w:t>
      </w:r>
      <w:r>
        <w:rPr>
          <w:rFonts w:hint="eastAsia" w:ascii="宋体" w:hAnsi="宋体" w:eastAsia="宋体" w:cs="宋体"/>
          <w:color w:val="auto"/>
          <w:sz w:val="24"/>
          <w:szCs w:val="24"/>
          <w:highlight w:val="none"/>
        </w:rPr>
        <w:t>4.1.5.5腔内双平面探头x1：频率范围3.0~1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.0MHz。</w:t>
      </w:r>
    </w:p>
    <w:p w14:paraId="0C8CBB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4.1.5.6小口径线阵超高频探头x1：频率范围6.0~20MHz，阵元数≥192。</w:t>
      </w:r>
    </w:p>
    <w:p w14:paraId="0DFFB0A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4.1.6医学数字图像和通信DICOM3.0版接口部件。</w:t>
      </w:r>
    </w:p>
    <w:p w14:paraId="2527A40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4.1.6.1内置超声图像存储与病案管理软件，具备多种存储方式，可将静态及动态图像存储为多种文件格式，主机具备≥2个USB接口。</w:t>
      </w:r>
    </w:p>
    <w:p w14:paraId="7CCD237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4.1.6.2原始数据存储，可对回放图像进行参数调节。</w:t>
      </w:r>
    </w:p>
    <w:p w14:paraId="64D78F6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4.1.7硬盘容量≥1TB</w:t>
      </w:r>
    </w:p>
    <w:p w14:paraId="3CA4911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4.1.8主机具备耦合剂加热装置。</w:t>
      </w:r>
    </w:p>
    <w:p w14:paraId="1060290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 成像单元</w:t>
      </w:r>
    </w:p>
    <w:p w14:paraId="5412D86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4.2.1二维灰阶成像</w:t>
      </w:r>
    </w:p>
    <w:p w14:paraId="720569C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4.2.1.1组织谐波成像，包括多种不同谐波成像方式，同时显示谐波频率和基波频率，可视可调。</w:t>
      </w:r>
    </w:p>
    <w:p w14:paraId="54B78FC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4.2.1.2成像每帧最大线密度≥512超声线（线阵探头）。</w:t>
      </w:r>
    </w:p>
    <w:p w14:paraId="211447D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4.2.1.3 成像速率：凸阵探头，18cm深度，全视野，最高线密度下，二维帧频≥</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0帧/s。</w:t>
      </w:r>
    </w:p>
    <w:p w14:paraId="221609C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4.2.1.4 二维成像扫描深度≥50cm（凸阵探头）。</w:t>
      </w:r>
    </w:p>
    <w:p w14:paraId="42821A5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4.2.1.5图像一键自动优化技术，可应用在二维、多普勒及造影谐波成像等多种模式。</w:t>
      </w:r>
    </w:p>
    <w:p w14:paraId="14396FE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4.2.1.6可显示血管内极低速血流信号。</w:t>
      </w:r>
    </w:p>
    <w:p w14:paraId="7A867A6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4.2.1.7具备血管增强显示</w:t>
      </w:r>
      <w:r>
        <w:rPr>
          <w:rFonts w:hint="eastAsia" w:ascii="宋体" w:hAnsi="宋体" w:eastAsia="宋体" w:cs="宋体"/>
          <w:sz w:val="24"/>
          <w:szCs w:val="24"/>
          <w:highlight w:val="none"/>
          <w:lang w:val="en-US" w:eastAsia="zh-CN"/>
        </w:rPr>
        <w:t>功能。</w:t>
      </w:r>
    </w:p>
    <w:p w14:paraId="1413D0C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4.2.1.8宽景成像及梯形扩展成像。</w:t>
      </w:r>
    </w:p>
    <w:p w14:paraId="573D8E8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4.2.1.9 具备穿刺引导功能，穿刺引导线角度可调，支持穿刺针增强显示技术：可独立调整穿刺针的显示增益及角度。</w:t>
      </w:r>
    </w:p>
    <w:p w14:paraId="6F92A7C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4.2.1.10具备实体器官的声衰减信号测量分析功能，可对衰减系数彩色编码显示，用于不同组织硬度的无创量化评估。（提供证明）</w:t>
      </w:r>
    </w:p>
    <w:p w14:paraId="683ADD4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 彩色多普勒：具备速度方差显示、速度显示、方差显示、能量图模式、二维图像/频谱多普勒/彩色血流成像三同步模式。</w:t>
      </w:r>
    </w:p>
    <w:p w14:paraId="3548976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4.2.2.1成像速率：凸阵探头，18cm深度，全视野，最高线密度下，彩色帧频≥1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帧/s。</w:t>
      </w:r>
    </w:p>
    <w:p w14:paraId="3CE45E3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4.2.2.2 彩色多普勒增强显示：组织多普勒成像（相控阵、凸阵），方向性能量图，微细血管及超低速血流显示。</w:t>
      </w:r>
    </w:p>
    <w:p w14:paraId="1FFF7F75">
      <w:pPr>
        <w:spacing w:line="360" w:lineRule="auto"/>
        <w:ind w:firstLine="480" w:firstLineChars="200"/>
        <w:rPr>
          <w:rFonts w:hint="eastAsia" w:ascii="宋体" w:hAnsi="宋体" w:eastAsia="宋体" w:cs="宋体"/>
          <w:sz w:val="24"/>
          <w:szCs w:val="24"/>
          <w:highlight w:val="none"/>
        </w:rPr>
      </w:pPr>
      <w:r>
        <w:rPr>
          <w:rFonts w:eastAsia="宋体"/>
          <w:sz w:val="24"/>
          <w:szCs w:val="24"/>
          <w:highlight w:val="none"/>
        </w:rPr>
        <w:t>▲</w:t>
      </w:r>
      <w:r>
        <w:rPr>
          <w:rFonts w:hint="eastAsia" w:ascii="宋体" w:hAnsi="宋体" w:eastAsia="宋体" w:cs="宋体"/>
          <w:sz w:val="24"/>
          <w:szCs w:val="24"/>
          <w:highlight w:val="none"/>
        </w:rPr>
        <w:t>4.2.2.2.1微细血管及超低速血流显示：支持凸阵、线阵探头。</w:t>
      </w:r>
    </w:p>
    <w:p w14:paraId="27C981A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4.2.2.2.2</w:t>
      </w:r>
      <w:r>
        <w:rPr>
          <w:rFonts w:hint="eastAsia" w:ascii="宋体" w:hAnsi="宋体" w:eastAsia="宋体" w:cs="宋体"/>
          <w:sz w:val="24"/>
          <w:szCs w:val="24"/>
          <w:highlight w:val="none"/>
          <w:lang w:val="en-US" w:eastAsia="zh-CN"/>
        </w:rPr>
        <w:t>具有</w:t>
      </w:r>
      <w:r>
        <w:rPr>
          <w:rFonts w:hint="eastAsia" w:ascii="宋体" w:hAnsi="宋体" w:eastAsia="宋体" w:cs="宋体"/>
          <w:sz w:val="24"/>
          <w:szCs w:val="24"/>
          <w:highlight w:val="none"/>
        </w:rPr>
        <w:t>血流成像定量分析</w:t>
      </w:r>
      <w:r>
        <w:rPr>
          <w:rFonts w:hint="eastAsia" w:ascii="宋体" w:hAnsi="宋体" w:eastAsia="宋体" w:cs="宋体"/>
          <w:sz w:val="24"/>
          <w:szCs w:val="24"/>
          <w:highlight w:val="none"/>
          <w:lang w:val="en-US" w:eastAsia="zh-CN"/>
        </w:rPr>
        <w:t>功能</w:t>
      </w:r>
      <w:r>
        <w:rPr>
          <w:rFonts w:hint="eastAsia" w:ascii="宋体" w:hAnsi="宋体" w:eastAsia="宋体" w:cs="宋体"/>
          <w:sz w:val="24"/>
          <w:szCs w:val="24"/>
          <w:highlight w:val="none"/>
        </w:rPr>
        <w:t>。</w:t>
      </w:r>
    </w:p>
    <w:p w14:paraId="788078F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4.2.2.3具备立体血流显示</w:t>
      </w:r>
      <w:r>
        <w:rPr>
          <w:rFonts w:hint="eastAsia" w:ascii="宋体" w:hAnsi="宋体" w:eastAsia="宋体" w:cs="宋体"/>
          <w:sz w:val="24"/>
          <w:szCs w:val="24"/>
          <w:highlight w:val="none"/>
          <w:lang w:val="en-US" w:eastAsia="zh-CN"/>
        </w:rPr>
        <w:t>功能</w:t>
      </w:r>
      <w:r>
        <w:rPr>
          <w:rFonts w:hint="eastAsia" w:ascii="宋体" w:hAnsi="宋体" w:eastAsia="宋体" w:cs="宋体"/>
          <w:sz w:val="24"/>
          <w:szCs w:val="24"/>
          <w:highlight w:val="none"/>
        </w:rPr>
        <w:t>。</w:t>
      </w:r>
    </w:p>
    <w:p w14:paraId="73ADF25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4.2.2.4组织多普勒成像，具备彩色、能量、频谱等多种模式。</w:t>
      </w:r>
    </w:p>
    <w:p w14:paraId="73363C6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4.2.3频谱多普勒</w:t>
      </w:r>
    </w:p>
    <w:p w14:paraId="02B75A8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4.2.3.1方式：脉冲波多普勒（PW）、连续波多普勒（CW）、高脉冲重复频率（HPRF）。</w:t>
      </w:r>
    </w:p>
    <w:p w14:paraId="4F19190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4.2.3.2最大测量速度：PW：血流速度≥10m/s ， CW：血流速度≥21m/s。</w:t>
      </w:r>
    </w:p>
    <w:p w14:paraId="10E1100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4.2.3.3最低测量速度：≤0.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mm/s（非噪声信号）。 </w:t>
      </w:r>
    </w:p>
    <w:p w14:paraId="2530FD7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4.2.3.4取样宽度多级可调，可调范围0.5mm-20mm。</w:t>
      </w:r>
    </w:p>
    <w:p w14:paraId="6379848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4.2.3.5 多普勒优化功能，可根据多普勒取样位置自动聚焦，多普勒标尺及基线可自动调节。</w:t>
      </w:r>
    </w:p>
    <w:p w14:paraId="47DEA40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4.2.3.6实时多普勒频谱自动包络测量：PSV， DEV， TAP， RI， PI， S/D等值。</w:t>
      </w:r>
    </w:p>
    <w:p w14:paraId="4348ABF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4.2.3.7实时三同步功能，支持凸阵、线阵、相控阵探头。</w:t>
      </w:r>
    </w:p>
    <w:p w14:paraId="55F903E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4.2.3.8超声功率输出调节：B/M、PWD、CWD、彩色多普勒输出功率可调。</w:t>
      </w:r>
    </w:p>
    <w:p w14:paraId="4D16CBF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4.2.4超声造影成像</w:t>
      </w:r>
    </w:p>
    <w:p w14:paraId="7E9ACA64">
      <w:pPr>
        <w:spacing w:line="360" w:lineRule="auto"/>
        <w:ind w:firstLine="480" w:firstLineChars="200"/>
        <w:rPr>
          <w:rFonts w:hint="eastAsia" w:ascii="宋体" w:hAnsi="宋体" w:eastAsia="宋体" w:cs="宋体"/>
          <w:sz w:val="24"/>
          <w:szCs w:val="24"/>
          <w:highlight w:val="none"/>
        </w:rPr>
      </w:pPr>
      <w:r>
        <w:rPr>
          <w:rFonts w:eastAsia="宋体"/>
          <w:sz w:val="24"/>
          <w:szCs w:val="24"/>
          <w:highlight w:val="none"/>
        </w:rPr>
        <w:t>▲</w:t>
      </w:r>
      <w:r>
        <w:rPr>
          <w:rFonts w:hint="eastAsia" w:ascii="宋体" w:hAnsi="宋体" w:eastAsia="宋体" w:cs="宋体"/>
          <w:sz w:val="24"/>
          <w:szCs w:val="24"/>
          <w:highlight w:val="none"/>
        </w:rPr>
        <w:t>4.2.4.1支持探头包括凸阵、线阵、腔内、腔内容积，具备腹部脏器及血管、甲状腺及乳腺造影。</w:t>
      </w:r>
    </w:p>
    <w:p w14:paraId="1353697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4.2.4.2具备实时同屏双幅显示，支持双穿刺引导线及同屏双幅测量，具有双独立计时器。</w:t>
      </w:r>
    </w:p>
    <w:p w14:paraId="0202064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4.2.4.3彩色造影成像，彩色编码显示造影剂到达的时间顺序，同时显示造影剂灌注的微血管结构。 </w:t>
      </w:r>
    </w:p>
    <w:p w14:paraId="22B7719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4.2.4.4造影采集存储时间≥10分钟。</w:t>
      </w:r>
    </w:p>
    <w:p w14:paraId="728C7B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4.2.4.5具有在机及脱机造影定量分析软件，可提供时间曲线分析及TIC曲线拟合等参数。</w:t>
      </w:r>
    </w:p>
    <w:p w14:paraId="12746E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4.2.5弹性成像 可支持凸阵、线阵、腔内探头。</w:t>
      </w:r>
    </w:p>
    <w:p w14:paraId="17CBD0F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4.2.5.1实时二维剪切波弹性成像，可对剪切波传播速度做定性评估。</w:t>
      </w:r>
    </w:p>
    <w:p w14:paraId="011D794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4.2.5.2具有剪切波速度图(m/s)和组织的弹性图(kPa)显示模式。</w:t>
      </w:r>
    </w:p>
    <w:p w14:paraId="62C2DDA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4.2.5.3 具有二维图、速度图同屏显示。</w:t>
      </w:r>
    </w:p>
    <w:p w14:paraId="68BD49D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4.2.5.4灰阶或彩阶图像显示感兴趣区组织的弹性硬度。</w:t>
      </w:r>
    </w:p>
    <w:p w14:paraId="40C6DF6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4.2.5.5实时动态显示弹性应变参数，并可进行直径比、面积比、应变、应变率等测量。</w:t>
      </w:r>
    </w:p>
    <w:p w14:paraId="2875368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4.2.5.6具有质量控制参数。</w:t>
      </w:r>
    </w:p>
    <w:p w14:paraId="33B9B72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4.2.6容积成像</w:t>
      </w:r>
    </w:p>
    <w:p w14:paraId="76B4326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4.2.6.1支持腹部、妇产科和腔内容积成像，具备多种渲染模式：骨骼模式、透明模式等。</w:t>
      </w:r>
    </w:p>
    <w:p w14:paraId="79FE6E15">
      <w:pPr>
        <w:spacing w:line="360" w:lineRule="auto"/>
        <w:ind w:firstLine="480" w:firstLineChars="200"/>
        <w:rPr>
          <w:rFonts w:hint="eastAsia" w:ascii="宋体" w:hAnsi="宋体" w:eastAsia="宋体" w:cs="宋体"/>
          <w:sz w:val="24"/>
          <w:szCs w:val="24"/>
          <w:highlight w:val="none"/>
        </w:rPr>
      </w:pPr>
      <w:r>
        <w:rPr>
          <w:rFonts w:eastAsia="宋体"/>
          <w:sz w:val="24"/>
          <w:szCs w:val="24"/>
          <w:highlight w:val="none"/>
        </w:rPr>
        <w:t>▲</w:t>
      </w:r>
      <w:r>
        <w:rPr>
          <w:rFonts w:hint="eastAsia" w:ascii="宋体" w:hAnsi="宋体" w:eastAsia="宋体" w:cs="宋体"/>
          <w:sz w:val="24"/>
          <w:szCs w:val="24"/>
          <w:highlight w:val="none"/>
        </w:rPr>
        <w:t>4.2.6.2可对于同一病灶进行连续平行切面扫查。每个层面支持容积对比成像功能。</w:t>
      </w:r>
    </w:p>
    <w:p w14:paraId="30D225B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4.2.6.3具备任意切面成像功能，对于不规则结构，可选择直线、弧线、折线、任意曲线等切割方法，支持三个曲面同时成像，具备快速测量不规则体积，支持3D/4D模式或存储的容积数据。</w:t>
      </w:r>
    </w:p>
    <w:p w14:paraId="08FDFB0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4.3测量和分析</w:t>
      </w:r>
    </w:p>
    <w:p w14:paraId="1295218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4.3.1一般测量：直径、面积、体积、狭窄率、压差等。</w:t>
      </w:r>
    </w:p>
    <w:p w14:paraId="7E34F36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4.3.2 M型测量：常规M型，解剖M型，彩色M型</w:t>
      </w:r>
    </w:p>
    <w:p w14:paraId="506B178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4.3.3 自动识别描记左室心内膜，并计算左心功能，包括EF射血分数等，支持单平面和双平面计算。</w:t>
      </w:r>
    </w:p>
    <w:p w14:paraId="37717C3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4.3.4 妇、产科测量与分析：颈项透明层NT自动测量等。</w:t>
      </w:r>
    </w:p>
    <w:p w14:paraId="17B7275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4.3.5 血管内中膜自动测量。</w:t>
      </w:r>
    </w:p>
    <w:p w14:paraId="686D1AE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4.4具备在机甲状腺及乳腺自动检测分析功能（AI）</w:t>
      </w:r>
    </w:p>
    <w:p w14:paraId="3CAD279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4.4.1可自动检测病灶位置，提示实时动态图像病灶良、恶性分析预测，支持多病灶同屏显示。</w:t>
      </w:r>
    </w:p>
    <w:p w14:paraId="59D5B83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4.4.2自动测量冻结图像病灶大小并做出RADS分类提示。</w:t>
      </w:r>
    </w:p>
    <w:p w14:paraId="45B89F0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▲4.5在机计算分析软件（永久可用，可升级）</w:t>
      </w:r>
    </w:p>
    <w:p w14:paraId="56B96F1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4.5.1心脏基础分析软件、外周血管基础分析软件、 弹性成像分析软件、超声造影分析软件。</w:t>
      </w:r>
    </w:p>
    <w:p w14:paraId="22E78AE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4.5.2泌尿、妇产科分析测量软件。</w:t>
      </w:r>
    </w:p>
    <w:p w14:paraId="27C815E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五、介入用配件及探头穿刺架、自动活检穿刺枪</w:t>
      </w:r>
    </w:p>
    <w:p w14:paraId="7B76678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5.1手持式彩色超声诊断仪（无线/有线）</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套</w:t>
      </w:r>
      <w:r>
        <w:rPr>
          <w:rFonts w:hint="eastAsia" w:ascii="宋体" w:hAnsi="宋体" w:eastAsia="宋体" w:cs="宋体"/>
          <w:sz w:val="24"/>
          <w:szCs w:val="24"/>
          <w:highlight w:val="none"/>
        </w:rPr>
        <w:t>。具备凸阵及线阵双探头。</w:t>
      </w:r>
      <w:r>
        <w:rPr>
          <w:rFonts w:hint="eastAsia" w:ascii="宋体" w:hAnsi="宋体" w:eastAsia="宋体" w:cs="宋体"/>
          <w:sz w:val="24"/>
          <w:szCs w:val="24"/>
          <w:highlight w:val="none"/>
          <w:lang w:val="en-US" w:eastAsia="zh-CN"/>
        </w:rPr>
        <w:t>具有</w:t>
      </w:r>
      <w:r>
        <w:rPr>
          <w:rFonts w:hint="eastAsia" w:ascii="宋体" w:hAnsi="宋体" w:eastAsia="宋体" w:cs="宋体"/>
          <w:sz w:val="24"/>
          <w:szCs w:val="24"/>
          <w:highlight w:val="none"/>
        </w:rPr>
        <w:t>平板触控</w:t>
      </w:r>
      <w:r>
        <w:rPr>
          <w:rFonts w:hint="eastAsia" w:ascii="宋体" w:hAnsi="宋体" w:eastAsia="宋体" w:cs="宋体"/>
          <w:sz w:val="24"/>
          <w:szCs w:val="24"/>
          <w:highlight w:val="none"/>
          <w:lang w:val="en-US" w:eastAsia="zh-CN"/>
        </w:rPr>
        <w:t>显示</w:t>
      </w:r>
      <w:r>
        <w:rPr>
          <w:rFonts w:hint="eastAsia" w:ascii="宋体" w:hAnsi="宋体" w:eastAsia="宋体" w:cs="宋体"/>
          <w:sz w:val="24"/>
          <w:szCs w:val="24"/>
          <w:highlight w:val="none"/>
        </w:rPr>
        <w:t>屏，分辨率≥2560x1440。</w:t>
      </w:r>
    </w:p>
    <w:p w14:paraId="086E3AA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5.2相控阵、凸阵、线阵、微凸及腔内探头配备可复消穿刺架及附件、自动活检枪2套。</w:t>
      </w:r>
    </w:p>
    <w:p w14:paraId="07CCCA5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z w:val="24"/>
          <w:szCs w:val="24"/>
          <w:highlight w:val="none"/>
          <w:lang w:val="en-US" w:eastAsia="zh-CN"/>
        </w:rPr>
        <w:t>其他</w:t>
      </w:r>
      <w:r>
        <w:rPr>
          <w:rFonts w:hint="eastAsia" w:ascii="宋体" w:hAnsi="宋体" w:eastAsia="宋体" w:cs="宋体"/>
          <w:sz w:val="24"/>
          <w:szCs w:val="24"/>
          <w:highlight w:val="none"/>
        </w:rPr>
        <w:t>要求</w:t>
      </w:r>
    </w:p>
    <w:p w14:paraId="567B7C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6.1配备超声专用检查床1张、超声专用检查椅2把。</w:t>
      </w:r>
    </w:p>
    <w:p w14:paraId="5A5939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6.2报告录入电脑1套（i7及以上、内存≥64G、硬盘≥2T、显示器≥23英寸、具备蓝牙及WIFI功能）及电脑桌椅1套。外置喷墨彩色打印机1套.</w:t>
      </w:r>
    </w:p>
    <w:p w14:paraId="3E10C86C">
      <w:pPr>
        <w:spacing w:line="360" w:lineRule="auto"/>
        <w:ind w:firstLine="480" w:firstLineChars="200"/>
        <w:rPr>
          <w:rFonts w:hint="eastAsia" w:ascii="宋体" w:hAnsi="宋体" w:eastAsia="宋体" w:cs="宋体"/>
          <w:color w:val="auto"/>
          <w:sz w:val="24"/>
          <w:szCs w:val="24"/>
          <w:highlight w:val="none"/>
          <w:lang w:eastAsia="zh-CN"/>
        </w:rPr>
      </w:pPr>
    </w:p>
    <w:p w14:paraId="530DCCCB">
      <w:pPr>
        <w:spacing w:line="360" w:lineRule="auto"/>
        <w:ind w:firstLine="480" w:firstLineChars="200"/>
        <w:rPr>
          <w:rFonts w:hint="eastAsia" w:ascii="宋体" w:hAnsi="宋体" w:eastAsia="宋体" w:cs="宋体"/>
          <w:color w:val="EE0000"/>
          <w:sz w:val="24"/>
          <w:szCs w:val="24"/>
          <w:highlight w:val="none"/>
        </w:rPr>
      </w:pPr>
    </w:p>
    <w:p w14:paraId="6865BE26">
      <w:pPr>
        <w:spacing w:line="360" w:lineRule="auto"/>
        <w:ind w:firstLine="480" w:firstLineChars="200"/>
        <w:rPr>
          <w:rFonts w:hint="eastAsia" w:ascii="宋体" w:hAnsi="宋体" w:eastAsia="宋体" w:cs="宋体"/>
          <w:color w:val="EE0000"/>
          <w:sz w:val="24"/>
          <w:szCs w:val="24"/>
          <w:highlight w:val="none"/>
        </w:rPr>
      </w:pPr>
    </w:p>
    <w:p w14:paraId="625AE92F">
      <w:pPr>
        <w:keepNext w:val="0"/>
        <w:keepLines w:val="0"/>
        <w:pageBreakBefore w:val="0"/>
        <w:widowControl/>
        <w:numPr>
          <w:ilvl w:val="0"/>
          <w:numId w:val="0"/>
        </w:numPr>
        <w:kinsoku/>
        <w:wordWrap/>
        <w:overflowPunct/>
        <w:topLinePunct w:val="0"/>
        <w:autoSpaceDE w:val="0"/>
        <w:autoSpaceDN w:val="0"/>
        <w:bidi w:val="0"/>
        <w:adjustRightInd w:val="0"/>
        <w:snapToGrid w:val="0"/>
        <w:spacing w:line="336" w:lineRule="auto"/>
        <w:textAlignment w:val="baseline"/>
        <w:rPr>
          <w:rFonts w:hint="eastAsia" w:ascii="宋体" w:hAnsi="宋体" w:eastAsia="宋体" w:cs="宋体"/>
          <w:b/>
          <w:bCs/>
          <w:sz w:val="24"/>
          <w:szCs w:val="24"/>
          <w:highlight w:val="none"/>
          <w:lang w:val="en-US" w:eastAsia="zh-CN"/>
        </w:rPr>
      </w:pPr>
    </w:p>
    <w:p w14:paraId="27F6A757">
      <w:pPr>
        <w:keepNext w:val="0"/>
        <w:keepLines w:val="0"/>
        <w:pageBreakBefore/>
        <w:widowControl w:val="0"/>
        <w:numPr>
          <w:ilvl w:val="0"/>
          <w:numId w:val="0"/>
        </w:numPr>
        <w:kinsoku/>
        <w:wordWrap/>
        <w:overflowPunct/>
        <w:topLinePunct w:val="0"/>
        <w:autoSpaceDE w:val="0"/>
        <w:autoSpaceDN w:val="0"/>
        <w:bidi w:val="0"/>
        <w:adjustRightInd w:val="0"/>
        <w:snapToGrid w:val="0"/>
        <w:jc w:val="center"/>
        <w:textAlignment w:val="baseline"/>
        <w:outlineLvl w:val="0"/>
        <w:rPr>
          <w:rFonts w:hint="eastAsia" w:ascii="Times New Roman" w:hAnsi="Times New Roman" w:eastAsia="宋体" w:cs="Times New Roman"/>
          <w:b/>
          <w:bCs/>
          <w:color w:val="auto"/>
          <w:spacing w:val="0"/>
          <w:sz w:val="35"/>
          <w:szCs w:val="35"/>
          <w:highlight w:val="none"/>
          <w:lang w:val="en-US" w:eastAsia="zh-CN"/>
        </w:rPr>
      </w:pPr>
      <w:bookmarkStart w:id="30" w:name="_Toc12775"/>
      <w:r>
        <w:rPr>
          <w:rFonts w:hint="eastAsia" w:ascii="Times New Roman" w:hAnsi="Times New Roman" w:eastAsia="宋体" w:cs="Times New Roman"/>
          <w:b/>
          <w:bCs/>
          <w:snapToGrid w:val="0"/>
          <w:color w:val="auto"/>
          <w:spacing w:val="0"/>
          <w:kern w:val="0"/>
          <w:sz w:val="35"/>
          <w:szCs w:val="35"/>
          <w:highlight w:val="none"/>
          <w:lang w:val="en-US" w:eastAsia="zh-CN"/>
        </w:rPr>
        <w:t>第四章、</w:t>
      </w:r>
      <w:r>
        <w:rPr>
          <w:rFonts w:hint="eastAsia" w:ascii="Times New Roman" w:hAnsi="Times New Roman" w:eastAsia="宋体" w:cs="Times New Roman"/>
          <w:b/>
          <w:bCs/>
          <w:color w:val="auto"/>
          <w:spacing w:val="0"/>
          <w:sz w:val="35"/>
          <w:szCs w:val="35"/>
          <w:highlight w:val="none"/>
          <w:lang w:val="en-US" w:eastAsia="zh-CN"/>
        </w:rPr>
        <w:t>商务要求</w:t>
      </w:r>
      <w:bookmarkEnd w:id="18"/>
      <w:bookmarkEnd w:id="30"/>
    </w:p>
    <w:p w14:paraId="28331225">
      <w:pPr>
        <w:keepNext w:val="0"/>
        <w:keepLines w:val="0"/>
        <w:kinsoku/>
        <w:overflowPunct/>
        <w:topLinePunct w:val="0"/>
        <w:bidi w:val="0"/>
        <w:spacing w:line="360" w:lineRule="auto"/>
        <w:ind w:firstLine="484" w:firstLineChars="201"/>
        <w:rPr>
          <w:rFonts w:hint="eastAsia" w:cs="宋体" w:asciiTheme="minorEastAsia" w:hAnsiTheme="minorEastAsia" w:eastAsiaTheme="minorEastAsia"/>
          <w:b/>
          <w:sz w:val="24"/>
          <w:szCs w:val="20"/>
          <w:highlight w:val="none"/>
        </w:rPr>
      </w:pPr>
    </w:p>
    <w:p w14:paraId="374CE929">
      <w:pPr>
        <w:pStyle w:val="7"/>
        <w:keepNext w:val="0"/>
        <w:keepLines w:val="0"/>
        <w:pageBreakBefore w:val="0"/>
        <w:numPr>
          <w:ilvl w:val="0"/>
          <w:numId w:val="0"/>
        </w:numPr>
        <w:kinsoku/>
        <w:wordWrap/>
        <w:overflowPunct/>
        <w:topLinePunct w:val="0"/>
        <w:bidi w:val="0"/>
        <w:spacing w:line="336"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一、项目名称：</w:t>
      </w:r>
      <w:r>
        <w:rPr>
          <w:rFonts w:hint="eastAsia" w:ascii="宋体" w:hAnsi="宋体" w:eastAsia="宋体" w:cs="宋体"/>
          <w:b w:val="0"/>
          <w:bCs/>
          <w:color w:val="auto"/>
          <w:spacing w:val="0"/>
          <w:sz w:val="24"/>
          <w:szCs w:val="24"/>
          <w:highlight w:val="none"/>
          <w:lang w:val="en-US" w:eastAsia="zh-CN"/>
        </w:rPr>
        <w:t>宝鸡市第二人民医院彩超采购项目</w:t>
      </w:r>
      <w:r>
        <w:rPr>
          <w:rFonts w:hint="eastAsia" w:ascii="宋体" w:hAnsi="宋体" w:eastAsia="宋体" w:cs="宋体"/>
          <w:b w:val="0"/>
          <w:bCs/>
          <w:color w:val="auto"/>
          <w:kern w:val="2"/>
          <w:sz w:val="24"/>
          <w:szCs w:val="24"/>
          <w:highlight w:val="none"/>
          <w:lang w:val="en-US" w:eastAsia="zh-CN" w:bidi="ar-SA"/>
        </w:rPr>
        <w:t>。</w:t>
      </w:r>
    </w:p>
    <w:p w14:paraId="60073B2C">
      <w:pPr>
        <w:keepNext w:val="0"/>
        <w:keepLines w:val="0"/>
        <w:pageBreakBefore w:val="0"/>
        <w:kinsoku/>
        <w:wordWrap/>
        <w:overflowPunct/>
        <w:topLinePunct w:val="0"/>
        <w:bidi w:val="0"/>
        <w:adjustRightInd w:val="0"/>
        <w:snapToGrid w:val="0"/>
        <w:spacing w:line="336"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二、交货地点：</w:t>
      </w:r>
      <w:r>
        <w:rPr>
          <w:rFonts w:hint="eastAsia" w:ascii="宋体" w:hAnsi="宋体" w:eastAsia="宋体" w:cs="宋体"/>
          <w:color w:val="auto"/>
          <w:spacing w:val="0"/>
          <w:sz w:val="24"/>
          <w:szCs w:val="24"/>
          <w:highlight w:val="none"/>
          <w:lang w:val="en-US" w:eastAsia="zh-CN"/>
        </w:rPr>
        <w:t>采购人指定地点</w:t>
      </w:r>
      <w:r>
        <w:rPr>
          <w:rFonts w:hint="eastAsia" w:ascii="宋体" w:hAnsi="宋体" w:eastAsia="宋体" w:cs="宋体"/>
          <w:color w:val="auto"/>
          <w:sz w:val="24"/>
          <w:szCs w:val="24"/>
          <w:highlight w:val="none"/>
          <w:lang w:val="en-US" w:eastAsia="zh-CN"/>
        </w:rPr>
        <w:t>。</w:t>
      </w:r>
    </w:p>
    <w:p w14:paraId="17B2C438">
      <w:pPr>
        <w:keepNext w:val="0"/>
        <w:keepLines w:val="0"/>
        <w:pageBreakBefore w:val="0"/>
        <w:kinsoku/>
        <w:wordWrap/>
        <w:overflowPunct/>
        <w:topLinePunct w:val="0"/>
        <w:bidi w:val="0"/>
        <w:adjustRightInd w:val="0"/>
        <w:snapToGrid w:val="0"/>
        <w:spacing w:line="336"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三、质保期：</w:t>
      </w:r>
      <w:r>
        <w:rPr>
          <w:rFonts w:hint="eastAsia" w:ascii="宋体" w:hAnsi="宋体" w:eastAsia="宋体" w:cs="宋体"/>
          <w:b w:val="0"/>
          <w:bCs w:val="0"/>
          <w:color w:val="auto"/>
          <w:sz w:val="24"/>
          <w:szCs w:val="24"/>
          <w:highlight w:val="none"/>
          <w:lang w:val="en-US" w:eastAsia="zh-CN"/>
        </w:rPr>
        <w:t>整机原厂质保≥3年</w:t>
      </w:r>
      <w:r>
        <w:rPr>
          <w:rFonts w:hint="eastAsia" w:ascii="宋体" w:hAnsi="宋体" w:eastAsia="宋体" w:cs="宋体"/>
          <w:sz w:val="24"/>
          <w:highlight w:val="none"/>
        </w:rPr>
        <w:t>（提供生产厂商质保承诺函，进口产品提供中国总代理质保承诺函）</w:t>
      </w:r>
      <w:r>
        <w:rPr>
          <w:rFonts w:hint="eastAsia" w:ascii="宋体" w:hAnsi="宋体" w:eastAsia="宋体" w:cs="宋体"/>
          <w:b w:val="0"/>
          <w:bCs w:val="0"/>
          <w:color w:val="auto"/>
          <w:sz w:val="24"/>
          <w:szCs w:val="24"/>
          <w:highlight w:val="none"/>
          <w:lang w:val="en-US" w:eastAsia="zh-CN"/>
        </w:rPr>
        <w:t>。</w:t>
      </w:r>
    </w:p>
    <w:p w14:paraId="7E8EA827">
      <w:pPr>
        <w:keepNext w:val="0"/>
        <w:keepLines w:val="0"/>
        <w:pageBreakBefore w:val="0"/>
        <w:kinsoku/>
        <w:wordWrap/>
        <w:overflowPunct/>
        <w:topLinePunct w:val="0"/>
        <w:bidi w:val="0"/>
        <w:adjustRightInd w:val="0"/>
        <w:snapToGrid w:val="0"/>
        <w:spacing w:line="336"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四、交货期：</w:t>
      </w:r>
      <w:r>
        <w:rPr>
          <w:rFonts w:hint="eastAsia" w:ascii="宋体" w:hAnsi="宋体" w:eastAsia="宋体" w:cs="宋体"/>
          <w:color w:val="auto"/>
          <w:sz w:val="24"/>
          <w:szCs w:val="24"/>
          <w:highlight w:val="none"/>
          <w:lang w:val="en-US" w:eastAsia="zh-CN"/>
        </w:rPr>
        <w:t>自合同签订之日起</w:t>
      </w:r>
      <w:r>
        <w:rPr>
          <w:rFonts w:hint="eastAsia" w:ascii="宋体" w:hAnsi="宋体" w:eastAsia="宋体" w:cs="宋体"/>
          <w:b w:val="0"/>
          <w:bCs w:val="0"/>
          <w:color w:val="auto"/>
          <w:sz w:val="24"/>
          <w:szCs w:val="24"/>
          <w:highlight w:val="none"/>
          <w:lang w:val="en-US" w:eastAsia="zh-CN"/>
        </w:rPr>
        <w:t>国产产品30</w:t>
      </w:r>
      <w:r>
        <w:rPr>
          <w:rFonts w:hint="eastAsia" w:ascii="宋体" w:hAnsi="宋体" w:eastAsia="宋体" w:cs="宋体"/>
          <w:color w:val="auto"/>
          <w:sz w:val="24"/>
          <w:szCs w:val="24"/>
          <w:highlight w:val="none"/>
          <w:lang w:val="en-US" w:eastAsia="zh-CN"/>
        </w:rPr>
        <w:t>个日历日内交付，进口产品60个日历日交付。</w:t>
      </w:r>
    </w:p>
    <w:p w14:paraId="26BC4411">
      <w:pPr>
        <w:pStyle w:val="56"/>
        <w:keepNext w:val="0"/>
        <w:keepLines w:val="0"/>
        <w:pageBreakBefore w:val="0"/>
        <w:widowControl w:val="0"/>
        <w:kinsoku/>
        <w:wordWrap/>
        <w:overflowPunct/>
        <w:topLinePunct w:val="0"/>
        <w:bidi w:val="0"/>
        <w:spacing w:line="336" w:lineRule="auto"/>
        <w:textAlignment w:val="auto"/>
        <w:rPr>
          <w:rFonts w:hint="default" w:ascii="宋体" w:hAnsi="宋体" w:eastAsia="宋体" w:cs="宋体"/>
          <w:b/>
          <w:bCs w:val="0"/>
          <w:color w:val="auto"/>
          <w:kern w:val="2"/>
          <w:sz w:val="24"/>
          <w:szCs w:val="24"/>
          <w:highlight w:val="none"/>
          <w:lang w:val="en-US" w:eastAsia="zh-CN" w:bidi="ar-SA"/>
        </w:rPr>
      </w:pPr>
      <w:r>
        <w:rPr>
          <w:rFonts w:hint="eastAsia" w:hAnsi="宋体" w:cs="宋体"/>
          <w:b/>
          <w:bCs w:val="0"/>
          <w:color w:val="auto"/>
          <w:kern w:val="2"/>
          <w:sz w:val="24"/>
          <w:szCs w:val="24"/>
          <w:highlight w:val="none"/>
          <w:lang w:val="en-US" w:eastAsia="zh-CN" w:bidi="ar-SA"/>
        </w:rPr>
        <w:t>五、质量标准：</w:t>
      </w:r>
      <w:r>
        <w:rPr>
          <w:rFonts w:hint="eastAsia" w:hAnsi="宋体" w:cs="宋体"/>
          <w:b w:val="0"/>
          <w:bCs/>
          <w:color w:val="auto"/>
          <w:kern w:val="2"/>
          <w:sz w:val="24"/>
          <w:szCs w:val="24"/>
          <w:highlight w:val="none"/>
          <w:lang w:val="en-US" w:eastAsia="zh-CN" w:bidi="ar-SA"/>
        </w:rPr>
        <w:t>符合国家行业相关标准规范要求。</w:t>
      </w:r>
    </w:p>
    <w:p w14:paraId="0D183182">
      <w:pPr>
        <w:pStyle w:val="56"/>
        <w:keepNext w:val="0"/>
        <w:keepLines w:val="0"/>
        <w:pageBreakBefore w:val="0"/>
        <w:widowControl w:val="0"/>
        <w:kinsoku/>
        <w:wordWrap/>
        <w:overflowPunct/>
        <w:topLinePunct w:val="0"/>
        <w:bidi w:val="0"/>
        <w:spacing w:line="336" w:lineRule="auto"/>
        <w:textAlignment w:val="auto"/>
        <w:rPr>
          <w:rFonts w:hint="eastAsia" w:hAnsi="宋体" w:cs="宋体"/>
          <w:b/>
          <w:bCs w:val="0"/>
          <w:color w:val="auto"/>
          <w:kern w:val="2"/>
          <w:sz w:val="24"/>
          <w:szCs w:val="24"/>
          <w:highlight w:val="none"/>
          <w:lang w:val="en-US" w:eastAsia="zh-CN" w:bidi="ar-SA"/>
        </w:rPr>
      </w:pPr>
      <w:r>
        <w:rPr>
          <w:rFonts w:hint="eastAsia" w:hAnsi="宋体" w:cs="宋体"/>
          <w:b/>
          <w:bCs w:val="0"/>
          <w:color w:val="auto"/>
          <w:kern w:val="2"/>
          <w:sz w:val="24"/>
          <w:szCs w:val="24"/>
          <w:highlight w:val="none"/>
          <w:lang w:val="en-US" w:eastAsia="zh-CN" w:bidi="ar-SA"/>
        </w:rPr>
        <w:t>六、使用期限≥</w:t>
      </w:r>
      <w:r>
        <w:rPr>
          <w:rFonts w:hint="eastAsia" w:hAnsi="宋体" w:cs="宋体"/>
          <w:b/>
          <w:bCs w:val="0"/>
          <w:strike w:val="0"/>
          <w:dstrike w:val="0"/>
          <w:color w:val="auto"/>
          <w:kern w:val="2"/>
          <w:sz w:val="24"/>
          <w:szCs w:val="24"/>
          <w:highlight w:val="none"/>
          <w:lang w:val="en-US" w:eastAsia="zh-CN" w:bidi="ar-SA"/>
        </w:rPr>
        <w:t>8</w:t>
      </w:r>
      <w:r>
        <w:rPr>
          <w:rFonts w:hint="eastAsia" w:hAnsi="宋体" w:cs="宋体"/>
          <w:b/>
          <w:bCs w:val="0"/>
          <w:color w:val="auto"/>
          <w:kern w:val="2"/>
          <w:sz w:val="24"/>
          <w:szCs w:val="24"/>
          <w:highlight w:val="none"/>
          <w:lang w:val="en-US" w:eastAsia="zh-CN" w:bidi="ar-SA"/>
        </w:rPr>
        <w:t>年</w:t>
      </w:r>
    </w:p>
    <w:p w14:paraId="623736E3">
      <w:pPr>
        <w:pStyle w:val="56"/>
        <w:keepNext w:val="0"/>
        <w:keepLines w:val="0"/>
        <w:pageBreakBefore w:val="0"/>
        <w:widowControl w:val="0"/>
        <w:kinsoku/>
        <w:wordWrap/>
        <w:overflowPunct/>
        <w:topLinePunct w:val="0"/>
        <w:bidi w:val="0"/>
        <w:spacing w:line="336"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hAnsi="宋体" w:cs="宋体"/>
          <w:b/>
          <w:bCs w:val="0"/>
          <w:color w:val="auto"/>
          <w:kern w:val="2"/>
          <w:sz w:val="24"/>
          <w:szCs w:val="24"/>
          <w:highlight w:val="none"/>
          <w:lang w:val="en-US" w:eastAsia="zh-CN" w:bidi="ar-SA"/>
        </w:rPr>
        <w:t>七、</w:t>
      </w:r>
      <w:r>
        <w:rPr>
          <w:rFonts w:hint="eastAsia" w:ascii="宋体" w:hAnsi="宋体" w:eastAsia="宋体" w:cs="宋体"/>
          <w:b/>
          <w:bCs w:val="0"/>
          <w:color w:val="auto"/>
          <w:kern w:val="2"/>
          <w:sz w:val="24"/>
          <w:szCs w:val="24"/>
          <w:highlight w:val="none"/>
          <w:lang w:val="en-US" w:eastAsia="zh-CN" w:bidi="ar-SA"/>
        </w:rPr>
        <w:t>运输</w:t>
      </w:r>
    </w:p>
    <w:p w14:paraId="1923C02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1、运输由乙方负责，运杂费已包含在合同总价内，包括从设备供应地点运送至交付地点所含的运输费、装卸费、仓储费、保险费等合理费用。 </w:t>
      </w:r>
    </w:p>
    <w:p w14:paraId="3D186B7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2、运输方式由乙方自行选择，但必须保证按期交货。</w:t>
      </w:r>
    </w:p>
    <w:p w14:paraId="0506323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八、付款方式：</w:t>
      </w:r>
    </w:p>
    <w:p w14:paraId="520FEE58">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1.付款方式：</w:t>
      </w:r>
    </w:p>
    <w:p w14:paraId="4FB351B6">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合同签订后，若乙方为中小企业支付40%作为预付款（供货方需支付合同总款5%的履约保证金）。若乙方非中小企业，设备到达甲方指定地点，安装、调试、运行并验收合格后支付货款的40%（供货方需支付合同总款5%的履约保证金）。设备无故障运行满60天内，甲方支付乙方设备总货款至100%。履约保证金在设备质保期满后，经甲方确认设备无质量问题，无乙方违约情形的，甲方于10个工作日内无息退还。</w:t>
      </w:r>
    </w:p>
    <w:p w14:paraId="5C12C943">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2.结算方式：银行转账</w:t>
      </w:r>
    </w:p>
    <w:p w14:paraId="0FC09594">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3.设备、设施安装到位，调试完毕，正式投入使用后，由甲、乙双方共同验收合格后填写验收合格单，并由乙方按合同总价开具正式发票交给甲方。乙方持成交通知书、供货合同、发票、验收合格单与甲方结算。  </w:t>
      </w:r>
    </w:p>
    <w:p w14:paraId="25F5E74E">
      <w:pPr>
        <w:pStyle w:val="8"/>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highlight w:val="none"/>
          <w:lang w:val="en-US" w:eastAsia="zh-CN"/>
        </w:rPr>
        <w:t>九、验</w:t>
      </w:r>
      <w:r>
        <w:rPr>
          <w:rFonts w:hint="eastAsia" w:ascii="宋体" w:hAnsi="宋体" w:eastAsia="宋体" w:cs="宋体"/>
          <w:b/>
          <w:bCs/>
          <w:color w:val="auto"/>
          <w:sz w:val="24"/>
          <w:szCs w:val="24"/>
          <w:highlight w:val="none"/>
          <w:lang w:val="en-US" w:eastAsia="zh-CN"/>
        </w:rPr>
        <w:t>收</w:t>
      </w:r>
      <w:r>
        <w:rPr>
          <w:rFonts w:hint="eastAsia" w:ascii="宋体" w:hAnsi="宋体" w:eastAsia="宋体" w:cs="宋体"/>
          <w:color w:val="auto"/>
          <w:sz w:val="24"/>
          <w:szCs w:val="24"/>
          <w:highlight w:val="none"/>
          <w:lang w:val="en-US" w:eastAsia="zh-CN"/>
        </w:rPr>
        <w:t>：</w:t>
      </w:r>
    </w:p>
    <w:p w14:paraId="51D5D0B7">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1、验收：乙方完成服务内容后，向甲方提出验收申请，甲方接到乙方验收申请后组织验收（必要时可聘请相应专家或委托相应部门验收），</w:t>
      </w:r>
      <w:r>
        <w:rPr>
          <w:rFonts w:hint="eastAsia" w:ascii="宋体" w:hAnsi="宋体" w:eastAsia="宋体" w:cs="宋体"/>
          <w:sz w:val="24"/>
          <w:szCs w:val="24"/>
          <w:highlight w:val="none"/>
          <w:lang w:val="en-US" w:eastAsia="zh-CN"/>
        </w:rPr>
        <w:t>验收时</w:t>
      </w:r>
      <w:r>
        <w:rPr>
          <w:rFonts w:hint="eastAsia" w:ascii="宋体" w:hAnsi="宋体" w:eastAsia="宋体" w:cs="宋体"/>
          <w:sz w:val="24"/>
          <w:szCs w:val="24"/>
          <w:highlight w:val="none"/>
        </w:rPr>
        <w:t>提供设备计量检定或校准证书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验收合格后，出具使用验收合格证明。</w:t>
      </w:r>
    </w:p>
    <w:p w14:paraId="228B4D1D">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2、最终验收：最终验收结果作为付款依据，乙方填写验收单，并向甲方提交实施过程中的所有资料，以便甲方日后管理和维护。</w:t>
      </w:r>
    </w:p>
    <w:p w14:paraId="03D68E6B">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3、质保期满后：由乙方出具质保期运行质量报告，若存在质量问题，应按相应规定协商处理。</w:t>
      </w:r>
    </w:p>
    <w:p w14:paraId="2BB74C2A">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4、验收依据：</w:t>
      </w:r>
    </w:p>
    <w:p w14:paraId="77D3C400">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4-1、合同文本、合同附件、招标文件、投标文件。</w:t>
      </w:r>
    </w:p>
    <w:p w14:paraId="4311158E">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4-2、国内相应的标准、规范。</w:t>
      </w:r>
    </w:p>
    <w:p w14:paraId="493E339D">
      <w:pPr>
        <w:keepNext w:val="0"/>
        <w:keepLines w:val="0"/>
        <w:pageBreakBefore w:val="0"/>
        <w:widowControl w:val="0"/>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highlight w:val="none"/>
          <w:lang w:val="en-US" w:eastAsia="zh-CN"/>
        </w:rPr>
        <w:t>4-3、进口设备生产日期不得早于到货日期12个月（或360天）,国产设备生产日期不得早于到货日期 6个月（或180天）。货物生产日期不符合要求，则甲方有权拒收，并要求乙方支付合同金额 10%的补偿金。</w:t>
      </w:r>
    </w:p>
    <w:p w14:paraId="43602A47">
      <w:pPr>
        <w:keepNext w:val="0"/>
        <w:keepLines w:val="0"/>
        <w:pageBreakBefore w:val="0"/>
        <w:widowControl w:val="0"/>
        <w:kinsoku/>
        <w:wordWrap/>
        <w:overflowPunct/>
        <w:topLinePunct w:val="0"/>
        <w:bidi w:val="0"/>
        <w:adjustRightInd w:val="0"/>
        <w:snapToGrid w:val="0"/>
        <w:spacing w:line="336"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十、售后服务</w:t>
      </w:r>
    </w:p>
    <w:p w14:paraId="14E89EB0">
      <w:pPr>
        <w:keepNext w:val="0"/>
        <w:keepLines w:val="0"/>
        <w:pageBreakBefore w:val="0"/>
        <w:widowControl w:val="0"/>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1、承担每台设备与医院内His、PACS工作站连接并具备结构化报告系统的所有费用</w:t>
      </w:r>
    </w:p>
    <w:p w14:paraId="2177357A">
      <w:pPr>
        <w:keepNext w:val="0"/>
        <w:keepLines w:val="0"/>
        <w:pageBreakBefore w:val="0"/>
        <w:widowControl w:val="0"/>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2、在陕西境内提供专业维修人员≥3名，</w:t>
      </w:r>
      <w:r>
        <w:rPr>
          <w:rFonts w:hint="eastAsia" w:ascii="宋体" w:hAnsi="宋体" w:eastAsia="宋体" w:cs="宋体"/>
          <w:b w:val="0"/>
          <w:bCs w:val="0"/>
          <w:color w:val="auto"/>
          <w:sz w:val="24"/>
          <w:szCs w:val="24"/>
          <w:highlight w:val="none"/>
          <w:lang w:val="en-US" w:eastAsia="zh-CN"/>
        </w:rPr>
        <w:t>国内具有零配件库（进口产品</w:t>
      </w:r>
      <w:r>
        <w:rPr>
          <w:rFonts w:hint="eastAsia" w:ascii="宋体" w:hAnsi="宋体" w:eastAsia="宋体" w:cs="宋体"/>
          <w:sz w:val="24"/>
          <w:szCs w:val="24"/>
          <w:highlight w:val="none"/>
          <w:lang w:val="en-US" w:eastAsia="zh-CN"/>
        </w:rPr>
        <w:t>在中国境内有相应的零配件保税库</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sz w:val="24"/>
          <w:szCs w:val="24"/>
          <w:highlight w:val="none"/>
          <w:lang w:val="en-US" w:eastAsia="zh-CN"/>
        </w:rPr>
        <w:t>，提供7x</w:t>
      </w:r>
      <w:r>
        <w:rPr>
          <w:rFonts w:hint="eastAsia" w:ascii="宋体" w:hAnsi="宋体" w:eastAsia="宋体" w:cs="宋体"/>
          <w:strike w:val="0"/>
          <w:dstrike w:val="0"/>
          <w:sz w:val="24"/>
          <w:szCs w:val="24"/>
          <w:highlight w:val="none"/>
          <w:lang w:val="en-US" w:eastAsia="zh-CN"/>
        </w:rPr>
        <w:t>24</w:t>
      </w:r>
      <w:r>
        <w:rPr>
          <w:rFonts w:hint="eastAsia" w:ascii="宋体" w:hAnsi="宋体" w:eastAsia="宋体" w:cs="宋体"/>
          <w:sz w:val="24"/>
          <w:szCs w:val="24"/>
          <w:highlight w:val="none"/>
          <w:lang w:val="en-US" w:eastAsia="zh-CN"/>
        </w:rPr>
        <w:t>小时技术支持与维修服务。</w:t>
      </w:r>
    </w:p>
    <w:p w14:paraId="6FC9DEEC">
      <w:pPr>
        <w:keepNext w:val="0"/>
        <w:keepLines w:val="0"/>
        <w:pageBreakBefore w:val="0"/>
        <w:widowControl/>
        <w:numPr>
          <w:ilvl w:val="0"/>
          <w:numId w:val="0"/>
        </w:numPr>
        <w:kinsoku/>
        <w:wordWrap/>
        <w:overflowPunct/>
        <w:topLinePunct w:val="0"/>
        <w:autoSpaceDE w:val="0"/>
        <w:autoSpaceDN w:val="0"/>
        <w:bidi w:val="0"/>
        <w:adjustRightInd w:val="0"/>
        <w:snapToGrid w:val="0"/>
        <w:spacing w:line="336" w:lineRule="auto"/>
        <w:ind w:firstLine="480" w:firstLineChars="200"/>
        <w:jc w:val="both"/>
        <w:textAlignment w:val="baseline"/>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rPr>
        <w:t>提供≥</w:t>
      </w: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rPr>
        <w:t>年免费维护升级及技术支持</w:t>
      </w:r>
      <w:r>
        <w:rPr>
          <w:rFonts w:hint="eastAsia" w:cs="宋体" w:asciiTheme="minorEastAsia" w:hAnsiTheme="minorEastAsia" w:eastAsiaTheme="minorEastAsia"/>
          <w:sz w:val="24"/>
          <w:szCs w:val="24"/>
          <w:highlight w:val="none"/>
          <w:lang w:eastAsia="zh-CN"/>
        </w:rPr>
        <w:t>。</w:t>
      </w:r>
    </w:p>
    <w:p w14:paraId="7B9C64B2">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textAlignment w:val="baseline"/>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4、技术培训要求，乙方应提供现场技术培训。</w:t>
      </w:r>
    </w:p>
    <w:p w14:paraId="47F0FD67">
      <w:pPr>
        <w:keepNext w:val="0"/>
        <w:keepLines w:val="0"/>
        <w:pageBreakBefore w:val="0"/>
        <w:widowControl/>
        <w:kinsoku/>
        <w:wordWrap/>
        <w:overflowPunct/>
        <w:topLinePunct w:val="0"/>
        <w:autoSpaceDE w:val="0"/>
        <w:autoSpaceDN w:val="0"/>
        <w:bidi w:val="0"/>
        <w:adjustRightInd w:val="0"/>
        <w:snapToGrid w:val="0"/>
        <w:spacing w:line="336" w:lineRule="auto"/>
        <w:ind w:firstLine="482" w:firstLineChars="200"/>
        <w:textAlignment w:val="baseline"/>
        <w:rPr>
          <w:sz w:val="24"/>
          <w:szCs w:val="24"/>
          <w:highlight w:val="none"/>
        </w:rPr>
      </w:pPr>
      <w:r>
        <w:rPr>
          <w:rFonts w:hint="eastAsia" w:ascii="宋体" w:hAnsi="宋体" w:eastAsia="宋体" w:cs="宋体"/>
          <w:b/>
          <w:sz w:val="24"/>
          <w:szCs w:val="24"/>
          <w:highlight w:val="none"/>
        </w:rPr>
        <w:t>注：商务要求为实质性要求，不得负偏离。</w:t>
      </w:r>
    </w:p>
    <w:p w14:paraId="7B94A983">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highlight w:val="none"/>
          <w:lang w:val="en-US" w:eastAsia="zh-CN"/>
        </w:rPr>
      </w:pPr>
    </w:p>
    <w:p w14:paraId="5ED19C45">
      <w:pPr>
        <w:keepNext w:val="0"/>
        <w:keepLines w:val="0"/>
        <w:pageBreakBefore/>
        <w:widowControl w:val="0"/>
        <w:suppressLineNumbers w:val="0"/>
        <w:kinsoku/>
        <w:wordWrap/>
        <w:overflowPunct/>
        <w:topLinePunct w:val="0"/>
        <w:autoSpaceDE w:val="0"/>
        <w:autoSpaceDN w:val="0"/>
        <w:bidi w:val="0"/>
        <w:adjustRightInd w:val="0"/>
        <w:snapToGrid w:val="0"/>
        <w:spacing w:line="500" w:lineRule="exact"/>
        <w:jc w:val="center"/>
        <w:textAlignment w:val="baseline"/>
        <w:outlineLvl w:val="0"/>
        <w:rPr>
          <w:rFonts w:hint="eastAsia" w:ascii="Times New Roman" w:hAnsi="Times New Roman" w:eastAsia="宋体" w:cs="Times New Roman"/>
          <w:sz w:val="24"/>
          <w:szCs w:val="24"/>
          <w:highlight w:val="none"/>
          <w:lang w:eastAsia="zh-CN"/>
        </w:rPr>
      </w:pPr>
      <w:bookmarkStart w:id="31" w:name="_bookmark5"/>
      <w:bookmarkEnd w:id="31"/>
      <w:bookmarkStart w:id="32" w:name="_Toc14884"/>
      <w:bookmarkStart w:id="33" w:name="_Toc16790"/>
      <w:bookmarkStart w:id="34" w:name="_Toc10669"/>
      <w:r>
        <w:rPr>
          <w:rFonts w:hint="default" w:ascii="Times New Roman" w:hAnsi="Times New Roman" w:eastAsia="宋体" w:cs="Times New Roman"/>
          <w:b/>
          <w:bCs/>
          <w:color w:val="auto"/>
          <w:spacing w:val="0"/>
          <w:sz w:val="35"/>
          <w:szCs w:val="35"/>
          <w:highlight w:val="none"/>
        </w:rPr>
        <w:t>第</w:t>
      </w:r>
      <w:r>
        <w:rPr>
          <w:rFonts w:hint="eastAsia" w:ascii="Times New Roman" w:hAnsi="Times New Roman" w:eastAsia="宋体" w:cs="Times New Roman"/>
          <w:b/>
          <w:bCs/>
          <w:color w:val="auto"/>
          <w:spacing w:val="0"/>
          <w:sz w:val="35"/>
          <w:szCs w:val="35"/>
          <w:highlight w:val="none"/>
          <w:lang w:val="en-US" w:eastAsia="zh-CN"/>
        </w:rPr>
        <w:t>五</w:t>
      </w:r>
      <w:r>
        <w:rPr>
          <w:rFonts w:hint="default" w:ascii="Times New Roman" w:hAnsi="Times New Roman" w:eastAsia="宋体" w:cs="Times New Roman"/>
          <w:b/>
          <w:bCs/>
          <w:color w:val="auto"/>
          <w:spacing w:val="0"/>
          <w:sz w:val="35"/>
          <w:szCs w:val="35"/>
          <w:highlight w:val="none"/>
        </w:rPr>
        <w:t>章</w:t>
      </w:r>
      <w:r>
        <w:rPr>
          <w:rFonts w:hint="default" w:ascii="Times New Roman" w:hAnsi="Times New Roman" w:eastAsia="宋体" w:cs="Times New Roman"/>
          <w:b/>
          <w:bCs/>
          <w:color w:val="auto"/>
          <w:spacing w:val="0"/>
          <w:sz w:val="35"/>
          <w:szCs w:val="35"/>
          <w:highlight w:val="none"/>
          <w:lang w:eastAsia="zh-CN"/>
        </w:rPr>
        <w:t>、</w:t>
      </w:r>
      <w:r>
        <w:rPr>
          <w:rFonts w:hint="default" w:ascii="Times New Roman" w:hAnsi="Times New Roman" w:eastAsia="宋体" w:cs="Times New Roman"/>
          <w:b/>
          <w:bCs/>
          <w:color w:val="auto"/>
          <w:spacing w:val="0"/>
          <w:sz w:val="35"/>
          <w:szCs w:val="35"/>
          <w:highlight w:val="none"/>
        </w:rPr>
        <w:t>合同文本</w:t>
      </w:r>
      <w:bookmarkEnd w:id="32"/>
      <w:bookmarkEnd w:id="33"/>
      <w:r>
        <w:rPr>
          <w:rFonts w:hint="eastAsia" w:ascii="Times New Roman" w:hAnsi="Times New Roman" w:eastAsia="宋体" w:cs="Times New Roman"/>
          <w:b w:val="0"/>
          <w:bCs w:val="0"/>
          <w:color w:val="auto"/>
          <w:spacing w:val="0"/>
          <w:sz w:val="22"/>
          <w:szCs w:val="22"/>
          <w:highlight w:val="none"/>
          <w:lang w:eastAsia="zh-CN"/>
        </w:rPr>
        <w:t>（</w:t>
      </w:r>
      <w:r>
        <w:rPr>
          <w:rFonts w:hint="eastAsia" w:ascii="Times New Roman" w:hAnsi="Times New Roman" w:eastAsia="宋体" w:cs="Times New Roman"/>
          <w:b w:val="0"/>
          <w:bCs w:val="0"/>
          <w:color w:val="auto"/>
          <w:spacing w:val="0"/>
          <w:sz w:val="22"/>
          <w:szCs w:val="22"/>
          <w:highlight w:val="none"/>
          <w:lang w:val="en-US" w:eastAsia="zh-CN"/>
        </w:rPr>
        <w:t>参考格式</w:t>
      </w:r>
      <w:r>
        <w:rPr>
          <w:rFonts w:hint="eastAsia" w:ascii="Times New Roman" w:hAnsi="Times New Roman" w:eastAsia="宋体" w:cs="Times New Roman"/>
          <w:b w:val="0"/>
          <w:bCs w:val="0"/>
          <w:color w:val="auto"/>
          <w:spacing w:val="0"/>
          <w:sz w:val="22"/>
          <w:szCs w:val="22"/>
          <w:highlight w:val="none"/>
          <w:lang w:eastAsia="zh-CN"/>
        </w:rPr>
        <w:t>）</w:t>
      </w:r>
      <w:bookmarkEnd w:id="34"/>
    </w:p>
    <w:p w14:paraId="3B8A6D9E">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highlight w:val="none"/>
        </w:rPr>
      </w:pPr>
    </w:p>
    <w:p w14:paraId="0153D47B">
      <w:bookmarkStart w:id="35" w:name="_bookmark6"/>
      <w:bookmarkEnd w:id="35"/>
      <w:bookmarkStart w:id="36" w:name="_Toc17711"/>
      <w:bookmarkStart w:id="37" w:name="_Toc16022"/>
      <w:bookmarkStart w:id="38" w:name="_Toc21799"/>
    </w:p>
    <w:p w14:paraId="7306115B">
      <w:pPr>
        <w:keepNext w:val="0"/>
        <w:keepLines w:val="0"/>
        <w:pageBreakBefore w:val="0"/>
        <w:widowControl/>
        <w:kinsoku w:val="0"/>
        <w:wordWrap/>
        <w:topLinePunct w:val="0"/>
        <w:autoSpaceDE w:val="0"/>
        <w:autoSpaceDN w:val="0"/>
        <w:bidi w:val="0"/>
        <w:adjustRightInd w:val="0"/>
        <w:snapToGrid w:val="0"/>
        <w:spacing w:line="384" w:lineRule="auto"/>
        <w:jc w:val="center"/>
        <w:textAlignment w:val="baseline"/>
        <w:rPr>
          <w:rFonts w:hint="eastAsia" w:ascii="宋体" w:hAnsi="宋体" w:eastAsia="宋体" w:cs="宋体"/>
          <w:b/>
          <w:bCs/>
          <w:sz w:val="36"/>
          <w:szCs w:val="36"/>
        </w:rPr>
      </w:pPr>
      <w:r>
        <w:rPr>
          <w:rFonts w:hint="eastAsia" w:ascii="宋体" w:hAnsi="宋体" w:eastAsia="宋体" w:cs="宋体"/>
          <w:b/>
          <w:bCs/>
          <w:sz w:val="36"/>
          <w:szCs w:val="36"/>
        </w:rPr>
        <w:t>供货合同</w:t>
      </w:r>
    </w:p>
    <w:p w14:paraId="4AD4B85C">
      <w:pPr>
        <w:keepNext w:val="0"/>
        <w:keepLines w:val="0"/>
        <w:pageBreakBefore w:val="0"/>
        <w:widowControl/>
        <w:kinsoku w:val="0"/>
        <w:wordWrap/>
        <w:topLinePunct w:val="0"/>
        <w:autoSpaceDE w:val="0"/>
        <w:autoSpaceDN w:val="0"/>
        <w:bidi w:val="0"/>
        <w:adjustRightInd w:val="0"/>
        <w:snapToGrid w:val="0"/>
        <w:spacing w:line="384" w:lineRule="auto"/>
        <w:textAlignment w:val="baseline"/>
        <w:rPr>
          <w:rFonts w:hint="eastAsia" w:ascii="宋体" w:hAnsi="宋体" w:eastAsia="宋体" w:cs="宋体"/>
          <w:sz w:val="24"/>
        </w:rPr>
      </w:pPr>
      <w:r>
        <w:rPr>
          <w:rFonts w:hint="eastAsia" w:ascii="宋体" w:hAnsi="宋体" w:eastAsia="宋体" w:cs="宋体"/>
          <w:sz w:val="24"/>
        </w:rPr>
        <w:t>甲方（采购人）</w:t>
      </w:r>
      <w:r>
        <w:rPr>
          <w:rFonts w:hint="eastAsia" w:ascii="宋体" w:hAnsi="宋体" w:eastAsia="宋体" w:cs="宋体"/>
          <w:sz w:val="24"/>
          <w:u w:val="single"/>
        </w:rPr>
        <w:t xml:space="preserve">                                         </w:t>
      </w:r>
    </w:p>
    <w:p w14:paraId="5DB17544">
      <w:pPr>
        <w:keepNext w:val="0"/>
        <w:keepLines w:val="0"/>
        <w:pageBreakBefore w:val="0"/>
        <w:widowControl/>
        <w:kinsoku w:val="0"/>
        <w:wordWrap/>
        <w:topLinePunct w:val="0"/>
        <w:autoSpaceDE w:val="0"/>
        <w:autoSpaceDN w:val="0"/>
        <w:bidi w:val="0"/>
        <w:adjustRightInd w:val="0"/>
        <w:snapToGrid w:val="0"/>
        <w:spacing w:line="384" w:lineRule="auto"/>
        <w:textAlignment w:val="baseline"/>
        <w:rPr>
          <w:rFonts w:hint="eastAsia" w:ascii="宋体" w:hAnsi="宋体" w:eastAsia="宋体" w:cs="宋体"/>
          <w:sz w:val="24"/>
        </w:rPr>
      </w:pPr>
      <w:r>
        <w:rPr>
          <w:rFonts w:hint="eastAsia" w:ascii="宋体" w:hAnsi="宋体" w:eastAsia="宋体" w:cs="宋体"/>
          <w:sz w:val="24"/>
        </w:rPr>
        <w:t>乙方（中标人）</w:t>
      </w:r>
      <w:r>
        <w:rPr>
          <w:rFonts w:hint="eastAsia" w:ascii="宋体" w:hAnsi="宋体" w:eastAsia="宋体" w:cs="宋体"/>
          <w:sz w:val="24"/>
          <w:u w:val="single"/>
        </w:rPr>
        <w:t xml:space="preserve">                                         </w:t>
      </w:r>
    </w:p>
    <w:p w14:paraId="7BEC955B">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为了保护甲、乙双方合法权益，根据《中华人民共和国民法典》及其他有关法律、法规、规章，双方签订本合同协议书。</w:t>
      </w:r>
    </w:p>
    <w:p w14:paraId="3E2AB43A">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bookmarkStart w:id="39" w:name="_Toc24059"/>
      <w:bookmarkStart w:id="40" w:name="_Toc3029"/>
      <w:bookmarkStart w:id="41" w:name="_Toc2232"/>
      <w:bookmarkStart w:id="42" w:name="_Toc27743"/>
      <w:bookmarkStart w:id="43" w:name="_Toc17016"/>
      <w:r>
        <w:rPr>
          <w:rFonts w:hint="eastAsia" w:ascii="宋体" w:hAnsi="宋体" w:eastAsia="宋体" w:cs="宋体"/>
          <w:b/>
          <w:sz w:val="24"/>
        </w:rPr>
        <w:t>一、合同组成部分</w:t>
      </w:r>
      <w:bookmarkEnd w:id="39"/>
      <w:bookmarkEnd w:id="40"/>
      <w:bookmarkEnd w:id="41"/>
      <w:bookmarkEnd w:id="42"/>
      <w:bookmarkEnd w:id="43"/>
    </w:p>
    <w:p w14:paraId="0750EBC4">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rPr>
        <w:t>下列文件为本合同的组成部分，并构成一个整体，需综合解释、相互补充。</w:t>
      </w:r>
      <w:r>
        <w:rPr>
          <w:rFonts w:hint="eastAsia" w:ascii="宋体" w:hAnsi="宋体" w:eastAsia="宋体" w:cs="宋体"/>
          <w:sz w:val="24"/>
          <w:lang w:val="zh-CN"/>
        </w:rPr>
        <w:t>如果下列文件内容出现不一致的情形，那么在保证按照采购文件确定的事项的前提下，组成本合同的多个文件的优先适用顺序如下：</w:t>
      </w:r>
    </w:p>
    <w:p w14:paraId="467177BF">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rPr>
        <w:t>一</w:t>
      </w:r>
      <w:r>
        <w:rPr>
          <w:rFonts w:hint="eastAsia" w:ascii="宋体" w:hAnsi="宋体" w:eastAsia="宋体" w:cs="宋体"/>
          <w:sz w:val="24"/>
          <w:lang w:val="zh-CN"/>
        </w:rPr>
        <w:t>）本合同及其补充合同、变更协议；</w:t>
      </w:r>
    </w:p>
    <w:p w14:paraId="0A0BC769">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rPr>
        <w:t>二</w:t>
      </w:r>
      <w:r>
        <w:rPr>
          <w:rFonts w:hint="eastAsia" w:ascii="宋体" w:hAnsi="宋体" w:eastAsia="宋体" w:cs="宋体"/>
          <w:sz w:val="24"/>
          <w:lang w:val="zh-CN"/>
        </w:rPr>
        <w:t>）</w:t>
      </w:r>
      <w:r>
        <w:rPr>
          <w:rFonts w:hint="eastAsia" w:ascii="宋体" w:hAnsi="宋体" w:eastAsia="宋体" w:cs="宋体"/>
          <w:sz w:val="24"/>
        </w:rPr>
        <w:t>中标</w:t>
      </w:r>
      <w:r>
        <w:rPr>
          <w:rFonts w:hint="eastAsia" w:ascii="宋体" w:hAnsi="宋体" w:eastAsia="宋体" w:cs="宋体"/>
          <w:sz w:val="24"/>
          <w:lang w:val="zh-CN"/>
        </w:rPr>
        <w:t>通知书；</w:t>
      </w:r>
    </w:p>
    <w:p w14:paraId="00EDC5A4">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rPr>
        <w:t>三</w:t>
      </w:r>
      <w:r>
        <w:rPr>
          <w:rFonts w:hint="eastAsia" w:ascii="宋体" w:hAnsi="宋体" w:eastAsia="宋体" w:cs="宋体"/>
          <w:sz w:val="24"/>
          <w:lang w:val="zh-CN"/>
        </w:rPr>
        <w:t>）</w:t>
      </w:r>
      <w:r>
        <w:rPr>
          <w:rFonts w:hint="eastAsia" w:ascii="宋体" w:hAnsi="宋体" w:eastAsia="宋体" w:cs="宋体"/>
          <w:sz w:val="24"/>
        </w:rPr>
        <w:t>招标</w:t>
      </w:r>
      <w:r>
        <w:rPr>
          <w:rFonts w:hint="eastAsia" w:ascii="宋体" w:hAnsi="宋体" w:eastAsia="宋体" w:cs="宋体"/>
          <w:sz w:val="24"/>
          <w:lang w:val="zh-CN"/>
        </w:rPr>
        <w:t>文件（含澄清或者说明文件）；</w:t>
      </w:r>
    </w:p>
    <w:p w14:paraId="3CC3C46C">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rPr>
        <w:t>四</w:t>
      </w:r>
      <w:r>
        <w:rPr>
          <w:rFonts w:hint="eastAsia" w:ascii="宋体" w:hAnsi="宋体" w:eastAsia="宋体" w:cs="宋体"/>
          <w:sz w:val="24"/>
          <w:lang w:val="zh-CN"/>
        </w:rPr>
        <w:t>）</w:t>
      </w:r>
      <w:r>
        <w:rPr>
          <w:rFonts w:hint="eastAsia" w:ascii="宋体" w:hAnsi="宋体" w:eastAsia="宋体" w:cs="宋体"/>
          <w:sz w:val="24"/>
        </w:rPr>
        <w:t>投标文件</w:t>
      </w:r>
      <w:r>
        <w:rPr>
          <w:rFonts w:hint="eastAsia" w:ascii="宋体" w:hAnsi="宋体" w:eastAsia="宋体" w:cs="宋体"/>
          <w:sz w:val="24"/>
          <w:lang w:val="zh-CN"/>
        </w:rPr>
        <w:t>（含澄清或者修改文件）；</w:t>
      </w:r>
    </w:p>
    <w:p w14:paraId="3D5344A5">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rPr>
        <w:t>五</w:t>
      </w:r>
      <w:r>
        <w:rPr>
          <w:rFonts w:hint="eastAsia" w:ascii="宋体" w:hAnsi="宋体" w:eastAsia="宋体" w:cs="宋体"/>
          <w:sz w:val="24"/>
          <w:lang w:val="zh-CN"/>
        </w:rPr>
        <w:t>）其他相关采购文件。</w:t>
      </w:r>
    </w:p>
    <w:p w14:paraId="3E7D31FA">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bookmarkStart w:id="44" w:name="_Toc23292"/>
      <w:bookmarkStart w:id="45" w:name="_Toc2609"/>
      <w:bookmarkStart w:id="46" w:name="_Toc20892"/>
      <w:bookmarkStart w:id="47" w:name="_Toc21551"/>
      <w:bookmarkStart w:id="48" w:name="_Toc21631"/>
      <w:r>
        <w:rPr>
          <w:rFonts w:hint="eastAsia" w:ascii="宋体" w:hAnsi="宋体" w:eastAsia="宋体" w:cs="宋体"/>
          <w:b/>
          <w:sz w:val="24"/>
        </w:rPr>
        <w:t>二、</w:t>
      </w:r>
      <w:bookmarkEnd w:id="44"/>
      <w:bookmarkEnd w:id="45"/>
      <w:bookmarkEnd w:id="46"/>
      <w:bookmarkEnd w:id="47"/>
      <w:bookmarkEnd w:id="48"/>
      <w:r>
        <w:rPr>
          <w:rFonts w:hint="eastAsia" w:ascii="宋体" w:hAnsi="宋体" w:eastAsia="宋体" w:cs="宋体"/>
          <w:b/>
          <w:sz w:val="24"/>
        </w:rPr>
        <w:t>合同金额</w:t>
      </w:r>
    </w:p>
    <w:p w14:paraId="63F31AF6">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rPr>
        <w:t>（一）</w:t>
      </w:r>
      <w:r>
        <w:rPr>
          <w:rFonts w:hint="eastAsia" w:ascii="宋体" w:hAnsi="宋体" w:eastAsia="宋体" w:cs="宋体"/>
          <w:sz w:val="24"/>
          <w:lang w:val="zh-CN"/>
        </w:rPr>
        <w:t>本合同总价为：￥</w:t>
      </w:r>
      <w:r>
        <w:rPr>
          <w:rFonts w:hint="eastAsia" w:ascii="宋体" w:hAnsi="宋体" w:eastAsia="宋体" w:cs="宋体"/>
          <w:sz w:val="24"/>
          <w:u w:val="single"/>
          <w:lang w:val="zh-CN"/>
        </w:rPr>
        <w:t xml:space="preserve">       </w:t>
      </w:r>
      <w:r>
        <w:rPr>
          <w:rFonts w:hint="eastAsia" w:ascii="宋体" w:hAnsi="宋体" w:eastAsia="宋体" w:cs="宋体"/>
          <w:sz w:val="24"/>
          <w:lang w:val="zh-CN"/>
        </w:rPr>
        <w:t>元（大写：</w:t>
      </w:r>
      <w:r>
        <w:rPr>
          <w:rFonts w:hint="eastAsia" w:ascii="宋体" w:hAnsi="宋体" w:eastAsia="宋体" w:cs="宋体"/>
          <w:sz w:val="24"/>
          <w:u w:val="single"/>
          <w:lang w:val="zh-CN"/>
        </w:rPr>
        <w:t xml:space="preserve">    </w:t>
      </w:r>
      <w:r>
        <w:rPr>
          <w:rFonts w:hint="eastAsia" w:ascii="宋体" w:hAnsi="宋体" w:eastAsia="宋体" w:cs="宋体"/>
          <w:sz w:val="24"/>
          <w:lang w:val="zh-CN"/>
        </w:rPr>
        <w:t>元人民币）。</w:t>
      </w:r>
    </w:p>
    <w:p w14:paraId="005E32BA">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分项价格：</w:t>
      </w:r>
    </w:p>
    <w:tbl>
      <w:tblPr>
        <w:tblStyle w:val="20"/>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753"/>
        <w:gridCol w:w="1404"/>
        <w:gridCol w:w="1514"/>
        <w:gridCol w:w="2504"/>
      </w:tblGrid>
      <w:tr w14:paraId="6396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38CCB781">
            <w:pPr>
              <w:pStyle w:val="57"/>
              <w:keepNext w:val="0"/>
              <w:keepLines w:val="0"/>
              <w:pageBreakBefore w:val="0"/>
              <w:widowControl/>
              <w:kinsoku w:val="0"/>
              <w:wordWrap/>
              <w:topLinePunct w:val="0"/>
              <w:autoSpaceDE w:val="0"/>
              <w:autoSpaceDN w:val="0"/>
              <w:bidi w:val="0"/>
              <w:adjustRightInd w:val="0"/>
              <w:snapToGrid w:val="0"/>
              <w:spacing w:line="384" w:lineRule="auto"/>
              <w:jc w:val="center"/>
              <w:textAlignment w:val="baseline"/>
              <w:rPr>
                <w:rFonts w:hint="eastAsia" w:ascii="宋体" w:hAnsi="宋体" w:eastAsia="宋体" w:cs="宋体"/>
                <w:sz w:val="24"/>
              </w:rPr>
            </w:pPr>
            <w:r>
              <w:rPr>
                <w:rFonts w:hint="eastAsia" w:ascii="宋体" w:hAnsi="宋体" w:eastAsia="宋体" w:cs="宋体"/>
                <w:sz w:val="24"/>
              </w:rPr>
              <w:t>序号</w:t>
            </w:r>
          </w:p>
        </w:tc>
        <w:tc>
          <w:tcPr>
            <w:tcW w:w="1753" w:type="dxa"/>
            <w:tcBorders>
              <w:top w:val="single" w:color="auto" w:sz="4" w:space="0"/>
              <w:left w:val="single" w:color="auto" w:sz="4" w:space="0"/>
              <w:bottom w:val="single" w:color="auto" w:sz="4" w:space="0"/>
              <w:right w:val="single" w:color="auto" w:sz="4" w:space="0"/>
            </w:tcBorders>
            <w:vAlign w:val="center"/>
          </w:tcPr>
          <w:p w14:paraId="20A8909B">
            <w:pPr>
              <w:pStyle w:val="57"/>
              <w:keepNext w:val="0"/>
              <w:keepLines w:val="0"/>
              <w:pageBreakBefore w:val="0"/>
              <w:widowControl/>
              <w:kinsoku w:val="0"/>
              <w:wordWrap/>
              <w:topLinePunct w:val="0"/>
              <w:autoSpaceDE w:val="0"/>
              <w:autoSpaceDN w:val="0"/>
              <w:bidi w:val="0"/>
              <w:adjustRightInd w:val="0"/>
              <w:snapToGrid w:val="0"/>
              <w:spacing w:line="384" w:lineRule="auto"/>
              <w:ind w:firstLine="468" w:firstLineChars="195"/>
              <w:textAlignment w:val="baseline"/>
              <w:rPr>
                <w:rFonts w:hint="eastAsia" w:ascii="宋体" w:hAnsi="宋体" w:eastAsia="宋体" w:cs="宋体"/>
                <w:sz w:val="24"/>
              </w:rPr>
            </w:pPr>
            <w:r>
              <w:rPr>
                <w:rFonts w:hint="eastAsia" w:ascii="宋体" w:hAnsi="宋体" w:eastAsia="宋体" w:cs="宋体"/>
                <w:sz w:val="24"/>
              </w:rPr>
              <w:t>名称</w:t>
            </w:r>
          </w:p>
        </w:tc>
        <w:tc>
          <w:tcPr>
            <w:tcW w:w="1404" w:type="dxa"/>
            <w:tcBorders>
              <w:top w:val="single" w:color="auto" w:sz="4" w:space="0"/>
              <w:left w:val="single" w:color="auto" w:sz="4" w:space="0"/>
              <w:bottom w:val="single" w:color="auto" w:sz="4" w:space="0"/>
              <w:right w:val="single" w:color="auto" w:sz="4" w:space="0"/>
            </w:tcBorders>
            <w:vAlign w:val="center"/>
          </w:tcPr>
          <w:p w14:paraId="7DC049C5">
            <w:pPr>
              <w:pStyle w:val="57"/>
              <w:keepNext w:val="0"/>
              <w:keepLines w:val="0"/>
              <w:pageBreakBefore w:val="0"/>
              <w:widowControl/>
              <w:kinsoku w:val="0"/>
              <w:wordWrap/>
              <w:topLinePunct w:val="0"/>
              <w:autoSpaceDE w:val="0"/>
              <w:autoSpaceDN w:val="0"/>
              <w:bidi w:val="0"/>
              <w:adjustRightInd w:val="0"/>
              <w:snapToGrid w:val="0"/>
              <w:spacing w:line="384" w:lineRule="auto"/>
              <w:jc w:val="center"/>
              <w:textAlignment w:val="baseline"/>
              <w:rPr>
                <w:rFonts w:hint="eastAsia" w:ascii="宋体" w:hAnsi="宋体" w:eastAsia="宋体" w:cs="宋体"/>
                <w:sz w:val="24"/>
              </w:rPr>
            </w:pPr>
            <w:r>
              <w:rPr>
                <w:rFonts w:hint="eastAsia" w:ascii="宋体" w:hAnsi="宋体" w:eastAsia="宋体" w:cs="宋体"/>
                <w:sz w:val="24"/>
              </w:rPr>
              <w:t>数量</w:t>
            </w:r>
          </w:p>
        </w:tc>
        <w:tc>
          <w:tcPr>
            <w:tcW w:w="1514" w:type="dxa"/>
            <w:tcBorders>
              <w:top w:val="single" w:color="auto" w:sz="4" w:space="0"/>
              <w:left w:val="single" w:color="auto" w:sz="4" w:space="0"/>
              <w:bottom w:val="single" w:color="auto" w:sz="4" w:space="0"/>
              <w:right w:val="single" w:color="auto" w:sz="4" w:space="0"/>
            </w:tcBorders>
            <w:vAlign w:val="center"/>
          </w:tcPr>
          <w:p w14:paraId="54DB0500">
            <w:pPr>
              <w:pStyle w:val="57"/>
              <w:keepNext w:val="0"/>
              <w:keepLines w:val="0"/>
              <w:pageBreakBefore w:val="0"/>
              <w:widowControl/>
              <w:kinsoku w:val="0"/>
              <w:wordWrap/>
              <w:topLinePunct w:val="0"/>
              <w:autoSpaceDE w:val="0"/>
              <w:autoSpaceDN w:val="0"/>
              <w:bidi w:val="0"/>
              <w:adjustRightInd w:val="0"/>
              <w:snapToGrid w:val="0"/>
              <w:spacing w:line="384" w:lineRule="auto"/>
              <w:jc w:val="center"/>
              <w:textAlignment w:val="baseline"/>
              <w:rPr>
                <w:rFonts w:hint="eastAsia" w:ascii="宋体" w:hAnsi="宋体" w:eastAsia="宋体" w:cs="宋体"/>
                <w:sz w:val="24"/>
              </w:rPr>
            </w:pPr>
            <w:r>
              <w:rPr>
                <w:rFonts w:hint="eastAsia" w:ascii="宋体" w:hAnsi="宋体" w:eastAsia="宋体" w:cs="宋体"/>
                <w:sz w:val="24"/>
              </w:rPr>
              <w:t>单价</w:t>
            </w:r>
          </w:p>
        </w:tc>
        <w:tc>
          <w:tcPr>
            <w:tcW w:w="2504" w:type="dxa"/>
            <w:tcBorders>
              <w:top w:val="single" w:color="auto" w:sz="4" w:space="0"/>
              <w:left w:val="single" w:color="auto" w:sz="4" w:space="0"/>
              <w:bottom w:val="single" w:color="auto" w:sz="4" w:space="0"/>
              <w:right w:val="single" w:color="auto" w:sz="4" w:space="0"/>
            </w:tcBorders>
            <w:vAlign w:val="center"/>
          </w:tcPr>
          <w:p w14:paraId="715BA358">
            <w:pPr>
              <w:pStyle w:val="57"/>
              <w:keepNext w:val="0"/>
              <w:keepLines w:val="0"/>
              <w:pageBreakBefore w:val="0"/>
              <w:widowControl/>
              <w:kinsoku w:val="0"/>
              <w:wordWrap/>
              <w:topLinePunct w:val="0"/>
              <w:autoSpaceDE w:val="0"/>
              <w:autoSpaceDN w:val="0"/>
              <w:bidi w:val="0"/>
              <w:adjustRightInd w:val="0"/>
              <w:snapToGrid w:val="0"/>
              <w:spacing w:line="384" w:lineRule="auto"/>
              <w:jc w:val="center"/>
              <w:textAlignment w:val="baseline"/>
              <w:rPr>
                <w:rFonts w:hint="eastAsia" w:ascii="宋体" w:hAnsi="宋体" w:eastAsia="宋体" w:cs="宋体"/>
                <w:sz w:val="24"/>
              </w:rPr>
            </w:pPr>
            <w:r>
              <w:rPr>
                <w:rFonts w:hint="eastAsia" w:ascii="宋体" w:hAnsi="宋体" w:eastAsia="宋体" w:cs="宋体"/>
                <w:sz w:val="24"/>
              </w:rPr>
              <w:t>总价</w:t>
            </w:r>
          </w:p>
        </w:tc>
      </w:tr>
      <w:tr w14:paraId="095A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19D60DC5">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753" w:type="dxa"/>
            <w:tcBorders>
              <w:top w:val="single" w:color="auto" w:sz="4" w:space="0"/>
              <w:left w:val="single" w:color="auto" w:sz="4" w:space="0"/>
              <w:bottom w:val="single" w:color="auto" w:sz="4" w:space="0"/>
              <w:right w:val="single" w:color="auto" w:sz="4" w:space="0"/>
            </w:tcBorders>
            <w:vAlign w:val="center"/>
          </w:tcPr>
          <w:p w14:paraId="43DAF544">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41FFFC1B">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514" w:type="dxa"/>
            <w:tcBorders>
              <w:top w:val="single" w:color="auto" w:sz="4" w:space="0"/>
              <w:left w:val="single" w:color="auto" w:sz="4" w:space="0"/>
              <w:bottom w:val="single" w:color="auto" w:sz="4" w:space="0"/>
              <w:right w:val="single" w:color="auto" w:sz="4" w:space="0"/>
            </w:tcBorders>
            <w:vAlign w:val="center"/>
          </w:tcPr>
          <w:p w14:paraId="14777FD0">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2504" w:type="dxa"/>
            <w:tcBorders>
              <w:top w:val="single" w:color="auto" w:sz="4" w:space="0"/>
              <w:left w:val="single" w:color="auto" w:sz="4" w:space="0"/>
              <w:bottom w:val="single" w:color="auto" w:sz="4" w:space="0"/>
              <w:right w:val="single" w:color="auto" w:sz="4" w:space="0"/>
            </w:tcBorders>
            <w:vAlign w:val="center"/>
          </w:tcPr>
          <w:p w14:paraId="476F0689">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r>
      <w:tr w14:paraId="2E58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70755A2A">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753" w:type="dxa"/>
            <w:tcBorders>
              <w:top w:val="single" w:color="auto" w:sz="4" w:space="0"/>
              <w:left w:val="single" w:color="auto" w:sz="4" w:space="0"/>
              <w:bottom w:val="single" w:color="auto" w:sz="4" w:space="0"/>
              <w:right w:val="single" w:color="auto" w:sz="4" w:space="0"/>
            </w:tcBorders>
            <w:vAlign w:val="center"/>
          </w:tcPr>
          <w:p w14:paraId="6110E1F6">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5FB97900">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514" w:type="dxa"/>
            <w:tcBorders>
              <w:top w:val="single" w:color="auto" w:sz="4" w:space="0"/>
              <w:left w:val="single" w:color="auto" w:sz="4" w:space="0"/>
              <w:bottom w:val="single" w:color="auto" w:sz="4" w:space="0"/>
              <w:right w:val="single" w:color="auto" w:sz="4" w:space="0"/>
            </w:tcBorders>
            <w:vAlign w:val="center"/>
          </w:tcPr>
          <w:p w14:paraId="6963DEA6">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2504" w:type="dxa"/>
            <w:tcBorders>
              <w:top w:val="single" w:color="auto" w:sz="4" w:space="0"/>
              <w:left w:val="single" w:color="auto" w:sz="4" w:space="0"/>
              <w:bottom w:val="single" w:color="auto" w:sz="4" w:space="0"/>
              <w:right w:val="single" w:color="auto" w:sz="4" w:space="0"/>
            </w:tcBorders>
            <w:vAlign w:val="center"/>
          </w:tcPr>
          <w:p w14:paraId="3761647E">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r>
      <w:tr w14:paraId="72A5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25D35896">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753" w:type="dxa"/>
            <w:tcBorders>
              <w:top w:val="single" w:color="auto" w:sz="4" w:space="0"/>
              <w:left w:val="single" w:color="auto" w:sz="4" w:space="0"/>
              <w:bottom w:val="single" w:color="auto" w:sz="4" w:space="0"/>
              <w:right w:val="single" w:color="auto" w:sz="4" w:space="0"/>
            </w:tcBorders>
            <w:vAlign w:val="center"/>
          </w:tcPr>
          <w:p w14:paraId="37FA3016">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14137B4F">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514" w:type="dxa"/>
            <w:tcBorders>
              <w:top w:val="single" w:color="auto" w:sz="4" w:space="0"/>
              <w:left w:val="single" w:color="auto" w:sz="4" w:space="0"/>
              <w:bottom w:val="single" w:color="auto" w:sz="4" w:space="0"/>
              <w:right w:val="single" w:color="auto" w:sz="4" w:space="0"/>
            </w:tcBorders>
            <w:vAlign w:val="center"/>
          </w:tcPr>
          <w:p w14:paraId="4A6E4BD5">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2504" w:type="dxa"/>
            <w:tcBorders>
              <w:top w:val="single" w:color="auto" w:sz="4" w:space="0"/>
              <w:left w:val="single" w:color="auto" w:sz="4" w:space="0"/>
              <w:bottom w:val="single" w:color="auto" w:sz="4" w:space="0"/>
              <w:right w:val="single" w:color="auto" w:sz="4" w:space="0"/>
            </w:tcBorders>
            <w:vAlign w:val="center"/>
          </w:tcPr>
          <w:p w14:paraId="046004D2">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r>
      <w:tr w14:paraId="4A3E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585083F7">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r>
              <w:rPr>
                <w:rFonts w:hint="eastAsia" w:ascii="宋体" w:hAnsi="宋体" w:eastAsia="宋体" w:cs="宋体"/>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23E39265">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r>
              <w:rPr>
                <w:rFonts w:hint="eastAsia" w:ascii="宋体" w:hAnsi="宋体" w:eastAsia="宋体" w:cs="宋体"/>
                <w:sz w:val="24"/>
              </w:rPr>
              <w:t>...</w:t>
            </w:r>
          </w:p>
        </w:tc>
        <w:tc>
          <w:tcPr>
            <w:tcW w:w="1404" w:type="dxa"/>
            <w:tcBorders>
              <w:top w:val="single" w:color="auto" w:sz="4" w:space="0"/>
              <w:left w:val="single" w:color="auto" w:sz="4" w:space="0"/>
              <w:bottom w:val="single" w:color="auto" w:sz="4" w:space="0"/>
              <w:right w:val="single" w:color="auto" w:sz="4" w:space="0"/>
            </w:tcBorders>
            <w:vAlign w:val="center"/>
          </w:tcPr>
          <w:p w14:paraId="6C73E33D">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r>
              <w:rPr>
                <w:rFonts w:hint="eastAsia" w:ascii="宋体" w:hAnsi="宋体" w:eastAsia="宋体" w:cs="宋体"/>
                <w:sz w:val="24"/>
              </w:rPr>
              <w:t>...</w:t>
            </w:r>
          </w:p>
        </w:tc>
        <w:tc>
          <w:tcPr>
            <w:tcW w:w="1514" w:type="dxa"/>
            <w:tcBorders>
              <w:top w:val="single" w:color="auto" w:sz="4" w:space="0"/>
              <w:left w:val="single" w:color="auto" w:sz="4" w:space="0"/>
              <w:bottom w:val="single" w:color="auto" w:sz="4" w:space="0"/>
              <w:right w:val="single" w:color="auto" w:sz="4" w:space="0"/>
            </w:tcBorders>
            <w:vAlign w:val="center"/>
          </w:tcPr>
          <w:p w14:paraId="34E17DFE">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r>
              <w:rPr>
                <w:rFonts w:hint="eastAsia" w:ascii="宋体" w:hAnsi="宋体" w:eastAsia="宋体" w:cs="宋体"/>
                <w:sz w:val="24"/>
              </w:rPr>
              <w:t>...</w:t>
            </w:r>
          </w:p>
        </w:tc>
        <w:tc>
          <w:tcPr>
            <w:tcW w:w="2504" w:type="dxa"/>
            <w:tcBorders>
              <w:top w:val="single" w:color="auto" w:sz="4" w:space="0"/>
              <w:left w:val="single" w:color="auto" w:sz="4" w:space="0"/>
              <w:bottom w:val="single" w:color="auto" w:sz="4" w:space="0"/>
              <w:right w:val="single" w:color="auto" w:sz="4" w:space="0"/>
            </w:tcBorders>
            <w:vAlign w:val="center"/>
          </w:tcPr>
          <w:p w14:paraId="49AB433A">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r>
              <w:rPr>
                <w:rFonts w:hint="eastAsia" w:ascii="宋体" w:hAnsi="宋体" w:eastAsia="宋体" w:cs="宋体"/>
                <w:sz w:val="24"/>
              </w:rPr>
              <w:t>...</w:t>
            </w:r>
          </w:p>
        </w:tc>
      </w:tr>
      <w:tr w14:paraId="6091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48" w:type="dxa"/>
            <w:gridSpan w:val="2"/>
            <w:tcBorders>
              <w:top w:val="single" w:color="auto" w:sz="4" w:space="0"/>
              <w:left w:val="single" w:color="auto" w:sz="4" w:space="0"/>
              <w:bottom w:val="single" w:color="auto" w:sz="4" w:space="0"/>
              <w:right w:val="single" w:color="auto" w:sz="4" w:space="0"/>
            </w:tcBorders>
            <w:vAlign w:val="center"/>
          </w:tcPr>
          <w:p w14:paraId="6B0886D2">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r>
              <w:rPr>
                <w:rFonts w:hint="eastAsia" w:ascii="宋体" w:hAnsi="宋体" w:eastAsia="宋体" w:cs="宋体"/>
                <w:sz w:val="24"/>
              </w:rPr>
              <w:t>合计</w:t>
            </w:r>
          </w:p>
        </w:tc>
        <w:tc>
          <w:tcPr>
            <w:tcW w:w="5422" w:type="dxa"/>
            <w:gridSpan w:val="3"/>
            <w:tcBorders>
              <w:top w:val="single" w:color="auto" w:sz="4" w:space="0"/>
              <w:left w:val="single" w:color="auto" w:sz="4" w:space="0"/>
              <w:bottom w:val="single" w:color="auto" w:sz="4" w:space="0"/>
              <w:right w:val="single" w:color="auto" w:sz="4" w:space="0"/>
            </w:tcBorders>
            <w:vAlign w:val="center"/>
          </w:tcPr>
          <w:p w14:paraId="4129182E">
            <w:pPr>
              <w:pStyle w:val="57"/>
              <w:keepNext w:val="0"/>
              <w:keepLines w:val="0"/>
              <w:pageBreakBefore w:val="0"/>
              <w:widowControl/>
              <w:kinsoku w:val="0"/>
              <w:wordWrap/>
              <w:topLinePunct w:val="0"/>
              <w:autoSpaceDE w:val="0"/>
              <w:autoSpaceDN w:val="0"/>
              <w:bidi w:val="0"/>
              <w:adjustRightInd w:val="0"/>
              <w:snapToGrid w:val="0"/>
              <w:spacing w:line="384" w:lineRule="auto"/>
              <w:ind w:firstLine="200"/>
              <w:jc w:val="left"/>
              <w:textAlignment w:val="baseline"/>
              <w:rPr>
                <w:rFonts w:hint="eastAsia" w:ascii="宋体" w:hAnsi="宋体" w:eastAsia="宋体" w:cs="宋体"/>
                <w:sz w:val="24"/>
              </w:rPr>
            </w:pPr>
            <w:r>
              <w:rPr>
                <w:rFonts w:hint="eastAsia" w:ascii="宋体" w:hAnsi="宋体" w:eastAsia="宋体" w:cs="宋体"/>
                <w:sz w:val="24"/>
              </w:rPr>
              <w:t xml:space="preserve">大写：     </w:t>
            </w:r>
          </w:p>
        </w:tc>
      </w:tr>
    </w:tbl>
    <w:p w14:paraId="4807CAB0">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color w:val="auto"/>
          <w:sz w:val="24"/>
        </w:rPr>
      </w:pPr>
      <w:bookmarkStart w:id="49" w:name="_Toc14984"/>
      <w:bookmarkStart w:id="50" w:name="_Toc23571"/>
      <w:bookmarkStart w:id="51" w:name="_Toc1814"/>
      <w:bookmarkStart w:id="52" w:name="_Toc22618"/>
      <w:bookmarkStart w:id="53" w:name="_Toc10340"/>
      <w:r>
        <w:rPr>
          <w:rFonts w:hint="eastAsia" w:ascii="宋体" w:hAnsi="宋体" w:eastAsia="宋体" w:cs="宋体"/>
          <w:color w:val="auto"/>
          <w:sz w:val="24"/>
        </w:rPr>
        <w:t>（二）合同价格形式：</w:t>
      </w:r>
      <w:r>
        <w:rPr>
          <w:rFonts w:hint="eastAsia" w:ascii="宋体" w:hAnsi="宋体" w:eastAsia="宋体" w:cs="宋体"/>
          <w:color w:val="auto"/>
          <w:sz w:val="24"/>
          <w:u w:val="single"/>
        </w:rPr>
        <w:t>固定总价合同。本合同价包含乙方应当提供的伴随服务和售后服务费用。合同总价一次包死，不受市场价变化影响。</w:t>
      </w:r>
    </w:p>
    <w:p w14:paraId="6DF79555">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（三）付款方式和发票开具方式</w:t>
      </w:r>
      <w:bookmarkEnd w:id="49"/>
      <w:bookmarkEnd w:id="50"/>
      <w:bookmarkEnd w:id="51"/>
      <w:bookmarkEnd w:id="52"/>
      <w:bookmarkEnd w:id="53"/>
    </w:p>
    <w:p w14:paraId="2FBD057A">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1.付款方式：</w:t>
      </w:r>
    </w:p>
    <w:p w14:paraId="559CA2C8">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color w:val="auto"/>
          <w:sz w:val="24"/>
        </w:rPr>
      </w:pPr>
      <w:r>
        <w:rPr>
          <w:rFonts w:hint="eastAsia" w:ascii="宋体" w:hAnsi="宋体" w:eastAsia="宋体" w:cs="宋体"/>
          <w:sz w:val="24"/>
        </w:rPr>
        <w:t>合同签订后，若乙方为中小企业支付40%作为预付款（供货方需支付合同总款5%的履约保证金）。若乙方非中小企业，设备到达甲方指定地点，安装、调试、运行并验收合格后支付货款的40</w:t>
      </w:r>
      <w:r>
        <w:rPr>
          <w:rFonts w:hint="eastAsia" w:ascii="宋体" w:hAnsi="宋体" w:eastAsia="宋体" w:cs="宋体"/>
          <w:sz w:val="24"/>
          <w:lang w:val="en-US" w:eastAsia="zh-CN"/>
        </w:rPr>
        <w:t>%</w:t>
      </w:r>
      <w:r>
        <w:rPr>
          <w:rFonts w:hint="eastAsia" w:ascii="宋体" w:hAnsi="宋体" w:eastAsia="宋体" w:cs="宋体"/>
          <w:sz w:val="24"/>
        </w:rPr>
        <w:t>（供货方需支付合同总款5%的履约保证</w:t>
      </w:r>
      <w:r>
        <w:rPr>
          <w:rFonts w:hint="eastAsia" w:ascii="宋体" w:hAnsi="宋体" w:eastAsia="宋体" w:cs="宋体"/>
          <w:color w:val="auto"/>
          <w:sz w:val="24"/>
        </w:rPr>
        <w:t>金）。设备无故障运行满60天</w:t>
      </w:r>
      <w:r>
        <w:rPr>
          <w:rFonts w:hint="eastAsia" w:ascii="宋体" w:hAnsi="宋体" w:eastAsia="宋体" w:cs="宋体"/>
          <w:color w:val="auto"/>
          <w:sz w:val="24"/>
          <w:lang w:val="en-US" w:eastAsia="zh-CN"/>
        </w:rPr>
        <w:t>内</w:t>
      </w:r>
      <w:r>
        <w:rPr>
          <w:rFonts w:hint="eastAsia" w:ascii="宋体" w:hAnsi="宋体" w:eastAsia="宋体" w:cs="宋体"/>
          <w:color w:val="auto"/>
          <w:sz w:val="24"/>
        </w:rPr>
        <w:t>，甲方支付乙方设备总货款至100%。</w:t>
      </w:r>
      <w:r>
        <w:rPr>
          <w:rFonts w:hint="eastAsia" w:ascii="宋体" w:hAnsi="宋体" w:eastAsia="宋体" w:cs="宋体"/>
          <w:color w:val="000000"/>
          <w:kern w:val="0"/>
          <w:sz w:val="24"/>
          <w:szCs w:val="24"/>
          <w:lang w:val="en-US" w:eastAsia="zh-CN" w:bidi="ar"/>
        </w:rPr>
        <w:t>履约保证金在设备质保期满后，经甲方确认设备无质量问题，无乙方违约情形的，甲方于10个工作日内无息退还。</w:t>
      </w:r>
    </w:p>
    <w:p w14:paraId="29FFCF2C">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2.结算方式：银行转账</w:t>
      </w:r>
    </w:p>
    <w:p w14:paraId="0B18CD0D">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.设备、设施安装到位，调试完毕，正式投入使用后，由甲、乙双方共同验收合格后填写验收合格单，并由乙方按合同总价开具正式发票交给甲方。乙方持成交通知书、供货合同、发票、验收合格单与甲方结算。</w:t>
      </w:r>
    </w:p>
    <w:p w14:paraId="517F336E">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三、双方的权利和义务</w:t>
      </w:r>
    </w:p>
    <w:p w14:paraId="17E4D649">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（一）甲方的权利与义务</w:t>
      </w:r>
    </w:p>
    <w:p w14:paraId="40FD6165">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甲方在收到货物通知后，应按招标文件的需求进行核实，如发现不符合合同规定或短缺，及时提出，甲方在收到货后，组织人员按提供的技术参数指标进行验收。</w:t>
      </w:r>
    </w:p>
    <w:p w14:paraId="538E4658">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（二）乙方的权利与义务</w:t>
      </w:r>
    </w:p>
    <w:p w14:paraId="142D71F7">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1.乙方负责产品安装与调试在合同约定的时间完工。</w:t>
      </w:r>
    </w:p>
    <w:p w14:paraId="2E79DBF6">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2.乙方所提供的产品必须是采购需求产品。</w:t>
      </w:r>
    </w:p>
    <w:p w14:paraId="13F82DEF">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四、交货地点及交货期：</w:t>
      </w:r>
    </w:p>
    <w:p w14:paraId="3306DAD4">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（一）交货地点：甲方指定地点。</w:t>
      </w:r>
    </w:p>
    <w:p w14:paraId="7605E708">
      <w:pPr>
        <w:keepNext w:val="0"/>
        <w:keepLines w:val="0"/>
        <w:pageBreakBefore w:val="0"/>
        <w:widowControl/>
        <w:kinsoku w:val="0"/>
        <w:wordWrap/>
        <w:overflowPunct w:val="0"/>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color w:val="auto"/>
          <w:sz w:val="24"/>
        </w:rPr>
      </w:pPr>
      <w:r>
        <w:rPr>
          <w:rFonts w:hint="eastAsia" w:ascii="宋体" w:hAnsi="宋体" w:eastAsia="宋体" w:cs="宋体"/>
          <w:b/>
          <w:sz w:val="24"/>
        </w:rPr>
        <w:t>（二）交货期：</w:t>
      </w:r>
      <w:r>
        <w:rPr>
          <w:rFonts w:hint="eastAsia" w:ascii="宋体" w:hAnsi="宋体" w:eastAsia="宋体" w:cs="宋体"/>
          <w:b/>
          <w:sz w:val="24"/>
          <w:u w:val="single"/>
          <w:lang w:val="en-US" w:eastAsia="zh-CN"/>
        </w:rPr>
        <w:t xml:space="preserve"> 自合同签订之日起国产产品30个日历日内交付，进口产品60个日历日交付 </w:t>
      </w:r>
      <w:r>
        <w:rPr>
          <w:rFonts w:hint="eastAsia" w:ascii="宋体" w:hAnsi="宋体" w:eastAsia="宋体" w:cs="宋体"/>
          <w:b/>
          <w:sz w:val="24"/>
        </w:rPr>
        <w:t>。</w:t>
      </w:r>
      <w:r>
        <w:rPr>
          <w:rFonts w:hint="eastAsia" w:ascii="宋体" w:hAnsi="宋体" w:eastAsia="宋体" w:cs="宋体"/>
          <w:color w:val="auto"/>
          <w:sz w:val="24"/>
        </w:rPr>
        <w:t>甲方有权根据实际运营需求提前3日历天书面通知乙方调整交货时间，乙方应无条件配合，不得以此为由要求增加任何费用，甲方不承担任何违约责任。</w:t>
      </w:r>
    </w:p>
    <w:p w14:paraId="5DF980F0">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bookmarkStart w:id="54" w:name="_Toc19515388"/>
      <w:r>
        <w:rPr>
          <w:rFonts w:hint="eastAsia" w:ascii="宋体" w:hAnsi="宋体" w:eastAsia="宋体" w:cs="宋体"/>
          <w:b/>
          <w:sz w:val="24"/>
        </w:rPr>
        <w:t>五、包装及运输</w:t>
      </w:r>
      <w:bookmarkEnd w:id="54"/>
    </w:p>
    <w:p w14:paraId="47D45F6A">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（一）乙方负责所有货物的包装及运输。确保货物安全、完整到达使用地点，包装及运杂费用包含在总价内，包括货物从供货地点到使用地点的运输费、保险费、搬运费等。</w:t>
      </w:r>
    </w:p>
    <w:p w14:paraId="395D3263">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rPr>
      </w:pPr>
      <w:r>
        <w:rPr>
          <w:rFonts w:hint="eastAsia" w:ascii="宋体" w:hAnsi="宋体" w:eastAsia="宋体" w:cs="宋体"/>
          <w:sz w:val="24"/>
        </w:rPr>
        <w:t>（二）所有货物在运输、搬运、安装的过程中，造成甲方损失的，由乙方为甲方修复或更新，并承担因此给甲方造成的全部损失。</w:t>
      </w:r>
    </w:p>
    <w:p w14:paraId="4762C161">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六、安装要求</w:t>
      </w:r>
    </w:p>
    <w:p w14:paraId="32A16FAB">
      <w:pPr>
        <w:keepNext w:val="0"/>
        <w:keepLines w:val="0"/>
        <w:pageBreakBefore w:val="0"/>
        <w:widowControl/>
        <w:kinsoku w:val="0"/>
        <w:wordWrap/>
        <w:overflowPunct w:val="0"/>
        <w:topLinePunct w:val="0"/>
        <w:autoSpaceDE w:val="0"/>
        <w:autoSpaceDN w:val="0"/>
        <w:bidi w:val="0"/>
        <w:adjustRightInd w:val="0"/>
        <w:snapToGrid w:val="0"/>
        <w:spacing w:line="384" w:lineRule="auto"/>
        <w:ind w:firstLine="458" w:firstLineChars="191"/>
        <w:textAlignment w:val="baseline"/>
        <w:rPr>
          <w:rFonts w:hint="eastAsia" w:ascii="宋体" w:hAnsi="宋体" w:eastAsia="宋体" w:cs="宋体"/>
          <w:color w:val="auto"/>
          <w:sz w:val="24"/>
        </w:rPr>
      </w:pPr>
      <w:r>
        <w:rPr>
          <w:rFonts w:hint="eastAsia" w:ascii="宋体" w:hAnsi="宋体" w:eastAsia="宋体" w:cs="宋体"/>
          <w:sz w:val="24"/>
        </w:rPr>
        <w:t>（一）由乙方负责完善现场环境达到设备安装、使用要求</w:t>
      </w:r>
      <w:r>
        <w:rPr>
          <w:rFonts w:hint="eastAsia" w:ascii="宋体" w:hAnsi="宋体" w:eastAsia="宋体" w:cs="宋体"/>
          <w:color w:val="auto"/>
          <w:sz w:val="24"/>
        </w:rPr>
        <w:t>。</w:t>
      </w:r>
    </w:p>
    <w:p w14:paraId="7645CD42">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color w:val="auto"/>
          <w:sz w:val="24"/>
        </w:rPr>
      </w:pPr>
      <w:r>
        <w:rPr>
          <w:rFonts w:hint="eastAsia" w:ascii="宋体" w:hAnsi="宋体" w:eastAsia="宋体" w:cs="宋体"/>
          <w:sz w:val="24"/>
        </w:rPr>
        <w:t>（二）乙方应在合</w:t>
      </w:r>
      <w:r>
        <w:rPr>
          <w:rFonts w:hint="eastAsia" w:ascii="宋体" w:hAnsi="宋体" w:eastAsia="宋体" w:cs="宋体"/>
          <w:color w:val="auto"/>
          <w:sz w:val="24"/>
        </w:rPr>
        <w:t>同规定的安装调试期内完成该项工作。</w:t>
      </w:r>
    </w:p>
    <w:p w14:paraId="7A7FC0A6">
      <w:pPr>
        <w:keepNext w:val="0"/>
        <w:keepLines w:val="0"/>
        <w:pageBreakBefore w:val="0"/>
        <w:widowControl/>
        <w:kinsoku w:val="0"/>
        <w:wordWrap/>
        <w:overflowPunct w:val="0"/>
        <w:topLinePunct w:val="0"/>
        <w:autoSpaceDE w:val="0"/>
        <w:autoSpaceDN w:val="0"/>
        <w:bidi w:val="0"/>
        <w:adjustRightInd w:val="0"/>
        <w:snapToGrid w:val="0"/>
        <w:spacing w:line="384" w:lineRule="auto"/>
        <w:ind w:firstLine="458" w:firstLineChars="191"/>
        <w:textAlignment w:val="baseline"/>
        <w:rPr>
          <w:rFonts w:hint="eastAsia" w:ascii="宋体" w:hAnsi="宋体" w:eastAsia="宋体" w:cs="宋体"/>
          <w:color w:val="auto"/>
          <w:sz w:val="24"/>
        </w:rPr>
      </w:pPr>
      <w:r>
        <w:rPr>
          <w:rFonts w:hint="eastAsia" w:ascii="宋体" w:hAnsi="宋体" w:eastAsia="宋体" w:cs="宋体"/>
          <w:color w:val="auto"/>
          <w:sz w:val="24"/>
        </w:rPr>
        <w:t>（三）安装和调试期间所发生的费用均由乙方负责。</w:t>
      </w:r>
      <w:bookmarkStart w:id="55" w:name="auto_fouce_4"/>
      <w:r>
        <w:rPr>
          <w:rFonts w:hint="eastAsia" w:ascii="宋体" w:hAnsi="宋体" w:eastAsia="宋体" w:cs="宋体"/>
          <w:color w:val="auto"/>
          <w:sz w:val="24"/>
        </w:rPr>
        <w:t>医院仅提供施工场地，乙方需完成</w:t>
      </w:r>
      <w:r>
        <w:rPr>
          <w:rFonts w:hint="eastAsia" w:ascii="宋体" w:hAnsi="宋体" w:eastAsia="宋体" w:cs="宋体"/>
          <w:color w:val="auto"/>
          <w:sz w:val="24"/>
          <w:lang w:eastAsia="zh-CN"/>
        </w:rPr>
        <w:t>宝鸡市第二人民医院彩超采购项目</w:t>
      </w:r>
      <w:r>
        <w:rPr>
          <w:rFonts w:hint="eastAsia" w:ascii="宋体" w:hAnsi="宋体" w:eastAsia="宋体" w:cs="宋体"/>
          <w:color w:val="auto"/>
          <w:sz w:val="24"/>
        </w:rPr>
        <w:t>医疗设备安装及调试等完成该项工作所需的一切施工、料、机、小型机具费、低值易耗辅助材料、返工费、水电费、措施费、管理费、保险费、利润、税金等一切合同明示和隐含的责任、义务工作内容以及风险</w:t>
      </w:r>
      <w:bookmarkStart w:id="56" w:name="OLE_LINK2"/>
      <w:r>
        <w:rPr>
          <w:rFonts w:hint="eastAsia" w:ascii="宋体" w:hAnsi="宋体" w:eastAsia="宋体" w:cs="宋体"/>
          <w:color w:val="auto"/>
          <w:sz w:val="24"/>
        </w:rPr>
        <w:t>。</w:t>
      </w:r>
      <w:bookmarkEnd w:id="55"/>
    </w:p>
    <w:bookmarkEnd w:id="56"/>
    <w:p w14:paraId="2D97BFBC">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（四）安装和调试期间若发生安全问题均由乙方负责。</w:t>
      </w:r>
    </w:p>
    <w:p w14:paraId="31A36D09">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七、质量保证</w:t>
      </w:r>
    </w:p>
    <w:p w14:paraId="110BA9CE">
      <w:pPr>
        <w:keepNext w:val="0"/>
        <w:keepLines w:val="0"/>
        <w:pageBreakBefore w:val="0"/>
        <w:widowControl/>
        <w:kinsoku w:val="0"/>
        <w:wordWrap/>
        <w:overflowPunct w:val="0"/>
        <w:topLinePunct w:val="0"/>
        <w:autoSpaceDE w:val="0"/>
        <w:autoSpaceDN w:val="0"/>
        <w:bidi w:val="0"/>
        <w:adjustRightInd w:val="0"/>
        <w:snapToGrid w:val="0"/>
        <w:spacing w:line="384" w:lineRule="auto"/>
        <w:ind w:firstLine="600" w:firstLineChars="250"/>
        <w:textAlignment w:val="baseline"/>
        <w:rPr>
          <w:rFonts w:hint="eastAsia" w:ascii="宋体" w:hAnsi="宋体" w:eastAsia="宋体" w:cs="宋体"/>
          <w:color w:val="auto"/>
          <w:sz w:val="24"/>
        </w:rPr>
      </w:pPr>
      <w:r>
        <w:rPr>
          <w:rFonts w:hint="eastAsia" w:ascii="宋体" w:hAnsi="宋体" w:eastAsia="宋体" w:cs="宋体"/>
          <w:color w:val="auto"/>
          <w:sz w:val="24"/>
        </w:rPr>
        <w:t>（一）、产品的质保期为自验收合格之日起质保</w:t>
      </w:r>
      <w:r>
        <w:rPr>
          <w:rFonts w:hint="eastAsia" w:ascii="宋体" w:hAnsi="宋体" w:eastAsia="宋体" w:cs="宋体"/>
          <w:color w:val="auto"/>
          <w:sz w:val="24"/>
          <w:u w:val="single"/>
          <w:lang w:val="en-US" w:eastAsia="zh-CN"/>
        </w:rPr>
        <w:t xml:space="preserve"> 3 </w:t>
      </w:r>
      <w:r>
        <w:rPr>
          <w:rFonts w:hint="eastAsia" w:ascii="宋体" w:hAnsi="宋体" w:eastAsia="宋体" w:cs="宋体"/>
          <w:color w:val="auto"/>
          <w:sz w:val="24"/>
        </w:rPr>
        <w:t>年；</w:t>
      </w:r>
      <w:bookmarkStart w:id="57" w:name="auto_fouce_10"/>
    </w:p>
    <w:p w14:paraId="27A01207">
      <w:pPr>
        <w:keepNext w:val="0"/>
        <w:keepLines w:val="0"/>
        <w:pageBreakBefore w:val="0"/>
        <w:widowControl/>
        <w:kinsoku w:val="0"/>
        <w:wordWrap/>
        <w:overflowPunct w:val="0"/>
        <w:topLinePunct w:val="0"/>
        <w:autoSpaceDE w:val="0"/>
        <w:autoSpaceDN w:val="0"/>
        <w:bidi w:val="0"/>
        <w:adjustRightInd w:val="0"/>
        <w:snapToGrid w:val="0"/>
        <w:spacing w:line="384" w:lineRule="auto"/>
        <w:ind w:firstLine="600" w:firstLineChars="250"/>
        <w:textAlignment w:val="baseline"/>
        <w:rPr>
          <w:rFonts w:hint="eastAsia" w:ascii="宋体" w:hAnsi="宋体" w:eastAsia="宋体" w:cs="宋体"/>
          <w:color w:val="auto"/>
          <w:sz w:val="24"/>
        </w:rPr>
      </w:pPr>
      <w:r>
        <w:rPr>
          <w:rFonts w:hint="eastAsia" w:ascii="宋体" w:hAnsi="宋体" w:eastAsia="宋体" w:cs="宋体"/>
          <w:color w:val="auto"/>
          <w:sz w:val="24"/>
        </w:rPr>
        <w:t>在设备质保期内，如因设备本身缺陷或故障导致甲方医疗业务中断、患者人身伤害或其他重大损失的，乙方应在接到甲方通知后2小时内响应，12小时内到场处理，48小时内修复或更换设备，否则甲方有权要求乙方承担违约责任并赔偿全部损失。</w:t>
      </w:r>
      <w:bookmarkEnd w:id="57"/>
      <w:r>
        <w:rPr>
          <w:rFonts w:hint="eastAsia" w:ascii="宋体" w:hAnsi="宋体" w:eastAsia="宋体" w:cs="宋体"/>
          <w:color w:val="auto"/>
          <w:sz w:val="24"/>
        </w:rPr>
        <w:t>质保期内，损坏部件的修理费、往返运保费等均由乙方承担。质保期外，只收取已维修的元器件成本费，未尽事宜由双方协商解决。</w:t>
      </w:r>
    </w:p>
    <w:p w14:paraId="659AAEA9">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color w:val="EE0000"/>
          <w:sz w:val="24"/>
        </w:rPr>
      </w:pPr>
      <w:r>
        <w:rPr>
          <w:rFonts w:hint="eastAsia" w:ascii="宋体" w:hAnsi="宋体" w:eastAsia="宋体" w:cs="宋体"/>
          <w:sz w:val="24"/>
        </w:rPr>
        <w:t>（二）乙方选用的产品保证符合国家相关标准，满足招标文件要求。</w:t>
      </w:r>
    </w:p>
    <w:p w14:paraId="5C5F5D21">
      <w:pPr>
        <w:keepNext w:val="0"/>
        <w:keepLines w:val="0"/>
        <w:pageBreakBefore w:val="0"/>
        <w:widowControl/>
        <w:kinsoku w:val="0"/>
        <w:wordWrap/>
        <w:overflowPunct w:val="0"/>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color w:val="auto"/>
          <w:sz w:val="24"/>
        </w:rPr>
      </w:pPr>
      <w:r>
        <w:rPr>
          <w:rFonts w:hint="eastAsia" w:ascii="宋体" w:hAnsi="宋体" w:eastAsia="宋体" w:cs="宋体"/>
          <w:sz w:val="24"/>
        </w:rPr>
        <w:t>（三）产品符合国家有关规范要求，确保整个产品达到最佳运行状态。</w:t>
      </w:r>
      <w:r>
        <w:rPr>
          <w:rFonts w:hint="eastAsia" w:ascii="宋体" w:hAnsi="宋体" w:eastAsia="宋体" w:cs="宋体"/>
          <w:color w:val="auto"/>
          <w:sz w:val="24"/>
        </w:rPr>
        <w:t>如因设备存在缺陷被国家药监部门、卫生健康行政部门通报、召回或禁止使用的，乙方应无条件配合甲方进行设备更换、退货并承担由此产生的全部损失。</w:t>
      </w:r>
    </w:p>
    <w:p w14:paraId="338271D5">
      <w:pPr>
        <w:keepNext w:val="0"/>
        <w:keepLines w:val="0"/>
        <w:pageBreakBefore w:val="0"/>
        <w:widowControl/>
        <w:kinsoku w:val="0"/>
        <w:wordWrap/>
        <w:overflowPunct w:val="0"/>
        <w:topLinePunct w:val="0"/>
        <w:autoSpaceDE w:val="0"/>
        <w:autoSpaceDN w:val="0"/>
        <w:bidi w:val="0"/>
        <w:adjustRightInd w:val="0"/>
        <w:snapToGrid w:val="0"/>
        <w:spacing w:line="384" w:lineRule="auto"/>
        <w:ind w:firstLine="525" w:firstLineChars="250"/>
        <w:textAlignment w:val="baseline"/>
        <w:rPr>
          <w:rFonts w:hint="eastAsia" w:ascii="宋体" w:hAnsi="宋体" w:eastAsia="宋体" w:cs="宋体"/>
          <w:color w:val="auto"/>
          <w:sz w:val="24"/>
        </w:rPr>
      </w:pPr>
      <w:r>
        <w:rPr>
          <w:rFonts w:hint="eastAsia" w:ascii="宋体" w:hAnsi="宋体" w:eastAsia="宋体" w:cs="宋体"/>
          <w:color w:val="auto"/>
        </w:rPr>
        <w:t>（</w:t>
      </w:r>
      <w:r>
        <w:rPr>
          <w:rFonts w:hint="eastAsia" w:ascii="宋体" w:hAnsi="宋体" w:eastAsia="宋体" w:cs="宋体"/>
          <w:color w:val="auto"/>
          <w:sz w:val="24"/>
        </w:rPr>
        <w:t>四）乙方应当保证所供货物的来源渠道正常，产品是全新的、未使用过的。且完全符合合同规定的质量、规格、技术指标等要求，并在质保期内，对由于产品设计、工艺或材料的缺陷而产生的质量问题承担全部免费维修、更换责任；质保期外，如经甲方确认系产品设计、工艺或材料的固有缺陷导致的质量问题，乙方仍需承担维修责任，仅收取元器件成本费（需提供明细供甲方核实），该责任不因质保期届满而免除。</w:t>
      </w:r>
    </w:p>
    <w:p w14:paraId="7D95A44D">
      <w:pPr>
        <w:keepNext w:val="0"/>
        <w:keepLines w:val="0"/>
        <w:pageBreakBefore w:val="0"/>
        <w:widowControl/>
        <w:kinsoku w:val="0"/>
        <w:wordWrap/>
        <w:overflowPunct w:val="0"/>
        <w:topLinePunct w:val="0"/>
        <w:autoSpaceDE w:val="0"/>
        <w:autoSpaceDN w:val="0"/>
        <w:bidi w:val="0"/>
        <w:adjustRightInd w:val="0"/>
        <w:snapToGrid w:val="0"/>
        <w:spacing w:line="384" w:lineRule="auto"/>
        <w:ind w:firstLine="600" w:firstLineChars="250"/>
        <w:textAlignment w:val="baseline"/>
        <w:rPr>
          <w:rFonts w:hint="eastAsia" w:ascii="宋体" w:hAnsi="宋体" w:eastAsia="宋体" w:cs="宋体"/>
          <w:color w:val="EE0000"/>
          <w:sz w:val="24"/>
        </w:rPr>
      </w:pPr>
      <w:bookmarkStart w:id="58" w:name="auto_fouce_13"/>
      <w:r>
        <w:rPr>
          <w:rFonts w:hint="eastAsia" w:ascii="宋体" w:hAnsi="宋体" w:eastAsia="宋体" w:cs="宋体"/>
          <w:color w:val="auto"/>
          <w:sz w:val="24"/>
        </w:rPr>
        <w:t>（五）在质保期内，如果发现货物的质量、规格、技术指标等存在与合同中任何一项不符，甲方有权选择要求乙方免费更换合格产品、维修至符合标准、减少价款或退货等方式主张权利。乙方在接到甲方质量索赔通知后，应在</w:t>
      </w:r>
      <w:r>
        <w:rPr>
          <w:rFonts w:hint="eastAsia" w:ascii="宋体" w:hAnsi="宋体" w:eastAsia="宋体" w:cs="宋体"/>
          <w:color w:val="auto"/>
          <w:sz w:val="24"/>
          <w:lang w:val="en-US" w:eastAsia="zh-CN"/>
        </w:rPr>
        <w:t>2</w:t>
      </w:r>
      <w:r>
        <w:rPr>
          <w:rFonts w:hint="eastAsia" w:ascii="宋体" w:hAnsi="宋体" w:eastAsia="宋体" w:cs="宋体"/>
          <w:color w:val="auto"/>
          <w:sz w:val="24"/>
        </w:rPr>
        <w:t>小时内响应，</w:t>
      </w:r>
      <w:r>
        <w:rPr>
          <w:rFonts w:hint="eastAsia" w:ascii="宋体" w:hAnsi="宋体" w:eastAsia="宋体" w:cs="宋体"/>
          <w:color w:val="auto"/>
          <w:sz w:val="24"/>
          <w:lang w:val="en-US" w:eastAsia="zh-CN"/>
        </w:rPr>
        <w:t>24</w:t>
      </w:r>
      <w:r>
        <w:rPr>
          <w:rFonts w:hint="eastAsia" w:ascii="宋体" w:hAnsi="宋体" w:eastAsia="宋体" w:cs="宋体"/>
          <w:color w:val="auto"/>
          <w:sz w:val="24"/>
        </w:rPr>
        <w:t>小时内到达现场，</w:t>
      </w:r>
      <w:r>
        <w:rPr>
          <w:rFonts w:hint="eastAsia" w:ascii="宋体" w:hAnsi="宋体" w:eastAsia="宋体" w:cs="宋体"/>
          <w:color w:val="auto"/>
          <w:sz w:val="24"/>
          <w:lang w:val="en-US" w:eastAsia="zh-CN"/>
        </w:rPr>
        <w:t>72</w:t>
      </w:r>
      <w:r>
        <w:rPr>
          <w:rFonts w:hint="eastAsia" w:ascii="宋体" w:hAnsi="宋体" w:eastAsia="宋体" w:cs="宋体"/>
          <w:color w:val="auto"/>
          <w:sz w:val="24"/>
        </w:rPr>
        <w:t>小时内完成故障排查及修复；若无法在</w:t>
      </w:r>
      <w:r>
        <w:rPr>
          <w:rFonts w:hint="eastAsia" w:ascii="宋体" w:hAnsi="宋体" w:eastAsia="宋体" w:cs="宋体"/>
          <w:color w:val="auto"/>
          <w:sz w:val="24"/>
          <w:lang w:val="en-US" w:eastAsia="zh-CN"/>
        </w:rPr>
        <w:t>72</w:t>
      </w:r>
      <w:r>
        <w:rPr>
          <w:rFonts w:hint="eastAsia" w:ascii="宋体" w:hAnsi="宋体" w:eastAsia="宋体" w:cs="宋体"/>
          <w:color w:val="auto"/>
          <w:sz w:val="24"/>
        </w:rPr>
        <w:t>小时内修复，乙方应提供应急维修方案，原厂加急备件供应、增派工程师、延长质保期限等替代保障措施，并承担甲方因此产生的损失，直至故障设备修复完毕；若乙方未按上述要求履行义务，甲方有权委托第三方进行维修，产生的所有费用由乙方承担，甲方可直接从履约保证金或未付货款中扣除。</w:t>
      </w:r>
      <w:bookmarkEnd w:id="58"/>
      <w:bookmarkStart w:id="59" w:name="OLE_LINK11"/>
      <w:r>
        <w:rPr>
          <w:rFonts w:hint="eastAsia" w:ascii="宋体" w:hAnsi="宋体" w:eastAsia="宋体" w:cs="宋体"/>
          <w:color w:val="auto"/>
          <w:sz w:val="24"/>
        </w:rPr>
        <w:t>质保期内，损坏部件的修理费、往返运保费等均由乙方承担。质保期外，只收取已维修的元器件成本费，未尽事宜由双方协商解决。</w:t>
      </w:r>
    </w:p>
    <w:bookmarkEnd w:id="59"/>
    <w:p w14:paraId="6FDAEBD3">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（六）乙方提供货物必须是原品牌制造厂生产的最新产品，设备到货日期距离设备生产日期小于等于</w:t>
      </w:r>
      <w:r>
        <w:rPr>
          <w:rFonts w:hint="eastAsia" w:ascii="宋体" w:hAnsi="宋体" w:eastAsia="宋体" w:cs="宋体"/>
          <w:sz w:val="24"/>
          <w:u w:val="single"/>
          <w:lang w:val="en-US" w:eastAsia="zh-CN"/>
        </w:rPr>
        <w:t xml:space="preserve"> 进口设备生产日期不得早于到货日期12个月（或360天）,国产设备生产日期不得早于到货日期 6个月（或180天） </w:t>
      </w:r>
      <w:r>
        <w:rPr>
          <w:rFonts w:hint="eastAsia" w:ascii="宋体" w:hAnsi="宋体" w:eastAsia="宋体" w:cs="宋体"/>
          <w:sz w:val="24"/>
        </w:rPr>
        <w:t>。</w:t>
      </w:r>
    </w:p>
    <w:p w14:paraId="3C95F876">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八、技术支持</w:t>
      </w:r>
    </w:p>
    <w:p w14:paraId="6069959D">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质保期满后提供无偿技术服务。</w:t>
      </w:r>
    </w:p>
    <w:p w14:paraId="4D9DA491">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九、技术培训</w:t>
      </w:r>
    </w:p>
    <w:p w14:paraId="33BF242C">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（一）应包括设备(产品)使用操作、保养、维修等培训内容。乙方需为甲方免费培训相关技术人员，培训服务以受培训人员熟练掌握相应技能为原则。</w:t>
      </w:r>
    </w:p>
    <w:p w14:paraId="46DB6920">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（二）乙方应当提供甲方相关主管人员的培训，应使其可以完成对整体系统的正常运行的宏观管理。此项培训必须包括原厂商相关项目的标准培训。</w:t>
      </w:r>
    </w:p>
    <w:p w14:paraId="6A5CD2DB">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（三）培训内容应当包括设备(产品)使用及维修各个方面的培训。</w:t>
      </w:r>
    </w:p>
    <w:p w14:paraId="0611FA6C">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十、技术资料要求</w:t>
      </w:r>
    </w:p>
    <w:p w14:paraId="7AC0B30F">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乙方应向甲方提供全套中文技术资料一套，其费用包括在合同价格中：</w:t>
      </w:r>
    </w:p>
    <w:p w14:paraId="4DA23EA2">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（一）完整的设备(产品)操作使用手册和维护、修理技术文件，图纸、保修卡等；</w:t>
      </w:r>
    </w:p>
    <w:p w14:paraId="6449B42D">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（二）制造厂的检验、测试报告、设备(产品)检验合格证书、计量合格等级证书、计量器具需提供计量鉴定和校准证书、质量保证书等文件验收时须一并提供；</w:t>
      </w:r>
    </w:p>
    <w:p w14:paraId="7A920EB1">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（三）技术说明书或者使用说明书；</w:t>
      </w:r>
    </w:p>
    <w:p w14:paraId="504A8F2A">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（四）备品备件、易损件清单；</w:t>
      </w:r>
    </w:p>
    <w:p w14:paraId="576329A1">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（五）验收报告；</w:t>
      </w:r>
    </w:p>
    <w:p w14:paraId="1240EA7F">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（六）其他文件资料。</w:t>
      </w:r>
    </w:p>
    <w:p w14:paraId="5F70B7EB">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十一、售后服务</w:t>
      </w:r>
    </w:p>
    <w:p w14:paraId="024C8B8A">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（一）乙方应设有可承担维修职能售后服务机构。</w:t>
      </w:r>
    </w:p>
    <w:p w14:paraId="4D91E674">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（二）乙方应提供派驻的维护技术人员及能力等说明。</w:t>
      </w:r>
    </w:p>
    <w:p w14:paraId="7142C842">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（三）服务方式：</w:t>
      </w:r>
    </w:p>
    <w:p w14:paraId="2A096DD6">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1.现场服务，整体验收合格后质量保证期为</w:t>
      </w:r>
      <w:r>
        <w:rPr>
          <w:rFonts w:hint="eastAsia" w:ascii="宋体" w:hAnsi="宋体" w:eastAsia="宋体" w:cs="宋体"/>
          <w:sz w:val="24"/>
          <w:u w:val="single"/>
        </w:rPr>
        <w:t xml:space="preserve"> </w:t>
      </w:r>
      <w:r>
        <w:rPr>
          <w:rFonts w:hint="eastAsia" w:ascii="宋体" w:hAnsi="宋体" w:eastAsia="宋体" w:cs="宋体"/>
          <w:i/>
          <w:i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年，终身维护保养，保修期外维修只收取配件费，并提供常用配件、耗材清单及价格。负责终身软件升级。</w:t>
      </w:r>
    </w:p>
    <w:p w14:paraId="46C766E9">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2.在质量保证期内发生故障，维修响应时间≤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小时，维修工程师抵达现场时间≤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24</w:t>
      </w:r>
      <w:r>
        <w:rPr>
          <w:rFonts w:hint="eastAsia" w:ascii="宋体" w:hAnsi="宋体" w:eastAsia="宋体" w:cs="宋体"/>
          <w:sz w:val="24"/>
          <w:u w:val="single"/>
        </w:rPr>
        <w:t xml:space="preserve"> </w:t>
      </w:r>
      <w:r>
        <w:rPr>
          <w:rFonts w:hint="eastAsia" w:ascii="宋体" w:hAnsi="宋体" w:eastAsia="宋体" w:cs="宋体"/>
          <w:sz w:val="24"/>
        </w:rPr>
        <w:t>小时。</w:t>
      </w:r>
      <w:r>
        <w:rPr>
          <w:rFonts w:hint="eastAsia" w:ascii="宋体" w:hAnsi="宋体" w:eastAsia="宋体" w:cs="宋体"/>
          <w:b w:val="0"/>
          <w:bCs w:val="0"/>
          <w:sz w:val="24"/>
          <w:lang w:val="en-US" w:eastAsia="zh-CN"/>
        </w:rPr>
        <w:t>72</w:t>
      </w:r>
      <w:r>
        <w:rPr>
          <w:rFonts w:hint="eastAsia" w:ascii="宋体" w:hAnsi="宋体" w:eastAsia="宋体" w:cs="宋体"/>
          <w:b w:val="0"/>
          <w:bCs w:val="0"/>
          <w:sz w:val="24"/>
        </w:rPr>
        <w:t>小时内无法完成维修时须提供应急维修方案</w:t>
      </w:r>
      <w:r>
        <w:rPr>
          <w:rFonts w:hint="eastAsia" w:ascii="宋体" w:hAnsi="宋体" w:eastAsia="宋体" w:cs="宋体"/>
          <w:sz w:val="24"/>
        </w:rPr>
        <w:t>。若需要将产品返厂维修，乙方须承担维修产品所需的往返费用。</w:t>
      </w:r>
    </w:p>
    <w:p w14:paraId="6AC3CD03">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3.如果乙方在收到通知后两天内没有弥补缺陷，甲方可采取必要的补救措施，但其风险和费用将由乙方承担，甲方根据合同规定对乙方行使的其它权力不受影响。甲方亦可从合同尾款中扣回索赔金额。</w:t>
      </w:r>
    </w:p>
    <w:p w14:paraId="749CDA28">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（四）所提供的服务内容应严格按国家最新发布的规范标准执行，符合甲方宣传理念及要求，如发生质量问题由乙方承担全部责任。</w:t>
      </w:r>
    </w:p>
    <w:p w14:paraId="406A2A37">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（五）乙方应承诺的质保期、维保期的售后服务条款，乙方可视自身能力在投标文件中提供更优、更合理的售后服务承诺。</w:t>
      </w:r>
    </w:p>
    <w:p w14:paraId="43E25938">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十二、知识产权</w:t>
      </w:r>
    </w:p>
    <w:p w14:paraId="6E564CF5">
      <w:pPr>
        <w:keepNext w:val="0"/>
        <w:keepLines w:val="0"/>
        <w:pageBreakBefore w:val="0"/>
        <w:widowControl/>
        <w:kinsoku w:val="0"/>
        <w:wordWrap/>
        <w:overflowPunct w:val="0"/>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color w:val="EE0000"/>
          <w:sz w:val="24"/>
        </w:rPr>
      </w:pPr>
      <w:r>
        <w:rPr>
          <w:rFonts w:hint="eastAsia" w:ascii="宋体" w:hAnsi="宋体" w:eastAsia="宋体" w:cs="宋体"/>
          <w:sz w:val="24"/>
        </w:rPr>
        <w:t>乙方应对所供产品具有或已取得合法知识产权，乙方应保证所供产品及服务不会出现因第三方提出侵犯其专利权、商标权或其它知识产权而引发法律或经济纠纷，否则由乙方负责解决并承担全部责任</w:t>
      </w:r>
      <w:r>
        <w:rPr>
          <w:rFonts w:hint="eastAsia" w:ascii="宋体" w:hAnsi="宋体" w:eastAsia="宋体" w:cs="宋体"/>
          <w:color w:val="auto"/>
          <w:sz w:val="24"/>
        </w:rPr>
        <w:t>；乙方保证对其出售的货物上不存在任何未曾向甲方透露的担保物权，如抵押权、质押权、留置权。</w:t>
      </w:r>
    </w:p>
    <w:p w14:paraId="5D859FFE">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如因此影响到甲方的正常使用，甲方有权单方解除本合同，乙方应无条件向甲方退回已收取的全部合同价款。</w:t>
      </w:r>
    </w:p>
    <w:p w14:paraId="6A57CDA1">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十三、违约责任</w:t>
      </w:r>
    </w:p>
    <w:p w14:paraId="45788B14">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（一）按《中华人民共和国民法典》中的相关条款执行。</w:t>
      </w:r>
    </w:p>
    <w:p w14:paraId="3C7C6631">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二）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延期供货超过30日的，甲方有权终止合同，并向乙方主张因此给甲方造成的损失。</w:t>
      </w:r>
    </w:p>
    <w:p w14:paraId="0B693D2C">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三）按合同要求提供产品或产品质量不能满足采购技术要求，乙方必须无条件更换产品，提高技术，完善质量，否则，甲方会同监督机构、采购代理机构有权终止合同并对乙方违约行为进行追究，同时按政府采购乙方管理办法进行相应的处罚。</w:t>
      </w:r>
    </w:p>
    <w:p w14:paraId="5F5C6C84">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（四）任何一方因不可抗力原因不能履行协议时，应尽快通知对方，双方均设法补偿。如仍无法履约协议，可协商延缓或撤销协议，双方责任免除。</w:t>
      </w:r>
    </w:p>
    <w:p w14:paraId="77BBF23F">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bCs/>
          <w:sz w:val="24"/>
        </w:rPr>
      </w:pPr>
      <w:r>
        <w:rPr>
          <w:rFonts w:hint="eastAsia" w:ascii="宋体" w:hAnsi="宋体" w:eastAsia="宋体" w:cs="宋体"/>
          <w:b/>
          <w:bCs/>
          <w:sz w:val="24"/>
        </w:rPr>
        <w:t>十四、验收</w:t>
      </w:r>
    </w:p>
    <w:p w14:paraId="0049431E">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（一）本项目验收费用，由乙方承担。</w:t>
      </w:r>
    </w:p>
    <w:p w14:paraId="15A07C7D">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（二）到货验收：货物到货后，由甲方与乙方共同进行外观验收，验收内容包括，外包装的完好性，货物品牌、规格、数量及产地与合同要求的一致性等。</w:t>
      </w:r>
    </w:p>
    <w:p w14:paraId="48D48FCB">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（三）货物运行验收：乙方安装调试合格后，向甲方提出验收申请，甲方接到乙方验收申请后组织验收（必要时可聘请相应专家或委托相应部门验收），验收合格后，出具使用验收合格证明。</w:t>
      </w:r>
    </w:p>
    <w:p w14:paraId="1D9D326D">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（四）质保期满后，由乙方出具质保期运行质量报告，作为</w:t>
      </w:r>
      <w:r>
        <w:rPr>
          <w:rFonts w:hint="eastAsia" w:ascii="宋体" w:hAnsi="宋体" w:eastAsia="宋体" w:cs="宋体"/>
          <w:sz w:val="24"/>
          <w:lang w:val="en-US" w:eastAsia="zh-CN"/>
        </w:rPr>
        <w:t>履约保证金</w:t>
      </w:r>
      <w:r>
        <w:rPr>
          <w:rFonts w:hint="eastAsia" w:ascii="宋体" w:hAnsi="宋体" w:eastAsia="宋体" w:cs="宋体"/>
          <w:sz w:val="24"/>
        </w:rPr>
        <w:t>支付依据。若存在质量问题，由乙方承担相应责任及费用，甲方并有权从尾款中扣除。</w:t>
      </w:r>
    </w:p>
    <w:p w14:paraId="32A436D2">
      <w:pPr>
        <w:keepNext w:val="0"/>
        <w:keepLines w:val="0"/>
        <w:pageBreakBefore w:val="0"/>
        <w:widowControl/>
        <w:kinsoku w:val="0"/>
        <w:wordWrap/>
        <w:topLinePunct w:val="0"/>
        <w:autoSpaceDE w:val="0"/>
        <w:autoSpaceDN w:val="0"/>
        <w:bidi w:val="0"/>
        <w:adjustRightInd w:val="0"/>
        <w:snapToGrid w:val="0"/>
        <w:spacing w:line="384" w:lineRule="auto"/>
        <w:ind w:right="-199" w:rightChars="-95" w:firstLine="480" w:firstLineChars="200"/>
        <w:textAlignment w:val="baseline"/>
        <w:rPr>
          <w:rFonts w:hint="eastAsia" w:ascii="宋体" w:hAnsi="宋体" w:eastAsia="宋体" w:cs="宋体"/>
          <w:sz w:val="24"/>
        </w:rPr>
      </w:pPr>
      <w:r>
        <w:rPr>
          <w:rFonts w:hint="eastAsia" w:ascii="宋体" w:hAnsi="宋体" w:eastAsia="宋体" w:cs="宋体"/>
          <w:sz w:val="24"/>
        </w:rPr>
        <w:t>（五）乙方向甲方提交产品供货过程中的所有资料，以便甲方日后管理和维护。</w:t>
      </w:r>
    </w:p>
    <w:p w14:paraId="60D7EB1B">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（六）验收依据：</w:t>
      </w:r>
    </w:p>
    <w:p w14:paraId="56635C53">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1.本合同及附加文本；</w:t>
      </w:r>
    </w:p>
    <w:p w14:paraId="3CD9BD1C">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2.招标文件、投标文件及澄清函；</w:t>
      </w:r>
    </w:p>
    <w:p w14:paraId="0838B6AA">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rPr>
      </w:pPr>
      <w:r>
        <w:rPr>
          <w:rFonts w:hint="eastAsia" w:ascii="宋体" w:hAnsi="宋体" w:eastAsia="宋体" w:cs="宋体"/>
          <w:sz w:val="24"/>
        </w:rPr>
        <w:t>3、中国的相应标准、规范。</w:t>
      </w:r>
    </w:p>
    <w:p w14:paraId="02C442EC">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十五、合同争议解决的方式</w:t>
      </w:r>
    </w:p>
    <w:p w14:paraId="3E47FCD3">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本合同在履行过程中发生的争议，由甲、乙双方当事人协商解决，协商不成的按下列第</w:t>
      </w:r>
      <w:r>
        <w:rPr>
          <w:rFonts w:hint="eastAsia" w:ascii="宋体" w:hAnsi="宋体" w:eastAsia="宋体" w:cs="宋体"/>
          <w:sz w:val="24"/>
          <w:u w:val="single"/>
        </w:rPr>
        <w:t xml:space="preserve"> （一） </w:t>
      </w:r>
      <w:r>
        <w:rPr>
          <w:rFonts w:hint="eastAsia" w:ascii="宋体" w:hAnsi="宋体" w:eastAsia="宋体" w:cs="宋体"/>
          <w:sz w:val="24"/>
        </w:rPr>
        <w:t>种方式解决：</w:t>
      </w:r>
    </w:p>
    <w:p w14:paraId="6ABB011F">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（一）提交</w:t>
      </w:r>
      <w:r>
        <w:rPr>
          <w:rFonts w:hint="eastAsia" w:ascii="宋体" w:hAnsi="宋体" w:eastAsia="宋体" w:cs="宋体"/>
          <w:sz w:val="24"/>
          <w:u w:val="single"/>
        </w:rPr>
        <w:t xml:space="preserve"> 宝鸡市 </w:t>
      </w:r>
      <w:r>
        <w:rPr>
          <w:rFonts w:hint="eastAsia" w:ascii="宋体" w:hAnsi="宋体" w:eastAsia="宋体" w:cs="宋体"/>
          <w:sz w:val="24"/>
        </w:rPr>
        <w:t>仲裁委员会仲裁；</w:t>
      </w:r>
    </w:p>
    <w:p w14:paraId="2326E445">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（二）依法向甲方所在地人民法院起诉。</w:t>
      </w:r>
    </w:p>
    <w:p w14:paraId="260FF506">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十六、合同生效</w:t>
      </w:r>
    </w:p>
    <w:p w14:paraId="4D37A55F">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（一）本合同经双方签字盖章后生效。</w:t>
      </w:r>
    </w:p>
    <w:p w14:paraId="6ACFFE35">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（二）本合同须经甲、乙双方的法定代表人（授权代理人）在合同书上签字并加盖本单位公章后正式生效。</w:t>
      </w:r>
    </w:p>
    <w:p w14:paraId="48582925">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（三）合同生效后，甲、乙双方须严格执行本合同条款的规定，全面履行合同，违者按《中华人民共和国民法典》的有关规定承担相应责任。</w:t>
      </w:r>
    </w:p>
    <w:p w14:paraId="792F4DE0">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（四）本合同一式</w:t>
      </w:r>
      <w:r>
        <w:rPr>
          <w:rFonts w:hint="eastAsia" w:ascii="宋体" w:hAnsi="宋体" w:eastAsia="宋体" w:cs="宋体"/>
          <w:sz w:val="24"/>
          <w:u w:val="single"/>
        </w:rPr>
        <w:t xml:space="preserve">   </w:t>
      </w:r>
      <w:r>
        <w:rPr>
          <w:rFonts w:hint="eastAsia" w:ascii="宋体" w:hAnsi="宋体" w:eastAsia="宋体" w:cs="宋体"/>
          <w:sz w:val="24"/>
        </w:rPr>
        <w:t>份，甲乙双方各执</w:t>
      </w:r>
      <w:r>
        <w:rPr>
          <w:rFonts w:hint="eastAsia" w:ascii="宋体" w:hAnsi="宋体" w:eastAsia="宋体" w:cs="宋体"/>
          <w:sz w:val="24"/>
          <w:u w:val="single"/>
        </w:rPr>
        <w:t xml:space="preserve">    </w:t>
      </w:r>
      <w:r>
        <w:rPr>
          <w:rFonts w:hint="eastAsia" w:ascii="宋体" w:hAnsi="宋体" w:eastAsia="宋体" w:cs="宋体"/>
          <w:sz w:val="24"/>
        </w:rPr>
        <w:t>份。</w:t>
      </w:r>
    </w:p>
    <w:p w14:paraId="26CB779F">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（五）本合同如有未尽事宜，甲、乙双方协商解决。</w:t>
      </w:r>
    </w:p>
    <w:p w14:paraId="66B8E24E">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甲方：   （盖章）   </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乙方：   （盖章）</w:t>
      </w:r>
    </w:p>
    <w:p w14:paraId="5DCEB87B">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法定代表人（委托代理人）： 法定代表人（委托代理人）：</w:t>
      </w:r>
    </w:p>
    <w:p w14:paraId="5E8820F8">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地    址：                             地    址：</w:t>
      </w:r>
    </w:p>
    <w:p w14:paraId="2765C594">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开户银行：                             开户银行：</w:t>
      </w:r>
    </w:p>
    <w:p w14:paraId="06597F6F">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账号：                                 账号：</w:t>
      </w:r>
    </w:p>
    <w:p w14:paraId="327A6F6F">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电    话：                             电    话：</w:t>
      </w:r>
    </w:p>
    <w:p w14:paraId="1E11D250">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传    真：                             传    真：</w:t>
      </w:r>
    </w:p>
    <w:p w14:paraId="2CBE0A80">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签约日期：</w:t>
      </w:r>
      <w:r>
        <w:rPr>
          <w:rFonts w:hint="eastAsia" w:ascii="宋体" w:hAnsi="宋体" w:eastAsia="宋体" w:cs="宋体"/>
          <w:kern w:val="0"/>
          <w:sz w:val="24"/>
          <w:u w:val="single"/>
        </w:rPr>
        <w:t xml:space="preserve">     </w:t>
      </w:r>
      <w:r>
        <w:rPr>
          <w:rFonts w:hint="eastAsia" w:ascii="宋体" w:hAnsi="宋体" w:eastAsia="宋体" w:cs="宋体"/>
          <w:sz w:val="24"/>
        </w:rPr>
        <w:t>年</w:t>
      </w:r>
      <w:r>
        <w:rPr>
          <w:rFonts w:hint="eastAsia" w:ascii="宋体" w:hAnsi="宋体" w:eastAsia="宋体" w:cs="宋体"/>
          <w:kern w:val="0"/>
          <w:sz w:val="24"/>
          <w:u w:val="single"/>
        </w:rPr>
        <w:t xml:space="preserve">     </w:t>
      </w:r>
      <w:r>
        <w:rPr>
          <w:rFonts w:hint="eastAsia" w:ascii="宋体" w:hAnsi="宋体" w:eastAsia="宋体" w:cs="宋体"/>
          <w:sz w:val="24"/>
        </w:rPr>
        <w:t>月</w:t>
      </w:r>
      <w:r>
        <w:rPr>
          <w:rFonts w:hint="eastAsia" w:ascii="宋体" w:hAnsi="宋体" w:eastAsia="宋体" w:cs="宋体"/>
          <w:kern w:val="0"/>
          <w:sz w:val="24"/>
          <w:u w:val="single"/>
        </w:rPr>
        <w:t xml:space="preserve">     日</w:t>
      </w:r>
    </w:p>
    <w:p w14:paraId="3D7F0042">
      <w:pPr>
        <w:keepNext w:val="0"/>
        <w:keepLines w:val="0"/>
        <w:pageBreakBefore/>
        <w:widowControl w:val="0"/>
        <w:kinsoku/>
        <w:wordWrap/>
        <w:overflowPunct/>
        <w:topLinePunct w:val="0"/>
        <w:autoSpaceDE w:val="0"/>
        <w:autoSpaceDN w:val="0"/>
        <w:bidi w:val="0"/>
        <w:adjustRightInd w:val="0"/>
        <w:snapToGrid w:val="0"/>
        <w:spacing w:before="113" w:line="480" w:lineRule="auto"/>
        <w:jc w:val="center"/>
        <w:textAlignment w:val="baseline"/>
        <w:outlineLvl w:val="0"/>
        <w:rPr>
          <w:rFonts w:hint="default" w:ascii="Times New Roman" w:hAnsi="Times New Roman" w:eastAsia="宋体" w:cs="Times New Roman"/>
          <w:b/>
          <w:bCs/>
          <w:color w:val="auto"/>
          <w:spacing w:val="0"/>
          <w:sz w:val="35"/>
          <w:szCs w:val="35"/>
          <w:highlight w:val="none"/>
        </w:rPr>
      </w:pPr>
      <w:bookmarkStart w:id="60" w:name="_Toc8137"/>
      <w:r>
        <w:rPr>
          <w:rFonts w:hint="default" w:ascii="Times New Roman" w:hAnsi="Times New Roman" w:eastAsia="宋体" w:cs="Times New Roman"/>
          <w:b/>
          <w:bCs/>
          <w:color w:val="auto"/>
          <w:spacing w:val="0"/>
          <w:sz w:val="35"/>
          <w:szCs w:val="35"/>
          <w:highlight w:val="none"/>
        </w:rPr>
        <w:t>第</w:t>
      </w:r>
      <w:r>
        <w:rPr>
          <w:rFonts w:hint="eastAsia" w:ascii="Times New Roman" w:hAnsi="Times New Roman" w:eastAsia="宋体" w:cs="Times New Roman"/>
          <w:b/>
          <w:bCs/>
          <w:color w:val="auto"/>
          <w:spacing w:val="0"/>
          <w:sz w:val="35"/>
          <w:szCs w:val="35"/>
          <w:highlight w:val="none"/>
          <w:lang w:val="en-US" w:eastAsia="zh-CN"/>
        </w:rPr>
        <w:t>六</w:t>
      </w:r>
      <w:r>
        <w:rPr>
          <w:rFonts w:hint="default" w:ascii="Times New Roman" w:hAnsi="Times New Roman" w:eastAsia="宋体" w:cs="Times New Roman"/>
          <w:b/>
          <w:bCs/>
          <w:color w:val="auto"/>
          <w:spacing w:val="0"/>
          <w:sz w:val="35"/>
          <w:szCs w:val="35"/>
          <w:highlight w:val="none"/>
        </w:rPr>
        <w:t>章</w:t>
      </w:r>
      <w:r>
        <w:rPr>
          <w:rFonts w:hint="default" w:ascii="Times New Roman" w:hAnsi="Times New Roman" w:eastAsia="宋体" w:cs="Times New Roman"/>
          <w:b/>
          <w:bCs/>
          <w:color w:val="auto"/>
          <w:spacing w:val="0"/>
          <w:sz w:val="35"/>
          <w:szCs w:val="35"/>
          <w:highlight w:val="none"/>
          <w:lang w:eastAsia="zh-CN"/>
        </w:rPr>
        <w:t>、</w:t>
      </w:r>
      <w:r>
        <w:rPr>
          <w:rFonts w:hint="default" w:ascii="Times New Roman" w:hAnsi="Times New Roman" w:eastAsia="宋体" w:cs="Times New Roman"/>
          <w:b/>
          <w:bCs/>
          <w:color w:val="auto"/>
          <w:spacing w:val="0"/>
          <w:sz w:val="35"/>
          <w:szCs w:val="35"/>
          <w:highlight w:val="none"/>
        </w:rPr>
        <w:t>投标文件构成及格式</w:t>
      </w:r>
      <w:bookmarkEnd w:id="36"/>
      <w:bookmarkEnd w:id="37"/>
      <w:bookmarkEnd w:id="38"/>
      <w:bookmarkEnd w:id="60"/>
    </w:p>
    <w:p w14:paraId="57739263">
      <w:pPr>
        <w:keepNext w:val="0"/>
        <w:keepLines w:val="0"/>
        <w:kinsoku/>
        <w:overflowPunct/>
        <w:topLinePunct w:val="0"/>
        <w:bidi w:val="0"/>
        <w:spacing w:line="343" w:lineRule="auto"/>
        <w:jc w:val="both"/>
        <w:rPr>
          <w:rFonts w:hint="default" w:ascii="Times New Roman" w:hAnsi="Times New Roman" w:eastAsia="宋体" w:cs="Times New Roman"/>
          <w:color w:val="auto"/>
          <w:spacing w:val="0"/>
          <w:sz w:val="21"/>
          <w:highlight w:val="none"/>
          <w:lang w:val="en-US" w:eastAsia="zh-CN"/>
        </w:rPr>
      </w:pPr>
    </w:p>
    <w:p w14:paraId="63C9B657">
      <w:pPr>
        <w:pStyle w:val="8"/>
        <w:keepNext w:val="0"/>
        <w:keepLines w:val="0"/>
        <w:kinsoku/>
        <w:overflowPunct/>
        <w:topLinePunct w:val="0"/>
        <w:bidi w:val="0"/>
        <w:rPr>
          <w:rFonts w:hint="default" w:ascii="Times New Roman" w:hAnsi="Times New Roman" w:eastAsia="宋体" w:cs="Times New Roman"/>
          <w:color w:val="auto"/>
          <w:spacing w:val="0"/>
          <w:sz w:val="21"/>
          <w:highlight w:val="none"/>
          <w:lang w:val="en-US" w:eastAsia="zh-CN"/>
        </w:rPr>
      </w:pPr>
    </w:p>
    <w:p w14:paraId="291A18A7">
      <w:pPr>
        <w:keepNext w:val="0"/>
        <w:keepLines w:val="0"/>
        <w:kinsoku/>
        <w:overflowPunct/>
        <w:topLinePunct w:val="0"/>
        <w:bidi w:val="0"/>
        <w:rPr>
          <w:rFonts w:hint="default" w:ascii="Times New Roman" w:hAnsi="Times New Roman" w:cs="Times New Roman"/>
          <w:spacing w:val="0"/>
          <w:highlight w:val="none"/>
          <w:lang w:val="en-US" w:eastAsia="zh-CN"/>
        </w:rPr>
      </w:pPr>
    </w:p>
    <w:p w14:paraId="43507227">
      <w:pPr>
        <w:keepNext w:val="0"/>
        <w:keepLines w:val="0"/>
        <w:kinsoku/>
        <w:overflowPunct/>
        <w:topLinePunct w:val="0"/>
        <w:bidi w:val="0"/>
        <w:spacing w:line="343" w:lineRule="auto"/>
        <w:jc w:val="both"/>
        <w:rPr>
          <w:rFonts w:hint="default" w:ascii="Times New Roman" w:hAnsi="Times New Roman" w:cs="Times New Roman"/>
          <w:color w:val="auto"/>
          <w:spacing w:val="0"/>
          <w:sz w:val="21"/>
          <w:highlight w:val="none"/>
        </w:rPr>
      </w:pPr>
    </w:p>
    <w:p w14:paraId="2DA13CED">
      <w:pPr>
        <w:keepNext w:val="0"/>
        <w:keepLines w:val="0"/>
        <w:kinsoku/>
        <w:overflowPunct/>
        <w:topLinePunct w:val="0"/>
        <w:bidi w:val="0"/>
        <w:spacing w:before="114" w:line="480" w:lineRule="auto"/>
        <w:jc w:val="center"/>
        <w:rPr>
          <w:rFonts w:hint="eastAsia" w:ascii="Times New Roman" w:hAnsi="Times New Roman" w:eastAsia="宋体" w:cs="Times New Roman"/>
          <w:b/>
          <w:bCs/>
          <w:color w:val="auto"/>
          <w:spacing w:val="0"/>
          <w:sz w:val="40"/>
          <w:szCs w:val="40"/>
          <w:highlight w:val="none"/>
          <w:lang w:eastAsia="zh-CN"/>
        </w:rPr>
      </w:pPr>
      <w:r>
        <w:rPr>
          <w:rFonts w:hint="eastAsia" w:ascii="Times New Roman" w:hAnsi="Times New Roman" w:eastAsia="宋体" w:cs="Times New Roman"/>
          <w:b/>
          <w:bCs/>
          <w:color w:val="auto"/>
          <w:spacing w:val="0"/>
          <w:sz w:val="40"/>
          <w:szCs w:val="40"/>
          <w:highlight w:val="none"/>
          <w:lang w:eastAsia="zh-CN"/>
        </w:rPr>
        <w:t>宝鸡市第二人民医院彩超采购项目</w:t>
      </w:r>
    </w:p>
    <w:p w14:paraId="30BDE00C">
      <w:pPr>
        <w:keepNext w:val="0"/>
        <w:keepLines w:val="0"/>
        <w:kinsoku/>
        <w:overflowPunct/>
        <w:topLinePunct w:val="0"/>
        <w:bidi w:val="0"/>
        <w:spacing w:line="283" w:lineRule="auto"/>
        <w:jc w:val="center"/>
        <w:rPr>
          <w:rFonts w:hint="default" w:ascii="Times New Roman" w:hAnsi="Times New Roman" w:cs="Times New Roman"/>
          <w:color w:val="auto"/>
          <w:spacing w:val="0"/>
          <w:sz w:val="21"/>
          <w:highlight w:val="none"/>
          <w:lang w:val="en-US"/>
        </w:rPr>
      </w:pPr>
      <w:r>
        <w:rPr>
          <w:rFonts w:hint="eastAsia" w:ascii="Times New Roman" w:hAnsi="Times New Roman" w:eastAsia="宋体" w:cs="Times New Roman"/>
          <w:b/>
          <w:bCs/>
          <w:color w:val="auto"/>
          <w:spacing w:val="0"/>
          <w:sz w:val="32"/>
          <w:szCs w:val="32"/>
          <w:highlight w:val="none"/>
          <w:u w:val="single"/>
          <w:lang w:val="en-US" w:eastAsia="zh-CN"/>
        </w:rPr>
        <w:t>（合同包名称）</w:t>
      </w:r>
    </w:p>
    <w:p w14:paraId="54450BC9">
      <w:pPr>
        <w:keepNext w:val="0"/>
        <w:keepLines w:val="0"/>
        <w:kinsoku/>
        <w:overflowPunct/>
        <w:topLinePunct w:val="0"/>
        <w:bidi w:val="0"/>
        <w:spacing w:line="283" w:lineRule="auto"/>
        <w:jc w:val="both"/>
        <w:rPr>
          <w:rFonts w:hint="default" w:ascii="Times New Roman" w:hAnsi="Times New Roman" w:cs="Times New Roman"/>
          <w:color w:val="auto"/>
          <w:spacing w:val="0"/>
          <w:sz w:val="21"/>
          <w:highlight w:val="none"/>
        </w:rPr>
      </w:pPr>
    </w:p>
    <w:p w14:paraId="2BA845FE">
      <w:pPr>
        <w:keepNext w:val="0"/>
        <w:keepLines w:val="0"/>
        <w:kinsoku/>
        <w:overflowPunct/>
        <w:topLinePunct w:val="0"/>
        <w:bidi w:val="0"/>
        <w:spacing w:line="283" w:lineRule="auto"/>
        <w:jc w:val="both"/>
        <w:rPr>
          <w:rFonts w:hint="default" w:ascii="Times New Roman" w:hAnsi="Times New Roman" w:cs="Times New Roman"/>
          <w:color w:val="auto"/>
          <w:spacing w:val="0"/>
          <w:sz w:val="21"/>
          <w:highlight w:val="none"/>
        </w:rPr>
      </w:pPr>
    </w:p>
    <w:p w14:paraId="009CB573">
      <w:pPr>
        <w:keepNext w:val="0"/>
        <w:keepLines w:val="0"/>
        <w:kinsoku/>
        <w:overflowPunct/>
        <w:topLinePunct w:val="0"/>
        <w:bidi w:val="0"/>
        <w:spacing w:line="283" w:lineRule="auto"/>
        <w:jc w:val="both"/>
        <w:rPr>
          <w:rFonts w:hint="default" w:ascii="Times New Roman" w:hAnsi="Times New Roman" w:cs="Times New Roman"/>
          <w:color w:val="auto"/>
          <w:spacing w:val="0"/>
          <w:sz w:val="21"/>
          <w:highlight w:val="none"/>
        </w:rPr>
      </w:pPr>
    </w:p>
    <w:p w14:paraId="15061C01">
      <w:pPr>
        <w:keepNext w:val="0"/>
        <w:keepLines w:val="0"/>
        <w:kinsoku/>
        <w:overflowPunct/>
        <w:topLinePunct w:val="0"/>
        <w:bidi w:val="0"/>
        <w:spacing w:before="169" w:line="220" w:lineRule="auto"/>
        <w:jc w:val="center"/>
        <w:rPr>
          <w:rFonts w:hint="default" w:ascii="Times New Roman" w:hAnsi="Times New Roman" w:eastAsia="宋体" w:cs="Times New Roman"/>
          <w:b/>
          <w:bCs/>
          <w:color w:val="auto"/>
          <w:spacing w:val="0"/>
          <w:sz w:val="52"/>
          <w:szCs w:val="52"/>
          <w:highlight w:val="none"/>
        </w:rPr>
      </w:pPr>
      <w:r>
        <w:rPr>
          <w:rFonts w:hint="default" w:ascii="Times New Roman" w:hAnsi="Times New Roman" w:eastAsia="宋体" w:cs="Times New Roman"/>
          <w:b/>
          <w:bCs/>
          <w:color w:val="auto"/>
          <w:spacing w:val="0"/>
          <w:sz w:val="52"/>
          <w:szCs w:val="52"/>
          <w:highlight w:val="none"/>
        </w:rPr>
        <w:t>投</w:t>
      </w:r>
      <w:r>
        <w:rPr>
          <w:rFonts w:hint="default" w:ascii="Times New Roman" w:hAnsi="Times New Roman" w:eastAsia="宋体" w:cs="Times New Roman"/>
          <w:b/>
          <w:bCs/>
          <w:color w:val="auto"/>
          <w:spacing w:val="0"/>
          <w:sz w:val="52"/>
          <w:szCs w:val="52"/>
          <w:highlight w:val="none"/>
          <w:lang w:val="en-US" w:eastAsia="zh-CN"/>
        </w:rPr>
        <w:t xml:space="preserve"> </w:t>
      </w:r>
      <w:r>
        <w:rPr>
          <w:rFonts w:hint="default" w:ascii="Times New Roman" w:hAnsi="Times New Roman" w:eastAsia="宋体" w:cs="Times New Roman"/>
          <w:b/>
          <w:bCs/>
          <w:color w:val="auto"/>
          <w:spacing w:val="0"/>
          <w:sz w:val="52"/>
          <w:szCs w:val="52"/>
          <w:highlight w:val="none"/>
        </w:rPr>
        <w:t>标</w:t>
      </w:r>
      <w:r>
        <w:rPr>
          <w:rFonts w:hint="default" w:ascii="Times New Roman" w:hAnsi="Times New Roman" w:eastAsia="宋体" w:cs="Times New Roman"/>
          <w:b/>
          <w:bCs/>
          <w:color w:val="auto"/>
          <w:spacing w:val="0"/>
          <w:sz w:val="52"/>
          <w:szCs w:val="52"/>
          <w:highlight w:val="none"/>
          <w:lang w:val="en-US" w:eastAsia="zh-CN"/>
        </w:rPr>
        <w:t xml:space="preserve"> </w:t>
      </w:r>
      <w:r>
        <w:rPr>
          <w:rFonts w:hint="default" w:ascii="Times New Roman" w:hAnsi="Times New Roman" w:eastAsia="宋体" w:cs="Times New Roman"/>
          <w:b/>
          <w:bCs/>
          <w:color w:val="auto"/>
          <w:spacing w:val="0"/>
          <w:sz w:val="52"/>
          <w:szCs w:val="52"/>
          <w:highlight w:val="none"/>
        </w:rPr>
        <w:t>文</w:t>
      </w:r>
      <w:r>
        <w:rPr>
          <w:rFonts w:hint="default" w:ascii="Times New Roman" w:hAnsi="Times New Roman" w:eastAsia="宋体" w:cs="Times New Roman"/>
          <w:b/>
          <w:bCs/>
          <w:color w:val="auto"/>
          <w:spacing w:val="0"/>
          <w:sz w:val="52"/>
          <w:szCs w:val="52"/>
          <w:highlight w:val="none"/>
          <w:lang w:val="en-US" w:eastAsia="zh-CN"/>
        </w:rPr>
        <w:t xml:space="preserve"> </w:t>
      </w:r>
      <w:r>
        <w:rPr>
          <w:rFonts w:hint="default" w:ascii="Times New Roman" w:hAnsi="Times New Roman" w:eastAsia="宋体" w:cs="Times New Roman"/>
          <w:b/>
          <w:bCs/>
          <w:color w:val="auto"/>
          <w:spacing w:val="0"/>
          <w:sz w:val="52"/>
          <w:szCs w:val="52"/>
          <w:highlight w:val="none"/>
        </w:rPr>
        <w:t>件</w:t>
      </w:r>
    </w:p>
    <w:p w14:paraId="39418E54">
      <w:pPr>
        <w:keepNext w:val="0"/>
        <w:keepLines w:val="0"/>
        <w:kinsoku/>
        <w:overflowPunct/>
        <w:topLinePunct w:val="0"/>
        <w:bidi w:val="0"/>
        <w:spacing w:line="268" w:lineRule="auto"/>
        <w:jc w:val="both"/>
        <w:rPr>
          <w:rFonts w:hint="default" w:ascii="Times New Roman" w:hAnsi="Times New Roman" w:cs="Times New Roman"/>
          <w:b/>
          <w:bCs/>
          <w:color w:val="auto"/>
          <w:spacing w:val="0"/>
          <w:sz w:val="21"/>
          <w:highlight w:val="none"/>
        </w:rPr>
      </w:pPr>
    </w:p>
    <w:p w14:paraId="4C246BCB">
      <w:pPr>
        <w:keepNext w:val="0"/>
        <w:keepLines w:val="0"/>
        <w:kinsoku/>
        <w:overflowPunct/>
        <w:topLinePunct w:val="0"/>
        <w:bidi w:val="0"/>
        <w:spacing w:line="269" w:lineRule="auto"/>
        <w:jc w:val="both"/>
        <w:rPr>
          <w:rFonts w:hint="default" w:ascii="Times New Roman" w:hAnsi="Times New Roman" w:cs="Times New Roman"/>
          <w:color w:val="auto"/>
          <w:spacing w:val="0"/>
          <w:sz w:val="21"/>
          <w:highlight w:val="none"/>
        </w:rPr>
      </w:pPr>
    </w:p>
    <w:p w14:paraId="3C27F984">
      <w:pPr>
        <w:keepNext w:val="0"/>
        <w:keepLines w:val="0"/>
        <w:kinsoku/>
        <w:overflowPunct/>
        <w:topLinePunct w:val="0"/>
        <w:bidi w:val="0"/>
        <w:spacing w:line="269" w:lineRule="auto"/>
        <w:jc w:val="both"/>
        <w:rPr>
          <w:rFonts w:hint="default" w:ascii="Times New Roman" w:hAnsi="Times New Roman" w:cs="Times New Roman"/>
          <w:color w:val="auto"/>
          <w:spacing w:val="0"/>
          <w:sz w:val="21"/>
          <w:highlight w:val="none"/>
        </w:rPr>
      </w:pPr>
    </w:p>
    <w:p w14:paraId="6906D095">
      <w:pPr>
        <w:keepNext w:val="0"/>
        <w:keepLines w:val="0"/>
        <w:kinsoku/>
        <w:overflowPunct/>
        <w:topLinePunct w:val="0"/>
        <w:bidi w:val="0"/>
        <w:spacing w:before="91" w:line="220" w:lineRule="auto"/>
        <w:jc w:val="center"/>
        <w:rPr>
          <w:rFonts w:hint="eastAsia" w:ascii="Times New Roman" w:hAnsi="Times New Roman" w:eastAsia="宋体" w:cs="Times New Roman"/>
          <w:color w:val="auto"/>
          <w:spacing w:val="0"/>
          <w:sz w:val="28"/>
          <w:szCs w:val="28"/>
          <w:highlight w:val="none"/>
          <w:lang w:eastAsia="zh-CN"/>
        </w:rPr>
      </w:pPr>
      <w:r>
        <w:rPr>
          <w:rFonts w:hint="eastAsia" w:ascii="Times New Roman" w:hAnsi="Times New Roman" w:eastAsia="宋体" w:cs="Times New Roman"/>
          <w:color w:val="auto"/>
          <w:spacing w:val="0"/>
          <w:sz w:val="28"/>
          <w:szCs w:val="28"/>
          <w:highlight w:val="none"/>
          <w:lang w:eastAsia="zh-CN"/>
        </w:rPr>
        <w:t>（</w:t>
      </w:r>
      <w:r>
        <w:rPr>
          <w:rFonts w:hint="eastAsia" w:ascii="Times New Roman" w:hAnsi="Times New Roman" w:eastAsia="宋体" w:cs="Times New Roman"/>
          <w:color w:val="auto"/>
          <w:spacing w:val="0"/>
          <w:sz w:val="28"/>
          <w:szCs w:val="28"/>
          <w:highlight w:val="none"/>
          <w:lang w:val="en-US" w:eastAsia="zh-CN"/>
        </w:rPr>
        <w:t>格式</w:t>
      </w:r>
      <w:r>
        <w:rPr>
          <w:rFonts w:hint="eastAsia" w:ascii="Times New Roman" w:hAnsi="Times New Roman" w:eastAsia="宋体" w:cs="Times New Roman"/>
          <w:color w:val="auto"/>
          <w:spacing w:val="0"/>
          <w:sz w:val="28"/>
          <w:szCs w:val="28"/>
          <w:highlight w:val="none"/>
          <w:lang w:eastAsia="zh-CN"/>
        </w:rPr>
        <w:t>）</w:t>
      </w:r>
    </w:p>
    <w:p w14:paraId="6C8F892B">
      <w:pPr>
        <w:keepNext w:val="0"/>
        <w:keepLines w:val="0"/>
        <w:kinsoku/>
        <w:overflowPunct/>
        <w:topLinePunct w:val="0"/>
        <w:bidi w:val="0"/>
        <w:jc w:val="both"/>
        <w:rPr>
          <w:rFonts w:hint="default" w:ascii="Times New Roman" w:hAnsi="Times New Roman" w:cs="Times New Roman"/>
          <w:color w:val="auto"/>
          <w:spacing w:val="0"/>
          <w:highlight w:val="none"/>
        </w:rPr>
      </w:pPr>
    </w:p>
    <w:p w14:paraId="44698535">
      <w:pPr>
        <w:keepNext w:val="0"/>
        <w:keepLines w:val="0"/>
        <w:kinsoku/>
        <w:overflowPunct/>
        <w:topLinePunct w:val="0"/>
        <w:bidi w:val="0"/>
        <w:jc w:val="both"/>
        <w:rPr>
          <w:rFonts w:hint="default" w:ascii="Times New Roman" w:hAnsi="Times New Roman" w:cs="Times New Roman"/>
          <w:color w:val="auto"/>
          <w:spacing w:val="0"/>
          <w:highlight w:val="none"/>
        </w:rPr>
      </w:pPr>
    </w:p>
    <w:p w14:paraId="339F7496">
      <w:pPr>
        <w:keepNext w:val="0"/>
        <w:keepLines w:val="0"/>
        <w:kinsoku/>
        <w:overflowPunct/>
        <w:topLinePunct w:val="0"/>
        <w:bidi w:val="0"/>
        <w:jc w:val="both"/>
        <w:rPr>
          <w:rFonts w:hint="default" w:ascii="Times New Roman" w:hAnsi="Times New Roman" w:cs="Times New Roman"/>
          <w:color w:val="auto"/>
          <w:spacing w:val="0"/>
          <w:highlight w:val="none"/>
        </w:rPr>
      </w:pPr>
    </w:p>
    <w:p w14:paraId="1CCF1B92">
      <w:pPr>
        <w:keepNext w:val="0"/>
        <w:keepLines w:val="0"/>
        <w:kinsoku/>
        <w:overflowPunct/>
        <w:topLinePunct w:val="0"/>
        <w:bidi w:val="0"/>
        <w:jc w:val="both"/>
        <w:rPr>
          <w:rFonts w:hint="default" w:ascii="Times New Roman" w:hAnsi="Times New Roman" w:cs="Times New Roman"/>
          <w:color w:val="auto"/>
          <w:spacing w:val="0"/>
          <w:highlight w:val="none"/>
        </w:rPr>
      </w:pPr>
    </w:p>
    <w:p w14:paraId="6D2B2B7F">
      <w:pPr>
        <w:keepNext w:val="0"/>
        <w:keepLines w:val="0"/>
        <w:kinsoku/>
        <w:overflowPunct/>
        <w:topLinePunct w:val="0"/>
        <w:bidi w:val="0"/>
        <w:jc w:val="both"/>
        <w:rPr>
          <w:rFonts w:hint="default" w:ascii="Times New Roman" w:hAnsi="Times New Roman" w:cs="Times New Roman"/>
          <w:color w:val="auto"/>
          <w:spacing w:val="0"/>
          <w:highlight w:val="none"/>
        </w:rPr>
      </w:pPr>
    </w:p>
    <w:p w14:paraId="2E919A1F">
      <w:pPr>
        <w:keepNext w:val="0"/>
        <w:keepLines w:val="0"/>
        <w:kinsoku/>
        <w:overflowPunct/>
        <w:topLinePunct w:val="0"/>
        <w:bidi w:val="0"/>
        <w:jc w:val="both"/>
        <w:rPr>
          <w:rFonts w:hint="default" w:ascii="Times New Roman" w:hAnsi="Times New Roman" w:cs="Times New Roman"/>
          <w:color w:val="auto"/>
          <w:spacing w:val="0"/>
          <w:highlight w:val="none"/>
        </w:rPr>
      </w:pPr>
    </w:p>
    <w:p w14:paraId="75E19A38">
      <w:pPr>
        <w:pStyle w:val="8"/>
        <w:keepNext w:val="0"/>
        <w:keepLines w:val="0"/>
        <w:kinsoku/>
        <w:overflowPunct/>
        <w:topLinePunct w:val="0"/>
        <w:bidi w:val="0"/>
        <w:jc w:val="both"/>
        <w:rPr>
          <w:rFonts w:hint="default" w:ascii="Times New Roman" w:hAnsi="Times New Roman" w:cs="Times New Roman"/>
          <w:color w:val="auto"/>
          <w:spacing w:val="0"/>
          <w:highlight w:val="none"/>
        </w:rPr>
      </w:pPr>
    </w:p>
    <w:p w14:paraId="7D3B254E">
      <w:pPr>
        <w:keepNext w:val="0"/>
        <w:keepLines w:val="0"/>
        <w:kinsoku/>
        <w:overflowPunct/>
        <w:topLinePunct w:val="0"/>
        <w:bidi w:val="0"/>
        <w:jc w:val="both"/>
        <w:rPr>
          <w:rFonts w:hint="default" w:ascii="Times New Roman" w:hAnsi="Times New Roman" w:cs="Times New Roman"/>
          <w:color w:val="auto"/>
          <w:spacing w:val="0"/>
          <w:highlight w:val="none"/>
        </w:rPr>
      </w:pPr>
    </w:p>
    <w:p w14:paraId="48F68E3D">
      <w:pPr>
        <w:pStyle w:val="8"/>
        <w:keepNext w:val="0"/>
        <w:keepLines w:val="0"/>
        <w:kinsoku/>
        <w:overflowPunct/>
        <w:topLinePunct w:val="0"/>
        <w:bidi w:val="0"/>
        <w:jc w:val="both"/>
        <w:rPr>
          <w:rFonts w:hint="default" w:ascii="Times New Roman" w:hAnsi="Times New Roman" w:cs="Times New Roman"/>
          <w:color w:val="auto"/>
          <w:spacing w:val="0"/>
          <w:highlight w:val="none"/>
        </w:rPr>
      </w:pPr>
    </w:p>
    <w:p w14:paraId="7CD03CFF">
      <w:pPr>
        <w:keepNext w:val="0"/>
        <w:keepLines w:val="0"/>
        <w:kinsoku/>
        <w:overflowPunct/>
        <w:topLinePunct w:val="0"/>
        <w:bidi w:val="0"/>
        <w:jc w:val="both"/>
        <w:rPr>
          <w:rFonts w:hint="default" w:ascii="Times New Roman" w:hAnsi="Times New Roman" w:cs="Times New Roman"/>
          <w:color w:val="auto"/>
          <w:spacing w:val="0"/>
          <w:highlight w:val="none"/>
        </w:rPr>
      </w:pPr>
    </w:p>
    <w:p w14:paraId="286DD880">
      <w:pPr>
        <w:keepNext w:val="0"/>
        <w:keepLines w:val="0"/>
        <w:kinsoku/>
        <w:overflowPunct/>
        <w:topLinePunct w:val="0"/>
        <w:bidi w:val="0"/>
        <w:jc w:val="both"/>
        <w:rPr>
          <w:rFonts w:hint="default" w:ascii="Times New Roman" w:hAnsi="Times New Roman" w:cs="Times New Roman"/>
          <w:color w:val="auto"/>
          <w:spacing w:val="0"/>
          <w:highlight w:val="none"/>
        </w:rPr>
      </w:pPr>
    </w:p>
    <w:p w14:paraId="63DA0A88">
      <w:pPr>
        <w:keepNext w:val="0"/>
        <w:keepLines w:val="0"/>
        <w:kinsoku/>
        <w:overflowPunct/>
        <w:topLinePunct w:val="0"/>
        <w:bidi w:val="0"/>
        <w:jc w:val="both"/>
        <w:rPr>
          <w:rFonts w:hint="default" w:ascii="Times New Roman" w:hAnsi="Times New Roman" w:cs="Times New Roman"/>
          <w:color w:val="auto"/>
          <w:spacing w:val="0"/>
          <w:highlight w:val="none"/>
        </w:rPr>
      </w:pPr>
    </w:p>
    <w:p w14:paraId="3C7FE2DA">
      <w:pPr>
        <w:keepNext w:val="0"/>
        <w:keepLines w:val="0"/>
        <w:kinsoku/>
        <w:overflowPunct/>
        <w:topLinePunct w:val="0"/>
        <w:bidi w:val="0"/>
        <w:spacing w:before="56" w:line="220" w:lineRule="auto"/>
        <w:ind w:left="1134"/>
        <w:jc w:val="both"/>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rPr>
        <w:t>项目编</w:t>
      </w:r>
      <w:r>
        <w:rPr>
          <w:rFonts w:hint="eastAsia" w:ascii="宋体" w:hAnsi="宋体" w:eastAsia="宋体" w:cs="宋体"/>
          <w:b/>
          <w:bCs/>
          <w:color w:val="auto"/>
          <w:spacing w:val="0"/>
          <w:sz w:val="28"/>
          <w:szCs w:val="28"/>
          <w:highlight w:val="none"/>
          <w:lang w:val="en-US" w:eastAsia="zh-CN"/>
        </w:rPr>
        <w:t>号</w:t>
      </w:r>
      <w:r>
        <w:rPr>
          <w:rFonts w:hint="eastAsia" w:ascii="宋体" w:hAnsi="宋体" w:eastAsia="宋体" w:cs="宋体"/>
          <w:b/>
          <w:bCs/>
          <w:color w:val="auto"/>
          <w:spacing w:val="0"/>
          <w:sz w:val="28"/>
          <w:szCs w:val="28"/>
          <w:highlight w:val="none"/>
        </w:rPr>
        <w:t>：</w:t>
      </w:r>
      <w:r>
        <w:rPr>
          <w:rFonts w:hint="eastAsia" w:ascii="宋体" w:hAnsi="宋体" w:eastAsia="宋体" w:cs="宋体"/>
          <w:b/>
          <w:bCs/>
          <w:color w:val="auto"/>
          <w:spacing w:val="0"/>
          <w:sz w:val="28"/>
          <w:szCs w:val="28"/>
          <w:highlight w:val="none"/>
          <w:u w:val="single"/>
          <w:lang w:val="en-US" w:eastAsia="zh-CN"/>
        </w:rPr>
        <w:t xml:space="preserve">                               </w:t>
      </w:r>
    </w:p>
    <w:p w14:paraId="2669EAF9">
      <w:pPr>
        <w:keepNext w:val="0"/>
        <w:keepLines w:val="0"/>
        <w:kinsoku/>
        <w:overflowPunct/>
        <w:topLinePunct w:val="0"/>
        <w:bidi w:val="0"/>
        <w:spacing w:line="329" w:lineRule="auto"/>
        <w:jc w:val="both"/>
        <w:rPr>
          <w:rFonts w:hint="eastAsia" w:ascii="宋体" w:hAnsi="宋体" w:eastAsia="宋体" w:cs="宋体"/>
          <w:b/>
          <w:bCs/>
          <w:color w:val="auto"/>
          <w:spacing w:val="0"/>
          <w:sz w:val="21"/>
          <w:highlight w:val="none"/>
        </w:rPr>
      </w:pPr>
    </w:p>
    <w:p w14:paraId="7E433868">
      <w:pPr>
        <w:keepNext w:val="0"/>
        <w:keepLines w:val="0"/>
        <w:kinsoku/>
        <w:overflowPunct/>
        <w:topLinePunct w:val="0"/>
        <w:bidi w:val="0"/>
        <w:spacing w:before="56" w:line="220" w:lineRule="auto"/>
        <w:ind w:firstLine="1124" w:firstLineChars="400"/>
        <w:jc w:val="both"/>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rPr>
        <w:t>投标单位：</w:t>
      </w:r>
      <w:r>
        <w:rPr>
          <w:rFonts w:hint="eastAsia" w:ascii="宋体" w:hAnsi="宋体" w:eastAsia="宋体" w:cs="宋体"/>
          <w:b/>
          <w:bCs/>
          <w:color w:val="auto"/>
          <w:spacing w:val="0"/>
          <w:sz w:val="28"/>
          <w:szCs w:val="28"/>
          <w:highlight w:val="none"/>
          <w:u w:val="single"/>
          <w:lang w:val="en-US" w:eastAsia="zh-CN"/>
        </w:rPr>
        <w:t xml:space="preserve">                               </w:t>
      </w:r>
      <w:r>
        <w:rPr>
          <w:rFonts w:hint="eastAsia" w:ascii="宋体" w:hAnsi="宋体" w:eastAsia="宋体" w:cs="宋体"/>
          <w:b/>
          <w:bCs/>
          <w:color w:val="auto"/>
          <w:spacing w:val="0"/>
          <w:sz w:val="28"/>
          <w:szCs w:val="28"/>
          <w:highlight w:val="none"/>
        </w:rPr>
        <w:t>(</w:t>
      </w:r>
      <w:r>
        <w:rPr>
          <w:rFonts w:hint="eastAsia" w:ascii="宋体" w:hAnsi="宋体" w:eastAsia="宋体" w:cs="宋体"/>
          <w:b/>
          <w:bCs/>
          <w:color w:val="auto"/>
          <w:spacing w:val="0"/>
          <w:sz w:val="28"/>
          <w:szCs w:val="28"/>
          <w:highlight w:val="none"/>
          <w:lang w:val="en-US" w:eastAsia="zh-CN"/>
        </w:rPr>
        <w:t xml:space="preserve">公  </w:t>
      </w:r>
      <w:r>
        <w:rPr>
          <w:rFonts w:hint="eastAsia" w:ascii="宋体" w:hAnsi="宋体" w:eastAsia="宋体" w:cs="宋体"/>
          <w:b/>
          <w:bCs/>
          <w:color w:val="auto"/>
          <w:spacing w:val="0"/>
          <w:sz w:val="28"/>
          <w:szCs w:val="28"/>
          <w:highlight w:val="none"/>
        </w:rPr>
        <w:t>章)</w:t>
      </w:r>
    </w:p>
    <w:p w14:paraId="615EA008">
      <w:pPr>
        <w:keepNext w:val="0"/>
        <w:keepLines w:val="0"/>
        <w:kinsoku/>
        <w:overflowPunct/>
        <w:topLinePunct w:val="0"/>
        <w:bidi w:val="0"/>
        <w:spacing w:before="56" w:line="220" w:lineRule="auto"/>
        <w:ind w:left="1134"/>
        <w:jc w:val="both"/>
        <w:rPr>
          <w:rFonts w:hint="eastAsia" w:ascii="宋体" w:hAnsi="宋体" w:eastAsia="宋体" w:cs="宋体"/>
          <w:b/>
          <w:bCs/>
          <w:color w:val="auto"/>
          <w:spacing w:val="0"/>
          <w:sz w:val="28"/>
          <w:szCs w:val="28"/>
          <w:highlight w:val="none"/>
        </w:rPr>
      </w:pPr>
    </w:p>
    <w:p w14:paraId="5948F50D">
      <w:pPr>
        <w:keepNext w:val="0"/>
        <w:keepLines w:val="0"/>
        <w:kinsoku/>
        <w:overflowPunct/>
        <w:topLinePunct w:val="0"/>
        <w:bidi w:val="0"/>
        <w:spacing w:before="56" w:line="220" w:lineRule="auto"/>
        <w:ind w:left="1134"/>
        <w:jc w:val="both"/>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法定代表人或被授权人：</w:t>
      </w:r>
      <w:r>
        <w:rPr>
          <w:rFonts w:hint="eastAsia" w:ascii="宋体" w:hAnsi="宋体" w:eastAsia="宋体" w:cs="宋体"/>
          <w:b/>
          <w:bCs/>
          <w:color w:val="auto"/>
          <w:spacing w:val="0"/>
          <w:sz w:val="28"/>
          <w:szCs w:val="28"/>
          <w:highlight w:val="none"/>
          <w:u w:val="single"/>
          <w:lang w:val="en-US" w:eastAsia="zh-CN"/>
        </w:rPr>
        <w:t xml:space="preserve">                   </w:t>
      </w:r>
      <w:r>
        <w:rPr>
          <w:rFonts w:hint="eastAsia" w:ascii="宋体" w:hAnsi="宋体" w:eastAsia="宋体" w:cs="宋体"/>
          <w:b/>
          <w:bCs/>
          <w:color w:val="auto"/>
          <w:spacing w:val="0"/>
          <w:sz w:val="28"/>
          <w:szCs w:val="28"/>
          <w:highlight w:val="none"/>
        </w:rPr>
        <w:t>(签字或盖章)</w:t>
      </w:r>
    </w:p>
    <w:p w14:paraId="291F2859">
      <w:pPr>
        <w:keepNext w:val="0"/>
        <w:keepLines w:val="0"/>
        <w:kinsoku/>
        <w:overflowPunct/>
        <w:topLinePunct w:val="0"/>
        <w:bidi w:val="0"/>
        <w:spacing w:before="56" w:line="220" w:lineRule="auto"/>
        <w:ind w:left="1134"/>
        <w:jc w:val="both"/>
        <w:rPr>
          <w:rFonts w:hint="eastAsia" w:ascii="宋体" w:hAnsi="宋体" w:eastAsia="宋体" w:cs="宋体"/>
          <w:b/>
          <w:bCs/>
          <w:color w:val="auto"/>
          <w:spacing w:val="0"/>
          <w:sz w:val="28"/>
          <w:szCs w:val="28"/>
          <w:highlight w:val="none"/>
        </w:rPr>
      </w:pPr>
    </w:p>
    <w:p w14:paraId="71FD2C0F">
      <w:pPr>
        <w:keepNext w:val="0"/>
        <w:keepLines w:val="0"/>
        <w:kinsoku/>
        <w:overflowPunct/>
        <w:topLinePunct w:val="0"/>
        <w:bidi w:val="0"/>
        <w:spacing w:before="91" w:line="185" w:lineRule="auto"/>
        <w:ind w:left="1128"/>
        <w:jc w:val="both"/>
        <w:rPr>
          <w:rFonts w:hint="eastAsia" w:ascii="宋体" w:hAnsi="宋体" w:eastAsia="宋体" w:cs="宋体"/>
          <w:b/>
          <w:bCs/>
          <w:color w:val="auto"/>
          <w:spacing w:val="0"/>
          <w:sz w:val="28"/>
          <w:szCs w:val="28"/>
          <w:highlight w:val="none"/>
          <w:u w:val="single"/>
          <w:lang w:val="en-US" w:eastAsia="zh-CN"/>
        </w:rPr>
      </w:pPr>
      <w:r>
        <w:rPr>
          <w:rFonts w:hint="eastAsia" w:ascii="宋体" w:hAnsi="宋体" w:eastAsia="宋体" w:cs="宋体"/>
          <w:b/>
          <w:bCs/>
          <w:color w:val="auto"/>
          <w:spacing w:val="0"/>
          <w:sz w:val="28"/>
          <w:szCs w:val="28"/>
          <w:highlight w:val="none"/>
        </w:rPr>
        <w:t>时</w:t>
      </w:r>
      <w:r>
        <w:rPr>
          <w:rFonts w:hint="eastAsia" w:ascii="宋体" w:hAnsi="宋体" w:eastAsia="宋体" w:cs="宋体"/>
          <w:b/>
          <w:bCs/>
          <w:color w:val="auto"/>
          <w:spacing w:val="0"/>
          <w:sz w:val="28"/>
          <w:szCs w:val="28"/>
          <w:highlight w:val="none"/>
          <w:lang w:val="en-US" w:eastAsia="zh-CN"/>
        </w:rPr>
        <w:t xml:space="preserve">    </w:t>
      </w:r>
      <w:r>
        <w:rPr>
          <w:rFonts w:hint="eastAsia" w:ascii="宋体" w:hAnsi="宋体" w:eastAsia="宋体" w:cs="宋体"/>
          <w:b/>
          <w:bCs/>
          <w:color w:val="auto"/>
          <w:spacing w:val="0"/>
          <w:sz w:val="28"/>
          <w:szCs w:val="28"/>
          <w:highlight w:val="none"/>
        </w:rPr>
        <w:t>间：</w:t>
      </w:r>
      <w:r>
        <w:rPr>
          <w:rFonts w:hint="eastAsia" w:ascii="宋体" w:hAnsi="宋体" w:eastAsia="宋体" w:cs="宋体"/>
          <w:b/>
          <w:bCs/>
          <w:color w:val="auto"/>
          <w:spacing w:val="0"/>
          <w:sz w:val="28"/>
          <w:szCs w:val="28"/>
          <w:highlight w:val="none"/>
          <w:u w:val="single"/>
          <w:lang w:val="en-US" w:eastAsia="zh-CN"/>
        </w:rPr>
        <w:t xml:space="preserve">                               </w:t>
      </w:r>
    </w:p>
    <w:p w14:paraId="11A49C06">
      <w:pPr>
        <w:keepNext w:val="0"/>
        <w:keepLines w:val="0"/>
        <w:kinsoku/>
        <w:overflowPunct/>
        <w:topLinePunct w:val="0"/>
        <w:bidi w:val="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br w:type="page"/>
      </w:r>
    </w:p>
    <w:p w14:paraId="1918F16B">
      <w:pPr>
        <w:keepNext w:val="0"/>
        <w:keepLines w:val="0"/>
        <w:kinsoku/>
        <w:overflowPunct/>
        <w:topLinePunct w:val="0"/>
        <w:bidi w:val="0"/>
        <w:spacing w:line="251" w:lineRule="auto"/>
        <w:jc w:val="both"/>
        <w:rPr>
          <w:rFonts w:hint="default" w:ascii="Times New Roman" w:hAnsi="Times New Roman" w:cs="Times New Roman"/>
          <w:color w:val="auto"/>
          <w:spacing w:val="0"/>
          <w:sz w:val="21"/>
          <w:highlight w:val="none"/>
        </w:rPr>
      </w:pPr>
    </w:p>
    <w:p w14:paraId="15C404BB">
      <w:pPr>
        <w:keepNext w:val="0"/>
        <w:keepLines w:val="0"/>
        <w:kinsoku/>
        <w:overflowPunct/>
        <w:topLinePunct w:val="0"/>
        <w:bidi w:val="0"/>
        <w:spacing w:before="130" w:line="222" w:lineRule="auto"/>
        <w:jc w:val="center"/>
        <w:rPr>
          <w:rFonts w:hint="default" w:ascii="Times New Roman" w:hAnsi="Times New Roman" w:eastAsia="宋体" w:cs="Times New Roman"/>
          <w:color w:val="auto"/>
          <w:spacing w:val="0"/>
          <w:sz w:val="40"/>
          <w:szCs w:val="40"/>
          <w:highlight w:val="none"/>
        </w:rPr>
      </w:pPr>
      <w:r>
        <w:rPr>
          <w:rFonts w:hint="default" w:ascii="Times New Roman" w:hAnsi="Times New Roman" w:eastAsia="宋体" w:cs="Times New Roman"/>
          <w:color w:val="auto"/>
          <w:spacing w:val="0"/>
          <w:sz w:val="40"/>
          <w:szCs w:val="40"/>
          <w:highlight w:val="none"/>
        </w:rPr>
        <w:t>目</w:t>
      </w:r>
      <w:r>
        <w:rPr>
          <w:rFonts w:hint="eastAsia" w:ascii="Times New Roman" w:hAnsi="Times New Roman" w:eastAsia="宋体" w:cs="Times New Roman"/>
          <w:color w:val="auto"/>
          <w:spacing w:val="0"/>
          <w:sz w:val="40"/>
          <w:szCs w:val="40"/>
          <w:highlight w:val="none"/>
          <w:lang w:val="en-US" w:eastAsia="zh-CN"/>
        </w:rPr>
        <w:t xml:space="preserve">       </w:t>
      </w:r>
      <w:r>
        <w:rPr>
          <w:rFonts w:hint="default" w:ascii="Times New Roman" w:hAnsi="Times New Roman" w:eastAsia="宋体" w:cs="Times New Roman"/>
          <w:color w:val="auto"/>
          <w:spacing w:val="0"/>
          <w:sz w:val="40"/>
          <w:szCs w:val="40"/>
          <w:highlight w:val="none"/>
        </w:rPr>
        <w:t>录</w:t>
      </w:r>
    </w:p>
    <w:p w14:paraId="38ACC6EE">
      <w:pPr>
        <w:keepNext w:val="0"/>
        <w:keepLines w:val="0"/>
        <w:kinsoku/>
        <w:overflowPunct/>
        <w:topLinePunct w:val="0"/>
        <w:bidi w:val="0"/>
        <w:spacing w:before="180"/>
        <w:ind w:firstLine="1960" w:firstLineChars="700"/>
        <w:jc w:val="both"/>
        <w:rPr>
          <w:rFonts w:hint="default" w:ascii="Times New Roman" w:hAnsi="Times New Roman" w:eastAsia="宋体" w:cs="Times New Roman"/>
          <w:color w:val="auto"/>
          <w:spacing w:val="0"/>
          <w:sz w:val="28"/>
          <w:szCs w:val="28"/>
          <w:highlight w:val="none"/>
        </w:rPr>
      </w:pPr>
    </w:p>
    <w:p w14:paraId="5D5B9507">
      <w:pPr>
        <w:keepNext w:val="0"/>
        <w:keepLines w:val="0"/>
        <w:kinsoku/>
        <w:overflowPunct/>
        <w:topLinePunct w:val="0"/>
        <w:bidi w:val="0"/>
        <w:spacing w:before="180"/>
        <w:ind w:firstLine="1960" w:firstLineChars="70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第一部分、资格证明文件</w:t>
      </w:r>
    </w:p>
    <w:p w14:paraId="20DADABC">
      <w:pPr>
        <w:keepNext w:val="0"/>
        <w:keepLines w:val="0"/>
        <w:kinsoku/>
        <w:overflowPunct/>
        <w:topLinePunct w:val="0"/>
        <w:bidi w:val="0"/>
        <w:spacing w:before="180"/>
        <w:ind w:firstLine="1960" w:firstLineChars="70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第二部分、符合性证明文件</w:t>
      </w:r>
    </w:p>
    <w:p w14:paraId="74EB568D">
      <w:pPr>
        <w:keepNext w:val="0"/>
        <w:keepLines w:val="0"/>
        <w:kinsoku/>
        <w:overflowPunct/>
        <w:topLinePunct w:val="0"/>
        <w:bidi w:val="0"/>
        <w:spacing w:before="180"/>
        <w:ind w:firstLine="1960" w:firstLineChars="70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第三部分、投标方案</w:t>
      </w:r>
    </w:p>
    <w:p w14:paraId="18741569">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107DCE86">
      <w:pPr>
        <w:keepNext w:val="0"/>
        <w:keepLines w:val="0"/>
        <w:kinsoku/>
        <w:overflowPunct/>
        <w:topLinePunct w:val="0"/>
        <w:bidi w:val="0"/>
        <w:spacing w:before="101" w:line="225" w:lineRule="auto"/>
        <w:ind w:left="2852"/>
        <w:jc w:val="both"/>
        <w:outlineLvl w:val="1"/>
        <w:rPr>
          <w:rFonts w:hint="default" w:ascii="Times New Roman" w:hAnsi="Times New Roman" w:eastAsia="宋体" w:cs="Times New Roman"/>
          <w:b/>
          <w:bCs/>
          <w:color w:val="auto"/>
          <w:spacing w:val="0"/>
          <w:sz w:val="31"/>
          <w:szCs w:val="31"/>
          <w:highlight w:val="none"/>
        </w:rPr>
      </w:pPr>
      <w:r>
        <w:rPr>
          <w:rFonts w:hint="default" w:ascii="Times New Roman" w:hAnsi="Times New Roman" w:eastAsia="宋体" w:cs="Times New Roman"/>
          <w:b/>
          <w:bCs/>
          <w:color w:val="auto"/>
          <w:spacing w:val="0"/>
          <w:sz w:val="31"/>
          <w:szCs w:val="31"/>
          <w:highlight w:val="none"/>
        </w:rPr>
        <w:t>第一部分、资格证明文件</w:t>
      </w:r>
    </w:p>
    <w:p w14:paraId="32EB1AF4">
      <w:pPr>
        <w:keepNext w:val="0"/>
        <w:keepLines w:val="0"/>
        <w:kinsoku/>
        <w:overflowPunct/>
        <w:topLinePunct w:val="0"/>
        <w:bidi w:val="0"/>
        <w:spacing w:before="230" w:line="360" w:lineRule="auto"/>
        <w:ind w:left="27"/>
        <w:jc w:val="both"/>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position w:val="1"/>
          <w:sz w:val="24"/>
          <w:szCs w:val="24"/>
          <w:highlight w:val="none"/>
        </w:rPr>
        <w:t>1.营业执照等主体资格证明文件</w:t>
      </w:r>
    </w:p>
    <w:p w14:paraId="3F182E4E">
      <w:pPr>
        <w:keepNext w:val="0"/>
        <w:keepLines w:val="0"/>
        <w:kinsoku/>
        <w:overflowPunct/>
        <w:topLinePunct w:val="0"/>
        <w:bidi w:val="0"/>
        <w:spacing w:before="157" w:line="360" w:lineRule="auto"/>
        <w:ind w:firstLine="480" w:firstLineChars="200"/>
        <w:jc w:val="both"/>
        <w:rPr>
          <w:rFonts w:hint="eastAsia" w:ascii="Times New Roman" w:hAnsi="Times New Roman" w:eastAsia="宋体" w:cs="Times New Roman"/>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投标人具有独立承担民事责任的能力（包括企业法人、事业法人、其他组织或自然人，企业法人应提供具有统一社会信用代码的营业执照等证明文件；事业法人应提供事业单位法人证等证明文件；其他组织应提供合法证明文件；自然人提供身份证明文件）</w:t>
      </w: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加盖公章</w:t>
      </w:r>
      <w:r>
        <w:rPr>
          <w:rFonts w:hint="eastAsia" w:ascii="Times New Roman" w:hAnsi="Times New Roman" w:eastAsia="宋体" w:cs="Times New Roman"/>
          <w:color w:val="auto"/>
          <w:spacing w:val="0"/>
          <w:sz w:val="24"/>
          <w:szCs w:val="24"/>
          <w:highlight w:val="none"/>
          <w:lang w:eastAsia="zh-CN"/>
        </w:rPr>
        <w:t>）</w:t>
      </w:r>
    </w:p>
    <w:p w14:paraId="4ED109F6">
      <w:pPr>
        <w:keepNext w:val="0"/>
        <w:keepLines w:val="0"/>
        <w:kinsoku/>
        <w:overflowPunct/>
        <w:topLinePunct w:val="0"/>
        <w:bidi w:val="0"/>
        <w:spacing w:before="157" w:line="259" w:lineRule="auto"/>
        <w:ind w:left="10" w:firstLine="240"/>
        <w:jc w:val="both"/>
        <w:rPr>
          <w:rFonts w:hint="default" w:ascii="Times New Roman" w:hAnsi="Times New Roman" w:eastAsia="宋体" w:cs="Times New Roman"/>
          <w:color w:val="auto"/>
          <w:spacing w:val="0"/>
          <w:sz w:val="24"/>
          <w:szCs w:val="24"/>
          <w:highlight w:val="none"/>
        </w:rPr>
      </w:pPr>
    </w:p>
    <w:p w14:paraId="5DD62EF5">
      <w:pPr>
        <w:keepNext w:val="0"/>
        <w:keepLines w:val="0"/>
        <w:kinsoku/>
        <w:overflowPunct/>
        <w:topLinePunct w:val="0"/>
        <w:bidi w:val="0"/>
        <w:jc w:val="both"/>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br w:type="page"/>
      </w:r>
    </w:p>
    <w:p w14:paraId="4A014D2C">
      <w:pPr>
        <w:keepNext w:val="0"/>
        <w:keepLines w:val="0"/>
        <w:kinsoku/>
        <w:overflowPunct/>
        <w:topLinePunct w:val="0"/>
        <w:bidi w:val="0"/>
        <w:spacing w:before="75" w:line="308" w:lineRule="exact"/>
        <w:jc w:val="both"/>
        <w:outlineLvl w:val="2"/>
        <w:rPr>
          <w:rFonts w:hint="default" w:ascii="Times New Roman" w:hAnsi="Times New Roman" w:eastAsia="宋体" w:cs="Times New Roman"/>
          <w:b/>
          <w:bCs/>
          <w:color w:val="auto"/>
          <w:spacing w:val="0"/>
          <w:position w:val="1"/>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2</w:t>
      </w:r>
      <w:r>
        <w:rPr>
          <w:rFonts w:hint="default" w:ascii="Times New Roman" w:hAnsi="Times New Roman" w:eastAsia="宋体" w:cs="Times New Roman"/>
          <w:b/>
          <w:bCs/>
          <w:color w:val="auto"/>
          <w:spacing w:val="0"/>
          <w:position w:val="1"/>
          <w:sz w:val="24"/>
          <w:szCs w:val="24"/>
          <w:highlight w:val="none"/>
        </w:rPr>
        <w:t>.法定代表人授权委托书</w:t>
      </w:r>
    </w:p>
    <w:p w14:paraId="2058F86B">
      <w:pPr>
        <w:keepNext w:val="0"/>
        <w:keepLines w:val="0"/>
        <w:kinsoku/>
        <w:overflowPunct/>
        <w:topLinePunct w:val="0"/>
        <w:bidi w:val="0"/>
        <w:spacing w:before="156" w:line="227" w:lineRule="auto"/>
        <w:ind w:left="2616"/>
        <w:jc w:val="both"/>
        <w:rPr>
          <w:rFonts w:hint="default" w:ascii="Times New Roman" w:hAnsi="Times New Roman" w:eastAsia="宋体" w:cs="Times New Roman"/>
          <w:color w:val="auto"/>
          <w:spacing w:val="0"/>
          <w:sz w:val="23"/>
          <w:szCs w:val="23"/>
          <w:highlight w:val="none"/>
          <w:lang w:eastAsia="zh-CN"/>
        </w:rPr>
      </w:pPr>
      <w:r>
        <w:rPr>
          <w:rFonts w:hint="eastAsia" w:ascii="Times New Roman" w:hAnsi="Times New Roman" w:eastAsia="宋体" w:cs="Times New Roman"/>
          <w:color w:val="auto"/>
          <w:spacing w:val="0"/>
          <w:sz w:val="23"/>
          <w:szCs w:val="23"/>
          <w:highlight w:val="none"/>
          <w:lang w:val="en-US" w:eastAsia="zh-CN"/>
        </w:rPr>
        <w:t>8</w:t>
      </w:r>
      <w:r>
        <w:rPr>
          <w:rFonts w:hint="default" w:ascii="Times New Roman" w:hAnsi="Times New Roman" w:eastAsia="宋体" w:cs="Times New Roman"/>
          <w:color w:val="auto"/>
          <w:spacing w:val="0"/>
          <w:sz w:val="23"/>
          <w:szCs w:val="23"/>
          <w:highlight w:val="none"/>
        </w:rPr>
        <w:t>.1法定代表人资格证明书</w:t>
      </w:r>
      <w:r>
        <w:rPr>
          <w:rFonts w:hint="default" w:ascii="Times New Roman" w:hAnsi="Times New Roman" w:eastAsia="宋体" w:cs="Times New Roman"/>
          <w:color w:val="auto"/>
          <w:spacing w:val="0"/>
          <w:sz w:val="23"/>
          <w:szCs w:val="23"/>
          <w:highlight w:val="none"/>
          <w:u w:val="single" w:color="auto"/>
        </w:rPr>
        <w:t>(用于法人投标)</w:t>
      </w:r>
    </w:p>
    <w:p w14:paraId="207ADCBF">
      <w:pPr>
        <w:keepNext w:val="0"/>
        <w:keepLines w:val="0"/>
        <w:kinsoku/>
        <w:overflowPunct/>
        <w:topLinePunct w:val="0"/>
        <w:bidi w:val="0"/>
        <w:spacing w:line="298" w:lineRule="auto"/>
        <w:jc w:val="both"/>
        <w:rPr>
          <w:rFonts w:hint="default" w:ascii="Times New Roman" w:hAnsi="Times New Roman" w:cs="Times New Roman"/>
          <w:color w:val="auto"/>
          <w:spacing w:val="0"/>
          <w:sz w:val="21"/>
          <w:highlight w:val="none"/>
        </w:rPr>
      </w:pPr>
    </w:p>
    <w:p w14:paraId="4995CCE3">
      <w:pPr>
        <w:keepNext w:val="0"/>
        <w:keepLines w:val="0"/>
        <w:kinsoku/>
        <w:overflowPunct/>
        <w:topLinePunct w:val="0"/>
        <w:bidi w:val="0"/>
        <w:spacing w:line="298" w:lineRule="auto"/>
        <w:jc w:val="both"/>
        <w:rPr>
          <w:rFonts w:hint="default" w:ascii="Times New Roman" w:hAnsi="Times New Roman" w:cs="Times New Roman"/>
          <w:color w:val="auto"/>
          <w:spacing w:val="0"/>
          <w:sz w:val="21"/>
          <w:highlight w:val="none"/>
        </w:rPr>
      </w:pPr>
    </w:p>
    <w:p w14:paraId="2F7FE770">
      <w:pPr>
        <w:keepNext w:val="0"/>
        <w:keepLines w:val="0"/>
        <w:pageBreakBefore w:val="0"/>
        <w:widowControl/>
        <w:kinsoku/>
        <w:wordWrap/>
        <w:overflowPunct/>
        <w:topLinePunct w:val="0"/>
        <w:autoSpaceDE w:val="0"/>
        <w:autoSpaceDN w:val="0"/>
        <w:bidi w:val="0"/>
        <w:adjustRightInd w:val="0"/>
        <w:snapToGrid w:val="0"/>
        <w:spacing w:line="480" w:lineRule="auto"/>
        <w:ind w:left="377"/>
        <w:jc w:val="both"/>
        <w:textAlignment w:val="baseline"/>
        <w:rPr>
          <w:rFonts w:hint="default" w:ascii="Times New Roman" w:hAnsi="Times New Roman" w:eastAsia="宋体" w:cs="Times New Roman"/>
          <w:color w:val="auto"/>
          <w:spacing w:val="0"/>
          <w:sz w:val="23"/>
          <w:szCs w:val="23"/>
          <w:highlight w:val="none"/>
          <w:lang w:eastAsia="zh-CN"/>
        </w:rPr>
      </w:pPr>
      <w:r>
        <w:rPr>
          <w:rFonts w:hint="default" w:ascii="Times New Roman" w:hAnsi="Times New Roman" w:eastAsia="宋体" w:cs="Times New Roman"/>
          <w:color w:val="auto"/>
          <w:spacing w:val="0"/>
          <w:sz w:val="23"/>
          <w:szCs w:val="23"/>
          <w:highlight w:val="none"/>
        </w:rPr>
        <w:t>单位名称：</w:t>
      </w:r>
      <w:r>
        <w:rPr>
          <w:rFonts w:hint="default" w:ascii="Times New Roman" w:hAnsi="Times New Roman" w:eastAsia="宋体" w:cs="Times New Roman"/>
          <w:sz w:val="23"/>
          <w:szCs w:val="23"/>
          <w:highlight w:val="none"/>
          <w:u w:val="single" w:color="auto"/>
        </w:rPr>
        <w:t xml:space="preserve">                                                    </w:t>
      </w:r>
    </w:p>
    <w:p w14:paraId="28E1A719">
      <w:pPr>
        <w:keepNext w:val="0"/>
        <w:keepLines w:val="0"/>
        <w:pageBreakBefore w:val="0"/>
        <w:widowControl/>
        <w:kinsoku/>
        <w:wordWrap/>
        <w:overflowPunct/>
        <w:topLinePunct w:val="0"/>
        <w:autoSpaceDE w:val="0"/>
        <w:autoSpaceDN w:val="0"/>
        <w:bidi w:val="0"/>
        <w:adjustRightInd w:val="0"/>
        <w:snapToGrid w:val="0"/>
        <w:spacing w:line="480" w:lineRule="auto"/>
        <w:ind w:left="375"/>
        <w:jc w:val="both"/>
        <w:textAlignment w:val="baseline"/>
        <w:rPr>
          <w:rFonts w:hint="default" w:ascii="Times New Roman" w:hAnsi="Times New Roman" w:eastAsia="宋体" w:cs="Times New Roman"/>
          <w:color w:val="auto"/>
          <w:spacing w:val="0"/>
          <w:sz w:val="23"/>
          <w:szCs w:val="23"/>
          <w:highlight w:val="none"/>
          <w:lang w:eastAsia="zh-CN"/>
        </w:rPr>
      </w:pPr>
      <w:r>
        <w:rPr>
          <w:rFonts w:hint="default" w:ascii="Times New Roman" w:hAnsi="Times New Roman" w:eastAsia="宋体" w:cs="Times New Roman"/>
          <w:color w:val="auto"/>
          <w:spacing w:val="0"/>
          <w:sz w:val="23"/>
          <w:szCs w:val="23"/>
          <w:highlight w:val="none"/>
        </w:rPr>
        <w:t>地址：</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sz w:val="23"/>
          <w:szCs w:val="23"/>
          <w:highlight w:val="none"/>
          <w:u w:val="single" w:color="auto"/>
          <w:lang w:val="en-US" w:eastAsia="zh-CN"/>
        </w:rPr>
        <w:t xml:space="preserve">    </w:t>
      </w:r>
      <w:r>
        <w:rPr>
          <w:rFonts w:hint="default" w:ascii="Times New Roman" w:hAnsi="Times New Roman" w:eastAsia="宋体" w:cs="Times New Roman"/>
          <w:sz w:val="23"/>
          <w:szCs w:val="23"/>
          <w:highlight w:val="none"/>
          <w:u w:val="single" w:color="auto"/>
        </w:rPr>
        <w:t xml:space="preserve">                </w:t>
      </w:r>
    </w:p>
    <w:p w14:paraId="7A3DD053">
      <w:pPr>
        <w:keepNext w:val="0"/>
        <w:keepLines w:val="0"/>
        <w:pageBreakBefore w:val="0"/>
        <w:widowControl/>
        <w:kinsoku/>
        <w:wordWrap/>
        <w:overflowPunct/>
        <w:topLinePunct w:val="0"/>
        <w:autoSpaceDE w:val="0"/>
        <w:autoSpaceDN w:val="0"/>
        <w:bidi w:val="0"/>
        <w:adjustRightInd w:val="0"/>
        <w:snapToGrid w:val="0"/>
        <w:spacing w:line="480" w:lineRule="auto"/>
        <w:ind w:firstLine="460" w:firstLineChars="200"/>
        <w:jc w:val="both"/>
        <w:textAlignment w:val="baseline"/>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姓名：</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color w:val="auto"/>
          <w:spacing w:val="0"/>
          <w:sz w:val="23"/>
          <w:szCs w:val="23"/>
          <w:highlight w:val="none"/>
        </w:rPr>
        <w:t>性别：</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color w:val="auto"/>
          <w:spacing w:val="0"/>
          <w:sz w:val="23"/>
          <w:szCs w:val="23"/>
          <w:highlight w:val="none"/>
        </w:rPr>
        <w:t>年龄：</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color w:val="auto"/>
          <w:spacing w:val="0"/>
          <w:sz w:val="23"/>
          <w:szCs w:val="23"/>
          <w:highlight w:val="none"/>
        </w:rPr>
        <w:t>职务：</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color w:val="auto"/>
          <w:spacing w:val="0"/>
          <w:sz w:val="23"/>
          <w:szCs w:val="23"/>
          <w:highlight w:val="none"/>
        </w:rPr>
        <w:t>系</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color w:val="auto"/>
          <w:spacing w:val="0"/>
          <w:sz w:val="23"/>
          <w:szCs w:val="23"/>
          <w:highlight w:val="none"/>
          <w:u w:val="single" w:color="auto"/>
        </w:rPr>
        <w:t>(投标人的单位名称)</w:t>
      </w:r>
      <w:r>
        <w:rPr>
          <w:rFonts w:hint="default" w:ascii="Times New Roman" w:hAnsi="Times New Roman" w:eastAsia="宋体" w:cs="Times New Roman"/>
          <w:color w:val="auto"/>
          <w:spacing w:val="0"/>
          <w:sz w:val="23"/>
          <w:szCs w:val="23"/>
          <w:highlight w:val="none"/>
          <w:u w:val="single" w:color="auto"/>
          <w:lang w:val="en-US" w:eastAsia="zh-CN"/>
        </w:rPr>
        <w:t xml:space="preserve">    </w:t>
      </w:r>
      <w:r>
        <w:rPr>
          <w:rFonts w:hint="default" w:ascii="Times New Roman" w:hAnsi="Times New Roman" w:eastAsia="宋体" w:cs="Times New Roman"/>
          <w:color w:val="auto"/>
          <w:spacing w:val="0"/>
          <w:sz w:val="23"/>
          <w:szCs w:val="23"/>
          <w:highlight w:val="none"/>
        </w:rPr>
        <w:t>的法定代表人，签署本项目的投标文件、参与投标、进行合同谈判、签署合同和处理与之有关的一切事务。</w:t>
      </w:r>
    </w:p>
    <w:p w14:paraId="124B8A70">
      <w:pPr>
        <w:keepNext w:val="0"/>
        <w:keepLines w:val="0"/>
        <w:pageBreakBefore w:val="0"/>
        <w:widowControl/>
        <w:kinsoku/>
        <w:wordWrap/>
        <w:overflowPunct/>
        <w:topLinePunct w:val="0"/>
        <w:autoSpaceDE w:val="0"/>
        <w:autoSpaceDN w:val="0"/>
        <w:bidi w:val="0"/>
        <w:adjustRightInd w:val="0"/>
        <w:snapToGrid w:val="0"/>
        <w:spacing w:line="480" w:lineRule="auto"/>
        <w:ind w:left="375"/>
        <w:jc w:val="both"/>
        <w:textAlignment w:val="baseline"/>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特此证明。</w:t>
      </w:r>
    </w:p>
    <w:p w14:paraId="5F1F4933">
      <w:pPr>
        <w:keepNext w:val="0"/>
        <w:keepLines w:val="0"/>
        <w:kinsoku/>
        <w:overflowPunct/>
        <w:topLinePunct w:val="0"/>
        <w:bidi w:val="0"/>
        <w:spacing w:line="480" w:lineRule="auto"/>
        <w:jc w:val="both"/>
        <w:rPr>
          <w:rFonts w:hint="default" w:ascii="Times New Roman" w:hAnsi="Times New Roman" w:cs="Times New Roman"/>
          <w:color w:val="auto"/>
          <w:spacing w:val="0"/>
          <w:sz w:val="21"/>
          <w:highlight w:val="none"/>
        </w:rPr>
      </w:pPr>
    </w:p>
    <w:p w14:paraId="7DCF727D">
      <w:pPr>
        <w:keepNext w:val="0"/>
        <w:keepLines w:val="0"/>
        <w:kinsoku/>
        <w:overflowPunct/>
        <w:topLinePunct w:val="0"/>
        <w:bidi w:val="0"/>
        <w:spacing w:line="260" w:lineRule="auto"/>
        <w:jc w:val="both"/>
        <w:rPr>
          <w:rFonts w:hint="default" w:ascii="Times New Roman" w:hAnsi="Times New Roman" w:cs="Times New Roman"/>
          <w:color w:val="auto"/>
          <w:spacing w:val="0"/>
          <w:sz w:val="21"/>
          <w:highlight w:val="none"/>
        </w:rPr>
      </w:pPr>
    </w:p>
    <w:p w14:paraId="5C128DE8">
      <w:pPr>
        <w:keepNext w:val="0"/>
        <w:keepLines w:val="0"/>
        <w:kinsoku/>
        <w:overflowPunct/>
        <w:topLinePunct w:val="0"/>
        <w:bidi w:val="0"/>
        <w:spacing w:before="75" w:line="227" w:lineRule="auto"/>
        <w:ind w:left="403"/>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以下</w:t>
      </w:r>
      <w:r>
        <w:rPr>
          <w:rFonts w:hint="default" w:ascii="Times New Roman" w:hAnsi="Times New Roman" w:eastAsia="宋体" w:cs="Times New Roman"/>
          <w:color w:val="auto"/>
          <w:spacing w:val="0"/>
          <w:sz w:val="23"/>
          <w:szCs w:val="23"/>
          <w:highlight w:val="none"/>
          <w:lang w:val="en-US" w:eastAsia="zh-CN"/>
        </w:rPr>
        <w:t>附</w:t>
      </w:r>
      <w:r>
        <w:rPr>
          <w:rFonts w:hint="default" w:ascii="Times New Roman" w:hAnsi="Times New Roman" w:eastAsia="宋体" w:cs="Times New Roman"/>
          <w:color w:val="auto"/>
          <w:spacing w:val="0"/>
          <w:sz w:val="23"/>
          <w:szCs w:val="23"/>
          <w:highlight w:val="none"/>
        </w:rPr>
        <w:t>法定代表人身份证复印件(正反面)</w:t>
      </w:r>
    </w:p>
    <w:p w14:paraId="668DBB6B">
      <w:pPr>
        <w:keepNext w:val="0"/>
        <w:keepLines w:val="0"/>
        <w:kinsoku/>
        <w:overflowPunct/>
        <w:topLinePunct w:val="0"/>
        <w:bidi w:val="0"/>
        <w:jc w:val="both"/>
        <w:rPr>
          <w:rFonts w:hint="default" w:ascii="Times New Roman" w:hAnsi="Times New Roman" w:cs="Times New Roman"/>
          <w:color w:val="auto"/>
          <w:spacing w:val="0"/>
          <w:highlight w:val="none"/>
        </w:rPr>
      </w:pPr>
    </w:p>
    <w:p w14:paraId="4AACA1FB">
      <w:pPr>
        <w:keepNext w:val="0"/>
        <w:keepLines w:val="0"/>
        <w:kinsoku/>
        <w:overflowPunct/>
        <w:topLinePunct w:val="0"/>
        <w:bidi w:val="0"/>
        <w:spacing w:line="84" w:lineRule="exact"/>
        <w:jc w:val="both"/>
        <w:rPr>
          <w:rFonts w:hint="default" w:ascii="Times New Roman" w:hAnsi="Times New Roman" w:cs="Times New Roman"/>
          <w:color w:val="auto"/>
          <w:spacing w:val="0"/>
          <w:highlight w:val="none"/>
        </w:rPr>
      </w:pPr>
    </w:p>
    <w:tbl>
      <w:tblPr>
        <w:tblStyle w:val="37"/>
        <w:tblW w:w="94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64"/>
      </w:tblGrid>
      <w:tr w14:paraId="7615ECF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52" w:hRule="atLeast"/>
        </w:trPr>
        <w:tc>
          <w:tcPr>
            <w:tcW w:w="9464" w:type="dxa"/>
            <w:vAlign w:val="center"/>
          </w:tcPr>
          <w:p w14:paraId="2933B1C5">
            <w:pPr>
              <w:keepNext w:val="0"/>
              <w:keepLines w:val="0"/>
              <w:kinsoku/>
              <w:overflowPunct/>
              <w:topLinePunct w:val="0"/>
              <w:bidi w:val="0"/>
              <w:spacing w:before="74" w:line="227" w:lineRule="auto"/>
              <w:ind w:left="3419"/>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法定代表人身份证复印件</w:t>
            </w:r>
          </w:p>
        </w:tc>
      </w:tr>
    </w:tbl>
    <w:p w14:paraId="2AFEEC3B">
      <w:pPr>
        <w:keepNext w:val="0"/>
        <w:keepLines w:val="0"/>
        <w:kinsoku/>
        <w:overflowPunct/>
        <w:topLinePunct w:val="0"/>
        <w:bidi w:val="0"/>
        <w:spacing w:line="261" w:lineRule="auto"/>
        <w:jc w:val="both"/>
        <w:rPr>
          <w:rFonts w:hint="default" w:ascii="Times New Roman" w:hAnsi="Times New Roman" w:cs="Times New Roman"/>
          <w:color w:val="auto"/>
          <w:spacing w:val="0"/>
          <w:sz w:val="21"/>
          <w:highlight w:val="none"/>
        </w:rPr>
      </w:pPr>
    </w:p>
    <w:p w14:paraId="4D2FEC81">
      <w:pPr>
        <w:keepNext w:val="0"/>
        <w:keepLines w:val="0"/>
        <w:kinsoku/>
        <w:overflowPunct/>
        <w:topLinePunct w:val="0"/>
        <w:bidi w:val="0"/>
        <w:spacing w:line="262" w:lineRule="auto"/>
        <w:jc w:val="both"/>
        <w:rPr>
          <w:rFonts w:hint="default" w:ascii="Times New Roman" w:hAnsi="Times New Roman" w:cs="Times New Roman"/>
          <w:color w:val="auto"/>
          <w:spacing w:val="0"/>
          <w:sz w:val="21"/>
          <w:highlight w:val="none"/>
        </w:rPr>
      </w:pPr>
    </w:p>
    <w:p w14:paraId="48DA3653">
      <w:pPr>
        <w:keepNext w:val="0"/>
        <w:keepLines w:val="0"/>
        <w:kinsoku/>
        <w:overflowPunct/>
        <w:topLinePunct w:val="0"/>
        <w:bidi w:val="0"/>
        <w:spacing w:line="262" w:lineRule="auto"/>
        <w:jc w:val="both"/>
        <w:rPr>
          <w:rFonts w:hint="default" w:ascii="Times New Roman" w:hAnsi="Times New Roman" w:cs="Times New Roman"/>
          <w:color w:val="auto"/>
          <w:spacing w:val="0"/>
          <w:sz w:val="21"/>
          <w:highlight w:val="none"/>
        </w:rPr>
      </w:pPr>
    </w:p>
    <w:p w14:paraId="3BDE23F3">
      <w:pPr>
        <w:keepNext w:val="0"/>
        <w:keepLines w:val="0"/>
        <w:kinsoku/>
        <w:overflowPunct/>
        <w:topLinePunct w:val="0"/>
        <w:bidi w:val="0"/>
        <w:spacing w:before="75" w:line="227" w:lineRule="auto"/>
        <w:jc w:val="center"/>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投标人：</w:t>
      </w:r>
      <w:r>
        <w:rPr>
          <w:rFonts w:hint="default" w:ascii="Times New Roman" w:hAnsi="Times New Roman" w:eastAsia="宋体" w:cs="Times New Roman"/>
          <w:color w:val="auto"/>
          <w:spacing w:val="0"/>
          <w:sz w:val="23"/>
          <w:szCs w:val="23"/>
          <w:highlight w:val="none"/>
          <w:u w:val="single"/>
          <w:lang w:val="en-US" w:eastAsia="zh-CN"/>
        </w:rPr>
        <w:t xml:space="preserve">           </w:t>
      </w:r>
      <w:r>
        <w:rPr>
          <w:rFonts w:hint="default" w:ascii="Times New Roman" w:hAnsi="Times New Roman" w:eastAsia="宋体" w:cs="Times New Roman"/>
          <w:color w:val="auto"/>
          <w:spacing w:val="0"/>
          <w:sz w:val="23"/>
          <w:szCs w:val="23"/>
          <w:highlight w:val="none"/>
          <w:u w:val="single" w:color="auto"/>
        </w:rPr>
        <w:t>单位名称</w:t>
      </w:r>
      <w:r>
        <w:rPr>
          <w:rFonts w:hint="default" w:ascii="Times New Roman" w:hAnsi="Times New Roman" w:eastAsia="宋体" w:cs="Times New Roman"/>
          <w:color w:val="auto"/>
          <w:spacing w:val="0"/>
          <w:sz w:val="23"/>
          <w:szCs w:val="23"/>
          <w:highlight w:val="none"/>
          <w:u w:val="single" w:color="auto"/>
          <w:lang w:val="en-US" w:eastAsia="zh-CN"/>
        </w:rPr>
        <w:t xml:space="preserve">           </w:t>
      </w:r>
      <w:r>
        <w:rPr>
          <w:rFonts w:hint="default" w:ascii="Times New Roman" w:hAnsi="Times New Roman" w:eastAsia="宋体" w:cs="Times New Roman"/>
          <w:color w:val="auto"/>
          <w:spacing w:val="0"/>
          <w:sz w:val="23"/>
          <w:szCs w:val="23"/>
          <w:highlight w:val="none"/>
        </w:rPr>
        <w:t>(盖公章)</w:t>
      </w:r>
    </w:p>
    <w:p w14:paraId="3245462A">
      <w:pPr>
        <w:keepNext w:val="0"/>
        <w:keepLines w:val="0"/>
        <w:kinsoku/>
        <w:overflowPunct/>
        <w:topLinePunct w:val="0"/>
        <w:bidi w:val="0"/>
        <w:spacing w:before="306" w:line="227" w:lineRule="auto"/>
        <w:jc w:val="center"/>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spacing w:val="-2"/>
          <w:sz w:val="23"/>
          <w:szCs w:val="23"/>
          <w:highlight w:val="none"/>
        </w:rPr>
        <w:t xml:space="preserve">日期：     年 </w:t>
      </w:r>
      <w:r>
        <w:rPr>
          <w:rFonts w:hint="default" w:ascii="Times New Roman" w:hAnsi="Times New Roman" w:eastAsia="宋体" w:cs="Times New Roman"/>
          <w:spacing w:val="-2"/>
          <w:sz w:val="23"/>
          <w:szCs w:val="23"/>
          <w:highlight w:val="none"/>
          <w:lang w:val="en-US" w:eastAsia="zh-CN"/>
        </w:rPr>
        <w:t xml:space="preserve">  </w:t>
      </w:r>
      <w:r>
        <w:rPr>
          <w:rFonts w:hint="default" w:ascii="Times New Roman" w:hAnsi="Times New Roman" w:eastAsia="宋体" w:cs="Times New Roman"/>
          <w:spacing w:val="-2"/>
          <w:sz w:val="23"/>
          <w:szCs w:val="23"/>
          <w:highlight w:val="none"/>
        </w:rPr>
        <w:t xml:space="preserve"> </w:t>
      </w:r>
      <w:r>
        <w:rPr>
          <w:rFonts w:hint="default" w:ascii="Times New Roman" w:hAnsi="Times New Roman" w:eastAsia="宋体" w:cs="Times New Roman"/>
          <w:spacing w:val="-1"/>
          <w:sz w:val="23"/>
          <w:szCs w:val="23"/>
          <w:highlight w:val="none"/>
        </w:rPr>
        <w:t>月</w:t>
      </w:r>
      <w:r>
        <w:rPr>
          <w:rFonts w:hint="default" w:ascii="Times New Roman" w:hAnsi="Times New Roman" w:eastAsia="宋体" w:cs="Times New Roman"/>
          <w:spacing w:val="-1"/>
          <w:sz w:val="23"/>
          <w:szCs w:val="23"/>
          <w:highlight w:val="none"/>
          <w:lang w:val="en-US" w:eastAsia="zh-CN"/>
        </w:rPr>
        <w:t xml:space="preserve">   </w:t>
      </w:r>
      <w:r>
        <w:rPr>
          <w:rFonts w:hint="default" w:ascii="Times New Roman" w:hAnsi="Times New Roman" w:eastAsia="宋体" w:cs="Times New Roman"/>
          <w:spacing w:val="-1"/>
          <w:sz w:val="23"/>
          <w:szCs w:val="23"/>
          <w:highlight w:val="none"/>
        </w:rPr>
        <w:t xml:space="preserve"> 日</w:t>
      </w:r>
    </w:p>
    <w:p w14:paraId="088D6D2E">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729BBDAC">
      <w:pPr>
        <w:keepNext w:val="0"/>
        <w:keepLines w:val="0"/>
        <w:kinsoku/>
        <w:overflowPunct/>
        <w:topLinePunct w:val="0"/>
        <w:bidi w:val="0"/>
        <w:spacing w:line="261" w:lineRule="auto"/>
        <w:jc w:val="both"/>
        <w:rPr>
          <w:rFonts w:hint="default" w:ascii="Times New Roman" w:hAnsi="Times New Roman" w:cs="Times New Roman"/>
          <w:color w:val="auto"/>
          <w:spacing w:val="0"/>
          <w:sz w:val="21"/>
          <w:highlight w:val="none"/>
        </w:rPr>
      </w:pPr>
    </w:p>
    <w:p w14:paraId="5927D2E4">
      <w:pPr>
        <w:keepNext w:val="0"/>
        <w:keepLines w:val="0"/>
        <w:kinsoku/>
        <w:overflowPunct/>
        <w:topLinePunct w:val="0"/>
        <w:bidi w:val="0"/>
        <w:spacing w:before="75" w:line="480" w:lineRule="auto"/>
        <w:ind w:left="2066"/>
        <w:jc w:val="both"/>
        <w:rPr>
          <w:rFonts w:hint="default"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val="en-US" w:eastAsia="zh-CN"/>
        </w:rPr>
        <w:t>8</w:t>
      </w:r>
      <w:r>
        <w:rPr>
          <w:rFonts w:hint="default" w:ascii="Times New Roman" w:hAnsi="Times New Roman" w:eastAsia="Times New Roman" w:cs="Times New Roman"/>
          <w:color w:val="auto"/>
          <w:spacing w:val="0"/>
          <w:sz w:val="24"/>
          <w:szCs w:val="24"/>
          <w:highlight w:val="none"/>
        </w:rPr>
        <w:t>.2</w:t>
      </w:r>
      <w:r>
        <w:rPr>
          <w:rFonts w:hint="default" w:ascii="Times New Roman" w:hAnsi="Times New Roman" w:eastAsia="宋体" w:cs="Times New Roman"/>
          <w:color w:val="auto"/>
          <w:spacing w:val="0"/>
          <w:sz w:val="24"/>
          <w:szCs w:val="24"/>
          <w:highlight w:val="none"/>
        </w:rPr>
        <w:t>法定代表人授权委托书</w:t>
      </w:r>
      <w:r>
        <w:rPr>
          <w:rFonts w:hint="default" w:ascii="Times New Roman" w:hAnsi="Times New Roman" w:eastAsia="宋体" w:cs="Times New Roman"/>
          <w:color w:val="auto"/>
          <w:spacing w:val="0"/>
          <w:sz w:val="24"/>
          <w:szCs w:val="24"/>
          <w:highlight w:val="none"/>
          <w:u w:val="single" w:color="auto"/>
        </w:rPr>
        <w:t>(用于委托代理人投标)</w:t>
      </w:r>
    </w:p>
    <w:p w14:paraId="0E1B8286">
      <w:pPr>
        <w:keepNext w:val="0"/>
        <w:keepLines w:val="0"/>
        <w:pageBreakBefore w:val="0"/>
        <w:widowControl/>
        <w:kinsoku/>
        <w:wordWrap/>
        <w:overflowPunct/>
        <w:topLinePunct w:val="0"/>
        <w:autoSpaceDE w:val="0"/>
        <w:autoSpaceDN w:val="0"/>
        <w:bidi w:val="0"/>
        <w:adjustRightInd w:val="0"/>
        <w:snapToGrid w:val="0"/>
        <w:spacing w:line="360" w:lineRule="auto"/>
        <w:ind w:left="166"/>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eastAsia="zh-CN"/>
        </w:rPr>
        <w:t>凌辉建设工程咨询有限公司</w:t>
      </w:r>
      <w:r>
        <w:rPr>
          <w:rFonts w:hint="default" w:ascii="Times New Roman" w:hAnsi="Times New Roman" w:eastAsia="宋体" w:cs="Times New Roman"/>
          <w:color w:val="auto"/>
          <w:spacing w:val="0"/>
          <w:sz w:val="24"/>
          <w:szCs w:val="24"/>
          <w:highlight w:val="none"/>
        </w:rPr>
        <w:t>：</w:t>
      </w:r>
    </w:p>
    <w:p w14:paraId="59D7590D">
      <w:pPr>
        <w:keepNext w:val="0"/>
        <w:keepLines w:val="0"/>
        <w:pageBreakBefore w:val="0"/>
        <w:widowControl/>
        <w:tabs>
          <w:tab w:val="left" w:pos="925"/>
        </w:tabs>
        <w:kinsoku/>
        <w:wordWrap/>
        <w:overflowPunct/>
        <w:topLinePunct w:val="0"/>
        <w:autoSpaceDE w:val="0"/>
        <w:autoSpaceDN w:val="0"/>
        <w:bidi w:val="0"/>
        <w:adjustRightInd w:val="0"/>
        <w:snapToGrid w:val="0"/>
        <w:spacing w:line="360" w:lineRule="auto"/>
        <w:ind w:right="148" w:firstLine="720" w:firstLineChars="300"/>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u w:val="single" w:color="auto"/>
        </w:rPr>
        <w:t>(</w:t>
      </w:r>
      <w:r>
        <w:rPr>
          <w:rFonts w:hint="eastAsia" w:ascii="Times New Roman" w:hAnsi="Times New Roman" w:eastAsia="宋体" w:cs="Times New Roman"/>
          <w:color w:val="auto"/>
          <w:spacing w:val="0"/>
          <w:sz w:val="24"/>
          <w:szCs w:val="24"/>
          <w:highlight w:val="none"/>
          <w:u w:val="single" w:color="auto"/>
          <w:lang w:eastAsia="zh-CN"/>
        </w:rPr>
        <w:t>投标人</w:t>
      </w:r>
      <w:r>
        <w:rPr>
          <w:rFonts w:hint="default" w:ascii="Times New Roman" w:hAnsi="Times New Roman" w:eastAsia="宋体" w:cs="Times New Roman"/>
          <w:color w:val="auto"/>
          <w:spacing w:val="0"/>
          <w:sz w:val="24"/>
          <w:szCs w:val="24"/>
          <w:highlight w:val="none"/>
          <w:u w:val="single" w:color="auto"/>
        </w:rPr>
        <w:t>全称)</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rPr>
        <w:t>法人代表</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u w:val="single" w:color="auto"/>
        </w:rPr>
        <w:t>(姓名)</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rPr>
        <w:t>授权</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u w:val="single" w:color="auto"/>
        </w:rPr>
        <w:t>(授权代表姓名、职务)</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rPr>
        <w:t>为本公司的合法代理人，就</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u w:val="single" w:color="auto"/>
        </w:rPr>
        <w:t>(</w:t>
      </w:r>
      <w:r>
        <w:rPr>
          <w:rFonts w:hint="eastAsia" w:ascii="宋体" w:hAnsi="宋体" w:eastAsia="宋体" w:cs="宋体"/>
          <w:i w:val="0"/>
          <w:iCs w:val="0"/>
          <w:snapToGrid w:val="0"/>
          <w:color w:val="000000"/>
          <w:kern w:val="0"/>
          <w:sz w:val="24"/>
          <w:szCs w:val="24"/>
          <w:highlight w:val="none"/>
          <w:u w:val="single"/>
          <w:lang w:val="en-US" w:eastAsia="zh-CN" w:bidi="ar"/>
        </w:rPr>
        <w:t>合同包名称</w:t>
      </w:r>
      <w:r>
        <w:rPr>
          <w:rFonts w:hint="eastAsia" w:ascii="Times New Roman" w:hAnsi="Times New Roman" w:eastAsia="宋体" w:cs="Times New Roman"/>
          <w:color w:val="auto"/>
          <w:spacing w:val="0"/>
          <w:sz w:val="24"/>
          <w:szCs w:val="24"/>
          <w:highlight w:val="none"/>
          <w:u w:val="single" w:color="auto"/>
          <w:lang w:eastAsia="zh-CN"/>
        </w:rPr>
        <w:t>、</w:t>
      </w:r>
      <w:r>
        <w:rPr>
          <w:rFonts w:hint="default" w:ascii="Times New Roman" w:hAnsi="Times New Roman" w:eastAsia="宋体" w:cs="Times New Roman"/>
          <w:color w:val="auto"/>
          <w:spacing w:val="0"/>
          <w:sz w:val="24"/>
          <w:szCs w:val="24"/>
          <w:highlight w:val="none"/>
          <w:u w:val="single" w:color="auto"/>
        </w:rPr>
        <w:t>项目编号)</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rPr>
        <w:t>的招投标及合同的执行和完成，以本公司的名义处理一切与之有关的事宜。</w:t>
      </w:r>
    </w:p>
    <w:p w14:paraId="2A08C68E">
      <w:pPr>
        <w:keepNext w:val="0"/>
        <w:keepLines w:val="0"/>
        <w:pageBreakBefore w:val="0"/>
        <w:widowControl/>
        <w:kinsoku/>
        <w:wordWrap/>
        <w:overflowPunct/>
        <w:topLinePunct w:val="0"/>
        <w:autoSpaceDE w:val="0"/>
        <w:autoSpaceDN w:val="0"/>
        <w:bidi w:val="0"/>
        <w:adjustRightInd w:val="0"/>
        <w:snapToGrid w:val="0"/>
        <w:spacing w:line="360" w:lineRule="auto"/>
        <w:ind w:left="162"/>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本授权有效期与投标文件有效期一致。</w:t>
      </w:r>
    </w:p>
    <w:p w14:paraId="11C1012C">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Times New Roman"/>
          <w:color w:val="auto"/>
          <w:spacing w:val="0"/>
          <w:sz w:val="24"/>
          <w:szCs w:val="24"/>
          <w:highlight w:val="none"/>
        </w:rPr>
      </w:pPr>
    </w:p>
    <w:p w14:paraId="2047E832">
      <w:pPr>
        <w:keepNext w:val="0"/>
        <w:keepLines w:val="0"/>
        <w:pageBreakBefore w:val="0"/>
        <w:widowControl/>
        <w:kinsoku/>
        <w:wordWrap/>
        <w:overflowPunct/>
        <w:topLinePunct w:val="0"/>
        <w:autoSpaceDE w:val="0"/>
        <w:autoSpaceDN w:val="0"/>
        <w:bidi w:val="0"/>
        <w:adjustRightInd w:val="0"/>
        <w:snapToGrid w:val="0"/>
        <w:spacing w:line="360" w:lineRule="auto"/>
        <w:ind w:left="180"/>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8"/>
          <w:sz w:val="24"/>
          <w:szCs w:val="24"/>
          <w:highlight w:val="none"/>
        </w:rPr>
        <w:t>附：授权</w:t>
      </w:r>
      <w:r>
        <w:rPr>
          <w:rFonts w:hint="default" w:ascii="Times New Roman" w:hAnsi="Times New Roman" w:eastAsia="宋体" w:cs="Times New Roman"/>
          <w:spacing w:val="-6"/>
          <w:sz w:val="24"/>
          <w:szCs w:val="24"/>
          <w:highlight w:val="none"/>
        </w:rPr>
        <w:t>代</w:t>
      </w:r>
      <w:r>
        <w:rPr>
          <w:rFonts w:hint="default" w:ascii="Times New Roman" w:hAnsi="Times New Roman" w:eastAsia="宋体" w:cs="Times New Roman"/>
          <w:spacing w:val="-4"/>
          <w:sz w:val="24"/>
          <w:szCs w:val="24"/>
          <w:highlight w:val="none"/>
        </w:rPr>
        <w:t>表姓名：</w:t>
      </w:r>
      <w:r>
        <w:rPr>
          <w:rFonts w:hint="default" w:ascii="Times New Roman" w:hAnsi="Times New Roman" w:eastAsia="宋体" w:cs="Times New Roman"/>
          <w:spacing w:val="-4"/>
          <w:sz w:val="24"/>
          <w:szCs w:val="24"/>
          <w:highlight w:val="none"/>
          <w:u w:val="single" w:color="auto"/>
        </w:rPr>
        <w:t xml:space="preserve">            </w:t>
      </w:r>
      <w:r>
        <w:rPr>
          <w:rFonts w:hint="default" w:ascii="Times New Roman" w:hAnsi="Times New Roman" w:eastAsia="宋体" w:cs="Times New Roman"/>
          <w:spacing w:val="-4"/>
          <w:sz w:val="24"/>
          <w:szCs w:val="24"/>
          <w:highlight w:val="none"/>
        </w:rPr>
        <w:t>性别：</w:t>
      </w:r>
      <w:r>
        <w:rPr>
          <w:rFonts w:hint="default" w:ascii="Times New Roman" w:hAnsi="Times New Roman" w:eastAsia="宋体" w:cs="Times New Roman"/>
          <w:spacing w:val="-4"/>
          <w:sz w:val="24"/>
          <w:szCs w:val="24"/>
          <w:highlight w:val="none"/>
          <w:u w:val="single" w:color="auto"/>
        </w:rPr>
        <w:t xml:space="preserve">       </w:t>
      </w:r>
      <w:r>
        <w:rPr>
          <w:rFonts w:hint="default" w:ascii="Times New Roman" w:hAnsi="Times New Roman" w:eastAsia="宋体" w:cs="Times New Roman"/>
          <w:spacing w:val="-4"/>
          <w:sz w:val="24"/>
          <w:szCs w:val="24"/>
          <w:highlight w:val="none"/>
        </w:rPr>
        <w:t>年龄：</w:t>
      </w:r>
      <w:r>
        <w:rPr>
          <w:rFonts w:hint="default" w:ascii="Times New Roman" w:hAnsi="Times New Roman" w:eastAsia="宋体" w:cs="Times New Roman"/>
          <w:sz w:val="24"/>
          <w:szCs w:val="24"/>
          <w:highlight w:val="none"/>
          <w:u w:val="single" w:color="auto"/>
        </w:rPr>
        <w:t xml:space="preserve">         </w:t>
      </w:r>
    </w:p>
    <w:p w14:paraId="673B764F">
      <w:pPr>
        <w:keepNext w:val="0"/>
        <w:keepLines w:val="0"/>
        <w:pageBreakBefore w:val="0"/>
        <w:widowControl/>
        <w:kinsoku/>
        <w:wordWrap/>
        <w:overflowPunct/>
        <w:topLinePunct w:val="0"/>
        <w:autoSpaceDE w:val="0"/>
        <w:autoSpaceDN w:val="0"/>
        <w:bidi w:val="0"/>
        <w:adjustRightInd w:val="0"/>
        <w:snapToGrid w:val="0"/>
        <w:spacing w:line="360" w:lineRule="auto"/>
        <w:ind w:left="791"/>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4"/>
          <w:sz w:val="24"/>
          <w:szCs w:val="24"/>
          <w:highlight w:val="none"/>
        </w:rPr>
        <w:t>职    务：</w:t>
      </w:r>
      <w:r>
        <w:rPr>
          <w:rFonts w:hint="default" w:ascii="Times New Roman" w:hAnsi="Times New Roman" w:eastAsia="宋体" w:cs="Times New Roman"/>
          <w:spacing w:val="-4"/>
          <w:sz w:val="24"/>
          <w:szCs w:val="24"/>
          <w:highlight w:val="none"/>
          <w:u w:val="single" w:color="auto"/>
        </w:rPr>
        <w:t xml:space="preserve">   </w:t>
      </w:r>
      <w:r>
        <w:rPr>
          <w:rFonts w:hint="default" w:ascii="Times New Roman" w:hAnsi="Times New Roman" w:eastAsia="宋体" w:cs="Times New Roman"/>
          <w:spacing w:val="-2"/>
          <w:sz w:val="24"/>
          <w:szCs w:val="24"/>
          <w:highlight w:val="none"/>
          <w:u w:val="single" w:color="auto"/>
        </w:rPr>
        <w:t xml:space="preserve">       </w:t>
      </w:r>
      <w:r>
        <w:rPr>
          <w:rFonts w:hint="default" w:ascii="Times New Roman" w:hAnsi="Times New Roman" w:eastAsia="宋体" w:cs="Times New Roman"/>
          <w:spacing w:val="-2"/>
          <w:sz w:val="24"/>
          <w:szCs w:val="24"/>
          <w:highlight w:val="none"/>
        </w:rPr>
        <w:t>身份证号码：</w:t>
      </w:r>
      <w:r>
        <w:rPr>
          <w:rFonts w:hint="default" w:ascii="Times New Roman" w:hAnsi="Times New Roman" w:eastAsia="宋体" w:cs="Times New Roman"/>
          <w:sz w:val="24"/>
          <w:szCs w:val="24"/>
          <w:highlight w:val="none"/>
          <w:u w:val="single" w:color="auto"/>
        </w:rPr>
        <w:t xml:space="preserve"> </w:t>
      </w:r>
      <w:r>
        <w:rPr>
          <w:rFonts w:hint="default" w:ascii="Times New Roman" w:hAnsi="Times New Roman" w:eastAsia="宋体" w:cs="Times New Roman"/>
          <w:spacing w:val="-2"/>
          <w:sz w:val="24"/>
          <w:szCs w:val="24"/>
          <w:highlight w:val="none"/>
          <w:u w:val="single" w:color="auto"/>
        </w:rPr>
        <w:t xml:space="preserve">     </w:t>
      </w:r>
      <w:r>
        <w:rPr>
          <w:rFonts w:hint="default" w:ascii="Times New Roman" w:hAnsi="Times New Roman" w:eastAsia="宋体" w:cs="Times New Roman"/>
          <w:sz w:val="24"/>
          <w:szCs w:val="24"/>
          <w:highlight w:val="none"/>
          <w:u w:val="single" w:color="auto"/>
        </w:rPr>
        <w:t xml:space="preserve">              </w:t>
      </w:r>
    </w:p>
    <w:p w14:paraId="23453E92">
      <w:pPr>
        <w:keepNext w:val="0"/>
        <w:keepLines w:val="0"/>
        <w:pageBreakBefore w:val="0"/>
        <w:widowControl/>
        <w:kinsoku/>
        <w:wordWrap/>
        <w:overflowPunct/>
        <w:topLinePunct w:val="0"/>
        <w:autoSpaceDE w:val="0"/>
        <w:autoSpaceDN w:val="0"/>
        <w:bidi w:val="0"/>
        <w:adjustRightInd w:val="0"/>
        <w:snapToGrid w:val="0"/>
        <w:spacing w:line="360" w:lineRule="auto"/>
        <w:ind w:left="790"/>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6"/>
          <w:sz w:val="24"/>
          <w:szCs w:val="24"/>
          <w:highlight w:val="none"/>
        </w:rPr>
        <w:t>通讯地址：</w:t>
      </w:r>
      <w:r>
        <w:rPr>
          <w:rFonts w:hint="default" w:ascii="Times New Roman" w:hAnsi="Times New Roman" w:eastAsia="宋体" w:cs="Times New Roman"/>
          <w:sz w:val="24"/>
          <w:szCs w:val="24"/>
          <w:highlight w:val="none"/>
          <w:u w:val="single" w:color="auto"/>
        </w:rPr>
        <w:t xml:space="preserve">                                         </w:t>
      </w:r>
    </w:p>
    <w:p w14:paraId="652E014A">
      <w:pPr>
        <w:keepNext w:val="0"/>
        <w:keepLines w:val="0"/>
        <w:pageBreakBefore w:val="0"/>
        <w:widowControl/>
        <w:kinsoku/>
        <w:wordWrap/>
        <w:overflowPunct/>
        <w:topLinePunct w:val="0"/>
        <w:autoSpaceDE w:val="0"/>
        <w:autoSpaceDN w:val="0"/>
        <w:bidi w:val="0"/>
        <w:adjustRightInd w:val="0"/>
        <w:snapToGrid w:val="0"/>
        <w:spacing w:line="360" w:lineRule="auto"/>
        <w:ind w:left="807"/>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4"/>
          <w:sz w:val="24"/>
          <w:szCs w:val="24"/>
          <w:highlight w:val="none"/>
        </w:rPr>
        <w:t>邮</w:t>
      </w:r>
      <w:r>
        <w:rPr>
          <w:rFonts w:hint="default" w:ascii="Times New Roman" w:hAnsi="Times New Roman" w:eastAsia="宋体" w:cs="Times New Roman"/>
          <w:spacing w:val="2"/>
          <w:sz w:val="24"/>
          <w:szCs w:val="24"/>
          <w:highlight w:val="none"/>
        </w:rPr>
        <w:t>政编码：</w:t>
      </w:r>
      <w:r>
        <w:rPr>
          <w:rFonts w:hint="default" w:ascii="Times New Roman" w:hAnsi="Times New Roman" w:eastAsia="宋体" w:cs="Times New Roman"/>
          <w:sz w:val="24"/>
          <w:szCs w:val="24"/>
          <w:highlight w:val="none"/>
          <w:u w:val="single" w:color="auto"/>
        </w:rPr>
        <w:t xml:space="preserve">                                         </w:t>
      </w:r>
    </w:p>
    <w:p w14:paraId="7B47B74A">
      <w:pPr>
        <w:keepNext w:val="0"/>
        <w:keepLines w:val="0"/>
        <w:pageBreakBefore w:val="0"/>
        <w:widowControl/>
        <w:kinsoku/>
        <w:wordWrap/>
        <w:overflowPunct/>
        <w:topLinePunct w:val="0"/>
        <w:autoSpaceDE w:val="0"/>
        <w:autoSpaceDN w:val="0"/>
        <w:bidi w:val="0"/>
        <w:adjustRightInd w:val="0"/>
        <w:snapToGrid w:val="0"/>
        <w:spacing w:line="360" w:lineRule="auto"/>
        <w:ind w:left="818"/>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电    话：</w:t>
      </w:r>
      <w:r>
        <w:rPr>
          <w:rFonts w:hint="default" w:ascii="Times New Roman" w:hAnsi="Times New Roman" w:eastAsia="宋体" w:cs="Times New Roman"/>
          <w:spacing w:val="-3"/>
          <w:sz w:val="24"/>
          <w:szCs w:val="24"/>
          <w:highlight w:val="none"/>
          <w:u w:val="single" w:color="auto"/>
        </w:rPr>
        <w:t xml:space="preserve">                  </w:t>
      </w:r>
      <w:r>
        <w:rPr>
          <w:rFonts w:hint="default" w:ascii="Times New Roman" w:hAnsi="Times New Roman" w:eastAsia="宋体" w:cs="Times New Roman"/>
          <w:spacing w:val="-3"/>
          <w:sz w:val="24"/>
          <w:szCs w:val="24"/>
          <w:highlight w:val="none"/>
        </w:rPr>
        <w:t>电</w:t>
      </w:r>
      <w:r>
        <w:rPr>
          <w:rFonts w:hint="default" w:ascii="Times New Roman" w:hAnsi="Times New Roman" w:eastAsia="宋体" w:cs="Times New Roman"/>
          <w:sz w:val="24"/>
          <w:szCs w:val="24"/>
          <w:highlight w:val="none"/>
        </w:rPr>
        <w:t>传：</w:t>
      </w:r>
      <w:r>
        <w:rPr>
          <w:rFonts w:hint="default" w:ascii="Times New Roman" w:hAnsi="Times New Roman" w:eastAsia="宋体" w:cs="Times New Roman"/>
          <w:sz w:val="24"/>
          <w:szCs w:val="24"/>
          <w:highlight w:val="none"/>
          <w:u w:val="single" w:color="auto"/>
        </w:rPr>
        <w:t xml:space="preserve">    </w:t>
      </w:r>
      <w:r>
        <w:rPr>
          <w:rFonts w:hint="default" w:ascii="Times New Roman" w:hAnsi="Times New Roman" w:eastAsia="宋体" w:cs="Times New Roman"/>
          <w:spacing w:val="-3"/>
          <w:sz w:val="24"/>
          <w:szCs w:val="24"/>
          <w:highlight w:val="none"/>
          <w:u w:val="single" w:color="auto"/>
        </w:rPr>
        <w:t xml:space="preserve">     </w:t>
      </w:r>
      <w:r>
        <w:rPr>
          <w:rFonts w:hint="default" w:ascii="Times New Roman" w:hAnsi="Times New Roman" w:eastAsia="宋体" w:cs="Times New Roman"/>
          <w:sz w:val="24"/>
          <w:szCs w:val="24"/>
          <w:highlight w:val="none"/>
          <w:u w:val="single" w:color="auto"/>
        </w:rPr>
        <w:t xml:space="preserve">        </w:t>
      </w:r>
    </w:p>
    <w:p w14:paraId="05F9E729">
      <w:pPr>
        <w:keepNext w:val="0"/>
        <w:keepLines w:val="0"/>
        <w:pageBreakBefore w:val="0"/>
        <w:widowControl/>
        <w:kinsoku/>
        <w:wordWrap/>
        <w:overflowPunct/>
        <w:topLinePunct w:val="0"/>
        <w:autoSpaceDE w:val="0"/>
        <w:autoSpaceDN w:val="0"/>
        <w:bidi w:val="0"/>
        <w:adjustRightInd w:val="0"/>
        <w:snapToGrid w:val="0"/>
        <w:spacing w:line="360" w:lineRule="auto"/>
        <w:ind w:left="548"/>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4"/>
          <w:sz w:val="24"/>
          <w:szCs w:val="24"/>
          <w:highlight w:val="none"/>
        </w:rPr>
        <w:t>以下</w:t>
      </w:r>
      <w:r>
        <w:rPr>
          <w:rFonts w:hint="default" w:ascii="Times New Roman" w:hAnsi="Times New Roman" w:eastAsia="宋体" w:cs="Times New Roman"/>
          <w:spacing w:val="11"/>
          <w:sz w:val="24"/>
          <w:szCs w:val="24"/>
          <w:highlight w:val="none"/>
          <w:lang w:val="en-US" w:eastAsia="zh-CN"/>
        </w:rPr>
        <w:t>附</w:t>
      </w:r>
      <w:r>
        <w:rPr>
          <w:rFonts w:hint="default" w:ascii="Times New Roman" w:hAnsi="Times New Roman" w:eastAsia="宋体" w:cs="Times New Roman"/>
          <w:spacing w:val="7"/>
          <w:sz w:val="24"/>
          <w:szCs w:val="24"/>
          <w:highlight w:val="none"/>
        </w:rPr>
        <w:t>法定代表人及授权代表身份证复印件 (正反面)</w:t>
      </w:r>
    </w:p>
    <w:p w14:paraId="2D93CAE9">
      <w:pPr>
        <w:keepNext w:val="0"/>
        <w:keepLines w:val="0"/>
        <w:kinsoku/>
        <w:overflowPunct/>
        <w:topLinePunct w:val="0"/>
        <w:bidi w:val="0"/>
        <w:spacing w:line="87" w:lineRule="exact"/>
        <w:jc w:val="both"/>
        <w:rPr>
          <w:rFonts w:hint="default" w:ascii="Times New Roman" w:hAnsi="Times New Roman" w:cs="Times New Roman"/>
          <w:color w:val="auto"/>
          <w:spacing w:val="0"/>
          <w:highlight w:val="none"/>
        </w:rPr>
      </w:pPr>
    </w:p>
    <w:tbl>
      <w:tblPr>
        <w:tblStyle w:val="37"/>
        <w:tblW w:w="95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0"/>
        <w:gridCol w:w="4654"/>
      </w:tblGrid>
      <w:tr w14:paraId="136AB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3" w:hRule="atLeast"/>
        </w:trPr>
        <w:tc>
          <w:tcPr>
            <w:tcW w:w="4850" w:type="dxa"/>
            <w:tcBorders>
              <w:top w:val="single" w:color="000000" w:sz="2" w:space="0"/>
              <w:bottom w:val="single" w:color="000000" w:sz="2" w:space="0"/>
            </w:tcBorders>
            <w:vAlign w:val="center"/>
          </w:tcPr>
          <w:p w14:paraId="46A31F4A">
            <w:pPr>
              <w:keepNext w:val="0"/>
              <w:keepLines w:val="0"/>
              <w:kinsoku/>
              <w:overflowPunct/>
              <w:topLinePunct w:val="0"/>
              <w:bidi w:val="0"/>
              <w:spacing w:before="75" w:line="227" w:lineRule="auto"/>
              <w:jc w:val="center"/>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法定代表人身份证复印件</w:t>
            </w:r>
          </w:p>
        </w:tc>
        <w:tc>
          <w:tcPr>
            <w:tcW w:w="4654" w:type="dxa"/>
            <w:tcBorders>
              <w:top w:val="single" w:color="000000" w:sz="2" w:space="0"/>
              <w:bottom w:val="single" w:color="000000" w:sz="2" w:space="0"/>
            </w:tcBorders>
            <w:vAlign w:val="center"/>
          </w:tcPr>
          <w:p w14:paraId="0567AC2D">
            <w:pPr>
              <w:keepNext w:val="0"/>
              <w:keepLines w:val="0"/>
              <w:kinsoku/>
              <w:overflowPunct/>
              <w:topLinePunct w:val="0"/>
              <w:bidi w:val="0"/>
              <w:spacing w:before="75" w:line="227" w:lineRule="auto"/>
              <w:ind w:left="1129"/>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授权代表身份证复印件</w:t>
            </w:r>
          </w:p>
        </w:tc>
      </w:tr>
    </w:tbl>
    <w:p w14:paraId="6A434476">
      <w:pPr>
        <w:keepNext w:val="0"/>
        <w:keepLines w:val="0"/>
        <w:kinsoku/>
        <w:overflowPunct/>
        <w:topLinePunct w:val="0"/>
        <w:bidi w:val="0"/>
        <w:spacing w:line="255" w:lineRule="auto"/>
        <w:jc w:val="both"/>
        <w:rPr>
          <w:rFonts w:hint="default" w:ascii="Times New Roman" w:hAnsi="Times New Roman" w:cs="Times New Roman"/>
          <w:color w:val="auto"/>
          <w:spacing w:val="0"/>
          <w:sz w:val="21"/>
          <w:highlight w:val="none"/>
        </w:rPr>
      </w:pPr>
    </w:p>
    <w:p w14:paraId="79D006D2">
      <w:pPr>
        <w:keepNext w:val="0"/>
        <w:keepLines w:val="0"/>
        <w:kinsoku/>
        <w:overflowPunct/>
        <w:topLinePunct w:val="0"/>
        <w:bidi w:val="0"/>
        <w:spacing w:line="255" w:lineRule="auto"/>
        <w:jc w:val="both"/>
        <w:rPr>
          <w:rFonts w:hint="default" w:ascii="Times New Roman" w:hAnsi="Times New Roman" w:cs="Times New Roman"/>
          <w:color w:val="auto"/>
          <w:spacing w:val="0"/>
          <w:sz w:val="21"/>
          <w:highlight w:val="none"/>
        </w:rPr>
      </w:pPr>
    </w:p>
    <w:p w14:paraId="2B41A0DC">
      <w:pPr>
        <w:keepNext w:val="0"/>
        <w:keepLines w:val="0"/>
        <w:kinsoku/>
        <w:overflowPunct/>
        <w:topLinePunct w:val="0"/>
        <w:bidi w:val="0"/>
        <w:spacing w:line="256" w:lineRule="auto"/>
        <w:jc w:val="both"/>
        <w:rPr>
          <w:rFonts w:hint="default" w:ascii="Times New Roman" w:hAnsi="Times New Roman" w:cs="Times New Roman"/>
          <w:color w:val="auto"/>
          <w:spacing w:val="0"/>
          <w:sz w:val="21"/>
          <w:highlight w:val="none"/>
        </w:rPr>
      </w:pPr>
    </w:p>
    <w:p w14:paraId="4F48573A">
      <w:pPr>
        <w:keepNext w:val="0"/>
        <w:keepLines w:val="0"/>
        <w:kinsoku/>
        <w:overflowPunct/>
        <w:topLinePunct w:val="0"/>
        <w:bidi w:val="0"/>
        <w:spacing w:before="74" w:line="227" w:lineRule="auto"/>
        <w:ind w:firstLine="3556" w:firstLineChars="1400"/>
        <w:jc w:val="left"/>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12"/>
          <w:sz w:val="23"/>
          <w:szCs w:val="23"/>
          <w:highlight w:val="none"/>
        </w:rPr>
        <w:t>投</w:t>
      </w:r>
      <w:r>
        <w:rPr>
          <w:rFonts w:hint="default" w:ascii="Times New Roman" w:hAnsi="Times New Roman" w:eastAsia="宋体" w:cs="Times New Roman"/>
          <w:spacing w:val="11"/>
          <w:sz w:val="23"/>
          <w:szCs w:val="23"/>
          <w:highlight w:val="none"/>
        </w:rPr>
        <w:t>标</w:t>
      </w:r>
      <w:r>
        <w:rPr>
          <w:rFonts w:hint="default" w:ascii="Times New Roman" w:hAnsi="Times New Roman" w:eastAsia="宋体" w:cs="Times New Roman"/>
          <w:spacing w:val="6"/>
          <w:sz w:val="23"/>
          <w:szCs w:val="23"/>
          <w:highlight w:val="none"/>
        </w:rPr>
        <w:t>人：</w:t>
      </w:r>
      <w:r>
        <w:rPr>
          <w:rFonts w:hint="default" w:ascii="Times New Roman" w:hAnsi="Times New Roman" w:eastAsia="宋体" w:cs="Times New Roman"/>
          <w:spacing w:val="6"/>
          <w:sz w:val="23"/>
          <w:szCs w:val="23"/>
          <w:highlight w:val="none"/>
          <w:u w:val="single" w:color="auto"/>
        </w:rPr>
        <w:t xml:space="preserve">      单位名称  </w:t>
      </w:r>
      <w:r>
        <w:rPr>
          <w:rFonts w:hint="default" w:ascii="Times New Roman" w:hAnsi="Times New Roman" w:eastAsia="宋体" w:cs="Times New Roman"/>
          <w:spacing w:val="6"/>
          <w:sz w:val="23"/>
          <w:szCs w:val="23"/>
          <w:highlight w:val="none"/>
          <w:u w:val="single"/>
          <w:lang w:val="en-US" w:eastAsia="zh-CN"/>
        </w:rPr>
        <w:t xml:space="preserve">        </w:t>
      </w:r>
      <w:r>
        <w:rPr>
          <w:rFonts w:hint="default" w:ascii="Times New Roman" w:hAnsi="Times New Roman" w:eastAsia="宋体" w:cs="Times New Roman"/>
          <w:spacing w:val="6"/>
          <w:sz w:val="23"/>
          <w:szCs w:val="23"/>
          <w:highlight w:val="none"/>
        </w:rPr>
        <w:t>(公章)</w:t>
      </w:r>
    </w:p>
    <w:p w14:paraId="599BD823">
      <w:pPr>
        <w:keepNext w:val="0"/>
        <w:keepLines w:val="0"/>
        <w:kinsoku/>
        <w:overflowPunct/>
        <w:topLinePunct w:val="0"/>
        <w:bidi w:val="0"/>
        <w:spacing w:line="448" w:lineRule="auto"/>
        <w:jc w:val="left"/>
        <w:rPr>
          <w:rFonts w:hint="default" w:ascii="Times New Roman" w:hAnsi="Times New Roman" w:cs="Times New Roman"/>
          <w:sz w:val="21"/>
          <w:highlight w:val="none"/>
        </w:rPr>
      </w:pPr>
    </w:p>
    <w:p w14:paraId="19BA1170">
      <w:pPr>
        <w:keepNext w:val="0"/>
        <w:keepLines w:val="0"/>
        <w:kinsoku/>
        <w:overflowPunct/>
        <w:topLinePunct w:val="0"/>
        <w:bidi w:val="0"/>
        <w:spacing w:before="76" w:line="227" w:lineRule="auto"/>
        <w:ind w:firstLine="3552" w:firstLineChars="1600"/>
        <w:jc w:val="left"/>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4"/>
          <w:sz w:val="23"/>
          <w:szCs w:val="23"/>
          <w:highlight w:val="none"/>
        </w:rPr>
        <w:t>法定代表人：</w:t>
      </w:r>
      <w:r>
        <w:rPr>
          <w:rFonts w:hint="default" w:ascii="Times New Roman" w:hAnsi="Times New Roman" w:eastAsia="宋体" w:cs="Times New Roman"/>
          <w:spacing w:val="-4"/>
          <w:sz w:val="23"/>
          <w:szCs w:val="23"/>
          <w:highlight w:val="none"/>
          <w:u w:val="single" w:color="auto"/>
        </w:rPr>
        <w:t xml:space="preserve">   </w:t>
      </w:r>
      <w:r>
        <w:rPr>
          <w:rFonts w:hint="default" w:ascii="Times New Roman" w:hAnsi="Times New Roman" w:eastAsia="宋体" w:cs="Times New Roman"/>
          <w:spacing w:val="-3"/>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lang w:val="en-US" w:eastAsia="zh-CN"/>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rPr>
        <w:t>(签字或盖章)</w:t>
      </w:r>
    </w:p>
    <w:p w14:paraId="2687219C">
      <w:pPr>
        <w:keepNext w:val="0"/>
        <w:keepLines w:val="0"/>
        <w:kinsoku/>
        <w:overflowPunct/>
        <w:topLinePunct w:val="0"/>
        <w:bidi w:val="0"/>
        <w:spacing w:line="449" w:lineRule="auto"/>
        <w:jc w:val="left"/>
        <w:rPr>
          <w:rFonts w:hint="default" w:ascii="Times New Roman" w:hAnsi="Times New Roman" w:cs="Times New Roman"/>
          <w:sz w:val="21"/>
          <w:highlight w:val="none"/>
        </w:rPr>
      </w:pPr>
    </w:p>
    <w:p w14:paraId="76CDA0C9">
      <w:pPr>
        <w:keepNext w:val="0"/>
        <w:keepLines w:val="0"/>
        <w:kinsoku/>
        <w:overflowPunct/>
        <w:topLinePunct w:val="0"/>
        <w:bidi w:val="0"/>
        <w:ind w:firstLine="3616" w:firstLineChars="1600"/>
        <w:jc w:val="left"/>
        <w:rPr>
          <w:rFonts w:hint="default" w:ascii="Times New Roman" w:hAnsi="Times New Roman" w:eastAsia="宋体" w:cs="Times New Roman"/>
          <w:spacing w:val="-1"/>
          <w:sz w:val="23"/>
          <w:szCs w:val="23"/>
          <w:highlight w:val="none"/>
        </w:rPr>
      </w:pPr>
      <w:r>
        <w:rPr>
          <w:rFonts w:hint="default" w:ascii="Times New Roman" w:hAnsi="Times New Roman" w:eastAsia="宋体" w:cs="Times New Roman"/>
          <w:spacing w:val="-2"/>
          <w:sz w:val="23"/>
          <w:szCs w:val="23"/>
          <w:highlight w:val="none"/>
        </w:rPr>
        <w:t>日</w:t>
      </w:r>
      <w:r>
        <w:rPr>
          <w:rFonts w:hint="eastAsia" w:ascii="Times New Roman" w:hAnsi="Times New Roman" w:eastAsia="宋体" w:cs="Times New Roman"/>
          <w:spacing w:val="-2"/>
          <w:sz w:val="23"/>
          <w:szCs w:val="23"/>
          <w:highlight w:val="none"/>
          <w:lang w:val="en-US" w:eastAsia="zh-CN"/>
        </w:rPr>
        <w:t xml:space="preserve">    </w:t>
      </w:r>
      <w:r>
        <w:rPr>
          <w:rFonts w:hint="default" w:ascii="Times New Roman" w:hAnsi="Times New Roman" w:eastAsia="宋体" w:cs="Times New Roman"/>
          <w:spacing w:val="-2"/>
          <w:sz w:val="23"/>
          <w:szCs w:val="23"/>
          <w:highlight w:val="none"/>
        </w:rPr>
        <w:t xml:space="preserve">期：     年 </w:t>
      </w:r>
      <w:r>
        <w:rPr>
          <w:rFonts w:hint="default" w:ascii="Times New Roman" w:hAnsi="Times New Roman" w:eastAsia="宋体" w:cs="Times New Roman"/>
          <w:spacing w:val="-2"/>
          <w:sz w:val="23"/>
          <w:szCs w:val="23"/>
          <w:highlight w:val="none"/>
          <w:lang w:val="en-US" w:eastAsia="zh-CN"/>
        </w:rPr>
        <w:t xml:space="preserve">  </w:t>
      </w:r>
      <w:r>
        <w:rPr>
          <w:rFonts w:hint="default" w:ascii="Times New Roman" w:hAnsi="Times New Roman" w:eastAsia="宋体" w:cs="Times New Roman"/>
          <w:spacing w:val="-2"/>
          <w:sz w:val="23"/>
          <w:szCs w:val="23"/>
          <w:highlight w:val="none"/>
        </w:rPr>
        <w:t xml:space="preserve"> </w:t>
      </w:r>
      <w:r>
        <w:rPr>
          <w:rFonts w:hint="default" w:ascii="Times New Roman" w:hAnsi="Times New Roman" w:eastAsia="宋体" w:cs="Times New Roman"/>
          <w:spacing w:val="-1"/>
          <w:sz w:val="23"/>
          <w:szCs w:val="23"/>
          <w:highlight w:val="none"/>
        </w:rPr>
        <w:t>月</w:t>
      </w:r>
      <w:r>
        <w:rPr>
          <w:rFonts w:hint="default" w:ascii="Times New Roman" w:hAnsi="Times New Roman" w:eastAsia="宋体" w:cs="Times New Roman"/>
          <w:spacing w:val="-1"/>
          <w:sz w:val="23"/>
          <w:szCs w:val="23"/>
          <w:highlight w:val="none"/>
          <w:lang w:val="en-US" w:eastAsia="zh-CN"/>
        </w:rPr>
        <w:t xml:space="preserve">   </w:t>
      </w:r>
      <w:r>
        <w:rPr>
          <w:rFonts w:hint="default" w:ascii="Times New Roman" w:hAnsi="Times New Roman" w:eastAsia="宋体" w:cs="Times New Roman"/>
          <w:spacing w:val="-1"/>
          <w:sz w:val="23"/>
          <w:szCs w:val="23"/>
          <w:highlight w:val="none"/>
        </w:rPr>
        <w:t xml:space="preserve"> 日</w:t>
      </w:r>
    </w:p>
    <w:p w14:paraId="5E4414A5">
      <w:pPr>
        <w:keepNext w:val="0"/>
        <w:keepLines w:val="0"/>
        <w:kinsoku/>
        <w:overflowPunct/>
        <w:topLinePunct w:val="0"/>
        <w:bidi w:val="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br w:type="page"/>
      </w:r>
    </w:p>
    <w:p w14:paraId="00D363E4">
      <w:pPr>
        <w:keepNext w:val="0"/>
        <w:keepLines w:val="0"/>
        <w:kinsoku/>
        <w:overflowPunct/>
        <w:topLinePunct w:val="0"/>
        <w:bidi w:val="0"/>
        <w:spacing w:before="75" w:line="360" w:lineRule="auto"/>
        <w:ind w:left="14"/>
        <w:jc w:val="both"/>
        <w:outlineLvl w:val="2"/>
        <w:rPr>
          <w:rFonts w:hint="eastAsia" w:ascii="Times New Roman" w:hAnsi="Times New Roman" w:eastAsia="宋体" w:cs="Times New Roman"/>
          <w:b/>
          <w:bCs/>
          <w:color w:val="auto"/>
          <w:spacing w:val="0"/>
          <w:sz w:val="24"/>
          <w:szCs w:val="24"/>
          <w:highlight w:val="none"/>
          <w:lang w:eastAsia="zh-CN"/>
        </w:rPr>
      </w:pPr>
      <w:r>
        <w:rPr>
          <w:rFonts w:hint="eastAsia" w:ascii="Times New Roman" w:hAnsi="Times New Roman" w:eastAsia="宋体" w:cs="Times New Roman"/>
          <w:b/>
          <w:bCs/>
          <w:color w:val="auto"/>
          <w:spacing w:val="0"/>
          <w:position w:val="1"/>
          <w:sz w:val="24"/>
          <w:szCs w:val="24"/>
          <w:highlight w:val="none"/>
          <w:lang w:val="en-US" w:eastAsia="zh-CN"/>
        </w:rPr>
        <w:t>3</w:t>
      </w:r>
      <w:r>
        <w:rPr>
          <w:rFonts w:hint="default" w:ascii="Times New Roman" w:hAnsi="Times New Roman" w:eastAsia="宋体" w:cs="Times New Roman"/>
          <w:b/>
          <w:bCs/>
          <w:color w:val="auto"/>
          <w:spacing w:val="0"/>
          <w:position w:val="1"/>
          <w:sz w:val="24"/>
          <w:szCs w:val="24"/>
          <w:highlight w:val="none"/>
        </w:rPr>
        <w:t>.</w:t>
      </w:r>
      <w:r>
        <w:rPr>
          <w:rFonts w:hint="eastAsia" w:ascii="Times New Roman" w:hAnsi="Times New Roman" w:eastAsia="宋体" w:cs="Times New Roman"/>
          <w:b/>
          <w:bCs/>
          <w:color w:val="auto"/>
          <w:spacing w:val="0"/>
          <w:position w:val="1"/>
          <w:sz w:val="24"/>
          <w:szCs w:val="24"/>
          <w:highlight w:val="none"/>
          <w:lang w:val="en-US" w:eastAsia="zh-CN"/>
        </w:rPr>
        <w:t>企业资质</w:t>
      </w:r>
    </w:p>
    <w:p w14:paraId="393328A9">
      <w:pPr>
        <w:keepNext w:val="0"/>
        <w:keepLines w:val="0"/>
        <w:kinsoku/>
        <w:overflowPunct/>
        <w:topLinePunct w:val="0"/>
        <w:bidi w:val="0"/>
        <w:spacing w:before="154" w:line="360" w:lineRule="auto"/>
        <w:ind w:firstLine="480" w:firstLineChars="200"/>
        <w:jc w:val="both"/>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①投标人为经销商的应具有《医疗器械经营许可证》或《经营备案凭证》（投标产品须在其经营范围内），并提供制造厂家《医疗器械生产许可证》（投标产品须在其生产范围内）；投标人为制造厂家应具有《医疗器械生产许可证》（投标产品须在其生产范围内），具有《医疗器械经营许可证》或《经营备案凭证》（投标产品须在其经营范围内）；注：进口产品无须提供《医疗器械生产许可证》；②投标产品属于医疗器械管理范围的须提供医疗器械注册证；③投标产品属于进口产品须提供制造商授权书及相应的完整授权链。</w:t>
      </w: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加盖公章</w:t>
      </w:r>
      <w:r>
        <w:rPr>
          <w:rFonts w:hint="eastAsia" w:ascii="Times New Roman" w:hAnsi="Times New Roman" w:eastAsia="宋体" w:cs="Times New Roman"/>
          <w:color w:val="auto"/>
          <w:spacing w:val="0"/>
          <w:sz w:val="24"/>
          <w:szCs w:val="24"/>
          <w:highlight w:val="none"/>
          <w:lang w:eastAsia="zh-CN"/>
        </w:rPr>
        <w:t>）</w:t>
      </w:r>
    </w:p>
    <w:p w14:paraId="1AE013FF">
      <w:pPr>
        <w:keepNext w:val="0"/>
        <w:keepLines w:val="0"/>
        <w:kinsoku/>
        <w:overflowPunct/>
        <w:topLinePunct w:val="0"/>
        <w:bidi w:val="0"/>
        <w:spacing w:before="154" w:line="360" w:lineRule="auto"/>
        <w:ind w:firstLine="480" w:firstLineChars="200"/>
        <w:jc w:val="both"/>
        <w:rPr>
          <w:rFonts w:hint="eastAsia" w:ascii="Times New Roman" w:hAnsi="Times New Roman" w:eastAsia="宋体" w:cs="Times New Roman"/>
          <w:color w:val="auto"/>
          <w:spacing w:val="0"/>
          <w:sz w:val="24"/>
          <w:szCs w:val="24"/>
          <w:highlight w:val="none"/>
          <w:lang w:val="en-US" w:eastAsia="zh-CN"/>
        </w:rPr>
      </w:pPr>
    </w:p>
    <w:p w14:paraId="39737BF5">
      <w:pPr>
        <w:keepNext w:val="0"/>
        <w:keepLines w:val="0"/>
        <w:kinsoku/>
        <w:overflowPunct/>
        <w:topLinePunct w:val="0"/>
        <w:bidi w:val="0"/>
        <w:spacing w:before="154" w:line="360" w:lineRule="auto"/>
        <w:ind w:firstLine="480" w:firstLineChars="200"/>
        <w:jc w:val="both"/>
        <w:rPr>
          <w:rFonts w:hint="eastAsia" w:ascii="Times New Roman" w:hAnsi="Times New Roman" w:eastAsia="宋体" w:cs="Times New Roman"/>
          <w:color w:val="auto"/>
          <w:spacing w:val="0"/>
          <w:sz w:val="24"/>
          <w:szCs w:val="24"/>
          <w:highlight w:val="none"/>
          <w:lang w:val="en-US" w:eastAsia="zh-CN"/>
        </w:rPr>
      </w:pPr>
    </w:p>
    <w:p w14:paraId="40670089">
      <w:pPr>
        <w:keepNext w:val="0"/>
        <w:keepLines w:val="0"/>
        <w:pageBreakBefore/>
        <w:widowControl w:val="0"/>
        <w:kinsoku/>
        <w:wordWrap/>
        <w:overflowPunct/>
        <w:topLinePunct w:val="0"/>
        <w:autoSpaceDE w:val="0"/>
        <w:autoSpaceDN w:val="0"/>
        <w:bidi w:val="0"/>
        <w:adjustRightInd w:val="0"/>
        <w:snapToGrid w:val="0"/>
        <w:spacing w:before="75" w:line="360" w:lineRule="auto"/>
        <w:ind w:left="11"/>
        <w:jc w:val="both"/>
        <w:textAlignment w:val="baseline"/>
        <w:outlineLvl w:val="2"/>
        <w:rPr>
          <w:rFonts w:hint="default" w:ascii="Times New Roman" w:hAnsi="Times New Roman" w:eastAsia="宋体" w:cs="Times New Roman"/>
          <w:b/>
          <w:bCs/>
          <w:color w:val="auto"/>
          <w:spacing w:val="0"/>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4</w:t>
      </w:r>
      <w:r>
        <w:rPr>
          <w:rFonts w:hint="default" w:ascii="Times New Roman" w:hAnsi="Times New Roman" w:eastAsia="宋体" w:cs="Times New Roman"/>
          <w:b/>
          <w:bCs/>
          <w:color w:val="auto"/>
          <w:spacing w:val="0"/>
          <w:position w:val="1"/>
          <w:sz w:val="24"/>
          <w:szCs w:val="24"/>
          <w:highlight w:val="none"/>
        </w:rPr>
        <w:t>.财务状况报告</w:t>
      </w:r>
    </w:p>
    <w:p w14:paraId="1FF733D7">
      <w:pPr>
        <w:keepNext w:val="0"/>
        <w:keepLines w:val="0"/>
        <w:kinsoku/>
        <w:overflowPunct/>
        <w:topLinePunct w:val="0"/>
        <w:bidi w:val="0"/>
        <w:spacing w:before="154" w:line="360" w:lineRule="auto"/>
        <w:ind w:firstLine="480" w:firstLineChars="200"/>
        <w:jc w:val="both"/>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投标人须提供2024年度具有财务审计资质的单位出具的完整财务报告或银行出具的资信证明；成立时间至提交投标文件截止时间不足一年的可提供成立至今财务报表或具有财务审计资质的单位出具的财务报告（至少包括资产负债表和利润表），或提供投标截止时间前其基本开户银行出具的资信证明（附开户许可证或开户备案证明）。（</w:t>
      </w:r>
      <w:r>
        <w:rPr>
          <w:rFonts w:hint="eastAsia" w:ascii="Times New Roman" w:hAnsi="Times New Roman" w:eastAsia="宋体" w:cs="Times New Roman"/>
          <w:color w:val="auto"/>
          <w:spacing w:val="0"/>
          <w:sz w:val="24"/>
          <w:szCs w:val="24"/>
          <w:highlight w:val="none"/>
          <w:lang w:val="en-US" w:eastAsia="zh-CN"/>
        </w:rPr>
        <w:t>加盖公章</w:t>
      </w:r>
      <w:r>
        <w:rPr>
          <w:rFonts w:hint="eastAsia" w:ascii="Times New Roman" w:hAnsi="Times New Roman" w:eastAsia="宋体" w:cs="Times New Roman"/>
          <w:color w:val="auto"/>
          <w:spacing w:val="0"/>
          <w:sz w:val="24"/>
          <w:szCs w:val="24"/>
          <w:highlight w:val="none"/>
          <w:lang w:eastAsia="zh-CN"/>
        </w:rPr>
        <w:t>）</w:t>
      </w:r>
    </w:p>
    <w:p w14:paraId="5B47246F">
      <w:pPr>
        <w:keepNext w:val="0"/>
        <w:keepLines w:val="0"/>
        <w:kinsoku/>
        <w:overflowPunct/>
        <w:topLinePunct w:val="0"/>
        <w:bidi w:val="0"/>
        <w:spacing w:before="154" w:line="360" w:lineRule="auto"/>
        <w:ind w:firstLine="480" w:firstLineChars="200"/>
        <w:jc w:val="both"/>
        <w:rPr>
          <w:rFonts w:hint="eastAsia" w:ascii="Times New Roman" w:hAnsi="Times New Roman" w:eastAsia="宋体" w:cs="Times New Roman"/>
          <w:color w:val="auto"/>
          <w:spacing w:val="0"/>
          <w:sz w:val="24"/>
          <w:szCs w:val="24"/>
          <w:highlight w:val="none"/>
          <w:lang w:val="en-US" w:eastAsia="zh-CN"/>
        </w:rPr>
      </w:pPr>
    </w:p>
    <w:p w14:paraId="70D9A535">
      <w:pPr>
        <w:keepNext w:val="0"/>
        <w:keepLines w:val="0"/>
        <w:pageBreakBefore/>
        <w:widowControl/>
        <w:kinsoku/>
        <w:wordWrap/>
        <w:overflowPunct/>
        <w:topLinePunct w:val="0"/>
        <w:autoSpaceDE w:val="0"/>
        <w:autoSpaceDN w:val="0"/>
        <w:bidi w:val="0"/>
        <w:adjustRightInd w:val="0"/>
        <w:snapToGrid w:val="0"/>
        <w:spacing w:before="75" w:line="360" w:lineRule="auto"/>
        <w:ind w:left="11"/>
        <w:jc w:val="both"/>
        <w:textAlignment w:val="baseline"/>
        <w:outlineLvl w:val="2"/>
        <w:rPr>
          <w:rFonts w:hint="default" w:ascii="Times New Roman" w:hAnsi="Times New Roman" w:eastAsia="宋体" w:cs="Times New Roman"/>
          <w:b/>
          <w:bCs/>
          <w:color w:val="auto"/>
          <w:spacing w:val="0"/>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5</w:t>
      </w:r>
      <w:r>
        <w:rPr>
          <w:rFonts w:hint="default" w:ascii="Times New Roman" w:hAnsi="Times New Roman" w:eastAsia="宋体" w:cs="Times New Roman"/>
          <w:b/>
          <w:bCs/>
          <w:color w:val="auto"/>
          <w:spacing w:val="0"/>
          <w:position w:val="1"/>
          <w:sz w:val="24"/>
          <w:szCs w:val="24"/>
          <w:highlight w:val="none"/>
        </w:rPr>
        <w:t>.税收缴纳证明</w:t>
      </w:r>
    </w:p>
    <w:p w14:paraId="1645BCA9">
      <w:pPr>
        <w:keepNext w:val="0"/>
        <w:keepLines w:val="0"/>
        <w:kinsoku/>
        <w:overflowPunct/>
        <w:topLinePunct w:val="0"/>
        <w:bidi w:val="0"/>
        <w:spacing w:before="157" w:line="360" w:lineRule="auto"/>
        <w:ind w:left="10" w:firstLine="240"/>
        <w:jc w:val="both"/>
        <w:rPr>
          <w:rFonts w:hint="eastAsia" w:ascii="Times New Roman" w:hAnsi="Times New Roman" w:eastAsia="宋体" w:cs="Times New Roman"/>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投标人须提供</w:t>
      </w:r>
      <w:r>
        <w:rPr>
          <w:rFonts w:hint="eastAsia" w:ascii="宋体" w:hAnsi="宋体" w:eastAsia="宋体" w:cs="宋体"/>
          <w:i w:val="0"/>
          <w:iCs w:val="0"/>
          <w:caps w:val="0"/>
          <w:color w:val="auto"/>
          <w:spacing w:val="0"/>
          <w:sz w:val="24"/>
          <w:szCs w:val="24"/>
          <w:highlight w:val="none"/>
          <w:shd w:val="clear" w:fill="FFFFFF"/>
          <w:lang w:eastAsia="zh-CN"/>
        </w:rPr>
        <w:t>投标文件递交截止日前</w:t>
      </w:r>
      <w:r>
        <w:rPr>
          <w:rFonts w:hint="eastAsia" w:ascii="宋体" w:hAnsi="宋体" w:eastAsia="宋体" w:cs="宋体"/>
          <w:i w:val="0"/>
          <w:iCs w:val="0"/>
          <w:caps w:val="0"/>
          <w:color w:val="auto"/>
          <w:spacing w:val="0"/>
          <w:sz w:val="24"/>
          <w:szCs w:val="24"/>
          <w:highlight w:val="none"/>
          <w:shd w:val="clear" w:fill="FFFFFF"/>
          <w:lang w:val="en-US" w:eastAsia="zh-CN"/>
        </w:rPr>
        <w:t>六</w:t>
      </w:r>
      <w:r>
        <w:rPr>
          <w:rFonts w:hint="eastAsia" w:ascii="宋体" w:hAnsi="宋体" w:eastAsia="宋体" w:cs="宋体"/>
          <w:i w:val="0"/>
          <w:iCs w:val="0"/>
          <w:caps w:val="0"/>
          <w:color w:val="auto"/>
          <w:spacing w:val="0"/>
          <w:sz w:val="24"/>
          <w:szCs w:val="24"/>
          <w:highlight w:val="none"/>
          <w:shd w:val="clear" w:fill="FFFFFF"/>
        </w:rPr>
        <w:t>个月</w:t>
      </w:r>
      <w:r>
        <w:rPr>
          <w:rFonts w:hint="eastAsia" w:ascii="宋体" w:hAnsi="宋体" w:eastAsia="宋体" w:cs="宋体"/>
          <w:i w:val="0"/>
          <w:iCs w:val="0"/>
          <w:caps w:val="0"/>
          <w:color w:val="auto"/>
          <w:spacing w:val="0"/>
          <w:sz w:val="24"/>
          <w:szCs w:val="24"/>
          <w:highlight w:val="none"/>
          <w:shd w:val="clear" w:fill="FFFFFF"/>
          <w:lang w:eastAsia="zh-CN"/>
        </w:rPr>
        <w:t>内</w:t>
      </w:r>
      <w:r>
        <w:rPr>
          <w:rFonts w:hint="eastAsia" w:ascii="宋体" w:hAnsi="宋体" w:eastAsia="宋体" w:cs="宋体"/>
          <w:i w:val="0"/>
          <w:iCs w:val="0"/>
          <w:caps w:val="0"/>
          <w:color w:val="auto"/>
          <w:spacing w:val="0"/>
          <w:sz w:val="24"/>
          <w:szCs w:val="24"/>
          <w:highlight w:val="none"/>
          <w:shd w:val="clear" w:fill="FFFFFF"/>
        </w:rPr>
        <w:t>已缴存的</w:t>
      </w:r>
      <w:r>
        <w:rPr>
          <w:rFonts w:hint="eastAsia" w:ascii="宋体" w:hAnsi="宋体" w:eastAsia="宋体" w:cs="宋体"/>
          <w:i w:val="0"/>
          <w:iCs w:val="0"/>
          <w:caps w:val="0"/>
          <w:color w:val="auto"/>
          <w:spacing w:val="0"/>
          <w:sz w:val="24"/>
          <w:szCs w:val="24"/>
          <w:highlight w:val="none"/>
          <w:shd w:val="clear" w:fill="FFFFFF"/>
          <w:lang w:val="en-US" w:eastAsia="zh-CN"/>
        </w:rPr>
        <w:t>至少一个月</w:t>
      </w:r>
      <w:r>
        <w:rPr>
          <w:rFonts w:hint="eastAsia" w:ascii="宋体" w:hAnsi="宋体" w:eastAsia="宋体" w:cs="宋体"/>
          <w:i w:val="0"/>
          <w:iCs w:val="0"/>
          <w:caps w:val="0"/>
          <w:color w:val="auto"/>
          <w:spacing w:val="0"/>
          <w:sz w:val="24"/>
          <w:szCs w:val="24"/>
          <w:highlight w:val="none"/>
          <w:shd w:val="clear" w:fill="FFFFFF"/>
        </w:rPr>
        <w:t>的纳税证明或完税证明，依法免税的单位应提供相关证明材料</w:t>
      </w: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加盖公章</w:t>
      </w:r>
      <w:r>
        <w:rPr>
          <w:rFonts w:hint="eastAsia" w:ascii="Times New Roman" w:hAnsi="Times New Roman" w:eastAsia="宋体" w:cs="Times New Roman"/>
          <w:color w:val="auto"/>
          <w:spacing w:val="0"/>
          <w:sz w:val="24"/>
          <w:szCs w:val="24"/>
          <w:highlight w:val="none"/>
          <w:lang w:eastAsia="zh-CN"/>
        </w:rPr>
        <w:t>）</w:t>
      </w:r>
    </w:p>
    <w:p w14:paraId="12216D39">
      <w:pPr>
        <w:keepNext w:val="0"/>
        <w:keepLines w:val="0"/>
        <w:kinsoku/>
        <w:overflowPunct/>
        <w:topLinePunct w:val="0"/>
        <w:bidi w:val="0"/>
        <w:spacing w:before="156" w:line="360" w:lineRule="auto"/>
        <w:ind w:left="9" w:firstLine="242"/>
        <w:jc w:val="both"/>
        <w:rPr>
          <w:rFonts w:hint="default" w:ascii="Times New Roman" w:hAnsi="Times New Roman" w:eastAsia="宋体" w:cs="Times New Roman"/>
          <w:color w:val="auto"/>
          <w:spacing w:val="0"/>
          <w:sz w:val="24"/>
          <w:szCs w:val="24"/>
          <w:highlight w:val="none"/>
        </w:rPr>
      </w:pPr>
    </w:p>
    <w:p w14:paraId="472BB703">
      <w:pPr>
        <w:keepNext w:val="0"/>
        <w:keepLines w:val="0"/>
        <w:kinsoku/>
        <w:overflowPunct/>
        <w:topLinePunct w:val="0"/>
        <w:bidi w:val="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br w:type="page"/>
      </w:r>
    </w:p>
    <w:p w14:paraId="4354D571">
      <w:pPr>
        <w:keepNext w:val="0"/>
        <w:keepLines w:val="0"/>
        <w:kinsoku/>
        <w:overflowPunct/>
        <w:topLinePunct w:val="0"/>
        <w:bidi w:val="0"/>
        <w:spacing w:before="75" w:line="360" w:lineRule="auto"/>
        <w:ind w:left="9"/>
        <w:jc w:val="both"/>
        <w:outlineLvl w:val="2"/>
        <w:rPr>
          <w:rFonts w:hint="default" w:ascii="Times New Roman" w:hAnsi="Times New Roman" w:eastAsia="宋体" w:cs="Times New Roman"/>
          <w:b/>
          <w:bCs/>
          <w:color w:val="auto"/>
          <w:spacing w:val="0"/>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6</w:t>
      </w:r>
      <w:r>
        <w:rPr>
          <w:rFonts w:hint="default" w:ascii="Times New Roman" w:hAnsi="Times New Roman" w:eastAsia="宋体" w:cs="Times New Roman"/>
          <w:b/>
          <w:bCs/>
          <w:color w:val="auto"/>
          <w:spacing w:val="0"/>
          <w:position w:val="1"/>
          <w:sz w:val="24"/>
          <w:szCs w:val="24"/>
          <w:highlight w:val="none"/>
        </w:rPr>
        <w:t>.社保缴纳证明</w:t>
      </w:r>
    </w:p>
    <w:p w14:paraId="48ED0D1C">
      <w:pPr>
        <w:keepNext w:val="0"/>
        <w:keepLines w:val="0"/>
        <w:kinsoku/>
        <w:overflowPunct/>
        <w:topLinePunct w:val="0"/>
        <w:bidi w:val="0"/>
        <w:spacing w:before="157" w:line="360" w:lineRule="auto"/>
        <w:ind w:left="10" w:firstLine="240"/>
        <w:jc w:val="both"/>
        <w:rPr>
          <w:rFonts w:hint="default" w:ascii="Times New Roman" w:hAnsi="Times New Roman" w:eastAsia="宋体" w:cs="Times New Roman"/>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投标人须提供</w:t>
      </w:r>
      <w:r>
        <w:rPr>
          <w:rFonts w:hint="eastAsia" w:ascii="宋体" w:hAnsi="宋体" w:eastAsia="宋体" w:cs="宋体"/>
          <w:i w:val="0"/>
          <w:iCs w:val="0"/>
          <w:caps w:val="0"/>
          <w:color w:val="auto"/>
          <w:spacing w:val="0"/>
          <w:sz w:val="24"/>
          <w:szCs w:val="24"/>
          <w:highlight w:val="none"/>
          <w:shd w:val="clear" w:fill="FFFFFF"/>
          <w:lang w:eastAsia="zh-CN"/>
        </w:rPr>
        <w:t>投标文件递交截止日前</w:t>
      </w:r>
      <w:r>
        <w:rPr>
          <w:rFonts w:hint="eastAsia" w:ascii="宋体" w:hAnsi="宋体" w:eastAsia="宋体" w:cs="宋体"/>
          <w:i w:val="0"/>
          <w:iCs w:val="0"/>
          <w:caps w:val="0"/>
          <w:color w:val="auto"/>
          <w:spacing w:val="0"/>
          <w:sz w:val="24"/>
          <w:szCs w:val="24"/>
          <w:highlight w:val="none"/>
          <w:shd w:val="clear" w:fill="FFFFFF"/>
          <w:lang w:val="en-US" w:eastAsia="zh-CN"/>
        </w:rPr>
        <w:t>六</w:t>
      </w:r>
      <w:r>
        <w:rPr>
          <w:rFonts w:hint="eastAsia" w:ascii="宋体" w:hAnsi="宋体" w:eastAsia="宋体" w:cs="宋体"/>
          <w:i w:val="0"/>
          <w:iCs w:val="0"/>
          <w:caps w:val="0"/>
          <w:color w:val="auto"/>
          <w:spacing w:val="0"/>
          <w:sz w:val="24"/>
          <w:szCs w:val="24"/>
          <w:highlight w:val="none"/>
          <w:shd w:val="clear" w:fill="FFFFFF"/>
        </w:rPr>
        <w:t>个月</w:t>
      </w:r>
      <w:r>
        <w:rPr>
          <w:rFonts w:hint="eastAsia" w:ascii="宋体" w:hAnsi="宋体" w:eastAsia="宋体" w:cs="宋体"/>
          <w:i w:val="0"/>
          <w:iCs w:val="0"/>
          <w:caps w:val="0"/>
          <w:color w:val="auto"/>
          <w:spacing w:val="0"/>
          <w:sz w:val="24"/>
          <w:szCs w:val="24"/>
          <w:highlight w:val="none"/>
          <w:shd w:val="clear" w:fill="FFFFFF"/>
          <w:lang w:eastAsia="zh-CN"/>
        </w:rPr>
        <w:t>内</w:t>
      </w:r>
      <w:r>
        <w:rPr>
          <w:rFonts w:hint="eastAsia" w:ascii="宋体" w:hAnsi="宋体" w:eastAsia="宋体" w:cs="宋体"/>
          <w:i w:val="0"/>
          <w:iCs w:val="0"/>
          <w:caps w:val="0"/>
          <w:color w:val="auto"/>
          <w:spacing w:val="0"/>
          <w:sz w:val="24"/>
          <w:szCs w:val="24"/>
          <w:highlight w:val="none"/>
          <w:shd w:val="clear" w:fill="FFFFFF"/>
        </w:rPr>
        <w:t>已缴存的</w:t>
      </w:r>
      <w:r>
        <w:rPr>
          <w:rFonts w:hint="eastAsia" w:ascii="宋体" w:hAnsi="宋体" w:eastAsia="宋体" w:cs="宋体"/>
          <w:i w:val="0"/>
          <w:iCs w:val="0"/>
          <w:caps w:val="0"/>
          <w:color w:val="auto"/>
          <w:spacing w:val="0"/>
          <w:sz w:val="24"/>
          <w:szCs w:val="24"/>
          <w:highlight w:val="none"/>
          <w:shd w:val="clear" w:fill="FFFFFF"/>
          <w:lang w:val="en-US" w:eastAsia="zh-CN"/>
        </w:rPr>
        <w:t>至少一个月</w:t>
      </w:r>
      <w:r>
        <w:rPr>
          <w:rFonts w:hint="eastAsia" w:ascii="宋体" w:hAnsi="宋体" w:eastAsia="宋体" w:cs="宋体"/>
          <w:i w:val="0"/>
          <w:iCs w:val="0"/>
          <w:caps w:val="0"/>
          <w:color w:val="auto"/>
          <w:spacing w:val="0"/>
          <w:sz w:val="24"/>
          <w:szCs w:val="24"/>
          <w:highlight w:val="none"/>
          <w:shd w:val="clear" w:fill="FFFFFF"/>
        </w:rPr>
        <w:t>的社会保险参保缴费情况证明，依法不需要缴纳社会保障资金的单位应提供相关证明材料</w:t>
      </w:r>
      <w:r>
        <w:rPr>
          <w:rFonts w:hint="default" w:ascii="Times New Roman" w:hAnsi="Times New Roman" w:eastAsia="宋体" w:cs="Times New Roman"/>
          <w:color w:val="auto"/>
          <w:spacing w:val="0"/>
          <w:sz w:val="24"/>
          <w:szCs w:val="24"/>
          <w:highlight w:val="none"/>
        </w:rPr>
        <w:t>。(加盖公章)</w:t>
      </w:r>
    </w:p>
    <w:p w14:paraId="405AA34B">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5E33E433">
      <w:pPr>
        <w:keepNext w:val="0"/>
        <w:keepLines w:val="0"/>
        <w:kinsoku/>
        <w:overflowPunct/>
        <w:topLinePunct w:val="0"/>
        <w:bidi w:val="0"/>
        <w:spacing w:before="75" w:line="308" w:lineRule="exact"/>
        <w:jc w:val="both"/>
        <w:outlineLvl w:val="2"/>
        <w:rPr>
          <w:rFonts w:hint="default" w:ascii="Times New Roman" w:hAnsi="Times New Roman" w:eastAsia="宋体" w:cs="Times New Roman"/>
          <w:b/>
          <w:bCs/>
          <w:color w:val="auto"/>
          <w:spacing w:val="0"/>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7.</w:t>
      </w:r>
      <w:r>
        <w:rPr>
          <w:rFonts w:hint="default" w:ascii="Times New Roman" w:hAnsi="Times New Roman" w:eastAsia="宋体" w:cs="Times New Roman"/>
          <w:b/>
          <w:bCs/>
          <w:color w:val="auto"/>
          <w:spacing w:val="0"/>
          <w:position w:val="1"/>
          <w:sz w:val="24"/>
          <w:szCs w:val="24"/>
          <w:highlight w:val="none"/>
        </w:rPr>
        <w:t>书面声明</w:t>
      </w:r>
    </w:p>
    <w:p w14:paraId="5FF1E99F">
      <w:pPr>
        <w:keepNext w:val="0"/>
        <w:keepLines w:val="0"/>
        <w:kinsoku/>
        <w:overflowPunct/>
        <w:topLinePunct w:val="0"/>
        <w:bidi w:val="0"/>
        <w:spacing w:before="156" w:line="227" w:lineRule="auto"/>
        <w:ind w:left="16"/>
        <w:jc w:val="both"/>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lang w:val="en-US" w:eastAsia="zh-CN"/>
        </w:rPr>
        <w:t>7.1</w:t>
      </w:r>
      <w:r>
        <w:rPr>
          <w:rFonts w:hint="default" w:ascii="Times New Roman" w:hAnsi="Times New Roman" w:eastAsia="宋体" w:cs="Times New Roman"/>
          <w:color w:val="auto"/>
          <w:spacing w:val="0"/>
          <w:sz w:val="23"/>
          <w:szCs w:val="23"/>
          <w:highlight w:val="none"/>
        </w:rPr>
        <w:t>《企业近三年在政府采购活动中无重大违法记录书面声明》</w:t>
      </w:r>
    </w:p>
    <w:p w14:paraId="752C22D3">
      <w:pPr>
        <w:keepNext w:val="0"/>
        <w:keepLines w:val="0"/>
        <w:widowControl/>
        <w:suppressLineNumbers w:val="0"/>
        <w:kinsoku/>
        <w:overflowPunct/>
        <w:topLinePunct w:val="0"/>
        <w:bidi w:val="0"/>
        <w:jc w:val="left"/>
        <w:rPr>
          <w:rFonts w:hint="default" w:ascii="Times New Roman" w:hAnsi="Times New Roman" w:eastAsia="仿宋" w:cs="Times New Roman"/>
          <w:b/>
          <w:bCs/>
          <w:snapToGrid w:val="0"/>
          <w:color w:val="000000"/>
          <w:kern w:val="0"/>
          <w:sz w:val="28"/>
          <w:szCs w:val="28"/>
          <w:highlight w:val="none"/>
          <w:lang w:val="en-US" w:eastAsia="zh-CN" w:bidi="ar"/>
        </w:rPr>
      </w:pPr>
    </w:p>
    <w:p w14:paraId="65998437">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宋体" w:cs="Times New Roman"/>
          <w:highlight w:val="none"/>
        </w:rPr>
      </w:pPr>
      <w:r>
        <w:rPr>
          <w:rFonts w:hint="default" w:ascii="Times New Roman" w:hAnsi="Times New Roman" w:eastAsia="宋体" w:cs="Times New Roman"/>
          <w:b/>
          <w:bCs/>
          <w:snapToGrid w:val="0"/>
          <w:color w:val="000000"/>
          <w:kern w:val="0"/>
          <w:sz w:val="28"/>
          <w:szCs w:val="28"/>
          <w:highlight w:val="none"/>
          <w:lang w:val="en-US" w:eastAsia="zh-CN" w:bidi="ar"/>
        </w:rPr>
        <w:t>企业近三年在政府采购活动中无重大违法记录书面声明（格式）</w:t>
      </w:r>
    </w:p>
    <w:p w14:paraId="2310DC70">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napToGrid w:val="0"/>
          <w:color w:val="000000"/>
          <w:kern w:val="0"/>
          <w:sz w:val="28"/>
          <w:szCs w:val="28"/>
          <w:highlight w:val="none"/>
          <w:lang w:val="en-US" w:eastAsia="zh-CN" w:bidi="ar"/>
        </w:rPr>
      </w:pPr>
    </w:p>
    <w:p w14:paraId="52EDA3C6">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u w:val="single"/>
          <w:lang w:val="en-US" w:eastAsia="zh-CN" w:bidi="ar"/>
        </w:rPr>
        <w:t>（采购人或采购代理机构）：</w:t>
      </w:r>
    </w:p>
    <w:p w14:paraId="662F1404">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480" w:firstLineChars="200"/>
        <w:jc w:val="left"/>
        <w:textAlignment w:val="baseline"/>
        <w:rPr>
          <w:rFonts w:hint="default" w:ascii="Times New Roman" w:hAnsi="Times New Roman" w:eastAsia="宋体" w:cs="Times New Roman"/>
          <w:snapToGrid w:val="0"/>
          <w:color w:val="000000"/>
          <w:kern w:val="0"/>
          <w:sz w:val="24"/>
          <w:szCs w:val="24"/>
          <w:highlight w:val="none"/>
          <w:lang w:val="en-US" w:eastAsia="zh-CN" w:bidi="ar"/>
        </w:rPr>
      </w:pPr>
      <w:r>
        <w:rPr>
          <w:rFonts w:hint="default" w:ascii="Times New Roman" w:hAnsi="Times New Roman" w:eastAsia="宋体" w:cs="Times New Roman"/>
          <w:snapToGrid w:val="0"/>
          <w:color w:val="000000"/>
          <w:kern w:val="0"/>
          <w:sz w:val="24"/>
          <w:szCs w:val="24"/>
          <w:highlight w:val="none"/>
          <w:lang w:val="en-US" w:eastAsia="zh-CN" w:bidi="ar"/>
        </w:rPr>
        <w:t>我公司郑重承诺，参加本项目政府采购活动前三年内，商业信誉良好，经营状况良好，没有处于被责令停业、整改或财产被接管、冻结的状态，未发生过诉讼争议、违法或不良记录，没有被法院或检察院列入失信被执行人的情况；</w:t>
      </w:r>
    </w:p>
    <w:p w14:paraId="2CC22B14">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480" w:firstLineChars="2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不存在法定代表人为同一个的两个以上法人或投标人和投标人的母公司、全资子公司、控股公司同时参加同一项目的投标。不存在单位负责人为同一人或者存在控股、管理关系的不同单位，同时参加同一项目的投标。近三年在参加政府采购活动和经营活动中</w:t>
      </w:r>
      <w:r>
        <w:rPr>
          <w:rFonts w:hint="eastAsia"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(有或无)重大违法记录。在近三年的经营活动中未发生过重大事故，执业期间</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eastAsia"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(有或无)违规、违纪等不良执业记录（如有，请详细列明），以上承诺及声明如有虚假，我司愿意承担法律责任。</w:t>
      </w:r>
    </w:p>
    <w:p w14:paraId="44A186DE">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480" w:firstLineChars="2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 xml:space="preserve">特此承诺，特此声明！ </w:t>
      </w:r>
    </w:p>
    <w:p w14:paraId="284BCE5B">
      <w:pPr>
        <w:keepNext w:val="0"/>
        <w:keepLines w:val="0"/>
        <w:kinsoku/>
        <w:overflowPunct/>
        <w:topLinePunct w:val="0"/>
        <w:bidi w:val="0"/>
        <w:outlineLvl w:val="9"/>
        <w:rPr>
          <w:rFonts w:hint="default" w:ascii="Times New Roman" w:hAnsi="Times New Roman" w:cs="Times New Roman"/>
          <w:highlight w:val="none"/>
          <w:lang w:val="en-US" w:eastAsia="zh-CN"/>
        </w:rPr>
      </w:pPr>
    </w:p>
    <w:p w14:paraId="41C551E1">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jc w:val="center"/>
        <w:textAlignment w:val="baseline"/>
        <w:rPr>
          <w:rFonts w:hint="default" w:ascii="Times New Roman" w:hAnsi="Times New Roman" w:eastAsia="宋体" w:cs="Times New Roman"/>
          <w:snapToGrid w:val="0"/>
          <w:color w:val="000000"/>
          <w:kern w:val="0"/>
          <w:sz w:val="24"/>
          <w:szCs w:val="24"/>
          <w:highlight w:val="none"/>
          <w:lang w:val="en-US" w:eastAsia="zh-CN" w:bidi="ar"/>
        </w:rPr>
      </w:pPr>
    </w:p>
    <w:p w14:paraId="2C7BEC55">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投标人：</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（全称及盖章）</w:t>
      </w:r>
    </w:p>
    <w:p w14:paraId="4D55BFDC">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法定代表人或其授权代表：</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（签字或盖章）</w:t>
      </w:r>
    </w:p>
    <w:p w14:paraId="78A1E39A">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日   期：</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年</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月</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日</w:t>
      </w:r>
    </w:p>
    <w:p w14:paraId="4A9A3D61">
      <w:pPr>
        <w:keepNext w:val="0"/>
        <w:keepLines w:val="0"/>
        <w:kinsoku/>
        <w:overflowPunct/>
        <w:topLinePunct w:val="0"/>
        <w:bidi w:val="0"/>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br w:type="page"/>
      </w:r>
    </w:p>
    <w:p w14:paraId="56F044D0">
      <w:pPr>
        <w:keepNext w:val="0"/>
        <w:keepLines w:val="0"/>
        <w:kinsoku/>
        <w:overflowPunct/>
        <w:topLinePunct w:val="0"/>
        <w:bidi w:val="0"/>
        <w:spacing w:before="149" w:line="227" w:lineRule="auto"/>
        <w:ind w:left="16"/>
        <w:jc w:val="both"/>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lang w:val="en-US" w:eastAsia="zh-CN"/>
        </w:rPr>
        <w:t>7.2</w:t>
      </w:r>
      <w:r>
        <w:rPr>
          <w:rFonts w:hint="default" w:ascii="Times New Roman" w:hAnsi="Times New Roman" w:eastAsia="宋体" w:cs="Times New Roman"/>
          <w:color w:val="auto"/>
          <w:spacing w:val="0"/>
          <w:sz w:val="23"/>
          <w:szCs w:val="23"/>
          <w:highlight w:val="none"/>
        </w:rPr>
        <w:t>《具有履行本项目所必需的设备和专业技术能力的承诺书》</w:t>
      </w:r>
    </w:p>
    <w:p w14:paraId="2AFC22A6">
      <w:pPr>
        <w:keepNext w:val="0"/>
        <w:keepLines w:val="0"/>
        <w:kinsoku/>
        <w:overflowPunct/>
        <w:topLinePunct w:val="0"/>
        <w:bidi w:val="0"/>
        <w:jc w:val="both"/>
        <w:rPr>
          <w:rFonts w:hint="default" w:ascii="Times New Roman" w:hAnsi="Times New Roman" w:cs="Times New Roman"/>
          <w:color w:val="auto"/>
          <w:spacing w:val="0"/>
          <w:highlight w:val="none"/>
        </w:rPr>
      </w:pPr>
    </w:p>
    <w:p w14:paraId="790688D3">
      <w:pPr>
        <w:keepNext w:val="0"/>
        <w:keepLines w:val="0"/>
        <w:kinsoku/>
        <w:overflowPunct/>
        <w:topLinePunct w:val="0"/>
        <w:bidi w:val="0"/>
        <w:jc w:val="both"/>
        <w:rPr>
          <w:rFonts w:hint="default" w:ascii="Times New Roman" w:hAnsi="Times New Roman" w:cs="Times New Roman"/>
          <w:color w:val="auto"/>
          <w:spacing w:val="0"/>
          <w:highlight w:val="none"/>
        </w:rPr>
      </w:pPr>
    </w:p>
    <w:p w14:paraId="04BEF9C5">
      <w:pPr>
        <w:keepNext w:val="0"/>
        <w:keepLines w:val="0"/>
        <w:kinsoku/>
        <w:overflowPunct/>
        <w:topLinePunct w:val="0"/>
        <w:bidi w:val="0"/>
        <w:jc w:val="center"/>
        <w:rPr>
          <w:rFonts w:hint="default" w:ascii="Times New Roman" w:hAnsi="Times New Roman" w:eastAsia="宋体" w:cs="Times New Roman"/>
          <w:b/>
          <w:bCs/>
          <w:snapToGrid w:val="0"/>
          <w:color w:val="000000"/>
          <w:kern w:val="0"/>
          <w:sz w:val="28"/>
          <w:szCs w:val="28"/>
          <w:highlight w:val="none"/>
          <w:lang w:val="en-US" w:eastAsia="zh-CN" w:bidi="ar"/>
        </w:rPr>
      </w:pPr>
      <w:r>
        <w:rPr>
          <w:rFonts w:hint="default" w:ascii="Times New Roman" w:hAnsi="Times New Roman" w:eastAsia="宋体" w:cs="Times New Roman"/>
          <w:b/>
          <w:bCs/>
          <w:snapToGrid w:val="0"/>
          <w:color w:val="000000"/>
          <w:kern w:val="0"/>
          <w:sz w:val="28"/>
          <w:szCs w:val="28"/>
          <w:highlight w:val="none"/>
          <w:lang w:val="en-US" w:eastAsia="zh-CN" w:bidi="ar"/>
        </w:rPr>
        <w:t>具有履行本项目所必需的设备和专业技术能力的承诺书（格式）</w:t>
      </w:r>
    </w:p>
    <w:p w14:paraId="4BD035C2">
      <w:pPr>
        <w:keepNext w:val="0"/>
        <w:keepLines w:val="0"/>
        <w:kinsoku/>
        <w:overflowPunct/>
        <w:topLinePunct w:val="0"/>
        <w:bidi w:val="0"/>
        <w:jc w:val="center"/>
        <w:rPr>
          <w:rFonts w:hint="default" w:ascii="Times New Roman" w:hAnsi="Times New Roman" w:cs="Times New Roman"/>
          <w:color w:val="auto"/>
          <w:spacing w:val="0"/>
          <w:highlight w:val="none"/>
        </w:rPr>
      </w:pPr>
    </w:p>
    <w:p w14:paraId="6F29DFD3">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u w:val="single"/>
          <w:lang w:val="en-US" w:eastAsia="zh-CN" w:bidi="ar"/>
        </w:rPr>
        <w:t>（采购人或采购代理机构）：</w:t>
      </w:r>
    </w:p>
    <w:p w14:paraId="604E18BD">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480" w:firstLineChars="200"/>
        <w:jc w:val="left"/>
        <w:textAlignment w:val="baseline"/>
        <w:rPr>
          <w:rFonts w:hint="default" w:ascii="Times New Roman" w:hAnsi="Times New Roman" w:eastAsia="宋体" w:cs="Times New Roman"/>
          <w:snapToGrid w:val="0"/>
          <w:color w:val="000000"/>
          <w:kern w:val="0"/>
          <w:sz w:val="24"/>
          <w:szCs w:val="24"/>
          <w:highlight w:val="none"/>
          <w:lang w:val="en-US" w:eastAsia="zh-CN" w:bidi="ar"/>
        </w:rPr>
      </w:pPr>
      <w:r>
        <w:rPr>
          <w:rFonts w:hint="default" w:ascii="Times New Roman" w:hAnsi="Times New Roman" w:eastAsia="宋体" w:cs="Times New Roman"/>
          <w:snapToGrid w:val="0"/>
          <w:color w:val="000000"/>
          <w:kern w:val="0"/>
          <w:sz w:val="24"/>
          <w:szCs w:val="24"/>
          <w:highlight w:val="none"/>
          <w:lang w:val="en-US" w:eastAsia="zh-CN" w:bidi="ar"/>
        </w:rPr>
        <w:t>我公司</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（投标人名称） </w:t>
      </w:r>
      <w:r>
        <w:rPr>
          <w:rFonts w:hint="default" w:ascii="Times New Roman" w:hAnsi="Times New Roman" w:eastAsia="宋体" w:cs="Times New Roman"/>
          <w:snapToGrid w:val="0"/>
          <w:color w:val="000000"/>
          <w:kern w:val="0"/>
          <w:sz w:val="24"/>
          <w:szCs w:val="24"/>
          <w:highlight w:val="none"/>
          <w:u w:val="none"/>
          <w:lang w:val="en-US" w:eastAsia="zh-CN" w:bidi="ar"/>
        </w:rPr>
        <w:t>于</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年</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月</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日在中华人民共和国境内</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（注册地址）</w:t>
      </w:r>
      <w:r>
        <w:rPr>
          <w:rFonts w:hint="default" w:ascii="Times New Roman" w:hAnsi="Times New Roman" w:eastAsia="宋体" w:cs="Times New Roman"/>
          <w:snapToGrid w:val="0"/>
          <w:color w:val="000000"/>
          <w:kern w:val="0"/>
          <w:sz w:val="24"/>
          <w:szCs w:val="24"/>
          <w:highlight w:val="none"/>
          <w:lang w:val="en-US" w:eastAsia="zh-CN" w:bidi="ar"/>
        </w:rPr>
        <w:t>合法注册并经营，公司主营业务为</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eastAsia"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，营业（生产经营）面积为</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eastAsia"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，现有员工数量为</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 其中与履行本合同相关的专业技术人员有</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，本公司郑重承诺，具有履行本合同所必需的服务和专业技术能力。</w:t>
      </w:r>
    </w:p>
    <w:p w14:paraId="304D799B">
      <w:pPr>
        <w:keepNext w:val="0"/>
        <w:keepLines w:val="0"/>
        <w:kinsoku/>
        <w:overflowPunct/>
        <w:topLinePunct w:val="0"/>
        <w:bidi w:val="0"/>
        <w:jc w:val="both"/>
        <w:rPr>
          <w:rFonts w:hint="default" w:ascii="Times New Roman" w:hAnsi="Times New Roman" w:cs="Times New Roman"/>
          <w:color w:val="auto"/>
          <w:spacing w:val="0"/>
          <w:highlight w:val="none"/>
        </w:rPr>
      </w:pPr>
    </w:p>
    <w:p w14:paraId="6B4ED00D">
      <w:pPr>
        <w:keepNext w:val="0"/>
        <w:keepLines w:val="0"/>
        <w:kinsoku/>
        <w:overflowPunct/>
        <w:topLinePunct w:val="0"/>
        <w:bidi w:val="0"/>
        <w:jc w:val="both"/>
        <w:rPr>
          <w:rFonts w:hint="default" w:ascii="Times New Roman" w:hAnsi="Times New Roman" w:cs="Times New Roman"/>
          <w:color w:val="auto"/>
          <w:spacing w:val="0"/>
          <w:highlight w:val="none"/>
        </w:rPr>
      </w:pPr>
    </w:p>
    <w:p w14:paraId="27650672">
      <w:pPr>
        <w:keepNext w:val="0"/>
        <w:keepLines w:val="0"/>
        <w:kinsoku/>
        <w:overflowPunct/>
        <w:topLinePunct w:val="0"/>
        <w:bidi w:val="0"/>
        <w:jc w:val="both"/>
        <w:rPr>
          <w:rFonts w:hint="default" w:ascii="Times New Roman" w:hAnsi="Times New Roman" w:cs="Times New Roman"/>
          <w:color w:val="auto"/>
          <w:spacing w:val="0"/>
          <w:highlight w:val="none"/>
        </w:rPr>
      </w:pPr>
    </w:p>
    <w:p w14:paraId="642DDFBE">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投标人：</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（全称及盖章）</w:t>
      </w:r>
    </w:p>
    <w:p w14:paraId="6F07466A">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法定代表人或其授权代表：</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（签字或盖章）</w:t>
      </w:r>
    </w:p>
    <w:p w14:paraId="41ECD129">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日   期：</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年</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月</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日</w:t>
      </w:r>
    </w:p>
    <w:p w14:paraId="1A6CF1BC">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48459DE5">
      <w:pPr>
        <w:keepNext w:val="0"/>
        <w:keepLines w:val="0"/>
        <w:kinsoku/>
        <w:overflowPunct/>
        <w:topLinePunct w:val="0"/>
        <w:bidi w:val="0"/>
        <w:spacing w:before="75" w:line="360" w:lineRule="auto"/>
        <w:ind w:left="14"/>
        <w:jc w:val="both"/>
        <w:outlineLvl w:val="2"/>
        <w:rPr>
          <w:rFonts w:hint="default" w:ascii="Times New Roman" w:hAnsi="Times New Roman" w:eastAsia="宋体" w:cs="Times New Roman"/>
          <w:b/>
          <w:bCs/>
          <w:color w:val="auto"/>
          <w:spacing w:val="0"/>
          <w:position w:val="1"/>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8</w:t>
      </w:r>
      <w:r>
        <w:rPr>
          <w:rFonts w:hint="default" w:ascii="Times New Roman" w:hAnsi="Times New Roman" w:eastAsia="宋体" w:cs="Times New Roman"/>
          <w:b/>
          <w:bCs/>
          <w:color w:val="auto"/>
          <w:spacing w:val="0"/>
          <w:position w:val="1"/>
          <w:sz w:val="24"/>
          <w:szCs w:val="24"/>
          <w:highlight w:val="none"/>
        </w:rPr>
        <w:t>.信用记录</w:t>
      </w:r>
    </w:p>
    <w:p w14:paraId="555C359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cs="Times New Roman"/>
          <w:color w:val="auto"/>
          <w:spacing w:val="0"/>
          <w:highlight w:val="none"/>
        </w:rPr>
      </w:pPr>
      <w:r>
        <w:rPr>
          <w:rFonts w:hint="default" w:ascii="Times New Roman" w:hAnsi="Times New Roman" w:eastAsia="宋体" w:cs="Times New Roman"/>
          <w:color w:val="auto"/>
          <w:spacing w:val="0"/>
          <w:sz w:val="24"/>
          <w:szCs w:val="24"/>
          <w:highlight w:val="none"/>
          <w:lang w:val="en-US" w:eastAsia="zh-CN"/>
        </w:rPr>
        <w:t>投标人不得在“信用中国”网站（www.creditchina.gov.cn）中被列入重大税收违法失信主体；不得在“中国执行信息公开网”（zxgk.court.gov.cn/shixin/）被列入失信被执行人；不得在“中国政府采购网”（www.ccgp.gov.cn）政府采购严重违法失信行为记录名单中被财政部门禁止参加政府采购活动。</w:t>
      </w:r>
      <w:r>
        <w:rPr>
          <w:rFonts w:hint="default" w:ascii="Times New Roman" w:hAnsi="Times New Roman" w:cs="Times New Roman"/>
          <w:color w:val="auto"/>
          <w:spacing w:val="0"/>
          <w:highlight w:val="none"/>
        </w:rPr>
        <w:br w:type="page"/>
      </w:r>
    </w:p>
    <w:p w14:paraId="0B744601">
      <w:pPr>
        <w:rPr>
          <w:rFonts w:hint="eastAsia"/>
          <w:lang w:val="en-US" w:eastAsia="zh-CN"/>
        </w:rPr>
      </w:pPr>
    </w:p>
    <w:p w14:paraId="55E80086">
      <w:pPr>
        <w:keepNext w:val="0"/>
        <w:keepLines w:val="0"/>
        <w:kinsoku/>
        <w:overflowPunct/>
        <w:topLinePunct w:val="0"/>
        <w:bidi w:val="0"/>
        <w:spacing w:before="101" w:line="225" w:lineRule="auto"/>
        <w:ind w:left="2691"/>
        <w:jc w:val="both"/>
        <w:outlineLvl w:val="1"/>
        <w:rPr>
          <w:rFonts w:hint="default" w:ascii="Times New Roman" w:hAnsi="Times New Roman" w:eastAsia="宋体" w:cs="Times New Roman"/>
          <w:b/>
          <w:bCs/>
          <w:color w:val="auto"/>
          <w:spacing w:val="0"/>
          <w:sz w:val="31"/>
          <w:szCs w:val="31"/>
          <w:highlight w:val="none"/>
        </w:rPr>
      </w:pPr>
      <w:r>
        <w:rPr>
          <w:rFonts w:hint="default" w:ascii="Times New Roman" w:hAnsi="Times New Roman" w:eastAsia="宋体" w:cs="Times New Roman"/>
          <w:b/>
          <w:bCs/>
          <w:color w:val="auto"/>
          <w:spacing w:val="0"/>
          <w:sz w:val="31"/>
          <w:szCs w:val="31"/>
          <w:highlight w:val="none"/>
        </w:rPr>
        <w:t>第二部分、符合性证明文件</w:t>
      </w:r>
    </w:p>
    <w:p w14:paraId="5E11E664">
      <w:pPr>
        <w:keepNext w:val="0"/>
        <w:keepLines w:val="0"/>
        <w:kinsoku/>
        <w:overflowPunct/>
        <w:topLinePunct w:val="0"/>
        <w:bidi w:val="0"/>
        <w:spacing w:before="230" w:line="308" w:lineRule="exact"/>
        <w:ind w:left="27"/>
        <w:jc w:val="both"/>
        <w:outlineLvl w:val="2"/>
        <w:rPr>
          <w:rFonts w:hint="default" w:ascii="Times New Roman" w:hAnsi="Times New Roman" w:eastAsia="宋体" w:cs="Times New Roman"/>
          <w:b/>
          <w:bCs/>
          <w:color w:val="auto"/>
          <w:spacing w:val="0"/>
          <w:sz w:val="23"/>
          <w:szCs w:val="23"/>
          <w:highlight w:val="none"/>
        </w:rPr>
      </w:pPr>
      <w:r>
        <w:rPr>
          <w:rFonts w:hint="eastAsia" w:ascii="Times New Roman" w:hAnsi="Times New Roman" w:eastAsia="宋体" w:cs="Times New Roman"/>
          <w:b/>
          <w:bCs/>
          <w:color w:val="auto"/>
          <w:spacing w:val="0"/>
          <w:position w:val="1"/>
          <w:sz w:val="23"/>
          <w:szCs w:val="23"/>
          <w:highlight w:val="none"/>
          <w:lang w:val="en-US" w:eastAsia="zh-CN"/>
        </w:rPr>
        <w:t>9</w:t>
      </w:r>
      <w:r>
        <w:rPr>
          <w:rFonts w:hint="default" w:ascii="Times New Roman" w:hAnsi="Times New Roman" w:eastAsia="宋体" w:cs="Times New Roman"/>
          <w:b/>
          <w:bCs/>
          <w:color w:val="auto"/>
          <w:spacing w:val="0"/>
          <w:position w:val="1"/>
          <w:sz w:val="23"/>
          <w:szCs w:val="23"/>
          <w:highlight w:val="none"/>
        </w:rPr>
        <w:t>.投标函</w:t>
      </w:r>
    </w:p>
    <w:p w14:paraId="396E2FA2">
      <w:pPr>
        <w:keepNext w:val="0"/>
        <w:keepLines w:val="0"/>
        <w:kinsoku/>
        <w:overflowPunct/>
        <w:topLinePunct w:val="0"/>
        <w:bidi w:val="0"/>
        <w:spacing w:line="289" w:lineRule="auto"/>
        <w:jc w:val="both"/>
        <w:rPr>
          <w:rFonts w:hint="default" w:ascii="Times New Roman" w:hAnsi="Times New Roman" w:cs="Times New Roman"/>
          <w:color w:val="auto"/>
          <w:spacing w:val="0"/>
          <w:sz w:val="21"/>
          <w:highlight w:val="none"/>
        </w:rPr>
      </w:pPr>
    </w:p>
    <w:p w14:paraId="44200B7A">
      <w:pPr>
        <w:keepNext w:val="0"/>
        <w:keepLines w:val="0"/>
        <w:kinsoku/>
        <w:overflowPunct/>
        <w:topLinePunct w:val="0"/>
        <w:bidi w:val="0"/>
        <w:spacing w:before="75" w:line="227" w:lineRule="auto"/>
        <w:ind w:left="14"/>
        <w:jc w:val="both"/>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u w:val="single"/>
          <w:lang w:eastAsia="zh-CN"/>
        </w:rPr>
        <w:t>凌辉建设工程咨询有限公司</w:t>
      </w:r>
      <w:r>
        <w:rPr>
          <w:rFonts w:hint="default" w:ascii="Times New Roman" w:hAnsi="Times New Roman" w:eastAsia="宋体" w:cs="Times New Roman"/>
          <w:color w:val="auto"/>
          <w:spacing w:val="0"/>
          <w:sz w:val="23"/>
          <w:szCs w:val="23"/>
          <w:highlight w:val="none"/>
          <w:u w:val="single"/>
        </w:rPr>
        <w:t>：</w:t>
      </w:r>
    </w:p>
    <w:p w14:paraId="3C6FD4B1">
      <w:pPr>
        <w:keepNext w:val="0"/>
        <w:keepLines w:val="0"/>
        <w:kinsoku/>
        <w:overflowPunct/>
        <w:topLinePunct w:val="0"/>
        <w:bidi w:val="0"/>
        <w:spacing w:before="278" w:line="449" w:lineRule="auto"/>
        <w:ind w:left="14" w:firstLine="478"/>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我单位收到贵公司</w:t>
      </w:r>
      <w:r>
        <w:rPr>
          <w:rFonts w:hint="default" w:ascii="Times New Roman" w:hAnsi="Times New Roman" w:eastAsia="宋体" w:cs="Times New Roman"/>
          <w:color w:val="auto"/>
          <w:spacing w:val="0"/>
          <w:sz w:val="23"/>
          <w:szCs w:val="23"/>
          <w:highlight w:val="none"/>
          <w:u w:val="single"/>
          <w:lang w:val="en-US" w:eastAsia="zh-CN"/>
        </w:rPr>
        <w:t xml:space="preserve">  （</w:t>
      </w:r>
      <w:r>
        <w:rPr>
          <w:rFonts w:hint="eastAsia" w:ascii="Times New Roman" w:hAnsi="Times New Roman" w:eastAsia="宋体" w:cs="Times New Roman"/>
          <w:color w:val="auto"/>
          <w:spacing w:val="0"/>
          <w:sz w:val="23"/>
          <w:szCs w:val="23"/>
          <w:highlight w:val="none"/>
          <w:u w:val="single"/>
          <w:lang w:val="en-US" w:eastAsia="zh-CN"/>
        </w:rPr>
        <w:t>合同包名称</w:t>
      </w:r>
      <w:r>
        <w:rPr>
          <w:rFonts w:hint="default" w:ascii="Times New Roman" w:hAnsi="Times New Roman" w:eastAsia="宋体" w:cs="Times New Roman"/>
          <w:color w:val="auto"/>
          <w:spacing w:val="0"/>
          <w:sz w:val="23"/>
          <w:szCs w:val="23"/>
          <w:highlight w:val="none"/>
          <w:u w:val="single"/>
          <w:lang w:val="en-US" w:eastAsia="zh-CN"/>
        </w:rPr>
        <w:t>、项目编</w:t>
      </w:r>
      <w:r>
        <w:rPr>
          <w:rFonts w:hint="eastAsia" w:ascii="Times New Roman" w:hAnsi="Times New Roman" w:eastAsia="宋体" w:cs="Times New Roman"/>
          <w:color w:val="auto"/>
          <w:spacing w:val="0"/>
          <w:sz w:val="23"/>
          <w:szCs w:val="23"/>
          <w:highlight w:val="none"/>
          <w:u w:val="single"/>
          <w:lang w:val="en-US" w:eastAsia="zh-CN"/>
        </w:rPr>
        <w:t>号</w:t>
      </w:r>
      <w:r>
        <w:rPr>
          <w:rFonts w:hint="default" w:ascii="Times New Roman" w:hAnsi="Times New Roman" w:eastAsia="宋体" w:cs="Times New Roman"/>
          <w:color w:val="auto"/>
          <w:spacing w:val="0"/>
          <w:sz w:val="23"/>
          <w:szCs w:val="23"/>
          <w:highlight w:val="none"/>
          <w:u w:val="single"/>
          <w:lang w:val="en-US" w:eastAsia="zh-CN"/>
        </w:rPr>
        <w:t>）  的</w:t>
      </w:r>
      <w:r>
        <w:rPr>
          <w:rFonts w:hint="default" w:ascii="Times New Roman" w:hAnsi="Times New Roman" w:eastAsia="宋体" w:cs="Times New Roman"/>
          <w:color w:val="auto"/>
          <w:spacing w:val="0"/>
          <w:sz w:val="23"/>
          <w:szCs w:val="23"/>
          <w:highlight w:val="none"/>
        </w:rPr>
        <w:t>招标文件，经详细研究，我们决定参加该项目招标活动并投标。为此，我方郑重声明以下诸点，并负法律责任。</w:t>
      </w:r>
    </w:p>
    <w:p w14:paraId="73315E4D">
      <w:pPr>
        <w:keepNext w:val="0"/>
        <w:keepLines w:val="0"/>
        <w:kinsoku/>
        <w:overflowPunct/>
        <w:topLinePunct w:val="0"/>
        <w:bidi w:val="0"/>
        <w:spacing w:before="2" w:line="449" w:lineRule="auto"/>
        <w:ind w:left="9" w:right="199" w:firstLine="484"/>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一、我们已详细阅读了招标文件，完全理解并同意放弃提出含糊不清和误解问题的权力。</w:t>
      </w:r>
    </w:p>
    <w:p w14:paraId="60E8E5D6">
      <w:pPr>
        <w:keepNext w:val="0"/>
        <w:keepLines w:val="0"/>
        <w:kinsoku/>
        <w:overflowPunct/>
        <w:topLinePunct w:val="0"/>
        <w:bidi w:val="0"/>
        <w:spacing w:before="2" w:line="449" w:lineRule="auto"/>
        <w:ind w:left="11" w:right="199" w:firstLine="482"/>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二、同意向贵方提供贵方可能要求的与本投标有关的任何证据资料。我们理解最</w:t>
      </w:r>
      <w:r>
        <w:rPr>
          <w:rFonts w:hint="eastAsia" w:ascii="Times New Roman" w:hAnsi="Times New Roman" w:eastAsia="宋体" w:cs="Times New Roman"/>
          <w:color w:val="auto"/>
          <w:spacing w:val="0"/>
          <w:sz w:val="23"/>
          <w:szCs w:val="23"/>
          <w:highlight w:val="none"/>
          <w:lang w:val="en-US" w:eastAsia="zh-CN"/>
        </w:rPr>
        <w:t>低价</w:t>
      </w:r>
      <w:r>
        <w:rPr>
          <w:rFonts w:hint="default" w:ascii="Times New Roman" w:hAnsi="Times New Roman" w:eastAsia="宋体" w:cs="Times New Roman"/>
          <w:color w:val="auto"/>
          <w:spacing w:val="0"/>
          <w:sz w:val="23"/>
          <w:szCs w:val="23"/>
          <w:highlight w:val="none"/>
        </w:rPr>
        <w:t>不是中标的唯一条件，并尊重评标委员会的评审结果。</w:t>
      </w:r>
    </w:p>
    <w:p w14:paraId="2BA9BFB8">
      <w:pPr>
        <w:keepNext w:val="0"/>
        <w:keepLines w:val="0"/>
        <w:kinsoku/>
        <w:overflowPunct/>
        <w:topLinePunct w:val="0"/>
        <w:bidi w:val="0"/>
        <w:spacing w:before="2" w:line="448" w:lineRule="auto"/>
        <w:ind w:left="11" w:right="255" w:firstLine="479"/>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三、如果我方的投标文件被接受，我们将严格履行投标文件中规定的每一项要求，严格履行合同的责任和义务，保证按期、按质履行合同，完成合同约定的全部工作。</w:t>
      </w:r>
    </w:p>
    <w:p w14:paraId="627D541D">
      <w:pPr>
        <w:keepNext w:val="0"/>
        <w:keepLines w:val="0"/>
        <w:kinsoku/>
        <w:overflowPunct/>
        <w:topLinePunct w:val="0"/>
        <w:bidi w:val="0"/>
        <w:spacing w:before="2" w:line="449" w:lineRule="auto"/>
        <w:ind w:left="11" w:right="197" w:firstLine="501"/>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四、我们愿意按照招标文件的一切要求，履行招标文件所约定的一切相关职责。我方</w:t>
      </w:r>
      <w:r>
        <w:rPr>
          <w:rFonts w:hint="eastAsia" w:ascii="Times New Roman" w:hAnsi="Times New Roman" w:eastAsia="宋体" w:cs="Times New Roman"/>
          <w:color w:val="auto"/>
          <w:spacing w:val="0"/>
          <w:sz w:val="23"/>
          <w:szCs w:val="23"/>
          <w:highlight w:val="none"/>
          <w:lang w:val="en-US" w:eastAsia="zh-CN"/>
        </w:rPr>
        <w:t>投标</w:t>
      </w:r>
      <w:r>
        <w:rPr>
          <w:rFonts w:hint="default" w:ascii="Times New Roman" w:hAnsi="Times New Roman" w:eastAsia="宋体" w:cs="Times New Roman"/>
          <w:color w:val="auto"/>
          <w:spacing w:val="0"/>
          <w:sz w:val="23"/>
          <w:szCs w:val="23"/>
          <w:highlight w:val="none"/>
        </w:rPr>
        <w:t>报价</w:t>
      </w:r>
      <w:r>
        <w:rPr>
          <w:rFonts w:hint="eastAsia" w:ascii="Times New Roman" w:hAnsi="Times New Roman" w:eastAsia="宋体" w:cs="Times New Roman"/>
          <w:color w:val="auto"/>
          <w:spacing w:val="0"/>
          <w:sz w:val="23"/>
          <w:szCs w:val="23"/>
          <w:highlight w:val="none"/>
          <w:lang w:eastAsia="zh-CN"/>
        </w:rPr>
        <w:t>（</w:t>
      </w:r>
      <w:r>
        <w:rPr>
          <w:rFonts w:hint="eastAsia" w:ascii="Times New Roman" w:hAnsi="Times New Roman" w:eastAsia="宋体" w:cs="Times New Roman"/>
          <w:color w:val="auto"/>
          <w:spacing w:val="0"/>
          <w:sz w:val="23"/>
          <w:szCs w:val="23"/>
          <w:highlight w:val="none"/>
          <w:lang w:val="en-US" w:eastAsia="zh-CN"/>
        </w:rPr>
        <w:t>投标总价</w:t>
      </w:r>
      <w:r>
        <w:rPr>
          <w:rFonts w:hint="eastAsia" w:ascii="Times New Roman" w:hAnsi="Times New Roman" w:eastAsia="宋体" w:cs="Times New Roman"/>
          <w:color w:val="auto"/>
          <w:spacing w:val="0"/>
          <w:sz w:val="23"/>
          <w:szCs w:val="23"/>
          <w:highlight w:val="none"/>
          <w:lang w:eastAsia="zh-CN"/>
        </w:rPr>
        <w:t>）</w:t>
      </w:r>
      <w:r>
        <w:rPr>
          <w:rFonts w:hint="default" w:ascii="Times New Roman" w:hAnsi="Times New Roman" w:eastAsia="宋体" w:cs="Times New Roman"/>
          <w:color w:val="auto"/>
          <w:spacing w:val="0"/>
          <w:sz w:val="23"/>
          <w:szCs w:val="23"/>
          <w:highlight w:val="none"/>
        </w:rPr>
        <w:t>为</w:t>
      </w:r>
      <w:r>
        <w:rPr>
          <w:rFonts w:hint="eastAsia" w:ascii="Times New Roman" w:hAnsi="Times New Roman" w:eastAsia="宋体" w:cs="Times New Roman"/>
          <w:color w:val="auto"/>
          <w:spacing w:val="0"/>
          <w:sz w:val="23"/>
          <w:szCs w:val="23"/>
          <w:highlight w:val="none"/>
          <w:lang w:eastAsia="zh-CN"/>
        </w:rPr>
        <w:t>：</w:t>
      </w:r>
      <w:r>
        <w:rPr>
          <w:rFonts w:hint="default" w:ascii="Times New Roman" w:hAnsi="Times New Roman" w:eastAsia="宋体" w:cs="Times New Roman"/>
          <w:color w:val="auto"/>
          <w:spacing w:val="0"/>
          <w:sz w:val="23"/>
          <w:szCs w:val="23"/>
          <w:highlight w:val="none"/>
        </w:rPr>
        <w:t>(大写)</w:t>
      </w:r>
      <w:r>
        <w:rPr>
          <w:rFonts w:hint="default" w:ascii="Times New Roman" w:hAnsi="Times New Roman" w:eastAsia="宋体" w:cs="Times New Roman"/>
          <w:spacing w:val="2"/>
          <w:sz w:val="23"/>
          <w:szCs w:val="23"/>
          <w:highlight w:val="none"/>
          <w:u w:val="single" w:color="auto"/>
        </w:rPr>
        <w:t xml:space="preserve">              </w:t>
      </w:r>
      <w:r>
        <w:rPr>
          <w:rFonts w:hint="eastAsia" w:ascii="Times New Roman" w:hAnsi="Times New Roman" w:eastAsia="宋体" w:cs="Times New Roman"/>
          <w:spacing w:val="2"/>
          <w:sz w:val="23"/>
          <w:szCs w:val="23"/>
          <w:highlight w:val="none"/>
          <w:u w:val="none" w:color="auto"/>
          <w:lang w:val="en-US" w:eastAsia="zh-CN"/>
        </w:rPr>
        <w:t xml:space="preserve"> </w:t>
      </w:r>
      <w:r>
        <w:rPr>
          <w:rFonts w:hint="eastAsia" w:ascii="Times New Roman" w:hAnsi="Times New Roman" w:eastAsia="宋体" w:cs="Times New Roman"/>
          <w:spacing w:val="2"/>
          <w:sz w:val="23"/>
          <w:szCs w:val="23"/>
          <w:highlight w:val="none"/>
          <w:u w:val="none" w:color="auto"/>
          <w:lang w:eastAsia="zh-CN"/>
        </w:rPr>
        <w:t>（</w:t>
      </w:r>
      <w:r>
        <w:rPr>
          <w:rFonts w:hint="eastAsia" w:ascii="Times New Roman" w:hAnsi="Times New Roman" w:eastAsia="宋体" w:cs="Times New Roman"/>
          <w:spacing w:val="2"/>
          <w:sz w:val="23"/>
          <w:szCs w:val="23"/>
          <w:highlight w:val="none"/>
          <w:u w:val="none" w:color="auto"/>
          <w:lang w:val="en-US" w:eastAsia="zh-CN"/>
        </w:rPr>
        <w:t>小写</w:t>
      </w:r>
      <w:r>
        <w:rPr>
          <w:rFonts w:hint="eastAsia" w:ascii="Times New Roman" w:hAnsi="Times New Roman" w:eastAsia="宋体" w:cs="Times New Roman"/>
          <w:spacing w:val="2"/>
          <w:sz w:val="23"/>
          <w:szCs w:val="23"/>
          <w:highlight w:val="none"/>
          <w:u w:val="none" w:color="auto"/>
          <w:lang w:eastAsia="zh-CN"/>
        </w:rPr>
        <w:t>）</w:t>
      </w:r>
      <w:r>
        <w:rPr>
          <w:rFonts w:hint="default" w:ascii="Times New Roman" w:hAnsi="Times New Roman" w:eastAsia="宋体" w:cs="Times New Roman"/>
          <w:spacing w:val="2"/>
          <w:sz w:val="23"/>
          <w:szCs w:val="23"/>
          <w:highlight w:val="none"/>
          <w:u w:val="single" w:color="auto"/>
        </w:rPr>
        <w:t xml:space="preserve">   </w:t>
      </w:r>
      <w:r>
        <w:rPr>
          <w:rFonts w:hint="eastAsia" w:ascii="Times New Roman" w:hAnsi="Times New Roman" w:eastAsia="宋体" w:cs="Times New Roman"/>
          <w:spacing w:val="2"/>
          <w:sz w:val="23"/>
          <w:szCs w:val="23"/>
          <w:highlight w:val="none"/>
          <w:u w:val="single" w:color="auto"/>
          <w:lang w:val="en-US" w:eastAsia="zh-CN"/>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u w:val="none" w:color="auto"/>
        </w:rPr>
        <w:t xml:space="preserve"> (保留两位小数)</w:t>
      </w:r>
      <w:r>
        <w:rPr>
          <w:rFonts w:hint="default" w:ascii="Times New Roman" w:hAnsi="Times New Roman" w:eastAsia="宋体" w:cs="Times New Roman"/>
          <w:color w:val="auto"/>
          <w:spacing w:val="0"/>
          <w:sz w:val="23"/>
          <w:szCs w:val="23"/>
          <w:highlight w:val="none"/>
          <w:u w:val="none" w:color="auto"/>
        </w:rPr>
        <w:t>。</w:t>
      </w:r>
    </w:p>
    <w:p w14:paraId="2A90A307">
      <w:pPr>
        <w:keepNext w:val="0"/>
        <w:keepLines w:val="0"/>
        <w:kinsoku/>
        <w:overflowPunct/>
        <w:topLinePunct w:val="0"/>
        <w:bidi w:val="0"/>
        <w:spacing w:before="1" w:line="226" w:lineRule="auto"/>
        <w:ind w:firstLine="460" w:firstLineChars="200"/>
        <w:jc w:val="both"/>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lang w:val="en-US" w:eastAsia="zh-CN"/>
        </w:rPr>
        <w:t>交货期</w:t>
      </w:r>
      <w:r>
        <w:rPr>
          <w:rFonts w:hint="eastAsia" w:ascii="Times New Roman" w:hAnsi="Times New Roman" w:eastAsia="宋体" w:cs="Times New Roman"/>
          <w:color w:val="auto"/>
          <w:spacing w:val="0"/>
          <w:sz w:val="23"/>
          <w:szCs w:val="23"/>
          <w:highlight w:val="none"/>
          <w:lang w:eastAsia="zh-CN"/>
        </w:rPr>
        <w:t>：</w:t>
      </w:r>
      <w:r>
        <w:rPr>
          <w:rFonts w:hint="eastAsia" w:ascii="Times New Roman" w:hAnsi="Times New Roman" w:eastAsia="宋体" w:cs="Times New Roman"/>
          <w:color w:val="auto"/>
          <w:spacing w:val="0"/>
          <w:sz w:val="23"/>
          <w:szCs w:val="23"/>
          <w:highlight w:val="none"/>
          <w:u w:val="single"/>
          <w:lang w:val="en-US" w:eastAsia="zh-CN"/>
        </w:rPr>
        <w:t xml:space="preserve">                                                          </w:t>
      </w:r>
      <w:r>
        <w:rPr>
          <w:rFonts w:hint="default" w:ascii="Times New Roman" w:hAnsi="Times New Roman" w:eastAsia="宋体" w:cs="Times New Roman"/>
          <w:color w:val="auto"/>
          <w:spacing w:val="0"/>
          <w:sz w:val="23"/>
          <w:szCs w:val="23"/>
          <w:highlight w:val="none"/>
        </w:rPr>
        <w:t>。</w:t>
      </w:r>
    </w:p>
    <w:p w14:paraId="1C148F7A">
      <w:pPr>
        <w:keepNext w:val="0"/>
        <w:keepLines w:val="0"/>
        <w:kinsoku/>
        <w:overflowPunct/>
        <w:topLinePunct w:val="0"/>
        <w:bidi w:val="0"/>
        <w:spacing w:before="276" w:line="450" w:lineRule="auto"/>
        <w:ind w:left="14" w:right="196" w:firstLine="48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五、我方的投标文件自投标截止时间之日起</w:t>
      </w:r>
      <w:r>
        <w:rPr>
          <w:rFonts w:hint="default" w:ascii="Times New Roman" w:hAnsi="Times New Roman" w:eastAsia="宋体" w:cs="Times New Roman"/>
          <w:color w:val="auto"/>
          <w:spacing w:val="0"/>
          <w:sz w:val="23"/>
          <w:szCs w:val="23"/>
          <w:highlight w:val="none"/>
          <w:u w:val="single"/>
        </w:rPr>
        <w:t>90</w:t>
      </w:r>
      <w:r>
        <w:rPr>
          <w:rFonts w:hint="default" w:ascii="Times New Roman" w:hAnsi="Times New Roman" w:eastAsia="宋体" w:cs="Times New Roman"/>
          <w:color w:val="auto"/>
          <w:spacing w:val="0"/>
          <w:sz w:val="23"/>
          <w:szCs w:val="23"/>
          <w:highlight w:val="none"/>
        </w:rPr>
        <w:t>日历天内有效，如中标，延至合同执行完毕时止。</w:t>
      </w:r>
    </w:p>
    <w:p w14:paraId="3ECF3E9A">
      <w:pPr>
        <w:keepNext w:val="0"/>
        <w:keepLines w:val="0"/>
        <w:kinsoku/>
        <w:overflowPunct/>
        <w:topLinePunct w:val="0"/>
        <w:bidi w:val="0"/>
        <w:spacing w:before="2" w:line="449" w:lineRule="auto"/>
        <w:ind w:left="12" w:right="196" w:firstLine="48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六、我方理解招标人及采购代理机构不另负担我们的任何投标</w:t>
      </w:r>
      <w:r>
        <w:rPr>
          <w:rFonts w:hint="default" w:ascii="Times New Roman" w:hAnsi="Times New Roman" w:eastAsia="宋体" w:cs="Times New Roman"/>
          <w:color w:val="auto"/>
          <w:spacing w:val="0"/>
          <w:sz w:val="23"/>
          <w:szCs w:val="23"/>
          <w:highlight w:val="none"/>
          <w:lang w:eastAsia="zh-CN"/>
        </w:rPr>
        <w:t>投标文件</w:t>
      </w:r>
      <w:r>
        <w:rPr>
          <w:rFonts w:hint="default" w:ascii="Times New Roman" w:hAnsi="Times New Roman" w:eastAsia="宋体" w:cs="Times New Roman"/>
          <w:color w:val="auto"/>
          <w:spacing w:val="0"/>
          <w:sz w:val="23"/>
          <w:szCs w:val="23"/>
          <w:highlight w:val="none"/>
        </w:rPr>
        <w:t>编制、投标等过程中发生的费用，无论我方总报价中是否包括这些费用，也无论是否能够中标，均不要求招标人及采购代理机构对此类费用做任何补偿。</w:t>
      </w:r>
    </w:p>
    <w:p w14:paraId="6D27BA86">
      <w:pPr>
        <w:keepNext w:val="0"/>
        <w:keepLines w:val="0"/>
        <w:kinsoku/>
        <w:overflowPunct/>
        <w:topLinePunct w:val="0"/>
        <w:bidi w:val="0"/>
        <w:spacing w:before="1" w:line="238" w:lineRule="auto"/>
        <w:ind w:left="489"/>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七、有关于本标书的函电，请按下列方式联系</w:t>
      </w:r>
    </w:p>
    <w:p w14:paraId="54DA66B1">
      <w:pPr>
        <w:keepNext w:val="0"/>
        <w:keepLines w:val="0"/>
        <w:kinsoku/>
        <w:overflowPunct/>
        <w:topLinePunct w:val="0"/>
        <w:bidi w:val="0"/>
        <w:spacing w:before="261" w:line="227" w:lineRule="auto"/>
        <w:ind w:left="493"/>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投标人：</w:t>
      </w:r>
      <w:r>
        <w:rPr>
          <w:rFonts w:hint="default" w:ascii="Times New Roman" w:hAnsi="Times New Roman" w:eastAsia="宋体" w:cs="Times New Roman"/>
          <w:color w:val="auto"/>
          <w:spacing w:val="0"/>
          <w:sz w:val="23"/>
          <w:szCs w:val="23"/>
          <w:highlight w:val="none"/>
          <w:u w:val="single"/>
          <w:lang w:val="en-US" w:eastAsia="zh-CN"/>
        </w:rPr>
        <w:t xml:space="preserve">                   </w:t>
      </w:r>
      <w:r>
        <w:rPr>
          <w:rFonts w:hint="default" w:ascii="Times New Roman" w:hAnsi="Times New Roman" w:eastAsia="宋体" w:cs="Times New Roman"/>
          <w:color w:val="auto"/>
          <w:spacing w:val="0"/>
          <w:sz w:val="23"/>
          <w:szCs w:val="23"/>
          <w:highlight w:val="none"/>
        </w:rPr>
        <w:t>(盖章)</w:t>
      </w:r>
    </w:p>
    <w:p w14:paraId="34B481A7">
      <w:pPr>
        <w:keepNext w:val="0"/>
        <w:keepLines w:val="0"/>
        <w:kinsoku/>
        <w:overflowPunct/>
        <w:topLinePunct w:val="0"/>
        <w:bidi w:val="0"/>
        <w:spacing w:before="279" w:line="227" w:lineRule="auto"/>
        <w:ind w:left="471"/>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法定代表人或被授权人：</w:t>
      </w:r>
      <w:r>
        <w:rPr>
          <w:rFonts w:hint="default" w:ascii="Times New Roman" w:hAnsi="Times New Roman" w:eastAsia="宋体" w:cs="Times New Roman"/>
          <w:color w:val="auto"/>
          <w:spacing w:val="0"/>
          <w:sz w:val="23"/>
          <w:szCs w:val="23"/>
          <w:highlight w:val="none"/>
          <w:u w:val="single"/>
          <w:lang w:val="en-US" w:eastAsia="zh-CN"/>
        </w:rPr>
        <w:t xml:space="preserve">                   </w:t>
      </w:r>
      <w:r>
        <w:rPr>
          <w:rFonts w:hint="default" w:ascii="Times New Roman" w:hAnsi="Times New Roman" w:eastAsia="宋体" w:cs="Times New Roman"/>
          <w:color w:val="auto"/>
          <w:spacing w:val="0"/>
          <w:sz w:val="23"/>
          <w:szCs w:val="23"/>
          <w:highlight w:val="none"/>
        </w:rPr>
        <w:t>(签字或盖章)</w:t>
      </w:r>
    </w:p>
    <w:p w14:paraId="777FD774">
      <w:pPr>
        <w:keepNext w:val="0"/>
        <w:keepLines w:val="0"/>
        <w:kinsoku/>
        <w:overflowPunct/>
        <w:topLinePunct w:val="0"/>
        <w:bidi w:val="0"/>
        <w:spacing w:before="276" w:line="230" w:lineRule="auto"/>
        <w:ind w:left="471"/>
        <w:jc w:val="both"/>
        <w:rPr>
          <w:rFonts w:hint="default" w:ascii="Times New Roman" w:hAnsi="Times New Roman" w:eastAsia="宋体" w:cs="Times New Roman"/>
          <w:color w:val="auto"/>
          <w:spacing w:val="0"/>
          <w:sz w:val="23"/>
          <w:szCs w:val="23"/>
          <w:highlight w:val="none"/>
          <w:lang w:eastAsia="zh-CN"/>
        </w:rPr>
      </w:pPr>
      <w:r>
        <w:rPr>
          <w:rFonts w:hint="default" w:ascii="Times New Roman" w:hAnsi="Times New Roman" w:eastAsia="宋体" w:cs="Times New Roman"/>
          <w:color w:val="auto"/>
          <w:spacing w:val="0"/>
          <w:sz w:val="23"/>
          <w:szCs w:val="23"/>
          <w:highlight w:val="none"/>
        </w:rPr>
        <w:t>联系电话：</w:t>
      </w:r>
      <w:r>
        <w:rPr>
          <w:rFonts w:hint="default" w:ascii="Times New Roman" w:hAnsi="Times New Roman" w:eastAsia="宋体" w:cs="Times New Roman"/>
          <w:color w:val="auto"/>
          <w:spacing w:val="0"/>
          <w:sz w:val="23"/>
          <w:szCs w:val="23"/>
          <w:highlight w:val="none"/>
          <w:u w:val="single"/>
          <w:lang w:val="en-US" w:eastAsia="zh-CN"/>
        </w:rPr>
        <w:t xml:space="preserve">                   </w:t>
      </w:r>
    </w:p>
    <w:p w14:paraId="37CAF3C2">
      <w:pPr>
        <w:keepNext w:val="0"/>
        <w:keepLines w:val="0"/>
        <w:kinsoku/>
        <w:overflowPunct/>
        <w:topLinePunct w:val="0"/>
        <w:bidi w:val="0"/>
        <w:spacing w:before="274" w:line="227" w:lineRule="auto"/>
        <w:ind w:left="512"/>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日期：</w:t>
      </w:r>
      <w:r>
        <w:rPr>
          <w:rFonts w:hint="default" w:ascii="Times New Roman" w:hAnsi="Times New Roman" w:eastAsia="宋体" w:cs="Times New Roman"/>
          <w:color w:val="auto"/>
          <w:spacing w:val="0"/>
          <w:sz w:val="23"/>
          <w:szCs w:val="23"/>
          <w:highlight w:val="none"/>
          <w:u w:val="single"/>
          <w:lang w:val="en-US" w:eastAsia="zh-CN"/>
        </w:rPr>
        <w:t xml:space="preserve">     </w:t>
      </w:r>
      <w:r>
        <w:rPr>
          <w:rFonts w:hint="default" w:ascii="Times New Roman" w:hAnsi="Times New Roman" w:eastAsia="宋体" w:cs="Times New Roman"/>
          <w:color w:val="auto"/>
          <w:spacing w:val="0"/>
          <w:sz w:val="23"/>
          <w:szCs w:val="23"/>
          <w:highlight w:val="none"/>
          <w:u w:val="single" w:color="auto"/>
        </w:rPr>
        <w:t>年</w:t>
      </w:r>
      <w:r>
        <w:rPr>
          <w:rFonts w:hint="default" w:ascii="Times New Roman" w:hAnsi="Times New Roman" w:eastAsia="宋体" w:cs="Times New Roman"/>
          <w:color w:val="auto"/>
          <w:spacing w:val="0"/>
          <w:sz w:val="23"/>
          <w:szCs w:val="23"/>
          <w:highlight w:val="none"/>
          <w:u w:val="single" w:color="auto"/>
          <w:lang w:val="en-US" w:eastAsia="zh-CN"/>
        </w:rPr>
        <w:t xml:space="preserve">     </w:t>
      </w:r>
      <w:r>
        <w:rPr>
          <w:rFonts w:hint="default" w:ascii="Times New Roman" w:hAnsi="Times New Roman" w:eastAsia="宋体" w:cs="Times New Roman"/>
          <w:color w:val="auto"/>
          <w:spacing w:val="0"/>
          <w:sz w:val="23"/>
          <w:szCs w:val="23"/>
          <w:highlight w:val="none"/>
          <w:u w:val="single" w:color="auto"/>
        </w:rPr>
        <w:t>月</w:t>
      </w:r>
      <w:r>
        <w:rPr>
          <w:rFonts w:hint="default" w:ascii="Times New Roman" w:hAnsi="Times New Roman" w:eastAsia="宋体" w:cs="Times New Roman"/>
          <w:color w:val="auto"/>
          <w:spacing w:val="0"/>
          <w:sz w:val="23"/>
          <w:szCs w:val="23"/>
          <w:highlight w:val="none"/>
          <w:u w:val="single" w:color="auto"/>
          <w:lang w:val="en-US" w:eastAsia="zh-CN"/>
        </w:rPr>
        <w:t xml:space="preserve">     </w:t>
      </w:r>
      <w:r>
        <w:rPr>
          <w:rFonts w:hint="default" w:ascii="Times New Roman" w:hAnsi="Times New Roman" w:eastAsia="宋体" w:cs="Times New Roman"/>
          <w:color w:val="auto"/>
          <w:spacing w:val="0"/>
          <w:sz w:val="23"/>
          <w:szCs w:val="23"/>
          <w:highlight w:val="none"/>
          <w:u w:val="single" w:color="auto"/>
        </w:rPr>
        <w:t>日</w:t>
      </w:r>
    </w:p>
    <w:p w14:paraId="0876BA16">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6F6742F1">
      <w:pPr>
        <w:keepNext w:val="0"/>
        <w:keepLines w:val="0"/>
        <w:kinsoku/>
        <w:overflowPunct/>
        <w:topLinePunct w:val="0"/>
        <w:bidi w:val="0"/>
        <w:spacing w:before="75" w:line="310" w:lineRule="exact"/>
        <w:ind w:left="27"/>
        <w:jc w:val="both"/>
        <w:outlineLvl w:val="2"/>
        <w:rPr>
          <w:rFonts w:hint="default" w:ascii="Times New Roman" w:hAnsi="Times New Roman" w:eastAsia="宋体" w:cs="Times New Roman"/>
          <w:b/>
          <w:bCs/>
          <w:color w:val="auto"/>
          <w:spacing w:val="0"/>
          <w:sz w:val="23"/>
          <w:szCs w:val="23"/>
          <w:highlight w:val="none"/>
        </w:rPr>
      </w:pPr>
      <w:r>
        <w:rPr>
          <w:rFonts w:hint="eastAsia" w:ascii="Times New Roman" w:hAnsi="Times New Roman" w:eastAsia="宋体" w:cs="Times New Roman"/>
          <w:b/>
          <w:bCs/>
          <w:color w:val="auto"/>
          <w:spacing w:val="0"/>
          <w:position w:val="1"/>
          <w:sz w:val="23"/>
          <w:szCs w:val="23"/>
          <w:highlight w:val="none"/>
          <w:lang w:val="en-US" w:eastAsia="zh-CN"/>
        </w:rPr>
        <w:t>10</w:t>
      </w:r>
      <w:r>
        <w:rPr>
          <w:rFonts w:hint="default" w:ascii="Times New Roman" w:hAnsi="Times New Roman" w:eastAsia="宋体" w:cs="Times New Roman"/>
          <w:b/>
          <w:bCs/>
          <w:color w:val="auto"/>
          <w:spacing w:val="0"/>
          <w:position w:val="1"/>
          <w:sz w:val="23"/>
          <w:szCs w:val="23"/>
          <w:highlight w:val="none"/>
        </w:rPr>
        <w:t>.开标一览表</w:t>
      </w:r>
    </w:p>
    <w:p w14:paraId="167246DC">
      <w:pPr>
        <w:keepNext w:val="0"/>
        <w:keepLines w:val="0"/>
        <w:kinsoku/>
        <w:overflowPunct/>
        <w:topLinePunct w:val="0"/>
        <w:bidi w:val="0"/>
        <w:spacing w:before="160" w:line="221" w:lineRule="auto"/>
        <w:jc w:val="center"/>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开标一览表</w:t>
      </w:r>
    </w:p>
    <w:p w14:paraId="7081424D">
      <w:pPr>
        <w:keepNext w:val="0"/>
        <w:keepLines w:val="0"/>
        <w:kinsoku/>
        <w:overflowPunct/>
        <w:topLinePunct w:val="0"/>
        <w:bidi w:val="0"/>
        <w:spacing w:line="331" w:lineRule="auto"/>
        <w:jc w:val="both"/>
        <w:rPr>
          <w:rFonts w:hint="default" w:ascii="Times New Roman" w:hAnsi="Times New Roman" w:cs="Times New Roman"/>
          <w:color w:val="auto"/>
          <w:spacing w:val="0"/>
          <w:sz w:val="24"/>
          <w:szCs w:val="24"/>
          <w:highlight w:val="none"/>
        </w:rPr>
      </w:pPr>
    </w:p>
    <w:p w14:paraId="1067BEB0">
      <w:pPr>
        <w:keepNext w:val="0"/>
        <w:keepLines w:val="0"/>
        <w:kinsoku/>
        <w:overflowPunct/>
        <w:topLinePunct w:val="0"/>
        <w:bidi w:val="0"/>
        <w:spacing w:line="331" w:lineRule="auto"/>
        <w:jc w:val="both"/>
        <w:rPr>
          <w:rFonts w:hint="default" w:ascii="Times New Roman" w:hAnsi="Times New Roman" w:cs="Times New Roman"/>
          <w:color w:val="auto"/>
          <w:spacing w:val="0"/>
          <w:sz w:val="24"/>
          <w:szCs w:val="24"/>
          <w:highlight w:val="none"/>
        </w:rPr>
      </w:pPr>
    </w:p>
    <w:p w14:paraId="0E5196E8">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Times New Roman" w:hAnsi="Times New Roman" w:eastAsia="宋体" w:cs="Times New Roman"/>
          <w:color w:val="auto"/>
          <w:spacing w:val="0"/>
          <w:sz w:val="24"/>
          <w:szCs w:val="24"/>
          <w:highlight w:val="none"/>
          <w:u w:val="none"/>
          <w:lang w:val="en-US" w:eastAsia="zh-CN"/>
        </w:rPr>
      </w:pPr>
      <w:r>
        <w:rPr>
          <w:rFonts w:hint="default" w:ascii="Times New Roman" w:hAnsi="Times New Roman" w:eastAsia="宋体" w:cs="Times New Roman"/>
          <w:color w:val="auto"/>
          <w:spacing w:val="0"/>
          <w:sz w:val="24"/>
          <w:szCs w:val="24"/>
          <w:highlight w:val="none"/>
        </w:rPr>
        <w:t>项目编号：</w:t>
      </w:r>
      <w:r>
        <w:rPr>
          <w:rFonts w:hint="eastAsia" w:ascii="Times New Roman" w:hAnsi="Times New Roman" w:eastAsia="宋体" w:cs="Times New Roman"/>
          <w:color w:val="auto"/>
          <w:spacing w:val="0"/>
          <w:sz w:val="24"/>
          <w:szCs w:val="24"/>
          <w:highlight w:val="none"/>
          <w:u w:val="single"/>
          <w:lang w:val="en-US" w:eastAsia="zh-CN"/>
        </w:rPr>
        <w:t xml:space="preserve">                                            </w:t>
      </w:r>
      <w:r>
        <w:rPr>
          <w:rFonts w:hint="eastAsia" w:ascii="Times New Roman" w:hAnsi="Times New Roman" w:eastAsia="宋体" w:cs="Times New Roman"/>
          <w:color w:val="auto"/>
          <w:spacing w:val="0"/>
          <w:sz w:val="24"/>
          <w:szCs w:val="24"/>
          <w:highlight w:val="none"/>
          <w:u w:val="none"/>
          <w:lang w:val="en-US" w:eastAsia="zh-CN"/>
        </w:rPr>
        <w:t xml:space="preserve">       </w:t>
      </w:r>
    </w:p>
    <w:p w14:paraId="4C7DF84B">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Times New Roman" w:hAnsi="Times New Roman" w:eastAsia="宋体" w:cs="Times New Roman"/>
          <w:color w:val="auto"/>
          <w:spacing w:val="0"/>
          <w:sz w:val="24"/>
          <w:szCs w:val="24"/>
          <w:highlight w:val="none"/>
          <w:u w:val="single"/>
          <w:lang w:val="en-US" w:eastAsia="zh-CN"/>
        </w:rPr>
      </w:pPr>
      <w:r>
        <w:rPr>
          <w:rFonts w:hint="eastAsia" w:ascii="Times New Roman" w:hAnsi="Times New Roman" w:eastAsia="宋体" w:cs="Times New Roman"/>
          <w:color w:val="auto"/>
          <w:spacing w:val="0"/>
          <w:sz w:val="24"/>
          <w:szCs w:val="24"/>
          <w:highlight w:val="none"/>
          <w:u w:val="none"/>
          <w:lang w:val="en-US" w:eastAsia="zh-CN"/>
        </w:rPr>
        <w:t>项目名称</w:t>
      </w:r>
      <w:r>
        <w:rPr>
          <w:rFonts w:hint="default" w:ascii="Times New Roman" w:hAnsi="Times New Roman" w:eastAsia="宋体" w:cs="Times New Roman"/>
          <w:color w:val="auto"/>
          <w:spacing w:val="0"/>
          <w:sz w:val="24"/>
          <w:szCs w:val="24"/>
          <w:highlight w:val="none"/>
        </w:rPr>
        <w:t>：</w:t>
      </w:r>
      <w:r>
        <w:rPr>
          <w:rFonts w:hint="eastAsia" w:ascii="Times New Roman" w:hAnsi="Times New Roman" w:eastAsia="宋体" w:cs="Times New Roman"/>
          <w:color w:val="auto"/>
          <w:spacing w:val="0"/>
          <w:sz w:val="24"/>
          <w:szCs w:val="24"/>
          <w:highlight w:val="none"/>
          <w:u w:val="single"/>
          <w:lang w:val="en-US" w:eastAsia="zh-CN"/>
        </w:rPr>
        <w:t xml:space="preserve">                                            </w:t>
      </w:r>
    </w:p>
    <w:p w14:paraId="3A3BF476">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宋体" w:cs="Times New Roman"/>
          <w:color w:val="auto"/>
          <w:spacing w:val="0"/>
          <w:sz w:val="24"/>
          <w:szCs w:val="24"/>
          <w:highlight w:val="none"/>
          <w:u w:val="single"/>
          <w:lang w:val="en-US" w:eastAsia="zh-CN"/>
        </w:rPr>
      </w:pPr>
      <w:r>
        <w:rPr>
          <w:rFonts w:hint="default" w:ascii="Times New Roman" w:hAnsi="Times New Roman" w:eastAsia="宋体" w:cs="Times New Roman"/>
          <w:color w:val="auto"/>
          <w:spacing w:val="0"/>
          <w:sz w:val="24"/>
          <w:szCs w:val="24"/>
          <w:highlight w:val="none"/>
          <w:u w:val="none"/>
          <w:lang w:val="en-US" w:eastAsia="zh-CN"/>
        </w:rPr>
        <w:t>标段编号：</w:t>
      </w:r>
      <w:r>
        <w:rPr>
          <w:rFonts w:hint="eastAsia" w:ascii="Times New Roman" w:hAnsi="Times New Roman" w:eastAsia="宋体" w:cs="Times New Roman"/>
          <w:color w:val="auto"/>
          <w:spacing w:val="0"/>
          <w:sz w:val="24"/>
          <w:szCs w:val="24"/>
          <w:highlight w:val="none"/>
          <w:u w:val="single"/>
          <w:lang w:val="en-US" w:eastAsia="zh-CN"/>
        </w:rPr>
        <w:t xml:space="preserve">                                            </w:t>
      </w:r>
    </w:p>
    <w:p w14:paraId="764BCD67">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宋体" w:cs="Times New Roman"/>
          <w:color w:val="auto"/>
          <w:spacing w:val="0"/>
          <w:sz w:val="24"/>
          <w:szCs w:val="24"/>
          <w:highlight w:val="none"/>
          <w:u w:val="single"/>
          <w:lang w:val="en-US" w:eastAsia="zh-CN"/>
        </w:rPr>
      </w:pPr>
      <w:r>
        <w:rPr>
          <w:rFonts w:hint="default" w:ascii="Times New Roman" w:hAnsi="Times New Roman" w:eastAsia="宋体" w:cs="Times New Roman"/>
          <w:color w:val="auto"/>
          <w:spacing w:val="0"/>
          <w:sz w:val="24"/>
          <w:szCs w:val="24"/>
          <w:highlight w:val="none"/>
          <w:u w:val="none"/>
          <w:lang w:val="en-US" w:eastAsia="zh-CN"/>
        </w:rPr>
        <w:t>标段名称：</w:t>
      </w:r>
      <w:r>
        <w:rPr>
          <w:rFonts w:hint="eastAsia" w:ascii="Times New Roman" w:hAnsi="Times New Roman" w:eastAsia="宋体" w:cs="Times New Roman"/>
          <w:color w:val="auto"/>
          <w:spacing w:val="0"/>
          <w:sz w:val="24"/>
          <w:szCs w:val="24"/>
          <w:highlight w:val="none"/>
          <w:u w:val="single"/>
          <w:lang w:val="en-US" w:eastAsia="zh-CN"/>
        </w:rPr>
        <w:t xml:space="preserve">                                            </w:t>
      </w:r>
    </w:p>
    <w:p w14:paraId="3C156292">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宋体" w:cs="Times New Roman"/>
          <w:color w:val="auto"/>
          <w:spacing w:val="0"/>
          <w:sz w:val="24"/>
          <w:szCs w:val="24"/>
          <w:highlight w:val="none"/>
          <w:u w:val="single"/>
          <w:lang w:val="en-US" w:eastAsia="zh-CN"/>
        </w:rPr>
      </w:pPr>
    </w:p>
    <w:p w14:paraId="14DC947D">
      <w:pPr>
        <w:keepNext w:val="0"/>
        <w:keepLines w:val="0"/>
        <w:kinsoku/>
        <w:overflowPunct/>
        <w:topLinePunct w:val="0"/>
        <w:bidi w:val="0"/>
        <w:spacing w:line="169" w:lineRule="exact"/>
        <w:jc w:val="both"/>
        <w:rPr>
          <w:rFonts w:hint="default" w:ascii="Times New Roman" w:hAnsi="Times New Roman" w:cs="Times New Roman"/>
          <w:color w:val="auto"/>
          <w:spacing w:val="0"/>
          <w:sz w:val="24"/>
          <w:szCs w:val="24"/>
          <w:highlight w:val="none"/>
        </w:rPr>
      </w:pPr>
    </w:p>
    <w:tbl>
      <w:tblPr>
        <w:tblStyle w:val="37"/>
        <w:tblW w:w="85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80"/>
        <w:gridCol w:w="4280"/>
      </w:tblGrid>
      <w:tr w14:paraId="7150A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4280" w:type="dxa"/>
            <w:tcBorders>
              <w:left w:val="single" w:color="000000" w:sz="10" w:space="0"/>
            </w:tcBorders>
            <w:vAlign w:val="center"/>
          </w:tcPr>
          <w:p w14:paraId="54ED7799">
            <w:pPr>
              <w:keepNext w:val="0"/>
              <w:keepLines w:val="0"/>
              <w:kinsoku/>
              <w:overflowPunct/>
              <w:topLinePunct w:val="0"/>
              <w:bidi w:val="0"/>
              <w:spacing w:before="91" w:line="221" w:lineRule="auto"/>
              <w:jc w:val="center"/>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标题</w:t>
            </w:r>
          </w:p>
        </w:tc>
        <w:tc>
          <w:tcPr>
            <w:tcW w:w="4280" w:type="dxa"/>
            <w:tcBorders>
              <w:right w:val="single" w:color="000000" w:sz="10" w:space="0"/>
            </w:tcBorders>
            <w:vAlign w:val="center"/>
          </w:tcPr>
          <w:p w14:paraId="5BBE3E69">
            <w:pPr>
              <w:keepNext w:val="0"/>
              <w:keepLines w:val="0"/>
              <w:kinsoku/>
              <w:overflowPunct/>
              <w:topLinePunct w:val="0"/>
              <w:bidi w:val="0"/>
              <w:spacing w:before="91" w:line="220" w:lineRule="auto"/>
              <w:jc w:val="center"/>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内容</w:t>
            </w:r>
          </w:p>
        </w:tc>
      </w:tr>
      <w:tr w14:paraId="6BE9F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jc w:val="center"/>
        </w:trPr>
        <w:tc>
          <w:tcPr>
            <w:tcW w:w="4280" w:type="dxa"/>
            <w:tcBorders>
              <w:left w:val="single" w:color="000000" w:sz="10" w:space="0"/>
            </w:tcBorders>
            <w:vAlign w:val="top"/>
          </w:tcPr>
          <w:p w14:paraId="42F61FFB">
            <w:pPr>
              <w:keepNext w:val="0"/>
              <w:keepLines w:val="0"/>
              <w:kinsoku/>
              <w:overflowPunct/>
              <w:topLinePunct w:val="0"/>
              <w:bidi w:val="0"/>
              <w:spacing w:before="308" w:line="219" w:lineRule="auto"/>
              <w:jc w:val="center"/>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投标</w:t>
            </w:r>
            <w:r>
              <w:rPr>
                <w:rFonts w:hint="eastAsia" w:ascii="Times New Roman" w:hAnsi="Times New Roman" w:eastAsia="宋体" w:cs="Times New Roman"/>
                <w:color w:val="auto"/>
                <w:spacing w:val="0"/>
                <w:sz w:val="24"/>
                <w:szCs w:val="24"/>
                <w:highlight w:val="none"/>
                <w:lang w:val="en-US" w:eastAsia="zh-CN"/>
              </w:rPr>
              <w:t>报</w:t>
            </w:r>
            <w:r>
              <w:rPr>
                <w:rFonts w:hint="eastAsia" w:ascii="Times New Roman" w:hAnsi="Times New Roman" w:eastAsia="宋体" w:cs="Times New Roman"/>
                <w:color w:val="auto"/>
                <w:spacing w:val="0"/>
                <w:sz w:val="24"/>
                <w:szCs w:val="24"/>
                <w:highlight w:val="none"/>
                <w:lang w:eastAsia="zh-CN"/>
              </w:rPr>
              <w:t>价</w:t>
            </w:r>
          </w:p>
        </w:tc>
        <w:tc>
          <w:tcPr>
            <w:tcW w:w="4280" w:type="dxa"/>
            <w:tcBorders>
              <w:right w:val="single" w:color="000000" w:sz="10" w:space="0"/>
            </w:tcBorders>
            <w:vAlign w:val="top"/>
          </w:tcPr>
          <w:p w14:paraId="711A6F4C">
            <w:pPr>
              <w:keepNext w:val="0"/>
              <w:keepLines w:val="0"/>
              <w:kinsoku/>
              <w:overflowPunct/>
              <w:topLinePunct w:val="0"/>
              <w:bidi w:val="0"/>
              <w:spacing w:before="308" w:line="221" w:lineRule="auto"/>
              <w:ind w:firstLine="1680" w:firstLineChars="700"/>
              <w:jc w:val="both"/>
              <w:rPr>
                <w:rFonts w:hint="default" w:ascii="Times New Roman" w:hAnsi="Times New Roman" w:eastAsia="宋体" w:cs="Times New Roman"/>
                <w:color w:val="auto"/>
                <w:spacing w:val="0"/>
                <w:sz w:val="24"/>
                <w:szCs w:val="24"/>
                <w:highlight w:val="none"/>
              </w:rPr>
            </w:pPr>
          </w:p>
        </w:tc>
      </w:tr>
      <w:tr w14:paraId="2BD2E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4280" w:type="dxa"/>
            <w:tcBorders>
              <w:left w:val="single" w:color="000000" w:sz="10" w:space="0"/>
            </w:tcBorders>
            <w:vAlign w:val="top"/>
          </w:tcPr>
          <w:p w14:paraId="53027681">
            <w:pPr>
              <w:keepNext w:val="0"/>
              <w:keepLines w:val="0"/>
              <w:kinsoku/>
              <w:overflowPunct/>
              <w:topLinePunct w:val="0"/>
              <w:bidi w:val="0"/>
              <w:spacing w:before="311" w:line="219" w:lineRule="auto"/>
              <w:jc w:val="center"/>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交货期</w:t>
            </w:r>
          </w:p>
        </w:tc>
        <w:tc>
          <w:tcPr>
            <w:tcW w:w="4280" w:type="dxa"/>
            <w:tcBorders>
              <w:right w:val="single" w:color="000000" w:sz="10" w:space="0"/>
            </w:tcBorders>
            <w:vAlign w:val="top"/>
          </w:tcPr>
          <w:p w14:paraId="0324C88D">
            <w:pPr>
              <w:keepNext w:val="0"/>
              <w:keepLines w:val="0"/>
              <w:kinsoku/>
              <w:overflowPunct/>
              <w:topLinePunct w:val="0"/>
              <w:bidi w:val="0"/>
              <w:spacing w:before="310" w:line="221" w:lineRule="auto"/>
              <w:ind w:firstLine="1680" w:firstLineChars="700"/>
              <w:jc w:val="both"/>
              <w:rPr>
                <w:rFonts w:hint="default" w:ascii="Times New Roman" w:hAnsi="Times New Roman" w:eastAsia="宋体" w:cs="Times New Roman"/>
                <w:color w:val="auto"/>
                <w:spacing w:val="0"/>
                <w:sz w:val="24"/>
                <w:szCs w:val="24"/>
                <w:highlight w:val="none"/>
              </w:rPr>
            </w:pPr>
          </w:p>
        </w:tc>
      </w:tr>
      <w:tr w14:paraId="173C9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jc w:val="center"/>
        </w:trPr>
        <w:tc>
          <w:tcPr>
            <w:tcW w:w="4280" w:type="dxa"/>
            <w:tcBorders>
              <w:left w:val="single" w:color="000000" w:sz="10" w:space="0"/>
            </w:tcBorders>
            <w:vAlign w:val="top"/>
          </w:tcPr>
          <w:p w14:paraId="6E70A35E">
            <w:pPr>
              <w:keepNext w:val="0"/>
              <w:keepLines w:val="0"/>
              <w:kinsoku/>
              <w:overflowPunct/>
              <w:topLinePunct w:val="0"/>
              <w:bidi w:val="0"/>
              <w:spacing w:before="311" w:line="219" w:lineRule="auto"/>
              <w:jc w:val="center"/>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交货地点</w:t>
            </w:r>
          </w:p>
        </w:tc>
        <w:tc>
          <w:tcPr>
            <w:tcW w:w="4280" w:type="dxa"/>
            <w:tcBorders>
              <w:right w:val="single" w:color="000000" w:sz="10" w:space="0"/>
            </w:tcBorders>
            <w:vAlign w:val="top"/>
          </w:tcPr>
          <w:p w14:paraId="4A8FE894">
            <w:pPr>
              <w:keepNext w:val="0"/>
              <w:keepLines w:val="0"/>
              <w:kinsoku/>
              <w:overflowPunct/>
              <w:topLinePunct w:val="0"/>
              <w:bidi w:val="0"/>
              <w:spacing w:before="310" w:line="221" w:lineRule="auto"/>
              <w:ind w:firstLine="1680" w:firstLineChars="700"/>
              <w:jc w:val="both"/>
              <w:rPr>
                <w:rFonts w:hint="default" w:ascii="Times New Roman" w:hAnsi="Times New Roman" w:eastAsia="宋体" w:cs="Times New Roman"/>
                <w:color w:val="auto"/>
                <w:spacing w:val="0"/>
                <w:sz w:val="24"/>
                <w:szCs w:val="24"/>
                <w:highlight w:val="none"/>
              </w:rPr>
            </w:pPr>
          </w:p>
        </w:tc>
      </w:tr>
      <w:tr w14:paraId="02C08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jc w:val="center"/>
        </w:trPr>
        <w:tc>
          <w:tcPr>
            <w:tcW w:w="4280" w:type="dxa"/>
            <w:tcBorders>
              <w:left w:val="single" w:color="000000" w:sz="10" w:space="0"/>
            </w:tcBorders>
            <w:vAlign w:val="top"/>
          </w:tcPr>
          <w:p w14:paraId="34525E32">
            <w:pPr>
              <w:keepNext w:val="0"/>
              <w:keepLines w:val="0"/>
              <w:kinsoku/>
              <w:overflowPunct/>
              <w:topLinePunct w:val="0"/>
              <w:bidi w:val="0"/>
              <w:spacing w:before="311" w:line="219" w:lineRule="auto"/>
              <w:jc w:val="center"/>
              <w:rPr>
                <w:rFonts w:hint="default"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质量标准</w:t>
            </w:r>
          </w:p>
        </w:tc>
        <w:tc>
          <w:tcPr>
            <w:tcW w:w="4280" w:type="dxa"/>
            <w:tcBorders>
              <w:right w:val="single" w:color="000000" w:sz="10" w:space="0"/>
            </w:tcBorders>
            <w:vAlign w:val="top"/>
          </w:tcPr>
          <w:p w14:paraId="54488656">
            <w:pPr>
              <w:keepNext w:val="0"/>
              <w:keepLines w:val="0"/>
              <w:kinsoku/>
              <w:overflowPunct/>
              <w:topLinePunct w:val="0"/>
              <w:bidi w:val="0"/>
              <w:spacing w:before="310" w:line="221" w:lineRule="auto"/>
              <w:ind w:firstLine="1680" w:firstLineChars="700"/>
              <w:jc w:val="both"/>
              <w:rPr>
                <w:rFonts w:hint="default" w:ascii="Times New Roman" w:hAnsi="Times New Roman" w:eastAsia="宋体" w:cs="Times New Roman"/>
                <w:color w:val="auto"/>
                <w:spacing w:val="0"/>
                <w:sz w:val="24"/>
                <w:szCs w:val="24"/>
                <w:highlight w:val="none"/>
              </w:rPr>
            </w:pPr>
          </w:p>
        </w:tc>
      </w:tr>
    </w:tbl>
    <w:p w14:paraId="4CF12F84">
      <w:pPr>
        <w:keepNext w:val="0"/>
        <w:keepLines w:val="0"/>
        <w:kinsoku/>
        <w:overflowPunct/>
        <w:topLinePunct w:val="0"/>
        <w:bidi w:val="0"/>
        <w:spacing w:line="247" w:lineRule="auto"/>
        <w:jc w:val="both"/>
        <w:rPr>
          <w:rFonts w:hint="default" w:ascii="Times New Roman" w:hAnsi="Times New Roman" w:cs="Times New Roman"/>
          <w:color w:val="auto"/>
          <w:spacing w:val="0"/>
          <w:sz w:val="24"/>
          <w:szCs w:val="24"/>
          <w:highlight w:val="none"/>
        </w:rPr>
      </w:pPr>
    </w:p>
    <w:p w14:paraId="00F7457A">
      <w:pPr>
        <w:keepNext w:val="0"/>
        <w:keepLines w:val="0"/>
        <w:kinsoku/>
        <w:overflowPunct/>
        <w:topLinePunct w:val="0"/>
        <w:bidi w:val="0"/>
        <w:spacing w:line="247" w:lineRule="auto"/>
        <w:jc w:val="both"/>
        <w:rPr>
          <w:rFonts w:hint="default" w:ascii="Times New Roman" w:hAnsi="Times New Roman" w:cs="Times New Roman"/>
          <w:color w:val="auto"/>
          <w:spacing w:val="0"/>
          <w:sz w:val="24"/>
          <w:szCs w:val="24"/>
          <w:highlight w:val="none"/>
        </w:rPr>
      </w:pPr>
    </w:p>
    <w:p w14:paraId="69ECA02F">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4"/>
          <w:szCs w:val="24"/>
          <w:highlight w:val="none"/>
        </w:rPr>
      </w:pPr>
      <w:r>
        <w:rPr>
          <w:rFonts w:hint="eastAsia" w:ascii="Times New Roman" w:hAnsi="Times New Roman" w:eastAsia="宋体" w:cs="Times New Roman"/>
          <w:spacing w:val="12"/>
          <w:sz w:val="24"/>
          <w:szCs w:val="24"/>
          <w:highlight w:val="none"/>
          <w:lang w:val="en-US" w:eastAsia="zh-CN"/>
        </w:rPr>
        <w:t>供应商</w:t>
      </w:r>
      <w:r>
        <w:rPr>
          <w:rFonts w:hint="default" w:ascii="Times New Roman" w:hAnsi="Times New Roman" w:eastAsia="宋体" w:cs="Times New Roman"/>
          <w:spacing w:val="6"/>
          <w:sz w:val="24"/>
          <w:szCs w:val="24"/>
          <w:highlight w:val="none"/>
        </w:rPr>
        <w:t>：</w:t>
      </w:r>
      <w:r>
        <w:rPr>
          <w:rFonts w:hint="default" w:ascii="Times New Roman" w:hAnsi="Times New Roman" w:eastAsia="宋体" w:cs="Times New Roman"/>
          <w:spacing w:val="6"/>
          <w:sz w:val="24"/>
          <w:szCs w:val="24"/>
          <w:highlight w:val="none"/>
          <w:u w:val="single" w:color="auto"/>
        </w:rPr>
        <w:t xml:space="preserve">  </w:t>
      </w:r>
      <w:r>
        <w:rPr>
          <w:rFonts w:hint="eastAsia" w:ascii="Times New Roman" w:hAnsi="Times New Roman" w:eastAsia="宋体" w:cs="Times New Roman"/>
          <w:spacing w:val="6"/>
          <w:sz w:val="24"/>
          <w:szCs w:val="24"/>
          <w:highlight w:val="none"/>
          <w:u w:val="single" w:color="auto"/>
          <w:lang w:val="en-US" w:eastAsia="zh-CN"/>
        </w:rPr>
        <w:t xml:space="preserve">       </w:t>
      </w:r>
      <w:r>
        <w:rPr>
          <w:rFonts w:hint="default" w:ascii="Times New Roman" w:hAnsi="Times New Roman" w:eastAsia="宋体" w:cs="Times New Roman"/>
          <w:spacing w:val="6"/>
          <w:sz w:val="24"/>
          <w:szCs w:val="24"/>
          <w:highlight w:val="none"/>
          <w:u w:val="single" w:color="auto"/>
        </w:rPr>
        <w:t xml:space="preserve">    </w:t>
      </w:r>
      <w:r>
        <w:rPr>
          <w:rFonts w:hint="eastAsia" w:ascii="Times New Roman" w:hAnsi="Times New Roman" w:eastAsia="宋体" w:cs="Times New Roman"/>
          <w:spacing w:val="6"/>
          <w:sz w:val="24"/>
          <w:szCs w:val="24"/>
          <w:highlight w:val="none"/>
          <w:u w:val="single" w:color="auto"/>
          <w:lang w:val="en-US" w:eastAsia="zh-CN"/>
        </w:rPr>
        <w:t xml:space="preserve">                </w:t>
      </w:r>
      <w:r>
        <w:rPr>
          <w:rFonts w:hint="default" w:ascii="Times New Roman" w:hAnsi="Times New Roman" w:eastAsia="宋体" w:cs="Times New Roman"/>
          <w:spacing w:val="6"/>
          <w:sz w:val="24"/>
          <w:szCs w:val="24"/>
          <w:highlight w:val="none"/>
          <w:u w:val="single" w:color="auto"/>
        </w:rPr>
        <w:t xml:space="preserve">  </w:t>
      </w:r>
      <w:r>
        <w:rPr>
          <w:rFonts w:hint="default" w:ascii="Times New Roman" w:hAnsi="Times New Roman" w:eastAsia="宋体" w:cs="Times New Roman"/>
          <w:spacing w:val="6"/>
          <w:sz w:val="24"/>
          <w:szCs w:val="24"/>
          <w:highlight w:val="none"/>
          <w:u w:val="single"/>
          <w:lang w:val="en-US" w:eastAsia="zh-CN"/>
        </w:rPr>
        <w:t xml:space="preserve">        </w:t>
      </w:r>
      <w:r>
        <w:rPr>
          <w:rFonts w:hint="default" w:ascii="Times New Roman" w:hAnsi="Times New Roman" w:eastAsia="宋体" w:cs="Times New Roman"/>
          <w:spacing w:val="6"/>
          <w:sz w:val="24"/>
          <w:szCs w:val="24"/>
          <w:highlight w:val="none"/>
        </w:rPr>
        <w:t>(</w:t>
      </w:r>
      <w:r>
        <w:rPr>
          <w:rFonts w:hint="eastAsia" w:ascii="Times New Roman" w:hAnsi="Times New Roman" w:eastAsia="宋体" w:cs="Times New Roman"/>
          <w:spacing w:val="6"/>
          <w:sz w:val="24"/>
          <w:szCs w:val="24"/>
          <w:highlight w:val="none"/>
          <w:lang w:val="en-US" w:eastAsia="zh-CN"/>
        </w:rPr>
        <w:t>加盖</w:t>
      </w:r>
      <w:r>
        <w:rPr>
          <w:rFonts w:hint="default" w:ascii="Times New Roman" w:hAnsi="Times New Roman" w:eastAsia="宋体" w:cs="Times New Roman"/>
          <w:spacing w:val="6"/>
          <w:sz w:val="24"/>
          <w:szCs w:val="24"/>
          <w:highlight w:val="none"/>
        </w:rPr>
        <w:t>公章)</w:t>
      </w:r>
    </w:p>
    <w:p w14:paraId="5FCDDFD3">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rPr>
        <w:t>日期：</w:t>
      </w:r>
      <w:r>
        <w:rPr>
          <w:rFonts w:hint="default" w:ascii="Times New Roman" w:hAnsi="Times New Roman" w:eastAsia="宋体" w:cs="Times New Roman"/>
          <w:spacing w:val="-5"/>
          <w:sz w:val="24"/>
          <w:szCs w:val="24"/>
          <w:highlight w:val="none"/>
          <w:u w:val="single" w:color="auto"/>
        </w:rPr>
        <w:t xml:space="preserve"> </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eastAsia" w:ascii="Times New Roman" w:hAnsi="Times New Roman" w:eastAsia="宋体" w:cs="Times New Roman"/>
          <w:color w:val="auto"/>
          <w:spacing w:val="0"/>
          <w:sz w:val="24"/>
          <w:szCs w:val="24"/>
          <w:highlight w:val="none"/>
          <w:u w:val="single" w:color="auto"/>
          <w:lang w:val="en-US" w:eastAsia="zh-CN"/>
        </w:rPr>
        <w:t xml:space="preserve">                   </w:t>
      </w:r>
    </w:p>
    <w:p w14:paraId="30640196">
      <w:pPr>
        <w:keepNext w:val="0"/>
        <w:keepLines w:val="0"/>
        <w:kinsoku/>
        <w:overflowPunct/>
        <w:topLinePunct w:val="0"/>
        <w:bidi w:val="0"/>
        <w:spacing w:line="329" w:lineRule="auto"/>
        <w:jc w:val="center"/>
        <w:rPr>
          <w:rFonts w:hint="default" w:ascii="Times New Roman" w:hAnsi="Times New Roman" w:cs="Times New Roman"/>
          <w:color w:val="auto"/>
          <w:spacing w:val="0"/>
          <w:sz w:val="24"/>
          <w:szCs w:val="24"/>
          <w:highlight w:val="none"/>
        </w:rPr>
      </w:pPr>
    </w:p>
    <w:p w14:paraId="69792C2B">
      <w:pPr>
        <w:keepNext w:val="0"/>
        <w:keepLines w:val="0"/>
        <w:kinsoku/>
        <w:overflowPunct/>
        <w:topLinePunct w:val="0"/>
        <w:bidi w:val="0"/>
        <w:spacing w:line="329" w:lineRule="auto"/>
        <w:jc w:val="center"/>
        <w:rPr>
          <w:rFonts w:hint="default" w:ascii="Times New Roman" w:hAnsi="Times New Roman" w:cs="Times New Roman"/>
          <w:color w:val="auto"/>
          <w:spacing w:val="0"/>
          <w:sz w:val="24"/>
          <w:szCs w:val="24"/>
          <w:highlight w:val="none"/>
        </w:rPr>
      </w:pPr>
    </w:p>
    <w:p w14:paraId="531C85D8">
      <w:pPr>
        <w:keepNext w:val="0"/>
        <w:keepLines w:val="0"/>
        <w:kinsoku/>
        <w:overflowPunct/>
        <w:topLinePunct w:val="0"/>
        <w:bidi w:val="0"/>
        <w:spacing w:before="91" w:line="221" w:lineRule="auto"/>
        <w:ind w:left="15"/>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备注：“投标报价”为</w:t>
      </w:r>
      <w:r>
        <w:rPr>
          <w:rFonts w:hint="eastAsia" w:ascii="Times New Roman" w:hAnsi="Times New Roman" w:eastAsia="宋体" w:cs="Times New Roman"/>
          <w:color w:val="auto"/>
          <w:spacing w:val="0"/>
          <w:sz w:val="24"/>
          <w:szCs w:val="24"/>
          <w:highlight w:val="none"/>
          <w:lang w:val="en-US" w:eastAsia="zh-CN"/>
        </w:rPr>
        <w:t>投标总价</w:t>
      </w:r>
      <w:r>
        <w:rPr>
          <w:rFonts w:hint="default" w:ascii="Times New Roman" w:hAnsi="Times New Roman" w:eastAsia="宋体" w:cs="Times New Roman"/>
          <w:color w:val="auto"/>
          <w:spacing w:val="0"/>
          <w:sz w:val="24"/>
          <w:szCs w:val="24"/>
          <w:highlight w:val="none"/>
        </w:rPr>
        <w:t>。投标报价必须包括本项目所需全部费用。</w:t>
      </w:r>
    </w:p>
    <w:p w14:paraId="0917CDEC">
      <w:pPr>
        <w:pStyle w:val="8"/>
        <w:keepNext w:val="0"/>
        <w:keepLines w:val="0"/>
        <w:kinsoku/>
        <w:overflowPunct/>
        <w:topLinePunct w:val="0"/>
        <w:bidi w:val="0"/>
        <w:jc w:val="both"/>
        <w:rPr>
          <w:rFonts w:hint="default" w:ascii="Times New Roman" w:hAnsi="Times New Roman" w:eastAsia="宋体" w:cs="Times New Roman"/>
          <w:color w:val="auto"/>
          <w:spacing w:val="0"/>
          <w:sz w:val="28"/>
          <w:szCs w:val="28"/>
          <w:highlight w:val="none"/>
        </w:rPr>
      </w:pPr>
    </w:p>
    <w:p w14:paraId="20BF2480">
      <w:pPr>
        <w:keepNext w:val="0"/>
        <w:keepLines w:val="0"/>
        <w:kinsoku/>
        <w:overflowPunct/>
        <w:topLinePunct w:val="0"/>
        <w:bidi w:val="0"/>
        <w:jc w:val="both"/>
        <w:rPr>
          <w:rFonts w:hint="default" w:ascii="Times New Roman" w:hAnsi="Times New Roman" w:eastAsia="宋体" w:cs="Times New Roman"/>
          <w:color w:val="auto"/>
          <w:spacing w:val="0"/>
          <w:position w:val="1"/>
          <w:sz w:val="23"/>
          <w:szCs w:val="23"/>
          <w:highlight w:val="none"/>
        </w:rPr>
        <w:sectPr>
          <w:pgSz w:w="11906" w:h="16839"/>
          <w:pgMar w:top="1417" w:right="1361" w:bottom="1417" w:left="1361" w:header="964" w:footer="986" w:gutter="0"/>
          <w:pgBorders>
            <w:top w:val="none" w:sz="0" w:space="0"/>
            <w:left w:val="none" w:sz="0" w:space="0"/>
            <w:bottom w:val="none" w:sz="0" w:space="0"/>
            <w:right w:val="none" w:sz="0" w:space="0"/>
          </w:pgBorders>
          <w:pgNumType w:fmt="decimal"/>
          <w:cols w:space="0" w:num="1"/>
          <w:rtlGutter w:val="0"/>
          <w:docGrid w:linePitch="0" w:charSpace="0"/>
        </w:sectPr>
      </w:pPr>
      <w:r>
        <w:rPr>
          <w:rFonts w:hint="default" w:ascii="Times New Roman" w:hAnsi="Times New Roman" w:eastAsia="宋体" w:cs="Times New Roman"/>
          <w:color w:val="auto"/>
          <w:spacing w:val="0"/>
          <w:position w:val="1"/>
          <w:sz w:val="23"/>
          <w:szCs w:val="23"/>
          <w:highlight w:val="none"/>
        </w:rPr>
        <w:br w:type="page"/>
      </w:r>
    </w:p>
    <w:p w14:paraId="6214EEA4">
      <w:pPr>
        <w:keepNext w:val="0"/>
        <w:keepLines w:val="0"/>
        <w:kinsoku/>
        <w:overflowPunct/>
        <w:topLinePunct w:val="0"/>
        <w:bidi w:val="0"/>
        <w:spacing w:before="63" w:line="310" w:lineRule="exact"/>
        <w:ind w:left="27"/>
        <w:jc w:val="both"/>
        <w:outlineLvl w:val="2"/>
        <w:rPr>
          <w:rFonts w:hint="default" w:ascii="Times New Roman" w:hAnsi="Times New Roman" w:eastAsia="宋体" w:cs="Times New Roman"/>
          <w:b/>
          <w:bCs/>
          <w:color w:val="auto"/>
          <w:spacing w:val="0"/>
          <w:position w:val="1"/>
          <w:sz w:val="23"/>
          <w:szCs w:val="23"/>
          <w:highlight w:val="none"/>
        </w:rPr>
      </w:pPr>
      <w:r>
        <w:rPr>
          <w:rFonts w:hint="eastAsia" w:ascii="Times New Roman" w:hAnsi="Times New Roman" w:eastAsia="宋体" w:cs="Times New Roman"/>
          <w:b/>
          <w:bCs/>
          <w:color w:val="auto"/>
          <w:spacing w:val="0"/>
          <w:position w:val="1"/>
          <w:sz w:val="23"/>
          <w:szCs w:val="23"/>
          <w:highlight w:val="none"/>
          <w:lang w:val="en-US" w:eastAsia="zh-CN"/>
        </w:rPr>
        <w:t>11.</w:t>
      </w:r>
      <w:r>
        <w:rPr>
          <w:rFonts w:hint="default" w:ascii="Times New Roman" w:hAnsi="Times New Roman" w:eastAsia="宋体" w:cs="Times New Roman"/>
          <w:b/>
          <w:bCs/>
          <w:color w:val="auto"/>
          <w:spacing w:val="0"/>
          <w:position w:val="1"/>
          <w:sz w:val="23"/>
          <w:szCs w:val="23"/>
          <w:highlight w:val="none"/>
        </w:rPr>
        <w:t>分项报价表</w:t>
      </w:r>
    </w:p>
    <w:p w14:paraId="76F54FA5">
      <w:pPr>
        <w:keepNext w:val="0"/>
        <w:keepLines w:val="0"/>
        <w:kinsoku/>
        <w:overflowPunct/>
        <w:topLinePunct w:val="0"/>
        <w:bidi w:val="0"/>
        <w:spacing w:line="480" w:lineRule="auto"/>
        <w:jc w:val="center"/>
        <w:outlineLvl w:val="9"/>
        <w:rPr>
          <w:rFonts w:hint="default" w:ascii="Times New Roman" w:hAnsi="Times New Roman" w:eastAsia="宋体" w:cs="Times New Roman"/>
          <w:spacing w:val="7"/>
          <w:sz w:val="31"/>
          <w:szCs w:val="31"/>
          <w:highlight w:val="none"/>
          <w14:textOutline w14:w="5793" w14:cap="sq" w14:cmpd="sng">
            <w14:solidFill>
              <w14:srgbClr w14:val="000000"/>
            </w14:solidFill>
            <w14:prstDash w14:val="solid"/>
            <w14:bevel/>
          </w14:textOutline>
        </w:rPr>
      </w:pPr>
      <w:r>
        <w:rPr>
          <w:rFonts w:hint="default" w:ascii="Times New Roman" w:hAnsi="Times New Roman" w:eastAsia="宋体" w:cs="Times New Roman"/>
          <w:spacing w:val="8"/>
          <w:sz w:val="31"/>
          <w:szCs w:val="31"/>
          <w:highlight w:val="none"/>
          <w14:textOutline w14:w="5793" w14:cap="sq" w14:cmpd="sng">
            <w14:solidFill>
              <w14:srgbClr w14:val="000000"/>
            </w14:solidFill>
            <w14:prstDash w14:val="solid"/>
            <w14:bevel/>
          </w14:textOutline>
        </w:rPr>
        <w:t>分</w:t>
      </w:r>
      <w:r>
        <w:rPr>
          <w:rFonts w:hint="default" w:ascii="Times New Roman" w:hAnsi="Times New Roman" w:eastAsia="宋体" w:cs="Times New Roman"/>
          <w:spacing w:val="7"/>
          <w:sz w:val="31"/>
          <w:szCs w:val="31"/>
          <w:highlight w:val="none"/>
          <w14:textOutline w14:w="5793" w14:cap="sq" w14:cmpd="sng">
            <w14:solidFill>
              <w14:srgbClr w14:val="000000"/>
            </w14:solidFill>
            <w14:prstDash w14:val="solid"/>
            <w14:bevel/>
          </w14:textOutline>
        </w:rPr>
        <w:t>项报价表</w:t>
      </w:r>
    </w:p>
    <w:p w14:paraId="20FD51B0">
      <w:pPr>
        <w:keepNext w:val="0"/>
        <w:keepLines w:val="0"/>
        <w:kinsoku/>
        <w:overflowPunct/>
        <w:topLinePunct w:val="0"/>
        <w:bidi w:val="0"/>
        <w:spacing w:before="91" w:line="220" w:lineRule="auto"/>
        <w:ind w:firstLine="420" w:firstLineChars="200"/>
        <w:jc w:val="both"/>
        <w:rPr>
          <w:rFonts w:hint="default" w:ascii="Times New Roman" w:hAnsi="Times New Roman" w:eastAsia="宋体" w:cs="Times New Roman"/>
          <w:color w:val="auto"/>
          <w:spacing w:val="0"/>
          <w:sz w:val="24"/>
          <w:szCs w:val="24"/>
          <w:highlight w:val="none"/>
          <w:u w:val="none"/>
          <w:lang w:eastAsia="zh-CN"/>
        </w:rPr>
      </w:pPr>
      <w:r>
        <w:rPr>
          <w:rFonts w:hint="default" w:ascii="Times New Roman" w:hAnsi="Times New Roman" w:eastAsia="宋体" w:cs="Times New Roman"/>
          <w:color w:val="auto"/>
          <w:spacing w:val="0"/>
          <w:sz w:val="21"/>
          <w:szCs w:val="21"/>
          <w:highlight w:val="none"/>
          <w:u w:val="none"/>
        </w:rPr>
        <w:t>项目编号：</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合同包名称</w:t>
      </w:r>
      <w:r>
        <w:rPr>
          <w:rFonts w:hint="default" w:ascii="Times New Roman" w:hAnsi="Times New Roman" w:eastAsia="宋体" w:cs="Times New Roman"/>
          <w:color w:val="auto"/>
          <w:spacing w:val="0"/>
          <w:sz w:val="21"/>
          <w:szCs w:val="21"/>
          <w:highlight w:val="none"/>
          <w:u w:val="none"/>
        </w:rPr>
        <w:t>：</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w:t>
      </w:r>
      <w:r>
        <w:rPr>
          <w:rFonts w:hint="eastAsia" w:ascii="Times New Roman" w:hAnsi="Times New Roman" w:eastAsia="宋体" w:cs="Times New Roman"/>
          <w:color w:val="auto"/>
          <w:spacing w:val="0"/>
          <w:sz w:val="24"/>
          <w:szCs w:val="24"/>
          <w:highlight w:val="none"/>
          <w:u w:val="none"/>
          <w:lang w:val="en-US" w:eastAsia="zh-CN"/>
        </w:rPr>
        <w:t xml:space="preserve">    </w:t>
      </w:r>
    </w:p>
    <w:p w14:paraId="7C151F9B">
      <w:pPr>
        <w:keepNext w:val="0"/>
        <w:keepLines w:val="0"/>
        <w:kinsoku/>
        <w:overflowPunct/>
        <w:topLinePunct w:val="0"/>
        <w:bidi w:val="0"/>
        <w:rPr>
          <w:rFonts w:hint="default"/>
          <w:highlight w:val="none"/>
        </w:rPr>
      </w:pPr>
    </w:p>
    <w:tbl>
      <w:tblPr>
        <w:tblStyle w:val="37"/>
        <w:tblW w:w="139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1942"/>
        <w:gridCol w:w="1788"/>
        <w:gridCol w:w="1391"/>
        <w:gridCol w:w="1327"/>
        <w:gridCol w:w="1305"/>
        <w:gridCol w:w="1166"/>
        <w:gridCol w:w="1344"/>
        <w:gridCol w:w="1353"/>
        <w:gridCol w:w="1353"/>
        <w:gridCol w:w="8"/>
      </w:tblGrid>
      <w:tr w14:paraId="3F16A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750" w:hRule="atLeast"/>
          <w:jc w:val="center"/>
        </w:trPr>
        <w:tc>
          <w:tcPr>
            <w:tcW w:w="1019" w:type="dxa"/>
            <w:vAlign w:val="center"/>
          </w:tcPr>
          <w:p w14:paraId="036A2EFD">
            <w:pPr>
              <w:keepNext w:val="0"/>
              <w:keepLines w:val="0"/>
              <w:kinsoku/>
              <w:overflowPunct/>
              <w:topLinePunct w:val="0"/>
              <w:bidi w:val="0"/>
              <w:spacing w:before="75" w:line="231" w:lineRule="auto"/>
              <w:jc w:val="center"/>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6"/>
                <w:sz w:val="23"/>
                <w:szCs w:val="23"/>
                <w:highlight w:val="none"/>
              </w:rPr>
              <w:t>序号</w:t>
            </w:r>
          </w:p>
        </w:tc>
        <w:tc>
          <w:tcPr>
            <w:tcW w:w="1942" w:type="dxa"/>
            <w:vAlign w:val="center"/>
          </w:tcPr>
          <w:p w14:paraId="5BD6DCC1">
            <w:pPr>
              <w:keepNext w:val="0"/>
              <w:keepLines w:val="0"/>
              <w:kinsoku/>
              <w:overflowPunct/>
              <w:topLinePunct w:val="0"/>
              <w:bidi w:val="0"/>
              <w:spacing w:before="75" w:line="231" w:lineRule="auto"/>
              <w:ind w:left="584"/>
              <w:jc w:val="both"/>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6"/>
                <w:sz w:val="23"/>
                <w:szCs w:val="23"/>
                <w:highlight w:val="none"/>
              </w:rPr>
              <w:t>品</w:t>
            </w:r>
            <w:r>
              <w:rPr>
                <w:rFonts w:hint="default" w:ascii="Times New Roman" w:hAnsi="Times New Roman" w:eastAsia="宋体" w:cs="Times New Roman"/>
                <w:spacing w:val="-4"/>
                <w:sz w:val="23"/>
                <w:szCs w:val="23"/>
                <w:highlight w:val="none"/>
              </w:rPr>
              <w:t>名</w:t>
            </w:r>
          </w:p>
        </w:tc>
        <w:tc>
          <w:tcPr>
            <w:tcW w:w="1788" w:type="dxa"/>
            <w:vAlign w:val="center"/>
          </w:tcPr>
          <w:p w14:paraId="29B8465E">
            <w:pPr>
              <w:keepNext w:val="0"/>
              <w:keepLines w:val="0"/>
              <w:kinsoku/>
              <w:overflowPunct/>
              <w:topLinePunct w:val="0"/>
              <w:bidi w:val="0"/>
              <w:spacing w:before="263" w:line="302" w:lineRule="auto"/>
              <w:ind w:left="414" w:right="146" w:hanging="253"/>
              <w:jc w:val="center"/>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6"/>
                <w:sz w:val="23"/>
                <w:szCs w:val="23"/>
                <w:highlight w:val="none"/>
              </w:rPr>
              <w:t>规格</w:t>
            </w:r>
            <w:r>
              <w:rPr>
                <w:rFonts w:hint="eastAsia" w:ascii="Times New Roman" w:hAnsi="Times New Roman" w:eastAsia="宋体" w:cs="Times New Roman"/>
                <w:spacing w:val="-6"/>
                <w:sz w:val="23"/>
                <w:szCs w:val="23"/>
                <w:highlight w:val="none"/>
                <w:lang w:val="en-US" w:eastAsia="zh-CN"/>
              </w:rPr>
              <w:t>型号</w:t>
            </w:r>
          </w:p>
        </w:tc>
        <w:tc>
          <w:tcPr>
            <w:tcW w:w="1391" w:type="dxa"/>
            <w:vAlign w:val="center"/>
          </w:tcPr>
          <w:p w14:paraId="6A6E2D3C">
            <w:pPr>
              <w:keepNext w:val="0"/>
              <w:keepLines w:val="0"/>
              <w:kinsoku/>
              <w:overflowPunct/>
              <w:topLinePunct w:val="0"/>
              <w:bidi w:val="0"/>
              <w:spacing w:before="75" w:line="231" w:lineRule="auto"/>
              <w:jc w:val="center"/>
              <w:rPr>
                <w:rFonts w:hint="eastAsia" w:ascii="Times New Roman" w:hAnsi="Times New Roman" w:eastAsia="宋体" w:cs="Times New Roman"/>
                <w:spacing w:val="-6"/>
                <w:sz w:val="23"/>
                <w:szCs w:val="23"/>
                <w:highlight w:val="none"/>
                <w:lang w:val="en-US" w:eastAsia="zh-CN"/>
              </w:rPr>
            </w:pPr>
            <w:r>
              <w:rPr>
                <w:rFonts w:hint="default" w:ascii="Times New Roman" w:hAnsi="Times New Roman" w:eastAsia="宋体" w:cs="Times New Roman"/>
                <w:spacing w:val="-6"/>
                <w:sz w:val="23"/>
                <w:szCs w:val="23"/>
                <w:highlight w:val="none"/>
              </w:rPr>
              <w:t>品</w:t>
            </w:r>
            <w:r>
              <w:rPr>
                <w:rFonts w:hint="default" w:ascii="Times New Roman" w:hAnsi="Times New Roman" w:eastAsia="宋体" w:cs="Times New Roman"/>
                <w:spacing w:val="-4"/>
                <w:sz w:val="23"/>
                <w:szCs w:val="23"/>
                <w:highlight w:val="none"/>
              </w:rPr>
              <w:t>牌</w:t>
            </w:r>
          </w:p>
        </w:tc>
        <w:tc>
          <w:tcPr>
            <w:tcW w:w="1327" w:type="dxa"/>
            <w:vAlign w:val="center"/>
          </w:tcPr>
          <w:p w14:paraId="6148D097">
            <w:pPr>
              <w:keepNext w:val="0"/>
              <w:keepLines w:val="0"/>
              <w:kinsoku/>
              <w:overflowPunct/>
              <w:topLinePunct w:val="0"/>
              <w:bidi w:val="0"/>
              <w:spacing w:before="75" w:line="231" w:lineRule="auto"/>
              <w:jc w:val="center"/>
              <w:rPr>
                <w:rFonts w:hint="eastAsia" w:ascii="Times New Roman" w:hAnsi="Times New Roman" w:eastAsia="宋体" w:cs="Times New Roman"/>
                <w:spacing w:val="-6"/>
                <w:sz w:val="23"/>
                <w:szCs w:val="23"/>
                <w:highlight w:val="none"/>
                <w:lang w:val="en-US" w:eastAsia="zh-CN"/>
              </w:rPr>
            </w:pPr>
            <w:r>
              <w:rPr>
                <w:rFonts w:hint="eastAsia" w:ascii="Times New Roman" w:hAnsi="Times New Roman" w:eastAsia="宋体" w:cs="Times New Roman"/>
                <w:spacing w:val="-6"/>
                <w:sz w:val="23"/>
                <w:szCs w:val="23"/>
                <w:highlight w:val="none"/>
                <w:lang w:val="en-US" w:eastAsia="zh-CN"/>
              </w:rPr>
              <w:t>生产厂家</w:t>
            </w:r>
          </w:p>
        </w:tc>
        <w:tc>
          <w:tcPr>
            <w:tcW w:w="1305" w:type="dxa"/>
            <w:vAlign w:val="center"/>
          </w:tcPr>
          <w:p w14:paraId="3FD6FEF3">
            <w:pPr>
              <w:keepNext w:val="0"/>
              <w:keepLines w:val="0"/>
              <w:kinsoku/>
              <w:overflowPunct/>
              <w:topLinePunct w:val="0"/>
              <w:bidi w:val="0"/>
              <w:spacing w:before="75" w:line="231" w:lineRule="auto"/>
              <w:jc w:val="center"/>
              <w:rPr>
                <w:rFonts w:hint="default" w:ascii="Times New Roman" w:hAnsi="Times New Roman" w:eastAsia="宋体" w:cs="Times New Roman"/>
                <w:spacing w:val="-6"/>
                <w:sz w:val="23"/>
                <w:szCs w:val="23"/>
                <w:highlight w:val="none"/>
              </w:rPr>
            </w:pPr>
            <w:r>
              <w:rPr>
                <w:rFonts w:hint="eastAsia" w:ascii="Times New Roman" w:hAnsi="Times New Roman" w:eastAsia="宋体" w:cs="Times New Roman"/>
                <w:spacing w:val="-6"/>
                <w:sz w:val="23"/>
                <w:szCs w:val="23"/>
                <w:highlight w:val="none"/>
                <w:lang w:val="en-US" w:eastAsia="zh-CN"/>
              </w:rPr>
              <w:t>单位</w:t>
            </w:r>
          </w:p>
        </w:tc>
        <w:tc>
          <w:tcPr>
            <w:tcW w:w="1166" w:type="dxa"/>
            <w:vAlign w:val="center"/>
          </w:tcPr>
          <w:p w14:paraId="5FFC2865">
            <w:pPr>
              <w:keepNext w:val="0"/>
              <w:keepLines w:val="0"/>
              <w:kinsoku/>
              <w:overflowPunct/>
              <w:topLinePunct w:val="0"/>
              <w:bidi w:val="0"/>
              <w:spacing w:before="75" w:line="231" w:lineRule="auto"/>
              <w:jc w:val="center"/>
              <w:rPr>
                <w:rFonts w:hint="default" w:ascii="Times New Roman" w:hAnsi="Times New Roman" w:eastAsia="宋体" w:cs="Times New Roman"/>
                <w:spacing w:val="-6"/>
                <w:sz w:val="23"/>
                <w:szCs w:val="23"/>
                <w:highlight w:val="none"/>
              </w:rPr>
            </w:pPr>
            <w:r>
              <w:rPr>
                <w:rFonts w:hint="default" w:ascii="Times New Roman" w:hAnsi="Times New Roman" w:eastAsia="宋体" w:cs="Times New Roman"/>
                <w:spacing w:val="-6"/>
                <w:sz w:val="23"/>
                <w:szCs w:val="23"/>
                <w:highlight w:val="none"/>
              </w:rPr>
              <w:t>数量</w:t>
            </w:r>
          </w:p>
        </w:tc>
        <w:tc>
          <w:tcPr>
            <w:tcW w:w="1344" w:type="dxa"/>
            <w:vAlign w:val="center"/>
          </w:tcPr>
          <w:p w14:paraId="6FECAC4A">
            <w:pPr>
              <w:keepNext w:val="0"/>
              <w:keepLines w:val="0"/>
              <w:kinsoku/>
              <w:overflowPunct/>
              <w:topLinePunct w:val="0"/>
              <w:bidi w:val="0"/>
              <w:spacing w:before="75" w:line="231" w:lineRule="auto"/>
              <w:jc w:val="center"/>
              <w:rPr>
                <w:rFonts w:hint="eastAsia" w:ascii="Times New Roman" w:hAnsi="Times New Roman" w:eastAsia="宋体" w:cs="Times New Roman"/>
                <w:spacing w:val="-6"/>
                <w:sz w:val="23"/>
                <w:szCs w:val="23"/>
                <w:highlight w:val="none"/>
                <w:lang w:eastAsia="zh-CN"/>
              </w:rPr>
            </w:pPr>
            <w:r>
              <w:rPr>
                <w:rFonts w:hint="default" w:ascii="Times New Roman" w:hAnsi="Times New Roman" w:eastAsia="宋体" w:cs="Times New Roman"/>
                <w:spacing w:val="-6"/>
                <w:sz w:val="23"/>
                <w:szCs w:val="23"/>
                <w:highlight w:val="none"/>
              </w:rPr>
              <w:t>单价</w:t>
            </w:r>
          </w:p>
        </w:tc>
        <w:tc>
          <w:tcPr>
            <w:tcW w:w="1353" w:type="dxa"/>
            <w:vAlign w:val="center"/>
          </w:tcPr>
          <w:p w14:paraId="2A9B5493">
            <w:pPr>
              <w:keepNext w:val="0"/>
              <w:keepLines w:val="0"/>
              <w:kinsoku/>
              <w:overflowPunct/>
              <w:topLinePunct w:val="0"/>
              <w:bidi w:val="0"/>
              <w:spacing w:before="75" w:line="231" w:lineRule="auto"/>
              <w:jc w:val="center"/>
              <w:rPr>
                <w:rFonts w:hint="default" w:ascii="Times New Roman" w:hAnsi="Times New Roman" w:eastAsia="宋体" w:cs="Times New Roman"/>
                <w:spacing w:val="-6"/>
                <w:sz w:val="23"/>
                <w:szCs w:val="23"/>
                <w:highlight w:val="none"/>
                <w:lang w:val="en-US" w:eastAsia="zh-CN"/>
              </w:rPr>
            </w:pPr>
            <w:r>
              <w:rPr>
                <w:rFonts w:hint="eastAsia" w:ascii="Times New Roman" w:hAnsi="Times New Roman" w:eastAsia="宋体" w:cs="Times New Roman"/>
                <w:spacing w:val="-6"/>
                <w:sz w:val="23"/>
                <w:szCs w:val="23"/>
                <w:highlight w:val="none"/>
                <w:lang w:val="en-US" w:eastAsia="zh-CN"/>
              </w:rPr>
              <w:t>总价</w:t>
            </w:r>
          </w:p>
        </w:tc>
        <w:tc>
          <w:tcPr>
            <w:tcW w:w="1353" w:type="dxa"/>
            <w:vAlign w:val="center"/>
          </w:tcPr>
          <w:p w14:paraId="50A9BE3C">
            <w:pPr>
              <w:keepNext w:val="0"/>
              <w:keepLines w:val="0"/>
              <w:kinsoku/>
              <w:overflowPunct/>
              <w:topLinePunct w:val="0"/>
              <w:bidi w:val="0"/>
              <w:spacing w:before="75" w:line="231" w:lineRule="auto"/>
              <w:jc w:val="center"/>
              <w:rPr>
                <w:rFonts w:hint="eastAsia" w:ascii="Times New Roman" w:hAnsi="Times New Roman" w:eastAsia="宋体" w:cs="Times New Roman"/>
                <w:spacing w:val="-6"/>
                <w:sz w:val="23"/>
                <w:szCs w:val="23"/>
                <w:highlight w:val="none"/>
                <w:lang w:val="en-US" w:eastAsia="zh-CN"/>
              </w:rPr>
            </w:pPr>
            <w:r>
              <w:rPr>
                <w:rFonts w:hint="eastAsia" w:ascii="Times New Roman" w:hAnsi="Times New Roman" w:eastAsia="宋体" w:cs="Times New Roman"/>
                <w:spacing w:val="-6"/>
                <w:sz w:val="23"/>
                <w:szCs w:val="23"/>
                <w:highlight w:val="none"/>
                <w:lang w:val="en-US" w:eastAsia="zh-CN"/>
              </w:rPr>
              <w:t>备注</w:t>
            </w:r>
          </w:p>
        </w:tc>
      </w:tr>
      <w:tr w14:paraId="2FE34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5C66AD47">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66F6D13C">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6D1F48D4">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590CE4EE">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041AD810">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217F2EA6">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519BE5F2">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2623990B">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20FBC530">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6FD79691">
            <w:pPr>
              <w:keepNext w:val="0"/>
              <w:keepLines w:val="0"/>
              <w:kinsoku/>
              <w:overflowPunct/>
              <w:topLinePunct w:val="0"/>
              <w:bidi w:val="0"/>
              <w:jc w:val="center"/>
              <w:rPr>
                <w:rFonts w:hint="default" w:ascii="Times New Roman" w:hAnsi="Times New Roman" w:cs="Times New Roman"/>
                <w:sz w:val="21"/>
                <w:highlight w:val="none"/>
              </w:rPr>
            </w:pPr>
          </w:p>
        </w:tc>
      </w:tr>
      <w:tr w14:paraId="0C025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69FDFD1E">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34593ADD">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18FF44F2">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4434DE48">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23AF6534">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6010F582">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337E75B1">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66E01C1C">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7E9FB622">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1A91A444">
            <w:pPr>
              <w:keepNext w:val="0"/>
              <w:keepLines w:val="0"/>
              <w:kinsoku/>
              <w:overflowPunct/>
              <w:topLinePunct w:val="0"/>
              <w:bidi w:val="0"/>
              <w:jc w:val="center"/>
              <w:rPr>
                <w:rFonts w:hint="default" w:ascii="Times New Roman" w:hAnsi="Times New Roman" w:cs="Times New Roman"/>
                <w:sz w:val="21"/>
                <w:highlight w:val="none"/>
              </w:rPr>
            </w:pPr>
          </w:p>
        </w:tc>
      </w:tr>
      <w:tr w14:paraId="0E7B8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12D4412F">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71F9DE60">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623EF962">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0AAFC02B">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53B797A8">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2CC0BEFC">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642896CE">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5304436C">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5F2CD4BF">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31450FDB">
            <w:pPr>
              <w:keepNext w:val="0"/>
              <w:keepLines w:val="0"/>
              <w:kinsoku/>
              <w:overflowPunct/>
              <w:topLinePunct w:val="0"/>
              <w:bidi w:val="0"/>
              <w:jc w:val="center"/>
              <w:rPr>
                <w:rFonts w:hint="default" w:ascii="Times New Roman" w:hAnsi="Times New Roman" w:cs="Times New Roman"/>
                <w:sz w:val="21"/>
                <w:highlight w:val="none"/>
              </w:rPr>
            </w:pPr>
          </w:p>
        </w:tc>
      </w:tr>
      <w:tr w14:paraId="77BFC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3BCDA9F7">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4B22587F">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00F359F3">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6652C25A">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42F4B4FD">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16082A81">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511DF261">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7EF97A26">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73F328FB">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08E1F157">
            <w:pPr>
              <w:keepNext w:val="0"/>
              <w:keepLines w:val="0"/>
              <w:kinsoku/>
              <w:overflowPunct/>
              <w:topLinePunct w:val="0"/>
              <w:bidi w:val="0"/>
              <w:jc w:val="center"/>
              <w:rPr>
                <w:rFonts w:hint="default" w:ascii="Times New Roman" w:hAnsi="Times New Roman" w:cs="Times New Roman"/>
                <w:sz w:val="21"/>
                <w:highlight w:val="none"/>
              </w:rPr>
            </w:pPr>
          </w:p>
        </w:tc>
      </w:tr>
      <w:tr w14:paraId="24FA5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6F887CD2">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385F8753">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050B6F83">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45EBFAC7">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68F04B13">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1F27BCE8">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15C6A56C">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620EE3B5">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1D048977">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66A6EDE1">
            <w:pPr>
              <w:keepNext w:val="0"/>
              <w:keepLines w:val="0"/>
              <w:kinsoku/>
              <w:overflowPunct/>
              <w:topLinePunct w:val="0"/>
              <w:bidi w:val="0"/>
              <w:jc w:val="center"/>
              <w:rPr>
                <w:rFonts w:hint="default" w:ascii="Times New Roman" w:hAnsi="Times New Roman" w:cs="Times New Roman"/>
                <w:sz w:val="21"/>
                <w:highlight w:val="none"/>
              </w:rPr>
            </w:pPr>
          </w:p>
        </w:tc>
      </w:tr>
      <w:tr w14:paraId="215C1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3DF8CD83">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37DDCB24">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6DDE9D8E">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4D054B83">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017460A8">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1EE2F6E3">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0B96F114">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07DA1503">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251CBEAC">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5D3E839C">
            <w:pPr>
              <w:keepNext w:val="0"/>
              <w:keepLines w:val="0"/>
              <w:kinsoku/>
              <w:overflowPunct/>
              <w:topLinePunct w:val="0"/>
              <w:bidi w:val="0"/>
              <w:jc w:val="center"/>
              <w:rPr>
                <w:rFonts w:hint="default" w:ascii="Times New Roman" w:hAnsi="Times New Roman" w:cs="Times New Roman"/>
                <w:sz w:val="21"/>
                <w:highlight w:val="none"/>
              </w:rPr>
            </w:pPr>
          </w:p>
        </w:tc>
      </w:tr>
      <w:tr w14:paraId="3C904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23003FE3">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5A18BA5A">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4F9344CB">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127311C4">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5214A16E">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3670A347">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6FBD39C3">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458E267C">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68F5F3D2">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2860CA47">
            <w:pPr>
              <w:keepNext w:val="0"/>
              <w:keepLines w:val="0"/>
              <w:kinsoku/>
              <w:overflowPunct/>
              <w:topLinePunct w:val="0"/>
              <w:bidi w:val="0"/>
              <w:jc w:val="center"/>
              <w:rPr>
                <w:rFonts w:hint="default" w:ascii="Times New Roman" w:hAnsi="Times New Roman" w:cs="Times New Roman"/>
                <w:sz w:val="21"/>
                <w:highlight w:val="none"/>
              </w:rPr>
            </w:pPr>
          </w:p>
        </w:tc>
      </w:tr>
      <w:tr w14:paraId="6AFAE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5BD889A3">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0B0C9D53">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26D27D18">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4D7D0EF0">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3EF7B561">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305565FB">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2084E85C">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3D0846F0">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4057EFBD">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6E4CF6AC">
            <w:pPr>
              <w:keepNext w:val="0"/>
              <w:keepLines w:val="0"/>
              <w:kinsoku/>
              <w:overflowPunct/>
              <w:topLinePunct w:val="0"/>
              <w:bidi w:val="0"/>
              <w:jc w:val="center"/>
              <w:rPr>
                <w:rFonts w:hint="default" w:ascii="Times New Roman" w:hAnsi="Times New Roman" w:cs="Times New Roman"/>
                <w:sz w:val="21"/>
                <w:highlight w:val="none"/>
              </w:rPr>
            </w:pPr>
          </w:p>
        </w:tc>
      </w:tr>
      <w:tr w14:paraId="7C243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14D30C05">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38B0BA8C">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03F469C0">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526FB6AB">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08684DC3">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4B4828A6">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1403544A">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1C753899">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243D1AAE">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223203C2">
            <w:pPr>
              <w:keepNext w:val="0"/>
              <w:keepLines w:val="0"/>
              <w:kinsoku/>
              <w:overflowPunct/>
              <w:topLinePunct w:val="0"/>
              <w:bidi w:val="0"/>
              <w:jc w:val="center"/>
              <w:rPr>
                <w:rFonts w:hint="default" w:ascii="Times New Roman" w:hAnsi="Times New Roman" w:cs="Times New Roman"/>
                <w:sz w:val="21"/>
                <w:highlight w:val="none"/>
              </w:rPr>
            </w:pPr>
          </w:p>
        </w:tc>
      </w:tr>
      <w:tr w14:paraId="13D13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1D02707E">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462254E5">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6405ED42">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33CC09A2">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4BD04BAF">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3C632A1B">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546CF113">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54C9290D">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07365594">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4E3913DB">
            <w:pPr>
              <w:keepNext w:val="0"/>
              <w:keepLines w:val="0"/>
              <w:kinsoku/>
              <w:overflowPunct/>
              <w:topLinePunct w:val="0"/>
              <w:bidi w:val="0"/>
              <w:jc w:val="center"/>
              <w:rPr>
                <w:rFonts w:hint="default" w:ascii="Times New Roman" w:hAnsi="Times New Roman" w:cs="Times New Roman"/>
                <w:sz w:val="21"/>
                <w:highlight w:val="none"/>
              </w:rPr>
            </w:pPr>
          </w:p>
        </w:tc>
      </w:tr>
      <w:tr w14:paraId="7E829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tcBorders>
              <w:right w:val="single" w:color="auto" w:sz="4" w:space="0"/>
            </w:tcBorders>
            <w:vAlign w:val="center"/>
          </w:tcPr>
          <w:p w14:paraId="24F8CD05">
            <w:pPr>
              <w:keepNext w:val="0"/>
              <w:keepLines w:val="0"/>
              <w:kinsoku/>
              <w:overflowPunct/>
              <w:topLinePunct w:val="0"/>
              <w:bidi w:val="0"/>
              <w:jc w:val="center"/>
              <w:rPr>
                <w:rFonts w:hint="default" w:ascii="Times New Roman" w:hAnsi="Times New Roman" w:cs="Times New Roman"/>
                <w:sz w:val="21"/>
                <w:highlight w:val="none"/>
              </w:rPr>
            </w:pPr>
          </w:p>
        </w:tc>
        <w:tc>
          <w:tcPr>
            <w:tcW w:w="1942" w:type="dxa"/>
            <w:tcBorders>
              <w:left w:val="single" w:color="auto" w:sz="4" w:space="0"/>
            </w:tcBorders>
            <w:vAlign w:val="center"/>
          </w:tcPr>
          <w:p w14:paraId="6651A1D4">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72320D7A">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4A4564B9">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3A875B7F">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13BE6F4C">
            <w:pPr>
              <w:keepNext w:val="0"/>
              <w:keepLines w:val="0"/>
              <w:kinsoku/>
              <w:overflowPunct/>
              <w:topLinePunct w:val="0"/>
              <w:bidi w:val="0"/>
              <w:jc w:val="center"/>
              <w:rPr>
                <w:rFonts w:hint="default" w:ascii="Times New Roman" w:hAnsi="Times New Roman" w:cs="Times New Roman"/>
                <w:sz w:val="21"/>
                <w:highlight w:val="none"/>
              </w:rPr>
            </w:pPr>
          </w:p>
        </w:tc>
        <w:tc>
          <w:tcPr>
            <w:tcW w:w="1166" w:type="dxa"/>
            <w:tcBorders>
              <w:right w:val="single" w:color="auto" w:sz="4" w:space="0"/>
            </w:tcBorders>
            <w:vAlign w:val="center"/>
          </w:tcPr>
          <w:p w14:paraId="0BF3A686">
            <w:pPr>
              <w:keepNext w:val="0"/>
              <w:keepLines w:val="0"/>
              <w:kinsoku/>
              <w:overflowPunct/>
              <w:topLinePunct w:val="0"/>
              <w:bidi w:val="0"/>
              <w:jc w:val="center"/>
              <w:rPr>
                <w:rFonts w:hint="default" w:ascii="Times New Roman" w:hAnsi="Times New Roman" w:cs="Times New Roman"/>
                <w:sz w:val="21"/>
                <w:highlight w:val="none"/>
              </w:rPr>
            </w:pPr>
          </w:p>
        </w:tc>
        <w:tc>
          <w:tcPr>
            <w:tcW w:w="1344" w:type="dxa"/>
            <w:tcBorders>
              <w:left w:val="single" w:color="auto" w:sz="4" w:space="0"/>
              <w:right w:val="single" w:color="auto" w:sz="4" w:space="0"/>
            </w:tcBorders>
            <w:vAlign w:val="center"/>
          </w:tcPr>
          <w:p w14:paraId="2D212F51">
            <w:pPr>
              <w:keepNext w:val="0"/>
              <w:keepLines w:val="0"/>
              <w:kinsoku/>
              <w:overflowPunct/>
              <w:topLinePunct w:val="0"/>
              <w:bidi w:val="0"/>
              <w:jc w:val="center"/>
              <w:rPr>
                <w:rFonts w:hint="default" w:ascii="Times New Roman" w:hAnsi="Times New Roman" w:cs="Times New Roman"/>
                <w:sz w:val="21"/>
                <w:highlight w:val="none"/>
              </w:rPr>
            </w:pPr>
          </w:p>
        </w:tc>
        <w:tc>
          <w:tcPr>
            <w:tcW w:w="1353" w:type="dxa"/>
            <w:tcBorders>
              <w:right w:val="single" w:color="auto" w:sz="4" w:space="0"/>
            </w:tcBorders>
            <w:vAlign w:val="center"/>
          </w:tcPr>
          <w:p w14:paraId="505C824E">
            <w:pPr>
              <w:keepNext w:val="0"/>
              <w:keepLines w:val="0"/>
              <w:kinsoku/>
              <w:overflowPunct/>
              <w:topLinePunct w:val="0"/>
              <w:bidi w:val="0"/>
              <w:jc w:val="center"/>
              <w:rPr>
                <w:rFonts w:hint="default" w:ascii="Times New Roman" w:hAnsi="Times New Roman" w:cs="Times New Roman"/>
                <w:sz w:val="21"/>
                <w:highlight w:val="none"/>
              </w:rPr>
            </w:pPr>
          </w:p>
        </w:tc>
        <w:tc>
          <w:tcPr>
            <w:tcW w:w="1353" w:type="dxa"/>
            <w:tcBorders>
              <w:right w:val="single" w:color="auto" w:sz="4" w:space="0"/>
            </w:tcBorders>
            <w:vAlign w:val="center"/>
          </w:tcPr>
          <w:p w14:paraId="6993852E">
            <w:pPr>
              <w:keepNext w:val="0"/>
              <w:keepLines w:val="0"/>
              <w:kinsoku/>
              <w:overflowPunct/>
              <w:topLinePunct w:val="0"/>
              <w:bidi w:val="0"/>
              <w:jc w:val="center"/>
              <w:rPr>
                <w:rFonts w:hint="default" w:ascii="Times New Roman" w:hAnsi="Times New Roman" w:cs="Times New Roman"/>
                <w:sz w:val="21"/>
                <w:highlight w:val="none"/>
              </w:rPr>
            </w:pPr>
          </w:p>
        </w:tc>
      </w:tr>
      <w:tr w14:paraId="23088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13996" w:type="dxa"/>
            <w:gridSpan w:val="11"/>
            <w:tcBorders>
              <w:right w:val="single" w:color="auto" w:sz="4" w:space="0"/>
            </w:tcBorders>
            <w:vAlign w:val="center"/>
          </w:tcPr>
          <w:p w14:paraId="4D697614">
            <w:pPr>
              <w:keepNext w:val="0"/>
              <w:keepLines w:val="0"/>
              <w:kinsoku/>
              <w:overflowPunct/>
              <w:topLinePunct w:val="0"/>
              <w:bidi w:val="0"/>
              <w:ind w:firstLine="234" w:firstLineChars="100"/>
              <w:jc w:val="both"/>
              <w:rPr>
                <w:rFonts w:hint="default" w:ascii="Times New Roman" w:hAnsi="Times New Roman" w:cs="Times New Roman"/>
                <w:sz w:val="21"/>
                <w:highlight w:val="none"/>
              </w:rPr>
            </w:pPr>
            <w:r>
              <w:rPr>
                <w:rFonts w:hint="eastAsia" w:ascii="Times New Roman" w:hAnsi="Times New Roman" w:eastAsia="宋体" w:cs="Times New Roman"/>
                <w:spacing w:val="2"/>
                <w:sz w:val="23"/>
                <w:szCs w:val="23"/>
                <w:highlight w:val="none"/>
                <w:lang w:val="en-US" w:eastAsia="zh-CN"/>
              </w:rPr>
              <w:t>合</w:t>
            </w:r>
            <w:r>
              <w:rPr>
                <w:rFonts w:hint="default" w:ascii="Times New Roman" w:hAnsi="Times New Roman" w:eastAsia="宋体" w:cs="Times New Roman"/>
                <w:spacing w:val="2"/>
                <w:sz w:val="23"/>
                <w:szCs w:val="23"/>
                <w:highlight w:val="none"/>
              </w:rPr>
              <w:t>计</w:t>
            </w:r>
            <w:r>
              <w:rPr>
                <w:rFonts w:hint="eastAsia" w:ascii="Times New Roman" w:hAnsi="Times New Roman" w:eastAsia="宋体" w:cs="Times New Roman"/>
                <w:spacing w:val="2"/>
                <w:sz w:val="23"/>
                <w:szCs w:val="23"/>
                <w:highlight w:val="none"/>
                <w:lang w:eastAsia="zh-CN"/>
              </w:rPr>
              <w:t>：</w:t>
            </w:r>
            <w:r>
              <w:rPr>
                <w:rFonts w:hint="eastAsia" w:ascii="Times New Roman" w:hAnsi="Times New Roman" w:eastAsia="宋体" w:cs="Times New Roman"/>
                <w:spacing w:val="2"/>
                <w:sz w:val="23"/>
                <w:szCs w:val="23"/>
                <w:highlight w:val="none"/>
                <w:lang w:val="en-US" w:eastAsia="zh-CN"/>
              </w:rPr>
              <w:t xml:space="preserve">                         元</w:t>
            </w:r>
          </w:p>
        </w:tc>
      </w:tr>
      <w:tr w14:paraId="6EC63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jc w:val="center"/>
        </w:trPr>
        <w:tc>
          <w:tcPr>
            <w:tcW w:w="12635" w:type="dxa"/>
            <w:gridSpan w:val="9"/>
            <w:tcBorders>
              <w:right w:val="single" w:color="auto" w:sz="4" w:space="0"/>
            </w:tcBorders>
            <w:vAlign w:val="top"/>
          </w:tcPr>
          <w:p w14:paraId="47A616C5">
            <w:pPr>
              <w:keepNext w:val="0"/>
              <w:keepLines w:val="0"/>
              <w:kinsoku/>
              <w:overflowPunct/>
              <w:topLinePunct w:val="0"/>
              <w:bidi w:val="0"/>
              <w:jc w:val="left"/>
              <w:rPr>
                <w:rFonts w:hint="default"/>
              </w:rPr>
            </w:pPr>
          </w:p>
          <w:p w14:paraId="0144D3C0">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12"/>
                <w:sz w:val="23"/>
                <w:szCs w:val="23"/>
                <w:highlight w:val="none"/>
              </w:rPr>
              <w:t>投</w:t>
            </w:r>
            <w:r>
              <w:rPr>
                <w:rFonts w:hint="default" w:ascii="Times New Roman" w:hAnsi="Times New Roman" w:eastAsia="宋体" w:cs="Times New Roman"/>
                <w:spacing w:val="11"/>
                <w:sz w:val="23"/>
                <w:szCs w:val="23"/>
                <w:highlight w:val="none"/>
              </w:rPr>
              <w:t>标</w:t>
            </w:r>
            <w:r>
              <w:rPr>
                <w:rFonts w:hint="default" w:ascii="Times New Roman" w:hAnsi="Times New Roman" w:eastAsia="宋体" w:cs="Times New Roman"/>
                <w:spacing w:val="6"/>
                <w:sz w:val="23"/>
                <w:szCs w:val="23"/>
                <w:highlight w:val="none"/>
              </w:rPr>
              <w:t>人：</w:t>
            </w:r>
            <w:r>
              <w:rPr>
                <w:rFonts w:hint="default" w:ascii="Times New Roman" w:hAnsi="Times New Roman" w:eastAsia="宋体" w:cs="Times New Roman"/>
                <w:spacing w:val="6"/>
                <w:sz w:val="23"/>
                <w:szCs w:val="23"/>
                <w:highlight w:val="none"/>
                <w:u w:val="single" w:color="auto"/>
              </w:rPr>
              <w:t xml:space="preserve">  </w:t>
            </w:r>
            <w:r>
              <w:rPr>
                <w:rFonts w:hint="eastAsia" w:ascii="Times New Roman" w:hAnsi="Times New Roman" w:eastAsia="宋体" w:cs="Times New Roman"/>
                <w:spacing w:val="6"/>
                <w:sz w:val="23"/>
                <w:szCs w:val="23"/>
                <w:highlight w:val="none"/>
                <w:u w:val="single" w:color="auto"/>
                <w:lang w:val="en-US" w:eastAsia="zh-CN"/>
              </w:rPr>
              <w:t xml:space="preserve">       </w:t>
            </w:r>
            <w:r>
              <w:rPr>
                <w:rFonts w:hint="default" w:ascii="Times New Roman" w:hAnsi="Times New Roman" w:eastAsia="宋体" w:cs="Times New Roman"/>
                <w:spacing w:val="6"/>
                <w:sz w:val="23"/>
                <w:szCs w:val="23"/>
                <w:highlight w:val="none"/>
                <w:u w:val="single" w:color="auto"/>
              </w:rPr>
              <w:t xml:space="preserve">    单位名称  </w:t>
            </w:r>
            <w:r>
              <w:rPr>
                <w:rFonts w:hint="default" w:ascii="Times New Roman" w:hAnsi="Times New Roman" w:eastAsia="宋体" w:cs="Times New Roman"/>
                <w:spacing w:val="6"/>
                <w:sz w:val="23"/>
                <w:szCs w:val="23"/>
                <w:highlight w:val="none"/>
                <w:u w:val="single"/>
                <w:lang w:val="en-US" w:eastAsia="zh-CN"/>
              </w:rPr>
              <w:t xml:space="preserve">        </w:t>
            </w:r>
            <w:r>
              <w:rPr>
                <w:rFonts w:hint="default" w:ascii="Times New Roman" w:hAnsi="Times New Roman" w:eastAsia="宋体" w:cs="Times New Roman"/>
                <w:spacing w:val="6"/>
                <w:sz w:val="23"/>
                <w:szCs w:val="23"/>
                <w:highlight w:val="none"/>
              </w:rPr>
              <w:t>(公章)</w:t>
            </w:r>
          </w:p>
          <w:p w14:paraId="53D8A516">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4"/>
                <w:sz w:val="23"/>
                <w:szCs w:val="23"/>
                <w:highlight w:val="none"/>
              </w:rPr>
              <w:t>法定代表人</w:t>
            </w:r>
            <w:r>
              <w:rPr>
                <w:rFonts w:hint="default" w:ascii="Times New Roman" w:hAnsi="Times New Roman" w:eastAsia="宋体" w:cs="Times New Roman"/>
                <w:spacing w:val="7"/>
                <w:sz w:val="23"/>
                <w:szCs w:val="23"/>
                <w:highlight w:val="none"/>
              </w:rPr>
              <w:t>或授权委托人</w:t>
            </w:r>
            <w:r>
              <w:rPr>
                <w:rFonts w:hint="default" w:ascii="Times New Roman" w:hAnsi="Times New Roman" w:eastAsia="宋体" w:cs="Times New Roman"/>
                <w:spacing w:val="-4"/>
                <w:sz w:val="23"/>
                <w:szCs w:val="23"/>
                <w:highlight w:val="none"/>
              </w:rPr>
              <w:t>：</w:t>
            </w:r>
            <w:r>
              <w:rPr>
                <w:rFonts w:hint="default" w:ascii="Times New Roman" w:hAnsi="Times New Roman" w:eastAsia="宋体" w:cs="Times New Roman"/>
                <w:spacing w:val="-4"/>
                <w:sz w:val="23"/>
                <w:szCs w:val="23"/>
                <w:highlight w:val="none"/>
                <w:u w:val="single" w:color="auto"/>
              </w:rPr>
              <w:t xml:space="preserve">   </w:t>
            </w:r>
            <w:r>
              <w:rPr>
                <w:rFonts w:hint="default" w:ascii="Times New Roman" w:hAnsi="Times New Roman" w:eastAsia="宋体" w:cs="Times New Roman"/>
                <w:spacing w:val="-3"/>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lang w:val="en-US" w:eastAsia="zh-CN"/>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rPr>
              <w:t>(签字或盖章)</w:t>
            </w:r>
          </w:p>
          <w:p w14:paraId="227D32EF">
            <w:pPr>
              <w:keepNext w:val="0"/>
              <w:keepLines w:val="0"/>
              <w:kinsoku/>
              <w:overflowPunct/>
              <w:topLinePunct w:val="0"/>
              <w:bidi w:val="0"/>
              <w:jc w:val="left"/>
              <w:rPr>
                <w:rFonts w:hint="default" w:ascii="Times New Roman" w:hAnsi="Times New Roman" w:cs="Times New Roman"/>
                <w:sz w:val="21"/>
                <w:highlight w:val="none"/>
              </w:rPr>
            </w:pPr>
            <w:r>
              <w:rPr>
                <w:rFonts w:hint="default" w:ascii="Times New Roman" w:hAnsi="Times New Roman" w:eastAsia="宋体" w:cs="Times New Roman"/>
                <w:color w:val="auto"/>
                <w:spacing w:val="0"/>
                <w:sz w:val="24"/>
                <w:szCs w:val="24"/>
                <w:highlight w:val="none"/>
              </w:rPr>
              <w:t>日期：</w:t>
            </w:r>
            <w:r>
              <w:rPr>
                <w:rFonts w:hint="default" w:ascii="Times New Roman" w:hAnsi="Times New Roman" w:eastAsia="宋体" w:cs="Times New Roman"/>
                <w:spacing w:val="-5"/>
                <w:sz w:val="24"/>
                <w:szCs w:val="24"/>
                <w:highlight w:val="none"/>
                <w:u w:val="single" w:color="auto"/>
              </w:rPr>
              <w:t xml:space="preserve"> </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u w:val="single" w:color="auto"/>
              </w:rPr>
              <w:t>年</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u w:val="single" w:color="auto"/>
              </w:rPr>
              <w:t>月</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u w:val="single" w:color="auto"/>
              </w:rPr>
              <w:t>日</w:t>
            </w:r>
          </w:p>
        </w:tc>
        <w:tc>
          <w:tcPr>
            <w:tcW w:w="1361" w:type="dxa"/>
            <w:gridSpan w:val="2"/>
            <w:tcBorders>
              <w:right w:val="single" w:color="auto" w:sz="4" w:space="0"/>
            </w:tcBorders>
            <w:vAlign w:val="top"/>
          </w:tcPr>
          <w:p w14:paraId="2E37DAD2">
            <w:pPr>
              <w:keepNext w:val="0"/>
              <w:keepLines w:val="0"/>
              <w:kinsoku/>
              <w:overflowPunct/>
              <w:topLinePunct w:val="0"/>
              <w:bidi w:val="0"/>
              <w:jc w:val="center"/>
              <w:rPr>
                <w:rFonts w:hint="default" w:ascii="Times New Roman" w:hAnsi="Times New Roman" w:cs="Times New Roman"/>
                <w:sz w:val="21"/>
                <w:highlight w:val="none"/>
              </w:rPr>
            </w:pPr>
          </w:p>
        </w:tc>
      </w:tr>
    </w:tbl>
    <w:p w14:paraId="4B1B4873">
      <w:pPr>
        <w:keepNext w:val="0"/>
        <w:keepLines w:val="0"/>
        <w:kinsoku/>
        <w:overflowPunct/>
        <w:topLinePunct w:val="0"/>
        <w:bidi w:val="0"/>
        <w:rPr>
          <w:rFonts w:hint="default"/>
          <w:highlight w:val="none"/>
        </w:rPr>
      </w:pPr>
    </w:p>
    <w:p w14:paraId="0425D04C">
      <w:pPr>
        <w:keepNext w:val="0"/>
        <w:keepLines w:val="0"/>
        <w:kinsoku/>
        <w:overflowPunct/>
        <w:topLinePunct w:val="0"/>
        <w:bidi w:val="0"/>
        <w:rPr>
          <w:rFonts w:hint="default" w:ascii="Times New Roman" w:hAnsi="Times New Roman" w:eastAsia="宋体" w:cs="Times New Roman"/>
          <w:spacing w:val="10"/>
          <w:sz w:val="23"/>
          <w:szCs w:val="23"/>
          <w:highlight w:val="none"/>
          <w14:textOutline w14:w="4358" w14:cap="sq" w14:cmpd="sng">
            <w14:solidFill>
              <w14:srgbClr w14:val="000000"/>
            </w14:solidFill>
            <w14:prstDash w14:val="solid"/>
            <w14:bevel/>
          </w14:textOutline>
        </w:rPr>
      </w:pPr>
      <w:r>
        <w:rPr>
          <w:rFonts w:hint="default" w:ascii="Times New Roman" w:hAnsi="Times New Roman" w:eastAsia="宋体" w:cs="Times New Roman"/>
          <w:spacing w:val="10"/>
          <w:sz w:val="23"/>
          <w:szCs w:val="23"/>
          <w:highlight w:val="none"/>
          <w14:textOutline w14:w="4358" w14:cap="sq" w14:cmpd="sng">
            <w14:solidFill>
              <w14:srgbClr w14:val="000000"/>
            </w14:solidFill>
            <w14:prstDash w14:val="solid"/>
            <w14:bevel/>
          </w14:textOutline>
        </w:rPr>
        <w:t>注：投标人可自行拓展</w:t>
      </w:r>
    </w:p>
    <w:p w14:paraId="2F9A5AF1">
      <w:pPr>
        <w:keepNext w:val="0"/>
        <w:keepLines w:val="0"/>
        <w:kinsoku/>
        <w:overflowPunct/>
        <w:topLinePunct w:val="0"/>
        <w:bidi w:val="0"/>
        <w:rPr>
          <w:rFonts w:hint="default" w:ascii="Times New Roman" w:hAnsi="Times New Roman" w:eastAsia="宋体" w:cs="Times New Roman"/>
          <w:spacing w:val="7"/>
          <w:sz w:val="31"/>
          <w:szCs w:val="31"/>
          <w:highlight w:val="none"/>
          <w14:textOutline w14:w="5793" w14:cap="sq" w14:cmpd="sng">
            <w14:solidFill>
              <w14:srgbClr w14:val="000000"/>
            </w14:solidFill>
            <w14:prstDash w14:val="solid"/>
            <w14:bevel/>
          </w14:textOutline>
        </w:rPr>
      </w:pPr>
      <w:r>
        <w:rPr>
          <w:rFonts w:hint="default" w:ascii="Times New Roman" w:hAnsi="Times New Roman" w:eastAsia="宋体" w:cs="Times New Roman"/>
          <w:spacing w:val="7"/>
          <w:sz w:val="31"/>
          <w:szCs w:val="31"/>
          <w:highlight w:val="none"/>
          <w14:textOutline w14:w="5793" w14:cap="sq" w14:cmpd="sng">
            <w14:solidFill>
              <w14:srgbClr w14:val="000000"/>
            </w14:solidFill>
            <w14:prstDash w14:val="solid"/>
            <w14:bevel/>
          </w14:textOutline>
        </w:rPr>
        <w:br w:type="page"/>
      </w:r>
    </w:p>
    <w:p w14:paraId="6163AB8A">
      <w:pPr>
        <w:pStyle w:val="55"/>
        <w:keepNext w:val="0"/>
        <w:keepLines w:val="0"/>
        <w:kinsoku/>
        <w:overflowPunct/>
        <w:topLinePunct w:val="0"/>
        <w:bidi w:val="0"/>
        <w:spacing w:line="240" w:lineRule="auto"/>
        <w:ind w:firstLine="163" w:firstLineChars="71"/>
        <w:rPr>
          <w:rFonts w:hint="eastAsia" w:ascii="Times New Roman" w:hAnsi="Times New Roman" w:eastAsia="宋体" w:cs="Times New Roman"/>
          <w:color w:val="auto"/>
          <w:spacing w:val="0"/>
          <w:sz w:val="23"/>
          <w:szCs w:val="23"/>
          <w:highlight w:val="none"/>
          <w:lang w:val="en-US" w:eastAsia="zh-CN"/>
        </w:rPr>
      </w:pPr>
      <w:r>
        <w:rPr>
          <w:rFonts w:hint="eastAsia" w:ascii="Times New Roman" w:hAnsi="Times New Roman" w:eastAsia="宋体" w:cs="Times New Roman"/>
          <w:color w:val="auto"/>
          <w:spacing w:val="0"/>
          <w:sz w:val="23"/>
          <w:szCs w:val="23"/>
          <w:highlight w:val="none"/>
          <w:lang w:val="en-US" w:eastAsia="zh-CN"/>
        </w:rPr>
        <w:t>11.1选配件报价表（格式，若有）</w:t>
      </w:r>
    </w:p>
    <w:p w14:paraId="6EFD0D8F">
      <w:pPr>
        <w:keepNext w:val="0"/>
        <w:keepLines w:val="0"/>
        <w:kinsoku/>
        <w:overflowPunct/>
        <w:topLinePunct w:val="0"/>
        <w:bidi w:val="0"/>
        <w:spacing w:line="480" w:lineRule="exact"/>
        <w:ind w:left="210" w:leftChars="100"/>
        <w:rPr>
          <w:rFonts w:hint="eastAsia" w:ascii="宋体" w:hAnsi="宋体" w:eastAsia="宋体" w:cs="宋体"/>
          <w:b/>
          <w:bCs/>
          <w:sz w:val="28"/>
          <w:szCs w:val="28"/>
        </w:rPr>
      </w:pPr>
    </w:p>
    <w:p w14:paraId="3F8F3963">
      <w:pPr>
        <w:keepNext w:val="0"/>
        <w:keepLines w:val="0"/>
        <w:kinsoku/>
        <w:overflowPunct/>
        <w:topLinePunct w:val="0"/>
        <w:bidi w:val="0"/>
        <w:spacing w:before="91" w:line="220" w:lineRule="auto"/>
        <w:ind w:firstLine="420" w:firstLineChars="200"/>
        <w:jc w:val="both"/>
        <w:rPr>
          <w:rFonts w:hint="default" w:ascii="Times New Roman" w:hAnsi="Times New Roman" w:eastAsia="宋体" w:cs="Times New Roman"/>
          <w:color w:val="auto"/>
          <w:spacing w:val="0"/>
          <w:sz w:val="24"/>
          <w:szCs w:val="24"/>
          <w:highlight w:val="none"/>
          <w:u w:val="none"/>
          <w:lang w:eastAsia="zh-CN"/>
        </w:rPr>
      </w:pPr>
      <w:r>
        <w:rPr>
          <w:rFonts w:hint="default" w:ascii="Times New Roman" w:hAnsi="Times New Roman" w:eastAsia="宋体" w:cs="Times New Roman"/>
          <w:color w:val="auto"/>
          <w:spacing w:val="0"/>
          <w:sz w:val="21"/>
          <w:szCs w:val="21"/>
          <w:highlight w:val="none"/>
          <w:u w:val="none"/>
        </w:rPr>
        <w:t>项目编号：</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合同包名称</w:t>
      </w:r>
      <w:r>
        <w:rPr>
          <w:rFonts w:hint="default" w:ascii="Times New Roman" w:hAnsi="Times New Roman" w:eastAsia="宋体" w:cs="Times New Roman"/>
          <w:color w:val="auto"/>
          <w:spacing w:val="0"/>
          <w:sz w:val="21"/>
          <w:szCs w:val="21"/>
          <w:highlight w:val="none"/>
          <w:u w:val="none"/>
        </w:rPr>
        <w:t>：</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w:t>
      </w:r>
      <w:r>
        <w:rPr>
          <w:rFonts w:hint="eastAsia" w:ascii="Times New Roman" w:hAnsi="Times New Roman" w:eastAsia="宋体" w:cs="Times New Roman"/>
          <w:color w:val="auto"/>
          <w:spacing w:val="0"/>
          <w:sz w:val="24"/>
          <w:szCs w:val="24"/>
          <w:highlight w:val="none"/>
          <w:u w:val="none"/>
          <w:lang w:val="en-US" w:eastAsia="zh-CN"/>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1428"/>
      </w:tblGrid>
      <w:tr w14:paraId="1740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7E4333AA">
            <w:pPr>
              <w:keepNext w:val="0"/>
              <w:keepLines w:val="0"/>
              <w:kinsoku/>
              <w:overflowPunct/>
              <w:topLinePunct w:val="0"/>
              <w:bidi w:val="0"/>
              <w:spacing w:before="75" w:line="231" w:lineRule="auto"/>
              <w:jc w:val="center"/>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序号</w:t>
            </w:r>
          </w:p>
        </w:tc>
        <w:tc>
          <w:tcPr>
            <w:tcW w:w="1843" w:type="dxa"/>
            <w:noWrap w:val="0"/>
            <w:vAlign w:val="center"/>
          </w:tcPr>
          <w:p w14:paraId="4AEC9676">
            <w:pPr>
              <w:keepNext w:val="0"/>
              <w:keepLines w:val="0"/>
              <w:kinsoku/>
              <w:overflowPunct/>
              <w:topLinePunct w:val="0"/>
              <w:bidi w:val="0"/>
              <w:spacing w:before="75" w:line="231" w:lineRule="auto"/>
              <w:ind w:left="584" w:leftChars="0"/>
              <w:jc w:val="both"/>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品</w:t>
            </w:r>
            <w:r>
              <w:rPr>
                <w:rFonts w:hint="default" w:ascii="Times New Roman" w:hAnsi="Times New Roman" w:eastAsia="宋体" w:cs="Times New Roman"/>
                <w:spacing w:val="-4"/>
                <w:sz w:val="23"/>
                <w:szCs w:val="23"/>
                <w:highlight w:val="none"/>
              </w:rPr>
              <w:t>名</w:t>
            </w:r>
          </w:p>
        </w:tc>
        <w:tc>
          <w:tcPr>
            <w:tcW w:w="1701" w:type="dxa"/>
            <w:noWrap w:val="0"/>
            <w:vAlign w:val="center"/>
          </w:tcPr>
          <w:p w14:paraId="03F4C95E">
            <w:pPr>
              <w:keepNext w:val="0"/>
              <w:keepLines w:val="0"/>
              <w:kinsoku/>
              <w:overflowPunct/>
              <w:topLinePunct w:val="0"/>
              <w:bidi w:val="0"/>
              <w:spacing w:before="263" w:line="302" w:lineRule="auto"/>
              <w:ind w:left="414" w:leftChars="0" w:right="146" w:rightChars="0" w:hanging="253" w:firstLineChars="0"/>
              <w:jc w:val="center"/>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规格</w:t>
            </w:r>
            <w:r>
              <w:rPr>
                <w:rFonts w:hint="eastAsia" w:ascii="Times New Roman" w:hAnsi="Times New Roman" w:eastAsia="宋体" w:cs="Times New Roman"/>
                <w:spacing w:val="-6"/>
                <w:sz w:val="23"/>
                <w:szCs w:val="23"/>
                <w:highlight w:val="none"/>
                <w:lang w:val="en-US" w:eastAsia="zh-CN"/>
              </w:rPr>
              <w:t>型号</w:t>
            </w:r>
          </w:p>
        </w:tc>
        <w:tc>
          <w:tcPr>
            <w:tcW w:w="1417" w:type="dxa"/>
            <w:noWrap w:val="0"/>
            <w:vAlign w:val="center"/>
          </w:tcPr>
          <w:p w14:paraId="67D1C238">
            <w:pPr>
              <w:keepNext w:val="0"/>
              <w:keepLines w:val="0"/>
              <w:kinsoku/>
              <w:overflowPunct/>
              <w:topLinePunct w:val="0"/>
              <w:bidi w:val="0"/>
              <w:spacing w:before="75" w:line="231" w:lineRule="auto"/>
              <w:jc w:val="center"/>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品</w:t>
            </w:r>
            <w:r>
              <w:rPr>
                <w:rFonts w:hint="default" w:ascii="Times New Roman" w:hAnsi="Times New Roman" w:eastAsia="宋体" w:cs="Times New Roman"/>
                <w:spacing w:val="-4"/>
                <w:sz w:val="23"/>
                <w:szCs w:val="23"/>
                <w:highlight w:val="none"/>
              </w:rPr>
              <w:t>牌</w:t>
            </w:r>
          </w:p>
        </w:tc>
        <w:tc>
          <w:tcPr>
            <w:tcW w:w="1843" w:type="dxa"/>
            <w:noWrap w:val="0"/>
            <w:vAlign w:val="center"/>
          </w:tcPr>
          <w:p w14:paraId="1F91B12B">
            <w:pPr>
              <w:keepNext w:val="0"/>
              <w:keepLines w:val="0"/>
              <w:kinsoku/>
              <w:overflowPunct/>
              <w:topLinePunct w:val="0"/>
              <w:bidi w:val="0"/>
              <w:spacing w:before="75" w:line="231" w:lineRule="auto"/>
              <w:jc w:val="center"/>
              <w:rPr>
                <w:rFonts w:hint="eastAsia" w:ascii="宋体" w:hAnsi="宋体" w:eastAsia="宋体" w:cs="宋体"/>
                <w:b/>
                <w:szCs w:val="24"/>
              </w:rPr>
            </w:pPr>
            <w:r>
              <w:rPr>
                <w:rFonts w:hint="eastAsia" w:ascii="Times New Roman" w:hAnsi="Times New Roman" w:eastAsia="宋体" w:cs="Times New Roman"/>
                <w:spacing w:val="-6"/>
                <w:sz w:val="23"/>
                <w:szCs w:val="23"/>
                <w:highlight w:val="none"/>
                <w:lang w:val="en-US" w:eastAsia="zh-CN"/>
              </w:rPr>
              <w:t>生产厂家</w:t>
            </w:r>
          </w:p>
        </w:tc>
        <w:tc>
          <w:tcPr>
            <w:tcW w:w="992" w:type="dxa"/>
            <w:noWrap w:val="0"/>
            <w:vAlign w:val="center"/>
          </w:tcPr>
          <w:p w14:paraId="68DADA71">
            <w:pPr>
              <w:keepNext w:val="0"/>
              <w:keepLines w:val="0"/>
              <w:kinsoku/>
              <w:overflowPunct/>
              <w:topLinePunct w:val="0"/>
              <w:bidi w:val="0"/>
              <w:spacing w:before="75" w:line="231" w:lineRule="auto"/>
              <w:jc w:val="center"/>
              <w:rPr>
                <w:rFonts w:hint="eastAsia" w:ascii="宋体" w:hAnsi="宋体" w:eastAsia="宋体" w:cs="宋体"/>
                <w:b/>
                <w:szCs w:val="24"/>
              </w:rPr>
            </w:pPr>
            <w:r>
              <w:rPr>
                <w:rFonts w:hint="eastAsia" w:ascii="Times New Roman" w:hAnsi="Times New Roman" w:eastAsia="宋体" w:cs="Times New Roman"/>
                <w:spacing w:val="-6"/>
                <w:sz w:val="23"/>
                <w:szCs w:val="23"/>
                <w:highlight w:val="none"/>
                <w:lang w:val="en-US" w:eastAsia="zh-CN"/>
              </w:rPr>
              <w:t>单位</w:t>
            </w:r>
          </w:p>
        </w:tc>
        <w:tc>
          <w:tcPr>
            <w:tcW w:w="1134" w:type="dxa"/>
            <w:noWrap w:val="0"/>
            <w:vAlign w:val="center"/>
          </w:tcPr>
          <w:p w14:paraId="316A3D4F">
            <w:pPr>
              <w:keepNext w:val="0"/>
              <w:keepLines w:val="0"/>
              <w:kinsoku/>
              <w:overflowPunct/>
              <w:topLinePunct w:val="0"/>
              <w:bidi w:val="0"/>
              <w:spacing w:before="75" w:line="231" w:lineRule="auto"/>
              <w:jc w:val="center"/>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数量</w:t>
            </w:r>
          </w:p>
        </w:tc>
        <w:tc>
          <w:tcPr>
            <w:tcW w:w="1701" w:type="dxa"/>
            <w:noWrap w:val="0"/>
            <w:vAlign w:val="center"/>
          </w:tcPr>
          <w:p w14:paraId="37FBCC34">
            <w:pPr>
              <w:keepNext w:val="0"/>
              <w:keepLines w:val="0"/>
              <w:kinsoku/>
              <w:overflowPunct/>
              <w:topLinePunct w:val="0"/>
              <w:bidi w:val="0"/>
              <w:spacing w:before="75" w:line="231" w:lineRule="auto"/>
              <w:jc w:val="center"/>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单价</w:t>
            </w:r>
          </w:p>
        </w:tc>
        <w:tc>
          <w:tcPr>
            <w:tcW w:w="1701" w:type="dxa"/>
            <w:noWrap w:val="0"/>
            <w:vAlign w:val="center"/>
          </w:tcPr>
          <w:p w14:paraId="4674A5A9">
            <w:pPr>
              <w:keepNext w:val="0"/>
              <w:keepLines w:val="0"/>
              <w:kinsoku/>
              <w:overflowPunct/>
              <w:topLinePunct w:val="0"/>
              <w:bidi w:val="0"/>
              <w:spacing w:before="75" w:line="231" w:lineRule="auto"/>
              <w:jc w:val="center"/>
              <w:rPr>
                <w:rFonts w:hint="eastAsia" w:ascii="宋体" w:hAnsi="宋体" w:eastAsia="宋体" w:cs="宋体"/>
                <w:b/>
                <w:szCs w:val="24"/>
              </w:rPr>
            </w:pPr>
            <w:r>
              <w:rPr>
                <w:rFonts w:hint="eastAsia" w:ascii="Times New Roman" w:hAnsi="Times New Roman" w:eastAsia="宋体" w:cs="Times New Roman"/>
                <w:spacing w:val="-6"/>
                <w:sz w:val="23"/>
                <w:szCs w:val="23"/>
                <w:highlight w:val="none"/>
                <w:lang w:val="en-US" w:eastAsia="zh-CN"/>
              </w:rPr>
              <w:t>总价</w:t>
            </w:r>
          </w:p>
        </w:tc>
        <w:tc>
          <w:tcPr>
            <w:tcW w:w="1428" w:type="dxa"/>
            <w:noWrap w:val="0"/>
            <w:vAlign w:val="center"/>
          </w:tcPr>
          <w:p w14:paraId="1DEF8C9C">
            <w:pPr>
              <w:keepNext w:val="0"/>
              <w:keepLines w:val="0"/>
              <w:kinsoku/>
              <w:overflowPunct/>
              <w:topLinePunct w:val="0"/>
              <w:bidi w:val="0"/>
              <w:spacing w:before="75" w:line="231" w:lineRule="auto"/>
              <w:jc w:val="center"/>
              <w:rPr>
                <w:rFonts w:hint="eastAsia" w:ascii="宋体" w:hAnsi="宋体" w:eastAsia="宋体" w:cs="宋体"/>
                <w:b/>
                <w:szCs w:val="24"/>
              </w:rPr>
            </w:pPr>
            <w:r>
              <w:rPr>
                <w:rFonts w:hint="eastAsia" w:ascii="Times New Roman" w:hAnsi="Times New Roman" w:eastAsia="宋体" w:cs="Times New Roman"/>
                <w:spacing w:val="-6"/>
                <w:sz w:val="23"/>
                <w:szCs w:val="23"/>
                <w:highlight w:val="none"/>
                <w:lang w:val="en-US" w:eastAsia="zh-CN"/>
              </w:rPr>
              <w:t>备注</w:t>
            </w:r>
          </w:p>
        </w:tc>
      </w:tr>
      <w:tr w14:paraId="044E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2BA16649">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30945F9C">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441B4C8E">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61A13A09">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3AB4BB26">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6FB13A9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5D6A3B1E">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05C46BD8">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75FEA745">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06DD0E5B">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69DB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782FFE9C">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59B4502F">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45BBDC2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2693CFAF">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7EA2AB10">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4EA3377C">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6D988695">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2D5820A1">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389F074B">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74435B37">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2E32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60026805">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497D973A">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7AC7624A">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2ABC1269">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3ACDA7DB">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2E7D7F18">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10E7A094">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1E5E7EE9">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7CD3967B">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5F1E3E5D">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4CD4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49957279">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70DCB37F">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0AFA6F17">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463CC62D">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2A7CC3A9">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2D133D7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309C0326">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1543C84F">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2C253195">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33101350">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5BFD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793B454D">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52457CA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26DB71A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55D9154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26DFDC4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596027EE">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61E8E9A0">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1B3319BA">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07E21BED">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554AA04D">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7A93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32C5A807">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6EB1CC5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2062C253">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4B8A2985">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3CFEF959">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319AE4B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59584D8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15224BD1">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1842684F">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63F31DA9">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504E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0542FDFA">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42AFF4C4">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702CF936">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3B31AB27">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6BCAB4E3">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290ADE1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018AAB7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4BBCDDAC">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3FEDED90">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0CB17DAB">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6DB8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43EB0A0D">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7E0F70F3">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2F269279">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5C2FEA6E">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7E43AE9D">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22F8138F">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5441284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1B9C0C48">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18CCB25E">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2C1F163B">
            <w:pPr>
              <w:keepNext w:val="0"/>
              <w:keepLines w:val="0"/>
              <w:kinsoku/>
              <w:overflowPunct/>
              <w:topLinePunct w:val="0"/>
              <w:bidi w:val="0"/>
              <w:spacing w:line="480" w:lineRule="exact"/>
              <w:ind w:left="210" w:leftChars="100"/>
              <w:rPr>
                <w:rFonts w:hint="eastAsia" w:ascii="宋体" w:hAnsi="宋体" w:eastAsia="宋体" w:cs="宋体"/>
                <w:szCs w:val="24"/>
              </w:rPr>
            </w:pPr>
          </w:p>
        </w:tc>
      </w:tr>
    </w:tbl>
    <w:p w14:paraId="08139E95">
      <w:pPr>
        <w:keepNext w:val="0"/>
        <w:keepLines w:val="0"/>
        <w:kinsoku/>
        <w:overflowPunct/>
        <w:topLinePunct w:val="0"/>
        <w:bidi w:val="0"/>
        <w:spacing w:line="400" w:lineRule="exact"/>
        <w:rPr>
          <w:rFonts w:hint="eastAsia" w:ascii="宋体" w:hAnsi="宋体" w:eastAsia="宋体" w:cs="宋体"/>
          <w:szCs w:val="24"/>
        </w:rPr>
      </w:pPr>
    </w:p>
    <w:p w14:paraId="32E1F5EF">
      <w:pPr>
        <w:keepNext w:val="0"/>
        <w:keepLines w:val="0"/>
        <w:kinsoku/>
        <w:overflowPunct/>
        <w:topLinePunct w:val="0"/>
        <w:bidi w:val="0"/>
        <w:spacing w:line="480" w:lineRule="exact"/>
        <w:ind w:left="210" w:leftChars="100"/>
        <w:rPr>
          <w:rFonts w:hint="eastAsia" w:ascii="宋体" w:hAnsi="宋体" w:eastAsia="宋体" w:cs="宋体"/>
          <w:szCs w:val="24"/>
        </w:rPr>
      </w:pPr>
    </w:p>
    <w:p w14:paraId="1F9D7833">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12"/>
          <w:sz w:val="23"/>
          <w:szCs w:val="23"/>
          <w:highlight w:val="none"/>
        </w:rPr>
        <w:t>投</w:t>
      </w:r>
      <w:r>
        <w:rPr>
          <w:rFonts w:hint="default" w:ascii="Times New Roman" w:hAnsi="Times New Roman" w:eastAsia="宋体" w:cs="Times New Roman"/>
          <w:spacing w:val="11"/>
          <w:sz w:val="23"/>
          <w:szCs w:val="23"/>
          <w:highlight w:val="none"/>
        </w:rPr>
        <w:t>标</w:t>
      </w:r>
      <w:r>
        <w:rPr>
          <w:rFonts w:hint="default" w:ascii="Times New Roman" w:hAnsi="Times New Roman" w:eastAsia="宋体" w:cs="Times New Roman"/>
          <w:spacing w:val="6"/>
          <w:sz w:val="23"/>
          <w:szCs w:val="23"/>
          <w:highlight w:val="none"/>
        </w:rPr>
        <w:t>人：</w:t>
      </w:r>
      <w:r>
        <w:rPr>
          <w:rFonts w:hint="default" w:ascii="Times New Roman" w:hAnsi="Times New Roman" w:eastAsia="宋体" w:cs="Times New Roman"/>
          <w:spacing w:val="6"/>
          <w:sz w:val="23"/>
          <w:szCs w:val="23"/>
          <w:highlight w:val="none"/>
          <w:u w:val="single" w:color="auto"/>
        </w:rPr>
        <w:t xml:space="preserve">  </w:t>
      </w:r>
      <w:r>
        <w:rPr>
          <w:rFonts w:hint="eastAsia" w:ascii="Times New Roman" w:hAnsi="Times New Roman" w:eastAsia="宋体" w:cs="Times New Roman"/>
          <w:spacing w:val="6"/>
          <w:sz w:val="23"/>
          <w:szCs w:val="23"/>
          <w:highlight w:val="none"/>
          <w:u w:val="single" w:color="auto"/>
          <w:lang w:val="en-US" w:eastAsia="zh-CN"/>
        </w:rPr>
        <w:t xml:space="preserve">       </w:t>
      </w:r>
      <w:r>
        <w:rPr>
          <w:rFonts w:hint="default" w:ascii="Times New Roman" w:hAnsi="Times New Roman" w:eastAsia="宋体" w:cs="Times New Roman"/>
          <w:spacing w:val="6"/>
          <w:sz w:val="23"/>
          <w:szCs w:val="23"/>
          <w:highlight w:val="none"/>
          <w:u w:val="single" w:color="auto"/>
        </w:rPr>
        <w:t xml:space="preserve">    单位名称  </w:t>
      </w:r>
      <w:r>
        <w:rPr>
          <w:rFonts w:hint="default" w:ascii="Times New Roman" w:hAnsi="Times New Roman" w:eastAsia="宋体" w:cs="Times New Roman"/>
          <w:spacing w:val="6"/>
          <w:sz w:val="23"/>
          <w:szCs w:val="23"/>
          <w:highlight w:val="none"/>
          <w:u w:val="single"/>
          <w:lang w:val="en-US" w:eastAsia="zh-CN"/>
        </w:rPr>
        <w:t xml:space="preserve">        </w:t>
      </w:r>
      <w:r>
        <w:rPr>
          <w:rFonts w:hint="default" w:ascii="Times New Roman" w:hAnsi="Times New Roman" w:eastAsia="宋体" w:cs="Times New Roman"/>
          <w:spacing w:val="6"/>
          <w:sz w:val="23"/>
          <w:szCs w:val="23"/>
          <w:highlight w:val="none"/>
        </w:rPr>
        <w:t>(公章)</w:t>
      </w:r>
    </w:p>
    <w:p w14:paraId="4A234CC1">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4"/>
          <w:sz w:val="23"/>
          <w:szCs w:val="23"/>
          <w:highlight w:val="none"/>
        </w:rPr>
        <w:t>法定代表人</w:t>
      </w:r>
      <w:r>
        <w:rPr>
          <w:rFonts w:hint="default" w:ascii="Times New Roman" w:hAnsi="Times New Roman" w:eastAsia="宋体" w:cs="Times New Roman"/>
          <w:spacing w:val="7"/>
          <w:sz w:val="23"/>
          <w:szCs w:val="23"/>
          <w:highlight w:val="none"/>
        </w:rPr>
        <w:t>或授权委托人</w:t>
      </w:r>
      <w:r>
        <w:rPr>
          <w:rFonts w:hint="default" w:ascii="Times New Roman" w:hAnsi="Times New Roman" w:eastAsia="宋体" w:cs="Times New Roman"/>
          <w:spacing w:val="-4"/>
          <w:sz w:val="23"/>
          <w:szCs w:val="23"/>
          <w:highlight w:val="none"/>
        </w:rPr>
        <w:t>：</w:t>
      </w:r>
      <w:r>
        <w:rPr>
          <w:rFonts w:hint="default" w:ascii="Times New Roman" w:hAnsi="Times New Roman" w:eastAsia="宋体" w:cs="Times New Roman"/>
          <w:spacing w:val="-4"/>
          <w:sz w:val="23"/>
          <w:szCs w:val="23"/>
          <w:highlight w:val="none"/>
          <w:u w:val="single" w:color="auto"/>
        </w:rPr>
        <w:t xml:space="preserve">   </w:t>
      </w:r>
      <w:r>
        <w:rPr>
          <w:rFonts w:hint="default" w:ascii="Times New Roman" w:hAnsi="Times New Roman" w:eastAsia="宋体" w:cs="Times New Roman"/>
          <w:spacing w:val="-3"/>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lang w:val="en-US" w:eastAsia="zh-CN"/>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rPr>
        <w:t>(签字或盖章)</w:t>
      </w:r>
    </w:p>
    <w:p w14:paraId="295BBCF6">
      <w:pPr>
        <w:keepNext w:val="0"/>
        <w:keepLines w:val="0"/>
        <w:kinsoku/>
        <w:overflowPunct/>
        <w:topLinePunct w:val="0"/>
        <w:bidi w:val="0"/>
        <w:spacing w:line="320" w:lineRule="exact"/>
        <w:rPr>
          <w:rFonts w:hint="eastAsia" w:ascii="宋体" w:hAnsi="宋体" w:eastAsia="宋体" w:cs="宋体"/>
          <w:bCs/>
          <w:szCs w:val="24"/>
        </w:rPr>
      </w:pPr>
      <w:r>
        <w:rPr>
          <w:rFonts w:hint="default" w:ascii="Times New Roman" w:hAnsi="Times New Roman" w:eastAsia="宋体" w:cs="Times New Roman"/>
          <w:color w:val="auto"/>
          <w:spacing w:val="0"/>
          <w:sz w:val="24"/>
          <w:szCs w:val="24"/>
          <w:highlight w:val="none"/>
        </w:rPr>
        <w:t>日期：</w:t>
      </w:r>
      <w:r>
        <w:rPr>
          <w:rFonts w:hint="default" w:ascii="Times New Roman" w:hAnsi="Times New Roman" w:eastAsia="宋体" w:cs="Times New Roman"/>
          <w:spacing w:val="-5"/>
          <w:sz w:val="24"/>
          <w:szCs w:val="24"/>
          <w:highlight w:val="none"/>
          <w:u w:val="single" w:color="auto"/>
        </w:rPr>
        <w:t xml:space="preserve"> </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u w:val="single" w:color="auto"/>
        </w:rPr>
        <w:t>年</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u w:val="single" w:color="auto"/>
        </w:rPr>
        <w:t>月</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u w:val="single" w:color="auto"/>
        </w:rPr>
        <w:t>日</w:t>
      </w:r>
    </w:p>
    <w:p w14:paraId="736A81E6">
      <w:pPr>
        <w:keepNext w:val="0"/>
        <w:keepLines w:val="0"/>
        <w:kinsoku/>
        <w:overflowPunct/>
        <w:topLinePunct w:val="0"/>
        <w:bidi w:val="0"/>
        <w:spacing w:line="320" w:lineRule="exact"/>
        <w:ind w:left="210" w:leftChars="100" w:firstLine="420" w:firstLineChars="200"/>
        <w:rPr>
          <w:rFonts w:hint="eastAsia" w:ascii="宋体" w:hAnsi="宋体" w:eastAsia="宋体" w:cs="宋体"/>
          <w:bCs/>
          <w:i/>
          <w:szCs w:val="24"/>
        </w:rPr>
      </w:pPr>
    </w:p>
    <w:p w14:paraId="1CC8354D">
      <w:pPr>
        <w:pStyle w:val="5"/>
        <w:keepNext w:val="0"/>
        <w:keepLines w:val="0"/>
        <w:kinsoku/>
        <w:overflowPunct/>
        <w:topLinePunct w:val="0"/>
        <w:bidi w:val="0"/>
        <w:rPr>
          <w:rFonts w:hint="eastAsia" w:ascii="宋体" w:hAnsi="宋体" w:eastAsia="宋体" w:cs="宋体"/>
          <w:bCs/>
          <w:i/>
          <w:szCs w:val="24"/>
        </w:rPr>
      </w:pPr>
    </w:p>
    <w:p w14:paraId="556DAAED">
      <w:pPr>
        <w:keepNext w:val="0"/>
        <w:keepLines w:val="0"/>
        <w:kinsoku/>
        <w:overflowPunct/>
        <w:topLinePunct w:val="0"/>
        <w:bidi w:val="0"/>
        <w:rPr>
          <w:rFonts w:hint="eastAsia" w:ascii="宋体" w:hAnsi="宋体" w:eastAsia="宋体" w:cs="宋体"/>
          <w:bCs/>
          <w:i/>
          <w:szCs w:val="24"/>
        </w:rPr>
      </w:pPr>
    </w:p>
    <w:p w14:paraId="645C8804">
      <w:pPr>
        <w:pStyle w:val="5"/>
        <w:keepNext w:val="0"/>
        <w:keepLines w:val="0"/>
        <w:kinsoku/>
        <w:overflowPunct/>
        <w:topLinePunct w:val="0"/>
        <w:bidi w:val="0"/>
        <w:rPr>
          <w:rFonts w:hint="eastAsia" w:ascii="宋体" w:hAnsi="宋体" w:eastAsia="宋体" w:cs="宋体"/>
          <w:bCs/>
          <w:i/>
          <w:szCs w:val="24"/>
        </w:rPr>
      </w:pPr>
      <w:r>
        <w:rPr>
          <w:rFonts w:hint="eastAsia" w:ascii="Times New Roman" w:hAnsi="Times New Roman" w:eastAsia="宋体" w:cs="Times New Roman"/>
          <w:color w:val="auto"/>
          <w:spacing w:val="0"/>
          <w:sz w:val="23"/>
          <w:szCs w:val="23"/>
          <w:highlight w:val="none"/>
          <w:lang w:val="en-US" w:eastAsia="zh-CN"/>
        </w:rPr>
        <w:t>11.2节能环保、环境标志产品明细表 （格式，若有）</w:t>
      </w:r>
    </w:p>
    <w:p w14:paraId="30385499">
      <w:pPr>
        <w:keepNext w:val="0"/>
        <w:keepLines w:val="0"/>
        <w:kinsoku/>
        <w:overflowPunct/>
        <w:topLinePunct w:val="0"/>
        <w:bidi w:val="0"/>
        <w:rPr>
          <w:rFonts w:hint="eastAsia"/>
        </w:rPr>
      </w:pPr>
    </w:p>
    <w:p w14:paraId="330E3C39">
      <w:pPr>
        <w:keepNext w:val="0"/>
        <w:keepLines w:val="0"/>
        <w:kinsoku/>
        <w:overflowPunct/>
        <w:topLinePunct w:val="0"/>
        <w:bidi w:val="0"/>
        <w:rPr>
          <w:rFonts w:hint="eastAsia"/>
        </w:rPr>
      </w:pPr>
      <w:r>
        <w:rPr>
          <w:rFonts w:hint="default" w:ascii="Times New Roman" w:hAnsi="Times New Roman" w:eastAsia="宋体" w:cs="Times New Roman"/>
          <w:color w:val="auto"/>
          <w:spacing w:val="0"/>
          <w:sz w:val="21"/>
          <w:szCs w:val="21"/>
          <w:highlight w:val="none"/>
          <w:u w:val="none"/>
        </w:rPr>
        <w:t>项目编号：</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合同包名称</w:t>
      </w:r>
      <w:r>
        <w:rPr>
          <w:rFonts w:hint="default" w:ascii="Times New Roman" w:hAnsi="Times New Roman" w:eastAsia="宋体" w:cs="Times New Roman"/>
          <w:color w:val="auto"/>
          <w:spacing w:val="0"/>
          <w:sz w:val="21"/>
          <w:szCs w:val="21"/>
          <w:highlight w:val="none"/>
          <w:u w:val="none"/>
        </w:rPr>
        <w:t>：</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w:t>
      </w:r>
    </w:p>
    <w:tbl>
      <w:tblPr>
        <w:tblStyle w:val="20"/>
        <w:tblW w:w="0" w:type="auto"/>
        <w:jc w:val="center"/>
        <w:tblLayout w:type="fixed"/>
        <w:tblCellMar>
          <w:top w:w="0" w:type="dxa"/>
          <w:left w:w="108" w:type="dxa"/>
          <w:bottom w:w="0" w:type="dxa"/>
          <w:right w:w="108" w:type="dxa"/>
        </w:tblCellMar>
      </w:tblPr>
      <w:tblGrid>
        <w:gridCol w:w="1126"/>
        <w:gridCol w:w="2447"/>
        <w:gridCol w:w="1630"/>
        <w:gridCol w:w="1630"/>
        <w:gridCol w:w="1450"/>
        <w:gridCol w:w="2313"/>
        <w:gridCol w:w="1126"/>
        <w:gridCol w:w="1126"/>
        <w:gridCol w:w="1126"/>
      </w:tblGrid>
      <w:tr w14:paraId="69FAE8E2">
        <w:tblPrEx>
          <w:tblCellMar>
            <w:top w:w="0" w:type="dxa"/>
            <w:left w:w="108" w:type="dxa"/>
            <w:bottom w:w="0" w:type="dxa"/>
            <w:right w:w="108" w:type="dxa"/>
          </w:tblCellMar>
        </w:tblPrEx>
        <w:trPr>
          <w:trHeight w:val="495"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center"/>
          </w:tcPr>
          <w:p w14:paraId="2ECF6063">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序号</w:t>
            </w:r>
          </w:p>
        </w:tc>
        <w:tc>
          <w:tcPr>
            <w:tcW w:w="2447" w:type="dxa"/>
            <w:tcBorders>
              <w:top w:val="single" w:color="auto" w:sz="6" w:space="0"/>
              <w:left w:val="single" w:color="auto" w:sz="6" w:space="0"/>
              <w:bottom w:val="single" w:color="auto" w:sz="6" w:space="0"/>
              <w:right w:val="single" w:color="auto" w:sz="6" w:space="0"/>
            </w:tcBorders>
            <w:noWrap w:val="0"/>
            <w:vAlign w:val="center"/>
          </w:tcPr>
          <w:p w14:paraId="613A29D3">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产品名称</w:t>
            </w:r>
          </w:p>
        </w:tc>
        <w:tc>
          <w:tcPr>
            <w:tcW w:w="1630" w:type="dxa"/>
            <w:tcBorders>
              <w:top w:val="single" w:color="auto" w:sz="6" w:space="0"/>
              <w:left w:val="single" w:color="auto" w:sz="6" w:space="0"/>
              <w:bottom w:val="single" w:color="auto" w:sz="6" w:space="0"/>
              <w:right w:val="single" w:color="auto" w:sz="4" w:space="0"/>
            </w:tcBorders>
            <w:noWrap w:val="0"/>
            <w:vAlign w:val="center"/>
          </w:tcPr>
          <w:p w14:paraId="2F94748E">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rPr>
              <w:t>制造厂家</w:t>
            </w:r>
          </w:p>
        </w:tc>
        <w:tc>
          <w:tcPr>
            <w:tcW w:w="1630" w:type="dxa"/>
            <w:tcBorders>
              <w:top w:val="single" w:color="auto" w:sz="6" w:space="0"/>
              <w:left w:val="single" w:color="auto" w:sz="4" w:space="0"/>
              <w:bottom w:val="single" w:color="auto" w:sz="6" w:space="0"/>
              <w:right w:val="single" w:color="auto" w:sz="6" w:space="0"/>
            </w:tcBorders>
            <w:noWrap w:val="0"/>
            <w:vAlign w:val="center"/>
          </w:tcPr>
          <w:p w14:paraId="4F2EDF5C">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规格型号</w:t>
            </w:r>
          </w:p>
        </w:tc>
        <w:tc>
          <w:tcPr>
            <w:tcW w:w="1450" w:type="dxa"/>
            <w:tcBorders>
              <w:top w:val="single" w:color="auto" w:sz="6" w:space="0"/>
              <w:left w:val="single" w:color="auto" w:sz="6" w:space="0"/>
              <w:bottom w:val="single" w:color="auto" w:sz="6" w:space="0"/>
              <w:right w:val="single" w:color="auto" w:sz="6" w:space="0"/>
            </w:tcBorders>
            <w:noWrap w:val="0"/>
            <w:vAlign w:val="center"/>
          </w:tcPr>
          <w:p w14:paraId="681C6F01">
            <w:pPr>
              <w:keepNext w:val="0"/>
              <w:keepLines w:val="0"/>
              <w:kinsoku/>
              <w:overflowPunct/>
              <w:topLinePunct w:val="0"/>
              <w:autoSpaceDE w:val="0"/>
              <w:autoSpaceDN w:val="0"/>
              <w:bidi w:val="0"/>
              <w:adjustRightInd w:val="0"/>
              <w:snapToGrid w:val="0"/>
              <w:jc w:val="center"/>
              <w:rPr>
                <w:rFonts w:hint="eastAsia" w:ascii="宋体" w:hAnsi="宋体" w:eastAsia="宋体" w:cs="宋体"/>
                <w:sz w:val="24"/>
                <w:lang w:val="zh-CN"/>
              </w:rPr>
            </w:pPr>
            <w:r>
              <w:rPr>
                <w:rFonts w:hint="eastAsia" w:ascii="宋体" w:hAnsi="宋体" w:eastAsia="宋体" w:cs="宋体"/>
                <w:sz w:val="24"/>
                <w:lang w:val="zh-CN"/>
              </w:rPr>
              <w:t>类别</w:t>
            </w:r>
          </w:p>
        </w:tc>
        <w:tc>
          <w:tcPr>
            <w:tcW w:w="2313" w:type="dxa"/>
            <w:tcBorders>
              <w:top w:val="single" w:color="auto" w:sz="6" w:space="0"/>
              <w:left w:val="single" w:color="auto" w:sz="6" w:space="0"/>
              <w:bottom w:val="single" w:color="auto" w:sz="6" w:space="0"/>
              <w:right w:val="single" w:color="auto" w:sz="6" w:space="0"/>
            </w:tcBorders>
            <w:noWrap w:val="0"/>
            <w:vAlign w:val="center"/>
          </w:tcPr>
          <w:p w14:paraId="47CF9586">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认证证书编号</w:t>
            </w:r>
          </w:p>
        </w:tc>
        <w:tc>
          <w:tcPr>
            <w:tcW w:w="1126" w:type="dxa"/>
            <w:tcBorders>
              <w:top w:val="single" w:color="auto" w:sz="6" w:space="0"/>
              <w:left w:val="single" w:color="auto" w:sz="6" w:space="0"/>
              <w:bottom w:val="single" w:color="auto" w:sz="6" w:space="0"/>
              <w:right w:val="single" w:color="auto" w:sz="6" w:space="0"/>
            </w:tcBorders>
            <w:noWrap w:val="0"/>
            <w:vAlign w:val="center"/>
          </w:tcPr>
          <w:p w14:paraId="471C181E">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数量</w:t>
            </w:r>
          </w:p>
        </w:tc>
        <w:tc>
          <w:tcPr>
            <w:tcW w:w="1126" w:type="dxa"/>
            <w:tcBorders>
              <w:top w:val="single" w:color="auto" w:sz="6" w:space="0"/>
              <w:left w:val="single" w:color="auto" w:sz="6" w:space="0"/>
              <w:bottom w:val="single" w:color="auto" w:sz="6" w:space="0"/>
              <w:right w:val="single" w:color="auto" w:sz="6" w:space="0"/>
            </w:tcBorders>
            <w:noWrap w:val="0"/>
            <w:vAlign w:val="center"/>
          </w:tcPr>
          <w:p w14:paraId="5CABC120">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单价</w:t>
            </w:r>
          </w:p>
        </w:tc>
        <w:tc>
          <w:tcPr>
            <w:tcW w:w="1126" w:type="dxa"/>
            <w:tcBorders>
              <w:top w:val="single" w:color="auto" w:sz="6" w:space="0"/>
              <w:left w:val="single" w:color="auto" w:sz="6" w:space="0"/>
              <w:bottom w:val="single" w:color="auto" w:sz="6" w:space="0"/>
              <w:right w:val="single" w:color="auto" w:sz="6" w:space="0"/>
            </w:tcBorders>
            <w:noWrap w:val="0"/>
            <w:vAlign w:val="center"/>
          </w:tcPr>
          <w:p w14:paraId="31749B8F">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总价</w:t>
            </w:r>
          </w:p>
        </w:tc>
      </w:tr>
      <w:tr w14:paraId="55D2FBD2">
        <w:tblPrEx>
          <w:tblCellMar>
            <w:top w:w="0" w:type="dxa"/>
            <w:left w:w="108" w:type="dxa"/>
            <w:bottom w:w="0" w:type="dxa"/>
            <w:right w:w="108" w:type="dxa"/>
          </w:tblCellMar>
        </w:tblPrEx>
        <w:trPr>
          <w:trHeight w:val="424" w:hRule="atLeast"/>
          <w:jc w:val="center"/>
        </w:trPr>
        <w:tc>
          <w:tcPr>
            <w:tcW w:w="13974" w:type="dxa"/>
            <w:gridSpan w:val="9"/>
            <w:tcBorders>
              <w:top w:val="single" w:color="auto" w:sz="6" w:space="0"/>
              <w:left w:val="single" w:color="auto" w:sz="6" w:space="0"/>
              <w:bottom w:val="single" w:color="auto" w:sz="6" w:space="0"/>
              <w:right w:val="single" w:color="auto" w:sz="6" w:space="0"/>
            </w:tcBorders>
            <w:noWrap w:val="0"/>
            <w:vAlign w:val="center"/>
          </w:tcPr>
          <w:p w14:paraId="3584CD15">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r>
              <w:rPr>
                <w:rFonts w:hint="eastAsia" w:ascii="宋体" w:hAnsi="宋体" w:eastAsia="宋体" w:cs="宋体"/>
                <w:sz w:val="24"/>
              </w:rPr>
              <w:t>（1）强制采购类</w:t>
            </w:r>
          </w:p>
        </w:tc>
      </w:tr>
      <w:tr w14:paraId="4351EBC0">
        <w:tblPrEx>
          <w:tblCellMar>
            <w:top w:w="0" w:type="dxa"/>
            <w:left w:w="108" w:type="dxa"/>
            <w:bottom w:w="0" w:type="dxa"/>
            <w:right w:w="108" w:type="dxa"/>
          </w:tblCellMar>
        </w:tblPrEx>
        <w:trPr>
          <w:trHeight w:val="424"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center"/>
          </w:tcPr>
          <w:p w14:paraId="3DE96ACC">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447" w:type="dxa"/>
            <w:tcBorders>
              <w:top w:val="single" w:color="auto" w:sz="6" w:space="0"/>
              <w:left w:val="single" w:color="auto" w:sz="6" w:space="0"/>
              <w:bottom w:val="single" w:color="auto" w:sz="6" w:space="0"/>
              <w:right w:val="single" w:color="auto" w:sz="6" w:space="0"/>
            </w:tcBorders>
            <w:noWrap w:val="0"/>
            <w:vAlign w:val="center"/>
          </w:tcPr>
          <w:p w14:paraId="62781DAC">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6" w:space="0"/>
              <w:bottom w:val="single" w:color="auto" w:sz="6" w:space="0"/>
              <w:right w:val="single" w:color="auto" w:sz="4" w:space="0"/>
            </w:tcBorders>
            <w:noWrap w:val="0"/>
            <w:vAlign w:val="center"/>
          </w:tcPr>
          <w:p w14:paraId="4DC0D195">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4" w:space="0"/>
              <w:bottom w:val="single" w:color="auto" w:sz="6" w:space="0"/>
              <w:right w:val="single" w:color="auto" w:sz="6" w:space="0"/>
            </w:tcBorders>
            <w:noWrap w:val="0"/>
            <w:vAlign w:val="center"/>
          </w:tcPr>
          <w:p w14:paraId="7C8B9616">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3695A82C">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313" w:type="dxa"/>
            <w:tcBorders>
              <w:top w:val="single" w:color="auto" w:sz="6" w:space="0"/>
              <w:left w:val="single" w:color="auto" w:sz="6" w:space="0"/>
              <w:bottom w:val="single" w:color="auto" w:sz="6" w:space="0"/>
              <w:right w:val="single" w:color="auto" w:sz="6" w:space="0"/>
            </w:tcBorders>
            <w:noWrap w:val="0"/>
            <w:vAlign w:val="center"/>
          </w:tcPr>
          <w:p w14:paraId="408611CA">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16ADCABD">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4F10B986">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19E536FA">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r>
      <w:tr w14:paraId="133D8311">
        <w:tblPrEx>
          <w:tblCellMar>
            <w:top w:w="0" w:type="dxa"/>
            <w:left w:w="108" w:type="dxa"/>
            <w:bottom w:w="0" w:type="dxa"/>
            <w:right w:w="108" w:type="dxa"/>
          </w:tblCellMar>
        </w:tblPrEx>
        <w:trPr>
          <w:trHeight w:val="424"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center"/>
          </w:tcPr>
          <w:p w14:paraId="018872C4">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447" w:type="dxa"/>
            <w:tcBorders>
              <w:top w:val="single" w:color="auto" w:sz="6" w:space="0"/>
              <w:left w:val="single" w:color="auto" w:sz="6" w:space="0"/>
              <w:bottom w:val="single" w:color="auto" w:sz="6" w:space="0"/>
              <w:right w:val="single" w:color="auto" w:sz="6" w:space="0"/>
            </w:tcBorders>
            <w:noWrap w:val="0"/>
            <w:vAlign w:val="center"/>
          </w:tcPr>
          <w:p w14:paraId="027038A1">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6" w:space="0"/>
              <w:bottom w:val="single" w:color="auto" w:sz="6" w:space="0"/>
              <w:right w:val="single" w:color="auto" w:sz="4" w:space="0"/>
            </w:tcBorders>
            <w:noWrap w:val="0"/>
            <w:vAlign w:val="center"/>
          </w:tcPr>
          <w:p w14:paraId="3D26878F">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4" w:space="0"/>
              <w:bottom w:val="single" w:color="auto" w:sz="6" w:space="0"/>
              <w:right w:val="single" w:color="auto" w:sz="6" w:space="0"/>
            </w:tcBorders>
            <w:noWrap w:val="0"/>
            <w:vAlign w:val="center"/>
          </w:tcPr>
          <w:p w14:paraId="184A9688">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33CF9710">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313" w:type="dxa"/>
            <w:tcBorders>
              <w:top w:val="single" w:color="auto" w:sz="6" w:space="0"/>
              <w:left w:val="single" w:color="auto" w:sz="6" w:space="0"/>
              <w:bottom w:val="single" w:color="auto" w:sz="6" w:space="0"/>
              <w:right w:val="single" w:color="auto" w:sz="6" w:space="0"/>
            </w:tcBorders>
            <w:noWrap w:val="0"/>
            <w:vAlign w:val="center"/>
          </w:tcPr>
          <w:p w14:paraId="085EBCCF">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37339775">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00F4DC10">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2EE0F658">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r>
      <w:tr w14:paraId="46C9D6C2">
        <w:tblPrEx>
          <w:tblCellMar>
            <w:top w:w="0" w:type="dxa"/>
            <w:left w:w="108" w:type="dxa"/>
            <w:bottom w:w="0" w:type="dxa"/>
            <w:right w:w="108" w:type="dxa"/>
          </w:tblCellMar>
        </w:tblPrEx>
        <w:trPr>
          <w:trHeight w:val="424"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center"/>
          </w:tcPr>
          <w:p w14:paraId="6BB8D3DE">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447" w:type="dxa"/>
            <w:tcBorders>
              <w:top w:val="single" w:color="auto" w:sz="6" w:space="0"/>
              <w:left w:val="single" w:color="auto" w:sz="6" w:space="0"/>
              <w:bottom w:val="single" w:color="auto" w:sz="6" w:space="0"/>
              <w:right w:val="single" w:color="auto" w:sz="6" w:space="0"/>
            </w:tcBorders>
            <w:noWrap w:val="0"/>
            <w:vAlign w:val="center"/>
          </w:tcPr>
          <w:p w14:paraId="5440B458">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6" w:space="0"/>
              <w:bottom w:val="single" w:color="auto" w:sz="6" w:space="0"/>
              <w:right w:val="single" w:color="auto" w:sz="4" w:space="0"/>
            </w:tcBorders>
            <w:noWrap w:val="0"/>
            <w:vAlign w:val="center"/>
          </w:tcPr>
          <w:p w14:paraId="7D754D82">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4" w:space="0"/>
              <w:bottom w:val="single" w:color="auto" w:sz="6" w:space="0"/>
              <w:right w:val="single" w:color="auto" w:sz="6" w:space="0"/>
            </w:tcBorders>
            <w:noWrap w:val="0"/>
            <w:vAlign w:val="center"/>
          </w:tcPr>
          <w:p w14:paraId="51655321">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4594A236">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313" w:type="dxa"/>
            <w:tcBorders>
              <w:top w:val="single" w:color="auto" w:sz="6" w:space="0"/>
              <w:left w:val="single" w:color="auto" w:sz="6" w:space="0"/>
              <w:bottom w:val="single" w:color="auto" w:sz="6" w:space="0"/>
              <w:right w:val="single" w:color="auto" w:sz="6" w:space="0"/>
            </w:tcBorders>
            <w:noWrap w:val="0"/>
            <w:vAlign w:val="center"/>
          </w:tcPr>
          <w:p w14:paraId="5D1F09C2">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33A5FB60">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6481AAA5">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74EA8A9F">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r>
      <w:tr w14:paraId="5AB7F9AB">
        <w:tblPrEx>
          <w:tblCellMar>
            <w:top w:w="0" w:type="dxa"/>
            <w:left w:w="108" w:type="dxa"/>
            <w:bottom w:w="0" w:type="dxa"/>
            <w:right w:w="108" w:type="dxa"/>
          </w:tblCellMar>
        </w:tblPrEx>
        <w:trPr>
          <w:trHeight w:val="424" w:hRule="atLeast"/>
          <w:jc w:val="center"/>
        </w:trPr>
        <w:tc>
          <w:tcPr>
            <w:tcW w:w="13974" w:type="dxa"/>
            <w:gridSpan w:val="9"/>
            <w:tcBorders>
              <w:top w:val="single" w:color="auto" w:sz="6" w:space="0"/>
              <w:left w:val="single" w:color="auto" w:sz="6" w:space="0"/>
              <w:bottom w:val="single" w:color="auto" w:sz="6" w:space="0"/>
              <w:right w:val="single" w:color="auto" w:sz="6" w:space="0"/>
            </w:tcBorders>
            <w:noWrap w:val="0"/>
            <w:vAlign w:val="center"/>
          </w:tcPr>
          <w:p w14:paraId="6E1DEAE6">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r>
              <w:rPr>
                <w:rFonts w:hint="eastAsia" w:ascii="宋体" w:hAnsi="宋体" w:eastAsia="宋体" w:cs="宋体"/>
                <w:sz w:val="24"/>
              </w:rPr>
              <w:t>（2）优先采购类</w:t>
            </w:r>
          </w:p>
        </w:tc>
      </w:tr>
      <w:tr w14:paraId="71864D4B">
        <w:tblPrEx>
          <w:tblCellMar>
            <w:top w:w="0" w:type="dxa"/>
            <w:left w:w="108" w:type="dxa"/>
            <w:bottom w:w="0" w:type="dxa"/>
            <w:right w:w="108" w:type="dxa"/>
          </w:tblCellMar>
        </w:tblPrEx>
        <w:trPr>
          <w:trHeight w:val="424"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top"/>
          </w:tcPr>
          <w:p w14:paraId="65DF868F">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14:paraId="2F9BCDE6">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630" w:type="dxa"/>
            <w:tcBorders>
              <w:top w:val="single" w:color="auto" w:sz="6" w:space="0"/>
              <w:left w:val="single" w:color="auto" w:sz="6" w:space="0"/>
              <w:bottom w:val="single" w:color="auto" w:sz="6" w:space="0"/>
              <w:right w:val="single" w:color="auto" w:sz="4" w:space="0"/>
            </w:tcBorders>
            <w:noWrap w:val="0"/>
            <w:vAlign w:val="top"/>
          </w:tcPr>
          <w:p w14:paraId="1FF6E6B7">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630" w:type="dxa"/>
            <w:tcBorders>
              <w:top w:val="single" w:color="auto" w:sz="6" w:space="0"/>
              <w:left w:val="single" w:color="auto" w:sz="4" w:space="0"/>
              <w:bottom w:val="single" w:color="auto" w:sz="6" w:space="0"/>
              <w:right w:val="single" w:color="auto" w:sz="6" w:space="0"/>
            </w:tcBorders>
            <w:noWrap w:val="0"/>
            <w:vAlign w:val="top"/>
          </w:tcPr>
          <w:p w14:paraId="6D82B876">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6493D6A8">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2313" w:type="dxa"/>
            <w:tcBorders>
              <w:top w:val="single" w:color="auto" w:sz="6" w:space="0"/>
              <w:left w:val="single" w:color="auto" w:sz="6" w:space="0"/>
              <w:bottom w:val="single" w:color="auto" w:sz="6" w:space="0"/>
              <w:right w:val="single" w:color="auto" w:sz="6" w:space="0"/>
            </w:tcBorders>
            <w:noWrap w:val="0"/>
            <w:vAlign w:val="top"/>
          </w:tcPr>
          <w:p w14:paraId="06CF9C10">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1E3C996D">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588D59B3">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507C006F">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r>
      <w:tr w14:paraId="5676079B">
        <w:tblPrEx>
          <w:tblCellMar>
            <w:top w:w="0" w:type="dxa"/>
            <w:left w:w="108" w:type="dxa"/>
            <w:bottom w:w="0" w:type="dxa"/>
            <w:right w:w="108" w:type="dxa"/>
          </w:tblCellMar>
        </w:tblPrEx>
        <w:trPr>
          <w:trHeight w:val="424"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top"/>
          </w:tcPr>
          <w:p w14:paraId="4AB5F798">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14:paraId="16B75151">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630" w:type="dxa"/>
            <w:tcBorders>
              <w:top w:val="single" w:color="auto" w:sz="6" w:space="0"/>
              <w:left w:val="single" w:color="auto" w:sz="6" w:space="0"/>
              <w:bottom w:val="single" w:color="auto" w:sz="6" w:space="0"/>
              <w:right w:val="single" w:color="auto" w:sz="4" w:space="0"/>
            </w:tcBorders>
            <w:noWrap w:val="0"/>
            <w:vAlign w:val="top"/>
          </w:tcPr>
          <w:p w14:paraId="20D33AB7">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630" w:type="dxa"/>
            <w:tcBorders>
              <w:top w:val="single" w:color="auto" w:sz="6" w:space="0"/>
              <w:left w:val="single" w:color="auto" w:sz="4" w:space="0"/>
              <w:bottom w:val="single" w:color="auto" w:sz="6" w:space="0"/>
              <w:right w:val="single" w:color="auto" w:sz="6" w:space="0"/>
            </w:tcBorders>
            <w:noWrap w:val="0"/>
            <w:vAlign w:val="top"/>
          </w:tcPr>
          <w:p w14:paraId="7E136422">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7BE207BE">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2313" w:type="dxa"/>
            <w:tcBorders>
              <w:top w:val="single" w:color="auto" w:sz="6" w:space="0"/>
              <w:left w:val="single" w:color="auto" w:sz="6" w:space="0"/>
              <w:bottom w:val="single" w:color="auto" w:sz="6" w:space="0"/>
              <w:right w:val="single" w:color="auto" w:sz="6" w:space="0"/>
            </w:tcBorders>
            <w:noWrap w:val="0"/>
            <w:vAlign w:val="top"/>
          </w:tcPr>
          <w:p w14:paraId="368A4C18">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45B810DE">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4B89643F">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584617EF">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r>
      <w:tr w14:paraId="7A4A9B57">
        <w:tblPrEx>
          <w:tblCellMar>
            <w:top w:w="0" w:type="dxa"/>
            <w:left w:w="108" w:type="dxa"/>
            <w:bottom w:w="0" w:type="dxa"/>
            <w:right w:w="108" w:type="dxa"/>
          </w:tblCellMar>
        </w:tblPrEx>
        <w:trPr>
          <w:trHeight w:val="424" w:hRule="atLeast"/>
          <w:jc w:val="center"/>
        </w:trPr>
        <w:tc>
          <w:tcPr>
            <w:tcW w:w="8283" w:type="dxa"/>
            <w:gridSpan w:val="5"/>
            <w:tcBorders>
              <w:top w:val="single" w:color="auto" w:sz="6" w:space="0"/>
              <w:left w:val="single" w:color="auto" w:sz="6" w:space="0"/>
              <w:bottom w:val="single" w:color="auto" w:sz="6" w:space="0"/>
              <w:right w:val="single" w:color="auto" w:sz="6" w:space="0"/>
            </w:tcBorders>
            <w:noWrap w:val="0"/>
            <w:vAlign w:val="center"/>
          </w:tcPr>
          <w:p w14:paraId="771E265F">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rPr>
              <w:t>合计（人民币）</w:t>
            </w:r>
          </w:p>
        </w:tc>
        <w:tc>
          <w:tcPr>
            <w:tcW w:w="5691" w:type="dxa"/>
            <w:gridSpan w:val="4"/>
            <w:tcBorders>
              <w:top w:val="single" w:color="auto" w:sz="6" w:space="0"/>
              <w:left w:val="single" w:color="auto" w:sz="6" w:space="0"/>
              <w:bottom w:val="single" w:color="auto" w:sz="6" w:space="0"/>
              <w:right w:val="single" w:color="auto" w:sz="6" w:space="0"/>
            </w:tcBorders>
            <w:noWrap w:val="0"/>
            <w:vAlign w:val="center"/>
          </w:tcPr>
          <w:p w14:paraId="70D35C48">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p>
        </w:tc>
      </w:tr>
      <w:tr w14:paraId="2412DFB2">
        <w:tblPrEx>
          <w:tblCellMar>
            <w:top w:w="0" w:type="dxa"/>
            <w:left w:w="108" w:type="dxa"/>
            <w:bottom w:w="0" w:type="dxa"/>
            <w:right w:w="108" w:type="dxa"/>
          </w:tblCellMar>
        </w:tblPrEx>
        <w:trPr>
          <w:trHeight w:val="466" w:hRule="atLeast"/>
          <w:jc w:val="center"/>
        </w:trPr>
        <w:tc>
          <w:tcPr>
            <w:tcW w:w="8283" w:type="dxa"/>
            <w:gridSpan w:val="5"/>
            <w:tcBorders>
              <w:top w:val="single" w:color="auto" w:sz="6" w:space="0"/>
              <w:left w:val="single" w:color="auto" w:sz="6" w:space="0"/>
              <w:bottom w:val="single" w:color="auto" w:sz="6" w:space="0"/>
              <w:right w:val="single" w:color="auto" w:sz="6" w:space="0"/>
            </w:tcBorders>
            <w:noWrap w:val="0"/>
            <w:vAlign w:val="center"/>
          </w:tcPr>
          <w:p w14:paraId="39C86403">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rPr>
              <w:t>占总价的百分比（%）</w:t>
            </w:r>
          </w:p>
        </w:tc>
        <w:tc>
          <w:tcPr>
            <w:tcW w:w="5691" w:type="dxa"/>
            <w:gridSpan w:val="4"/>
            <w:tcBorders>
              <w:top w:val="single" w:color="auto" w:sz="6" w:space="0"/>
              <w:left w:val="single" w:color="auto" w:sz="6" w:space="0"/>
              <w:bottom w:val="single" w:color="auto" w:sz="6" w:space="0"/>
              <w:right w:val="single" w:color="auto" w:sz="6" w:space="0"/>
            </w:tcBorders>
            <w:noWrap w:val="0"/>
            <w:vAlign w:val="center"/>
          </w:tcPr>
          <w:p w14:paraId="4996E681">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p>
        </w:tc>
      </w:tr>
    </w:tbl>
    <w:p w14:paraId="5BDD1D9C">
      <w:pPr>
        <w:keepNext w:val="0"/>
        <w:keepLines w:val="0"/>
        <w:kinsoku/>
        <w:overflowPunct/>
        <w:topLinePunct w:val="0"/>
        <w:bidi w:val="0"/>
        <w:adjustRightInd w:val="0"/>
        <w:snapToGrid w:val="0"/>
        <w:jc w:val="left"/>
        <w:rPr>
          <w:rFonts w:hint="eastAsia" w:ascii="宋体" w:hAnsi="宋体" w:eastAsia="宋体" w:cs="宋体"/>
          <w:szCs w:val="21"/>
        </w:rPr>
      </w:pPr>
      <w:r>
        <w:rPr>
          <w:rFonts w:hint="eastAsia" w:ascii="宋体" w:hAnsi="宋体" w:eastAsia="宋体" w:cs="宋体"/>
          <w:szCs w:val="21"/>
        </w:rPr>
        <w:t>说明：</w:t>
      </w:r>
    </w:p>
    <w:p w14:paraId="14299E24">
      <w:pPr>
        <w:keepNext w:val="0"/>
        <w:keepLines w:val="0"/>
        <w:kinsoku/>
        <w:overflowPunct/>
        <w:topLinePunct w:val="0"/>
        <w:bidi w:val="0"/>
        <w:adjustRightInd w:val="0"/>
        <w:snapToGrid w:val="0"/>
        <w:ind w:firstLine="420" w:firstLineChars="200"/>
        <w:jc w:val="left"/>
        <w:rPr>
          <w:rFonts w:hint="eastAsia" w:ascii="宋体" w:hAnsi="宋体" w:eastAsia="宋体" w:cs="宋体"/>
          <w:szCs w:val="21"/>
          <w:lang w:val="zh-CN"/>
        </w:rPr>
      </w:pPr>
      <w:r>
        <w:rPr>
          <w:rFonts w:hint="eastAsia" w:ascii="宋体" w:hAnsi="宋体" w:eastAsia="宋体" w:cs="宋体"/>
          <w:szCs w:val="21"/>
        </w:rPr>
        <w:t>1、</w:t>
      </w:r>
      <w:r>
        <w:rPr>
          <w:rFonts w:hint="eastAsia" w:ascii="宋体" w:hAnsi="宋体" w:eastAsia="宋体" w:cs="宋体"/>
          <w:szCs w:val="21"/>
          <w:lang w:val="zh-CN"/>
        </w:rPr>
        <w:t>如投标产品为</w:t>
      </w:r>
      <w:r>
        <w:rPr>
          <w:rFonts w:hint="eastAsia" w:ascii="宋体" w:hAnsi="宋体" w:eastAsia="宋体" w:cs="宋体"/>
          <w:szCs w:val="21"/>
        </w:rPr>
        <w:t>品目清单中的</w:t>
      </w:r>
      <w:r>
        <w:rPr>
          <w:rFonts w:hint="eastAsia" w:ascii="宋体" w:hAnsi="宋体" w:eastAsia="宋体" w:cs="宋体"/>
          <w:szCs w:val="21"/>
          <w:lang w:val="zh-CN"/>
        </w:rPr>
        <w:t>节能产品、环境标志产品，须按格式逐项填写，并附相关证明，否则评审时不予计分。</w:t>
      </w:r>
    </w:p>
    <w:p w14:paraId="78A7A908">
      <w:pPr>
        <w:keepNext w:val="0"/>
        <w:keepLines w:val="0"/>
        <w:numPr>
          <w:ilvl w:val="0"/>
          <w:numId w:val="1"/>
        </w:numPr>
        <w:kinsoku/>
        <w:overflowPunct/>
        <w:topLinePunct w:val="0"/>
        <w:bidi w:val="0"/>
        <w:adjustRightInd w:val="0"/>
        <w:snapToGrid w:val="0"/>
        <w:ind w:firstLine="420" w:firstLineChars="200"/>
        <w:jc w:val="left"/>
        <w:rPr>
          <w:rFonts w:hint="eastAsia" w:ascii="宋体" w:hAnsi="宋体" w:eastAsia="宋体" w:cs="宋体"/>
          <w:szCs w:val="21"/>
          <w:lang w:val="zh-CN"/>
        </w:rPr>
      </w:pPr>
      <w:r>
        <w:rPr>
          <w:rFonts w:hint="eastAsia" w:ascii="宋体" w:hAnsi="宋体" w:eastAsia="宋体" w:cs="宋体"/>
          <w:szCs w:val="21"/>
          <w:lang w:val="zh-CN"/>
        </w:rPr>
        <w:t>类别填写：节能产品或环境标志产品。</w:t>
      </w:r>
    </w:p>
    <w:p w14:paraId="790A9523">
      <w:pPr>
        <w:keepNext w:val="0"/>
        <w:keepLines w:val="0"/>
        <w:tabs>
          <w:tab w:val="center" w:pos="4153"/>
          <w:tab w:val="right" w:pos="8306"/>
        </w:tabs>
        <w:kinsoku/>
        <w:overflowPunct/>
        <w:topLinePunct w:val="0"/>
        <w:bidi w:val="0"/>
        <w:adjustRightInd w:val="0"/>
        <w:snapToGrid w:val="0"/>
        <w:ind w:firstLine="420" w:firstLineChars="200"/>
        <w:rPr>
          <w:rFonts w:hint="eastAsia" w:ascii="宋体" w:hAnsi="宋体" w:eastAsia="宋体" w:cs="宋体"/>
          <w:szCs w:val="21"/>
          <w:lang w:val="zh-CN"/>
        </w:rPr>
      </w:pPr>
      <w:r>
        <w:rPr>
          <w:rFonts w:hint="eastAsia" w:ascii="宋体" w:hAnsi="宋体" w:eastAsia="宋体" w:cs="宋体"/>
          <w:szCs w:val="21"/>
        </w:rPr>
        <w:t>3、</w:t>
      </w:r>
      <w:r>
        <w:rPr>
          <w:rFonts w:hint="eastAsia" w:ascii="宋体" w:hAnsi="宋体" w:eastAsia="宋体" w:cs="宋体"/>
          <w:szCs w:val="21"/>
          <w:lang w:val="zh-CN"/>
        </w:rPr>
        <w:t>若所投产品为政府强制采购的节能产品，需提供响应产品经国家确定的认证机构出具的、处于有效期内的节能产品认证证书。</w:t>
      </w:r>
      <w:r>
        <w:rPr>
          <w:rFonts w:hint="eastAsia" w:ascii="宋体" w:hAnsi="宋体" w:eastAsia="宋体" w:cs="宋体"/>
          <w:szCs w:val="21"/>
        </w:rPr>
        <w:t>强制类产品</w:t>
      </w:r>
      <w:r>
        <w:rPr>
          <w:rFonts w:hint="eastAsia" w:ascii="宋体" w:hAnsi="宋体" w:eastAsia="宋体" w:cs="宋体"/>
          <w:szCs w:val="21"/>
          <w:lang w:val="zh-CN"/>
        </w:rPr>
        <w:t>具体品目详见《关于印发节能产品政府采购品目清单的通知》（财库[2019]19号文）</w:t>
      </w:r>
      <w:r>
        <w:rPr>
          <w:rFonts w:hint="eastAsia" w:ascii="宋体" w:hAnsi="宋体" w:eastAsia="宋体" w:cs="宋体"/>
          <w:szCs w:val="21"/>
        </w:rPr>
        <w:t>。</w:t>
      </w:r>
    </w:p>
    <w:p w14:paraId="6C552318">
      <w:pPr>
        <w:keepNext w:val="0"/>
        <w:keepLines w:val="0"/>
        <w:kinsoku/>
        <w:overflowPunct/>
        <w:topLinePunct w:val="0"/>
        <w:bidi w:val="0"/>
        <w:rPr>
          <w:rFonts w:hint="eastAsia"/>
        </w:rPr>
      </w:pPr>
    </w:p>
    <w:p w14:paraId="107743E0">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pacing w:val="12"/>
          <w:sz w:val="21"/>
          <w:szCs w:val="21"/>
          <w:highlight w:val="none"/>
        </w:rPr>
      </w:pPr>
    </w:p>
    <w:p w14:paraId="1C26DD7C">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2"/>
          <w:sz w:val="21"/>
          <w:szCs w:val="21"/>
          <w:highlight w:val="none"/>
        </w:rPr>
        <w:t>投</w:t>
      </w:r>
      <w:r>
        <w:rPr>
          <w:rFonts w:hint="default" w:ascii="Times New Roman" w:hAnsi="Times New Roman" w:eastAsia="宋体" w:cs="Times New Roman"/>
          <w:spacing w:val="11"/>
          <w:sz w:val="21"/>
          <w:szCs w:val="21"/>
          <w:highlight w:val="none"/>
        </w:rPr>
        <w:t>标</w:t>
      </w:r>
      <w:r>
        <w:rPr>
          <w:rFonts w:hint="default" w:ascii="Times New Roman" w:hAnsi="Times New Roman" w:eastAsia="宋体" w:cs="Times New Roman"/>
          <w:spacing w:val="6"/>
          <w:sz w:val="21"/>
          <w:szCs w:val="21"/>
          <w:highlight w:val="none"/>
        </w:rPr>
        <w:t>人：</w:t>
      </w:r>
      <w:r>
        <w:rPr>
          <w:rFonts w:hint="default" w:ascii="Times New Roman" w:hAnsi="Times New Roman" w:eastAsia="宋体" w:cs="Times New Roman"/>
          <w:spacing w:val="6"/>
          <w:sz w:val="21"/>
          <w:szCs w:val="21"/>
          <w:highlight w:val="none"/>
          <w:u w:val="single" w:color="auto"/>
        </w:rPr>
        <w:t xml:space="preserve">  </w:t>
      </w:r>
      <w:r>
        <w:rPr>
          <w:rFonts w:hint="eastAsia" w:ascii="Times New Roman" w:hAnsi="Times New Roman" w:eastAsia="宋体" w:cs="Times New Roman"/>
          <w:spacing w:val="6"/>
          <w:sz w:val="21"/>
          <w:szCs w:val="21"/>
          <w:highlight w:val="none"/>
          <w:u w:val="single" w:color="auto"/>
          <w:lang w:val="en-US" w:eastAsia="zh-CN"/>
        </w:rPr>
        <w:t xml:space="preserve">       </w:t>
      </w:r>
      <w:r>
        <w:rPr>
          <w:rFonts w:hint="default" w:ascii="Times New Roman" w:hAnsi="Times New Roman" w:eastAsia="宋体" w:cs="Times New Roman"/>
          <w:spacing w:val="6"/>
          <w:sz w:val="21"/>
          <w:szCs w:val="21"/>
          <w:highlight w:val="none"/>
          <w:u w:val="single" w:color="auto"/>
        </w:rPr>
        <w:t xml:space="preserve">    单位名称  </w:t>
      </w:r>
      <w:r>
        <w:rPr>
          <w:rFonts w:hint="default" w:ascii="Times New Roman" w:hAnsi="Times New Roman" w:eastAsia="宋体" w:cs="Times New Roman"/>
          <w:spacing w:val="6"/>
          <w:sz w:val="21"/>
          <w:szCs w:val="21"/>
          <w:highlight w:val="none"/>
          <w:u w:val="single"/>
          <w:lang w:val="en-US" w:eastAsia="zh-CN"/>
        </w:rPr>
        <w:t xml:space="preserve">        </w:t>
      </w:r>
      <w:r>
        <w:rPr>
          <w:rFonts w:hint="default" w:ascii="Times New Roman" w:hAnsi="Times New Roman" w:eastAsia="宋体" w:cs="Times New Roman"/>
          <w:spacing w:val="6"/>
          <w:sz w:val="21"/>
          <w:szCs w:val="21"/>
          <w:highlight w:val="none"/>
        </w:rPr>
        <w:t>(公章)</w:t>
      </w:r>
    </w:p>
    <w:p w14:paraId="630F88BD">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4"/>
          <w:sz w:val="21"/>
          <w:szCs w:val="21"/>
          <w:highlight w:val="none"/>
        </w:rPr>
        <w:t>法定代表人</w:t>
      </w:r>
      <w:r>
        <w:rPr>
          <w:rFonts w:hint="default" w:ascii="Times New Roman" w:hAnsi="Times New Roman" w:eastAsia="宋体" w:cs="Times New Roman"/>
          <w:spacing w:val="7"/>
          <w:sz w:val="21"/>
          <w:szCs w:val="21"/>
          <w:highlight w:val="none"/>
        </w:rPr>
        <w:t>或授权委托人</w:t>
      </w:r>
      <w:r>
        <w:rPr>
          <w:rFonts w:hint="default" w:ascii="Times New Roman" w:hAnsi="Times New Roman" w:eastAsia="宋体" w:cs="Times New Roman"/>
          <w:spacing w:val="-4"/>
          <w:sz w:val="21"/>
          <w:szCs w:val="21"/>
          <w:highlight w:val="none"/>
        </w:rPr>
        <w:t>：</w:t>
      </w:r>
      <w:r>
        <w:rPr>
          <w:rFonts w:hint="default" w:ascii="Times New Roman" w:hAnsi="Times New Roman" w:eastAsia="宋体" w:cs="Times New Roman"/>
          <w:spacing w:val="-4"/>
          <w:sz w:val="21"/>
          <w:szCs w:val="21"/>
          <w:highlight w:val="none"/>
          <w:u w:val="single" w:color="auto"/>
        </w:rPr>
        <w:t xml:space="preserve">   </w:t>
      </w:r>
      <w:r>
        <w:rPr>
          <w:rFonts w:hint="default" w:ascii="Times New Roman" w:hAnsi="Times New Roman" w:eastAsia="宋体" w:cs="Times New Roman"/>
          <w:spacing w:val="-3"/>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lang w:val="en-US" w:eastAsia="zh-CN"/>
        </w:rPr>
        <w:t xml:space="preserve">   </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2"/>
          <w:sz w:val="21"/>
          <w:szCs w:val="21"/>
          <w:highlight w:val="none"/>
        </w:rPr>
        <w:t>(签字或盖章)</w:t>
      </w:r>
    </w:p>
    <w:p w14:paraId="77DF405B">
      <w:pPr>
        <w:keepNext w:val="0"/>
        <w:keepLines w:val="0"/>
        <w:kinsoku/>
        <w:overflowPunct/>
        <w:topLinePunct w:val="0"/>
        <w:bidi w:val="0"/>
        <w:spacing w:line="320" w:lineRule="exact"/>
        <w:rPr>
          <w:rFonts w:hint="eastAsia" w:ascii="宋体" w:hAnsi="宋体" w:eastAsia="宋体" w:cs="宋体"/>
          <w:bCs/>
          <w:sz w:val="21"/>
          <w:szCs w:val="21"/>
        </w:rPr>
      </w:pPr>
      <w:r>
        <w:rPr>
          <w:rFonts w:hint="default" w:ascii="Times New Roman" w:hAnsi="Times New Roman" w:eastAsia="宋体" w:cs="Times New Roman"/>
          <w:color w:val="auto"/>
          <w:spacing w:val="0"/>
          <w:sz w:val="21"/>
          <w:szCs w:val="21"/>
          <w:highlight w:val="none"/>
        </w:rPr>
        <w:t>日期：</w:t>
      </w:r>
      <w:r>
        <w:rPr>
          <w:rFonts w:hint="default" w:ascii="Times New Roman" w:hAnsi="Times New Roman" w:eastAsia="宋体" w:cs="Times New Roman"/>
          <w:spacing w:val="-5"/>
          <w:sz w:val="21"/>
          <w:szCs w:val="21"/>
          <w:highlight w:val="none"/>
          <w:u w:val="single" w:color="auto"/>
        </w:rPr>
        <w:t xml:space="preserve"> </w:t>
      </w:r>
      <w:r>
        <w:rPr>
          <w:rFonts w:hint="default" w:ascii="Times New Roman" w:hAnsi="Times New Roman" w:eastAsia="宋体" w:cs="Times New Roman"/>
          <w:color w:val="auto"/>
          <w:spacing w:val="0"/>
          <w:sz w:val="21"/>
          <w:szCs w:val="21"/>
          <w:highlight w:val="none"/>
          <w:u w:val="single"/>
          <w:lang w:val="en-US" w:eastAsia="zh-CN"/>
        </w:rPr>
        <w:t xml:space="preserve">     </w:t>
      </w:r>
      <w:r>
        <w:rPr>
          <w:rFonts w:hint="default" w:ascii="Times New Roman" w:hAnsi="Times New Roman" w:eastAsia="宋体" w:cs="Times New Roman"/>
          <w:color w:val="auto"/>
          <w:spacing w:val="0"/>
          <w:sz w:val="21"/>
          <w:szCs w:val="21"/>
          <w:highlight w:val="none"/>
          <w:u w:val="single" w:color="auto"/>
        </w:rPr>
        <w:t>年</w:t>
      </w:r>
      <w:r>
        <w:rPr>
          <w:rFonts w:hint="default" w:ascii="Times New Roman" w:hAnsi="Times New Roman" w:eastAsia="宋体" w:cs="Times New Roman"/>
          <w:color w:val="auto"/>
          <w:spacing w:val="0"/>
          <w:sz w:val="21"/>
          <w:szCs w:val="21"/>
          <w:highlight w:val="none"/>
          <w:u w:val="single" w:color="auto"/>
          <w:lang w:val="en-US" w:eastAsia="zh-CN"/>
        </w:rPr>
        <w:t xml:space="preserve">     </w:t>
      </w:r>
      <w:r>
        <w:rPr>
          <w:rFonts w:hint="default" w:ascii="Times New Roman" w:hAnsi="Times New Roman" w:eastAsia="宋体" w:cs="Times New Roman"/>
          <w:color w:val="auto"/>
          <w:spacing w:val="0"/>
          <w:sz w:val="21"/>
          <w:szCs w:val="21"/>
          <w:highlight w:val="none"/>
          <w:u w:val="single" w:color="auto"/>
        </w:rPr>
        <w:t>月</w:t>
      </w:r>
      <w:r>
        <w:rPr>
          <w:rFonts w:hint="default" w:ascii="Times New Roman" w:hAnsi="Times New Roman" w:eastAsia="宋体" w:cs="Times New Roman"/>
          <w:color w:val="auto"/>
          <w:spacing w:val="0"/>
          <w:sz w:val="21"/>
          <w:szCs w:val="21"/>
          <w:highlight w:val="none"/>
          <w:u w:val="single" w:color="auto"/>
          <w:lang w:val="en-US" w:eastAsia="zh-CN"/>
        </w:rPr>
        <w:t xml:space="preserve">     </w:t>
      </w:r>
      <w:r>
        <w:rPr>
          <w:rFonts w:hint="default" w:ascii="Times New Roman" w:hAnsi="Times New Roman" w:eastAsia="宋体" w:cs="Times New Roman"/>
          <w:color w:val="auto"/>
          <w:spacing w:val="0"/>
          <w:sz w:val="21"/>
          <w:szCs w:val="21"/>
          <w:highlight w:val="none"/>
          <w:u w:val="single" w:color="auto"/>
        </w:rPr>
        <w:t>日</w:t>
      </w:r>
    </w:p>
    <w:p w14:paraId="6B290A5B">
      <w:pPr>
        <w:keepNext w:val="0"/>
        <w:keepLines w:val="0"/>
        <w:kinsoku/>
        <w:overflowPunct/>
        <w:topLinePunct w:val="0"/>
        <w:bidi w:val="0"/>
        <w:jc w:val="both"/>
        <w:rPr>
          <w:rFonts w:hint="default" w:ascii="Times New Roman" w:hAnsi="Times New Roman" w:eastAsia="宋体" w:cs="Times New Roman"/>
          <w:color w:val="auto"/>
          <w:spacing w:val="0"/>
          <w:sz w:val="23"/>
          <w:szCs w:val="23"/>
          <w:highlight w:val="none"/>
          <w:lang w:val="en-US" w:eastAsia="zh-CN"/>
        </w:rPr>
      </w:pPr>
    </w:p>
    <w:p w14:paraId="04A72070">
      <w:pPr>
        <w:keepNext w:val="0"/>
        <w:keepLines w:val="0"/>
        <w:kinsoku/>
        <w:overflowPunct/>
        <w:topLinePunct w:val="0"/>
        <w:bidi w:val="0"/>
        <w:rPr>
          <w:rFonts w:hint="default" w:ascii="Times New Roman" w:hAnsi="Times New Roman" w:eastAsia="宋体" w:cs="Times New Roman"/>
          <w:spacing w:val="7"/>
          <w:sz w:val="31"/>
          <w:szCs w:val="31"/>
          <w:highlight w:val="none"/>
          <w14:textOutline w14:w="5793" w14:cap="sq" w14:cmpd="sng">
            <w14:solidFill>
              <w14:srgbClr w14:val="000000"/>
            </w14:solidFill>
            <w14:prstDash w14:val="solid"/>
            <w14:bevel/>
          </w14:textOutline>
        </w:rPr>
        <w:sectPr>
          <w:headerReference r:id="rId7" w:type="default"/>
          <w:footerReference r:id="rId8" w:type="default"/>
          <w:pgSz w:w="16839" w:h="11906" w:orient="landscape"/>
          <w:pgMar w:top="1361" w:right="1417" w:bottom="1361" w:left="1417" w:header="964" w:footer="986" w:gutter="0"/>
          <w:pgBorders>
            <w:top w:val="none" w:sz="0" w:space="0"/>
            <w:left w:val="none" w:sz="0" w:space="0"/>
            <w:bottom w:val="none" w:sz="0" w:space="0"/>
            <w:right w:val="none" w:sz="0" w:space="0"/>
          </w:pgBorders>
          <w:pgNumType w:fmt="decimal"/>
          <w:cols w:space="0" w:num="1"/>
          <w:rtlGutter w:val="0"/>
          <w:docGrid w:linePitch="0" w:charSpace="0"/>
        </w:sectPr>
      </w:pPr>
    </w:p>
    <w:p w14:paraId="5FB78DE8">
      <w:pPr>
        <w:keepNext w:val="0"/>
        <w:keepLines w:val="0"/>
        <w:pageBreakBefore/>
        <w:widowControl w:val="0"/>
        <w:kinsoku/>
        <w:wordWrap/>
        <w:overflowPunct/>
        <w:topLinePunct w:val="0"/>
        <w:autoSpaceDE w:val="0"/>
        <w:autoSpaceDN w:val="0"/>
        <w:bidi w:val="0"/>
        <w:adjustRightInd w:val="0"/>
        <w:snapToGrid w:val="0"/>
        <w:spacing w:before="75" w:line="360" w:lineRule="auto"/>
        <w:ind w:left="11"/>
        <w:jc w:val="both"/>
        <w:textAlignment w:val="baseline"/>
        <w:outlineLvl w:val="2"/>
        <w:rPr>
          <w:rFonts w:hint="eastAsia" w:ascii="Times New Roman" w:hAnsi="Times New Roman" w:eastAsia="宋体" w:cs="Times New Roman"/>
          <w:b/>
          <w:bCs/>
          <w:color w:val="auto"/>
          <w:spacing w:val="0"/>
          <w:sz w:val="23"/>
          <w:szCs w:val="23"/>
          <w:highlight w:val="none"/>
          <w:lang w:val="en-US" w:eastAsia="zh-CN"/>
        </w:rPr>
      </w:pPr>
      <w:r>
        <w:rPr>
          <w:rFonts w:hint="eastAsia" w:ascii="Times New Roman" w:hAnsi="Times New Roman" w:eastAsia="宋体" w:cs="Times New Roman"/>
          <w:b/>
          <w:bCs/>
          <w:color w:val="auto"/>
          <w:spacing w:val="0"/>
          <w:position w:val="1"/>
          <w:sz w:val="23"/>
          <w:szCs w:val="23"/>
          <w:highlight w:val="none"/>
          <w:lang w:val="en-US" w:eastAsia="zh-CN"/>
        </w:rPr>
        <w:t>12</w:t>
      </w:r>
      <w:r>
        <w:rPr>
          <w:rFonts w:hint="default" w:ascii="Times New Roman" w:hAnsi="Times New Roman" w:eastAsia="宋体" w:cs="Times New Roman"/>
          <w:b/>
          <w:bCs/>
          <w:color w:val="auto"/>
          <w:spacing w:val="0"/>
          <w:position w:val="1"/>
          <w:sz w:val="23"/>
          <w:szCs w:val="23"/>
          <w:highlight w:val="none"/>
        </w:rPr>
        <w:t>.投标保证金</w:t>
      </w:r>
      <w:r>
        <w:rPr>
          <w:rFonts w:hint="eastAsia" w:ascii="Times New Roman" w:hAnsi="Times New Roman" w:eastAsia="宋体" w:cs="Times New Roman"/>
          <w:b/>
          <w:bCs/>
          <w:color w:val="auto"/>
          <w:spacing w:val="0"/>
          <w:position w:val="1"/>
          <w:sz w:val="23"/>
          <w:szCs w:val="23"/>
          <w:highlight w:val="none"/>
          <w:lang w:val="en-US" w:eastAsia="zh-CN"/>
        </w:rPr>
        <w:t>交纳凭证</w:t>
      </w:r>
    </w:p>
    <w:p w14:paraId="3480B5D9">
      <w:pPr>
        <w:keepNext w:val="0"/>
        <w:keepLines w:val="0"/>
        <w:kinsoku/>
        <w:overflowPunct/>
        <w:topLinePunct w:val="0"/>
        <w:bidi w:val="0"/>
        <w:spacing w:before="123" w:line="360" w:lineRule="auto"/>
        <w:ind w:left="253"/>
        <w:jc w:val="center"/>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投标保证金</w:t>
      </w:r>
      <w:r>
        <w:rPr>
          <w:rFonts w:hint="eastAsia" w:ascii="Times New Roman" w:hAnsi="Times New Roman" w:eastAsia="宋体" w:cs="Times New Roman"/>
          <w:color w:val="auto"/>
          <w:spacing w:val="0"/>
          <w:sz w:val="23"/>
          <w:szCs w:val="23"/>
          <w:highlight w:val="none"/>
          <w:lang w:val="en-US" w:eastAsia="zh-CN"/>
        </w:rPr>
        <w:t>交</w:t>
      </w:r>
      <w:r>
        <w:rPr>
          <w:rFonts w:hint="default" w:ascii="Times New Roman" w:hAnsi="Times New Roman" w:eastAsia="宋体" w:cs="Times New Roman"/>
          <w:color w:val="auto"/>
          <w:spacing w:val="0"/>
          <w:sz w:val="23"/>
          <w:szCs w:val="23"/>
          <w:highlight w:val="none"/>
        </w:rPr>
        <w:t>纳凭证或保函。(加盖公章)</w:t>
      </w:r>
    </w:p>
    <w:p w14:paraId="428E6A74">
      <w:pPr>
        <w:keepNext w:val="0"/>
        <w:keepLines w:val="0"/>
        <w:kinsoku/>
        <w:overflowPunct/>
        <w:topLinePunct w:val="0"/>
        <w:bidi w:val="0"/>
        <w:rPr>
          <w:rFonts w:hint="default" w:ascii="Times New Roman" w:hAnsi="Times New Roman" w:eastAsia="宋体" w:cs="Times New Roman"/>
          <w:b/>
          <w:bCs/>
          <w:color w:val="auto"/>
          <w:spacing w:val="0"/>
          <w:position w:val="1"/>
          <w:sz w:val="23"/>
          <w:szCs w:val="23"/>
          <w:highlight w:val="none"/>
        </w:rPr>
      </w:pPr>
      <w:r>
        <w:rPr>
          <w:rFonts w:hint="default" w:ascii="Times New Roman" w:hAnsi="Times New Roman" w:eastAsia="宋体" w:cs="Times New Roman"/>
          <w:b/>
          <w:bCs/>
          <w:color w:val="auto"/>
          <w:spacing w:val="0"/>
          <w:position w:val="1"/>
          <w:sz w:val="23"/>
          <w:szCs w:val="23"/>
          <w:highlight w:val="none"/>
        </w:rPr>
        <w:br w:type="page"/>
      </w:r>
    </w:p>
    <w:p w14:paraId="4BC0F8D7">
      <w:pPr>
        <w:keepNext w:val="0"/>
        <w:keepLines w:val="0"/>
        <w:kinsoku/>
        <w:overflowPunct/>
        <w:topLinePunct w:val="0"/>
        <w:bidi w:val="0"/>
        <w:spacing w:before="75" w:line="308" w:lineRule="exact"/>
        <w:ind w:left="27"/>
        <w:jc w:val="both"/>
        <w:outlineLvl w:val="2"/>
        <w:rPr>
          <w:rFonts w:hint="default" w:ascii="Times New Roman" w:hAnsi="Times New Roman" w:eastAsia="宋体" w:cs="Times New Roman"/>
          <w:b/>
          <w:bCs/>
          <w:color w:val="auto"/>
          <w:spacing w:val="0"/>
          <w:sz w:val="23"/>
          <w:szCs w:val="23"/>
          <w:highlight w:val="none"/>
        </w:rPr>
      </w:pPr>
      <w:r>
        <w:rPr>
          <w:rFonts w:hint="default" w:ascii="Times New Roman" w:hAnsi="Times New Roman" w:eastAsia="宋体" w:cs="Times New Roman"/>
          <w:b/>
          <w:bCs/>
          <w:color w:val="auto"/>
          <w:spacing w:val="0"/>
          <w:position w:val="1"/>
          <w:sz w:val="23"/>
          <w:szCs w:val="23"/>
          <w:highlight w:val="none"/>
        </w:rPr>
        <w:t>1</w:t>
      </w:r>
      <w:r>
        <w:rPr>
          <w:rFonts w:hint="eastAsia" w:ascii="Times New Roman" w:hAnsi="Times New Roman" w:eastAsia="宋体" w:cs="Times New Roman"/>
          <w:b/>
          <w:bCs/>
          <w:color w:val="auto"/>
          <w:spacing w:val="0"/>
          <w:position w:val="1"/>
          <w:sz w:val="23"/>
          <w:szCs w:val="23"/>
          <w:highlight w:val="none"/>
          <w:lang w:val="en-US" w:eastAsia="zh-CN"/>
        </w:rPr>
        <w:t>3</w:t>
      </w:r>
      <w:r>
        <w:rPr>
          <w:rFonts w:hint="default" w:ascii="Times New Roman" w:hAnsi="Times New Roman" w:eastAsia="宋体" w:cs="Times New Roman"/>
          <w:b/>
          <w:bCs/>
          <w:color w:val="auto"/>
          <w:spacing w:val="0"/>
          <w:position w:val="1"/>
          <w:sz w:val="23"/>
          <w:szCs w:val="23"/>
          <w:highlight w:val="none"/>
        </w:rPr>
        <w:t>.供应商承诺书</w:t>
      </w:r>
    </w:p>
    <w:p w14:paraId="7C83C3F6">
      <w:pPr>
        <w:keepNext w:val="0"/>
        <w:keepLines w:val="0"/>
        <w:kinsoku/>
        <w:overflowPunct/>
        <w:topLinePunct w:val="0"/>
        <w:bidi w:val="0"/>
        <w:spacing w:before="95" w:line="219" w:lineRule="auto"/>
        <w:ind w:left="2227"/>
        <w:jc w:val="both"/>
        <w:rPr>
          <w:rFonts w:hint="default" w:ascii="Times New Roman" w:hAnsi="Times New Roman" w:eastAsia="宋体" w:cs="Times New Roman"/>
          <w:b/>
          <w:bCs/>
          <w:color w:val="auto"/>
          <w:spacing w:val="0"/>
          <w:sz w:val="28"/>
          <w:szCs w:val="28"/>
          <w:highlight w:val="none"/>
        </w:rPr>
      </w:pPr>
      <w:r>
        <w:rPr>
          <w:rFonts w:hint="default" w:ascii="Times New Roman" w:hAnsi="Times New Roman" w:eastAsia="宋体" w:cs="Times New Roman"/>
          <w:b/>
          <w:bCs/>
          <w:color w:val="auto"/>
          <w:spacing w:val="0"/>
          <w:sz w:val="28"/>
          <w:szCs w:val="28"/>
          <w:highlight w:val="none"/>
        </w:rPr>
        <w:t>宝鸡市政府采购供应商诚信承诺书(范本)</w:t>
      </w:r>
    </w:p>
    <w:p w14:paraId="16A6FA98">
      <w:pPr>
        <w:keepNext w:val="0"/>
        <w:keepLines w:val="0"/>
        <w:kinsoku/>
        <w:overflowPunct/>
        <w:topLinePunct w:val="0"/>
        <w:bidi w:val="0"/>
        <w:spacing w:before="160" w:line="227" w:lineRule="auto"/>
        <w:ind w:left="10"/>
        <w:jc w:val="both"/>
        <w:rPr>
          <w:rFonts w:hint="default" w:ascii="Times New Roman" w:hAnsi="Times New Roman" w:eastAsia="宋体" w:cs="Times New Roman"/>
          <w:color w:val="auto"/>
          <w:spacing w:val="0"/>
          <w:sz w:val="23"/>
          <w:szCs w:val="23"/>
          <w:highlight w:val="none"/>
          <w:lang w:eastAsia="zh-CN"/>
        </w:rPr>
      </w:pPr>
      <w:r>
        <w:rPr>
          <w:rFonts w:hint="default" w:ascii="Times New Roman" w:hAnsi="Times New Roman" w:eastAsia="宋体" w:cs="Times New Roman"/>
          <w:color w:val="auto"/>
          <w:spacing w:val="0"/>
          <w:sz w:val="23"/>
          <w:szCs w:val="23"/>
          <w:highlight w:val="none"/>
        </w:rPr>
        <w:t>致：</w:t>
      </w:r>
      <w:r>
        <w:rPr>
          <w:rFonts w:hint="default" w:ascii="Times New Roman" w:hAnsi="Times New Roman" w:eastAsia="宋体" w:cs="Times New Roman"/>
          <w:color w:val="auto"/>
          <w:spacing w:val="0"/>
          <w:sz w:val="23"/>
          <w:szCs w:val="23"/>
          <w:highlight w:val="none"/>
          <w:u w:val="single" w:color="auto"/>
        </w:rPr>
        <w:t>(采购人或采购代理机构名称)</w:t>
      </w:r>
    </w:p>
    <w:p w14:paraId="27CCFD17">
      <w:pPr>
        <w:keepNext w:val="0"/>
        <w:keepLines w:val="0"/>
        <w:kinsoku/>
        <w:overflowPunct/>
        <w:topLinePunct w:val="0"/>
        <w:bidi w:val="0"/>
        <w:spacing w:before="180" w:line="369" w:lineRule="auto"/>
        <w:ind w:left="11" w:right="20" w:firstLine="559"/>
        <w:rPr>
          <w:rFonts w:hint="default" w:ascii="Times New Roman" w:hAnsi="Times New Roman" w:eastAsia="宋体" w:cs="Times New Roman"/>
          <w:spacing w:val="6"/>
          <w:sz w:val="23"/>
          <w:szCs w:val="23"/>
          <w:highlight w:val="none"/>
          <w:u w:val="single" w:color="auto"/>
        </w:rPr>
      </w:pPr>
      <w:r>
        <w:rPr>
          <w:rFonts w:hint="default" w:ascii="Times New Roman" w:hAnsi="Times New Roman" w:eastAsia="宋体" w:cs="Times New Roman"/>
          <w:spacing w:val="10"/>
          <w:sz w:val="23"/>
          <w:szCs w:val="23"/>
          <w:highlight w:val="none"/>
        </w:rPr>
        <w:t>统一</w:t>
      </w:r>
      <w:r>
        <w:rPr>
          <w:rFonts w:hint="default" w:ascii="Times New Roman" w:hAnsi="Times New Roman" w:eastAsia="宋体" w:cs="Times New Roman"/>
          <w:spacing w:val="6"/>
          <w:sz w:val="23"/>
          <w:szCs w:val="23"/>
          <w:highlight w:val="none"/>
        </w:rPr>
        <w:t>社</w:t>
      </w:r>
      <w:r>
        <w:rPr>
          <w:rFonts w:hint="default" w:ascii="Times New Roman" w:hAnsi="Times New Roman" w:eastAsia="宋体" w:cs="Times New Roman"/>
          <w:spacing w:val="5"/>
          <w:sz w:val="23"/>
          <w:szCs w:val="23"/>
          <w:highlight w:val="none"/>
        </w:rPr>
        <w:t>会信用代码为</w:t>
      </w:r>
      <w:r>
        <w:rPr>
          <w:rFonts w:hint="default" w:ascii="Times New Roman" w:hAnsi="Times New Roman" w:eastAsia="宋体" w:cs="Times New Roman"/>
          <w:spacing w:val="5"/>
          <w:sz w:val="23"/>
          <w:szCs w:val="23"/>
          <w:highlight w:val="none"/>
          <w:u w:val="single" w:color="auto"/>
        </w:rPr>
        <w:t xml:space="preserve">       </w:t>
      </w:r>
      <w:r>
        <w:rPr>
          <w:rFonts w:hint="default" w:ascii="Times New Roman" w:hAnsi="Times New Roman" w:eastAsia="宋体" w:cs="Times New Roman"/>
          <w:spacing w:val="5"/>
          <w:sz w:val="23"/>
          <w:szCs w:val="23"/>
          <w:highlight w:val="none"/>
        </w:rPr>
        <w:t xml:space="preserve"> 的我方</w:t>
      </w:r>
      <w:r>
        <w:rPr>
          <w:rFonts w:hint="default" w:ascii="Times New Roman" w:hAnsi="Times New Roman" w:eastAsia="宋体" w:cs="Times New Roman"/>
          <w:spacing w:val="5"/>
          <w:sz w:val="23"/>
          <w:szCs w:val="23"/>
          <w:highlight w:val="none"/>
          <w:u w:val="single" w:color="auto"/>
        </w:rPr>
        <w:t xml:space="preserve">          </w:t>
      </w:r>
      <w:r>
        <w:rPr>
          <w:rFonts w:hint="default" w:ascii="Times New Roman" w:hAnsi="Times New Roman" w:eastAsia="宋体" w:cs="Times New Roman"/>
          <w:spacing w:val="5"/>
          <w:sz w:val="23"/>
          <w:szCs w:val="23"/>
          <w:highlight w:val="none"/>
        </w:rPr>
        <w:t>(供应商名称</w:t>
      </w:r>
      <w:r>
        <w:rPr>
          <w:rFonts w:hint="default" w:ascii="Times New Roman" w:hAnsi="Times New Roman" w:eastAsia="宋体" w:cs="Times New Roman"/>
          <w:spacing w:val="5"/>
          <w:sz w:val="23"/>
          <w:szCs w:val="23"/>
          <w:highlight w:val="none"/>
          <w:lang w:eastAsia="zh-CN"/>
        </w:rPr>
        <w:t>）</w:t>
      </w:r>
      <w:r>
        <w:rPr>
          <w:rFonts w:hint="default" w:ascii="Times New Roman" w:hAnsi="Times New Roman" w:eastAsia="宋体" w:cs="Times New Roman"/>
          <w:spacing w:val="5"/>
          <w:sz w:val="23"/>
          <w:szCs w:val="23"/>
          <w:highlight w:val="none"/>
        </w:rPr>
        <w:t>自愿参加贵单位组织</w:t>
      </w:r>
      <w:r>
        <w:rPr>
          <w:rFonts w:hint="default" w:ascii="Times New Roman" w:hAnsi="Times New Roman" w:eastAsia="宋体" w:cs="Times New Roman"/>
          <w:sz w:val="23"/>
          <w:szCs w:val="23"/>
          <w:highlight w:val="none"/>
        </w:rPr>
        <w:t xml:space="preserve"> </w:t>
      </w:r>
      <w:r>
        <w:rPr>
          <w:rFonts w:hint="default" w:ascii="Times New Roman" w:hAnsi="Times New Roman" w:eastAsia="宋体" w:cs="Times New Roman"/>
          <w:spacing w:val="8"/>
          <w:sz w:val="23"/>
          <w:szCs w:val="23"/>
          <w:highlight w:val="none"/>
        </w:rPr>
        <w:t>的编号为</w:t>
      </w:r>
      <w:r>
        <w:rPr>
          <w:rFonts w:hint="eastAsia" w:ascii="Times New Roman" w:hAnsi="Times New Roman" w:eastAsia="宋体" w:cs="Times New Roman"/>
          <w:spacing w:val="8"/>
          <w:sz w:val="23"/>
          <w:szCs w:val="23"/>
          <w:highlight w:val="none"/>
          <w:lang w:val="en-US" w:eastAsia="zh-CN"/>
        </w:rPr>
        <w:t xml:space="preserve"> </w:t>
      </w:r>
      <w:r>
        <w:rPr>
          <w:rFonts w:hint="default" w:ascii="Times New Roman" w:hAnsi="Times New Roman" w:eastAsia="宋体" w:cs="Times New Roman"/>
          <w:spacing w:val="6"/>
          <w:sz w:val="23"/>
          <w:szCs w:val="23"/>
          <w:highlight w:val="none"/>
          <w:u w:val="single" w:color="auto"/>
        </w:rPr>
        <w:t xml:space="preserve"> </w:t>
      </w:r>
    </w:p>
    <w:p w14:paraId="180EC4A0">
      <w:pPr>
        <w:keepNext w:val="0"/>
        <w:keepLines w:val="0"/>
        <w:kinsoku/>
        <w:overflowPunct/>
        <w:topLinePunct w:val="0"/>
        <w:bidi w:val="0"/>
        <w:spacing w:before="180" w:line="369" w:lineRule="auto"/>
        <w:ind w:right="20"/>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4"/>
          <w:sz w:val="23"/>
          <w:szCs w:val="23"/>
          <w:highlight w:val="none"/>
          <w:u w:val="single" w:color="auto"/>
        </w:rPr>
        <w:t xml:space="preserve">       </w:t>
      </w:r>
      <w:r>
        <w:rPr>
          <w:rFonts w:hint="eastAsia" w:ascii="Times New Roman" w:hAnsi="Times New Roman" w:eastAsia="宋体" w:cs="Times New Roman"/>
          <w:spacing w:val="4"/>
          <w:sz w:val="23"/>
          <w:szCs w:val="23"/>
          <w:highlight w:val="none"/>
          <w:u w:val="single" w:color="auto"/>
          <w:lang w:val="en-US" w:eastAsia="zh-CN"/>
        </w:rPr>
        <w:t xml:space="preserve">          </w:t>
      </w:r>
      <w:r>
        <w:rPr>
          <w:rFonts w:hint="default" w:ascii="Times New Roman" w:hAnsi="Times New Roman" w:eastAsia="宋体" w:cs="Times New Roman"/>
          <w:spacing w:val="4"/>
          <w:sz w:val="23"/>
          <w:szCs w:val="23"/>
          <w:highlight w:val="none"/>
          <w:u w:val="single" w:color="auto"/>
        </w:rPr>
        <w:t xml:space="preserve"> </w:t>
      </w:r>
      <w:r>
        <w:rPr>
          <w:rFonts w:hint="default" w:ascii="Times New Roman" w:hAnsi="Times New Roman" w:eastAsia="宋体" w:cs="Times New Roman"/>
          <w:spacing w:val="4"/>
          <w:sz w:val="23"/>
          <w:szCs w:val="23"/>
          <w:highlight w:val="none"/>
        </w:rPr>
        <w:t xml:space="preserve"> (采购项目编号)的</w:t>
      </w:r>
      <w:r>
        <w:rPr>
          <w:rFonts w:hint="default" w:ascii="Times New Roman" w:hAnsi="Times New Roman" w:eastAsia="宋体" w:cs="Times New Roman"/>
          <w:spacing w:val="4"/>
          <w:sz w:val="23"/>
          <w:szCs w:val="23"/>
          <w:highlight w:val="none"/>
          <w:u w:val="single" w:color="auto"/>
        </w:rPr>
        <w:t xml:space="preserve">      </w:t>
      </w:r>
      <w:r>
        <w:rPr>
          <w:rFonts w:hint="eastAsia" w:ascii="Times New Roman" w:hAnsi="Times New Roman" w:eastAsia="宋体" w:cs="Times New Roman"/>
          <w:spacing w:val="4"/>
          <w:sz w:val="23"/>
          <w:szCs w:val="23"/>
          <w:highlight w:val="none"/>
          <w:u w:val="single" w:color="auto"/>
          <w:lang w:val="en-US" w:eastAsia="zh-CN"/>
        </w:rPr>
        <w:t xml:space="preserve">                    </w:t>
      </w:r>
      <w:r>
        <w:rPr>
          <w:rFonts w:hint="default" w:ascii="Times New Roman" w:hAnsi="Times New Roman" w:eastAsia="宋体" w:cs="Times New Roman"/>
          <w:spacing w:val="4"/>
          <w:sz w:val="23"/>
          <w:szCs w:val="23"/>
          <w:highlight w:val="none"/>
          <w:u w:val="single" w:color="auto"/>
        </w:rPr>
        <w:t xml:space="preserve">    </w:t>
      </w:r>
      <w:r>
        <w:rPr>
          <w:rFonts w:hint="eastAsia" w:ascii="Times New Roman" w:hAnsi="Times New Roman" w:eastAsia="宋体" w:cs="Times New Roman"/>
          <w:spacing w:val="4"/>
          <w:sz w:val="23"/>
          <w:szCs w:val="23"/>
          <w:highlight w:val="none"/>
          <w:u w:val="single"/>
          <w:lang w:val="en-US" w:eastAsia="zh-CN"/>
        </w:rPr>
        <w:t xml:space="preserve">       </w:t>
      </w:r>
      <w:r>
        <w:rPr>
          <w:rFonts w:hint="default" w:ascii="Times New Roman" w:hAnsi="Times New Roman" w:eastAsia="宋体" w:cs="Times New Roman"/>
          <w:spacing w:val="4"/>
          <w:sz w:val="23"/>
          <w:szCs w:val="23"/>
          <w:highlight w:val="none"/>
          <w:lang w:eastAsia="zh-CN"/>
        </w:rPr>
        <w:t>（</w:t>
      </w:r>
      <w:r>
        <w:rPr>
          <w:rFonts w:hint="eastAsia" w:ascii="Times New Roman" w:hAnsi="Times New Roman" w:eastAsia="宋体" w:cs="Times New Roman"/>
          <w:spacing w:val="4"/>
          <w:sz w:val="23"/>
          <w:szCs w:val="23"/>
          <w:highlight w:val="none"/>
          <w:lang w:val="en-US" w:eastAsia="zh-CN"/>
        </w:rPr>
        <w:t>合同包名称</w:t>
      </w:r>
      <w:r>
        <w:rPr>
          <w:rFonts w:hint="default" w:ascii="Times New Roman" w:hAnsi="Times New Roman" w:eastAsia="宋体" w:cs="Times New Roman"/>
          <w:spacing w:val="4"/>
          <w:sz w:val="23"/>
          <w:szCs w:val="23"/>
          <w:highlight w:val="none"/>
          <w:lang w:eastAsia="zh-CN"/>
        </w:rPr>
        <w:t>）</w:t>
      </w:r>
      <w:r>
        <w:rPr>
          <w:rFonts w:hint="default" w:ascii="Times New Roman" w:hAnsi="Times New Roman" w:eastAsia="宋体" w:cs="Times New Roman"/>
          <w:spacing w:val="4"/>
          <w:sz w:val="23"/>
          <w:szCs w:val="23"/>
          <w:highlight w:val="none"/>
        </w:rPr>
        <w:t>的政府采购活</w:t>
      </w:r>
      <w:r>
        <w:rPr>
          <w:rFonts w:hint="default" w:ascii="Times New Roman" w:hAnsi="Times New Roman" w:eastAsia="宋体" w:cs="Times New Roman"/>
          <w:spacing w:val="16"/>
          <w:sz w:val="23"/>
          <w:szCs w:val="23"/>
          <w:highlight w:val="none"/>
        </w:rPr>
        <w:t>动，我</w:t>
      </w:r>
      <w:r>
        <w:rPr>
          <w:rFonts w:hint="default" w:ascii="Times New Roman" w:hAnsi="Times New Roman" w:eastAsia="宋体" w:cs="Times New Roman"/>
          <w:spacing w:val="9"/>
          <w:sz w:val="23"/>
          <w:szCs w:val="23"/>
          <w:highlight w:val="none"/>
        </w:rPr>
        <w:t>方</w:t>
      </w:r>
      <w:r>
        <w:rPr>
          <w:rFonts w:hint="default" w:ascii="Times New Roman" w:hAnsi="Times New Roman" w:eastAsia="宋体" w:cs="Times New Roman"/>
          <w:spacing w:val="8"/>
          <w:sz w:val="23"/>
          <w:szCs w:val="23"/>
          <w:highlight w:val="none"/>
        </w:rPr>
        <w:t>已知悉并理解本项目采购文件的各项要求.为贯彻公开、公平、公正和诚实信用的政</w:t>
      </w:r>
      <w:r>
        <w:rPr>
          <w:rFonts w:hint="default" w:ascii="Times New Roman" w:hAnsi="Times New Roman" w:eastAsia="宋体" w:cs="Times New Roman"/>
          <w:spacing w:val="7"/>
          <w:sz w:val="23"/>
          <w:szCs w:val="23"/>
          <w:highlight w:val="none"/>
        </w:rPr>
        <w:t>府</w:t>
      </w:r>
      <w:r>
        <w:rPr>
          <w:rFonts w:hint="default" w:ascii="Times New Roman" w:hAnsi="Times New Roman" w:eastAsia="宋体" w:cs="Times New Roman"/>
          <w:spacing w:val="4"/>
          <w:sz w:val="23"/>
          <w:szCs w:val="23"/>
          <w:highlight w:val="none"/>
        </w:rPr>
        <w:t>采购原则，共同维护宝鸡市政府采购市场 良好秩序，我方郑重声明和承诺如下：</w:t>
      </w:r>
    </w:p>
    <w:p w14:paraId="19AB9969">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一、在参加本次政府采购活动中严格遵守《中</w:t>
      </w:r>
      <w:r>
        <w:rPr>
          <w:rFonts w:hint="eastAsia" w:ascii="Times New Roman" w:hAnsi="Times New Roman" w:eastAsia="宋体" w:cs="Times New Roman"/>
          <w:color w:val="auto"/>
          <w:spacing w:val="0"/>
          <w:position w:val="17"/>
          <w:sz w:val="23"/>
          <w:szCs w:val="23"/>
          <w:highlight w:val="none"/>
          <w:lang w:val="en-US" w:eastAsia="zh-CN"/>
        </w:rPr>
        <w:t>华</w:t>
      </w:r>
      <w:r>
        <w:rPr>
          <w:rFonts w:hint="default" w:ascii="Times New Roman" w:hAnsi="Times New Roman" w:eastAsia="宋体" w:cs="Times New Roman"/>
          <w:color w:val="auto"/>
          <w:spacing w:val="0"/>
          <w:position w:val="17"/>
          <w:sz w:val="23"/>
          <w:szCs w:val="23"/>
          <w:highlight w:val="none"/>
        </w:rPr>
        <w:t>人民共和国政府采购法》等法律、 法规、规章及宝鸡市有关规定。</w:t>
      </w:r>
    </w:p>
    <w:p w14:paraId="3CF40B32">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二、我方郑重声明，在参加本次政府采购活动前三年内，无因违法经营受到刑事 处罚或者责令停产停业、吊销许可证或者执照、较大数额罚款等重大违法记录。</w:t>
      </w:r>
    </w:p>
    <w:p w14:paraId="683C2747">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我方同时声明，在参加本次政府采购活动前，未被列入失信被执行人、重大税收违 法案件当事人名单、政府采购严重违法失信行为记录名单。</w:t>
      </w:r>
    </w:p>
    <w:p w14:paraId="56A4D37D">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我方对以上声明的真实性负责，接受采购人、采购代理机构 根据相关政策规定进行的信用记录查询。如发现以上声明不实，我方承担相应后果。</w:t>
      </w:r>
    </w:p>
    <w:p w14:paraId="27A8FF33">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三、我方郑重承诺，在参加本次政府采购活动中：</w:t>
      </w:r>
    </w:p>
    <w:p w14:paraId="4E8F997B">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(1)不向采购人、采购代理机构和评审专家提供任何形式的商业贿赂或者提供其他不正当利益。对索取或接受商业贿赂的单位和个人，及时向财政部门和监察机关举报；</w:t>
      </w:r>
    </w:p>
    <w:p w14:paraId="45745915">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(2)不与其它供应商串通采取围标、陪标等商业欺诈手段谋取中标(成交)；</w:t>
      </w:r>
    </w:p>
    <w:p w14:paraId="4BA52135">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(3)不出借或借用资质；</w:t>
      </w:r>
    </w:p>
    <w:p w14:paraId="7CE67F25">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(4)不与采购人、采购代理机构、评审专家恶意串通；</w:t>
      </w:r>
    </w:p>
    <w:p w14:paraId="4B51B554">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(5)不采取不正当手段诋毁、排挤其他供应商；</w:t>
      </w:r>
    </w:p>
    <w:p w14:paraId="3A0A07C0">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(6)不以虚假材料谋取中标(成交)；</w:t>
      </w:r>
    </w:p>
    <w:p w14:paraId="3FF00300">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(7)不以低于成本价或恶意低价竞争；</w:t>
      </w:r>
    </w:p>
    <w:p w14:paraId="1134412B">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(8)不与采购人在招标采购过程中进行协商谈判；</w:t>
      </w:r>
    </w:p>
    <w:p w14:paraId="5FEBC092">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(9)中标或者成交后不得提供假冒伪劣产品；</w:t>
      </w:r>
    </w:p>
    <w:p w14:paraId="72C75E9C">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(10)中标或者成交后非因不可抗力不得变更投标(响应)文件中承诺的项目管理实施人员；</w:t>
      </w:r>
    </w:p>
    <w:p w14:paraId="5C90A3CA">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(11)中标或者成交后无正当理由不得拒不与采购人签订政府采购合同；</w:t>
      </w:r>
    </w:p>
    <w:p w14:paraId="702E30E1">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(12)不得有未按照采购文件确定的事项与采购人签订政府采购合同，或者与采购人</w:t>
      </w:r>
    </w:p>
    <w:p w14:paraId="5DBDEF21">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另行订立背离合同实质性内容协议的行为；</w:t>
      </w:r>
    </w:p>
    <w:p w14:paraId="320ADB94">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(13)不转包或违法分包政府采购合同，不擅自变更。中止或者终止政府采购合同；(14)不捏造事实、提供虚假材料或者以非法手段取得证明材料进行质疑、投诉；(15)不得有拒绝有关部门监督检查或者提供虚假情况的行为；</w:t>
      </w:r>
    </w:p>
    <w:p w14:paraId="723AB845">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(16)不得有其他违反国家法律法规和规章要求的违法犯罪或者失信行为。</w:t>
      </w:r>
    </w:p>
    <w:p w14:paraId="0A62C978">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四、如有违反以上声明或者承诺之一情形的，我方知悉并接受采购人、采购代理机构和政府采购监督管理部门等政府职能部门将采取以下一种或几种方式追究我方责任：</w:t>
      </w:r>
    </w:p>
    <w:p w14:paraId="6460D292">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1、投标(响应)无效；</w:t>
      </w:r>
    </w:p>
    <w:p w14:paraId="37E5DAC3">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2、不予退还投标保证金或者履约保证金；</w:t>
      </w:r>
    </w:p>
    <w:p w14:paraId="2CECD2D4">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3、约谈法人代表或者主要负责人，责令整改；</w:t>
      </w:r>
    </w:p>
    <w:p w14:paraId="709FF616">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4、中标(成交)无效；</w:t>
      </w:r>
    </w:p>
    <w:p w14:paraId="356FA1E8">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5、处以采购金额千分之五以上千分之十以下的罚款，列入不良行为记录名单，在一至三年内禁止参加政府采购活动；</w:t>
      </w:r>
    </w:p>
    <w:p w14:paraId="68CDEDA1">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6、没收违法得所得；</w:t>
      </w:r>
    </w:p>
    <w:p w14:paraId="7ABDC2C3">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7、吊销营业执照；</w:t>
      </w:r>
    </w:p>
    <w:p w14:paraId="2691BD1B">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8、政府相关部门的联合惩戒措施；</w:t>
      </w:r>
    </w:p>
    <w:p w14:paraId="7DC26A99">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9、追究民事责任；</w:t>
      </w:r>
    </w:p>
    <w:p w14:paraId="61090F38">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10、追究刑事责任；</w:t>
      </w:r>
    </w:p>
    <w:p w14:paraId="3F3AC33F">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11、法律法规规定的其他处理处罚措施。</w:t>
      </w:r>
    </w:p>
    <w:p w14:paraId="48AE9D3A">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单位名称：</w:t>
      </w:r>
      <w:r>
        <w:rPr>
          <w:rFonts w:hint="default" w:ascii="Times New Roman" w:hAnsi="Times New Roman" w:eastAsia="宋体" w:cs="Times New Roman"/>
          <w:color w:val="auto"/>
          <w:spacing w:val="0"/>
          <w:position w:val="17"/>
          <w:sz w:val="23"/>
          <w:szCs w:val="23"/>
          <w:highlight w:val="none"/>
          <w:lang w:val="en-US" w:eastAsia="zh-CN"/>
        </w:rPr>
        <w:t xml:space="preserve">           </w:t>
      </w:r>
      <w:r>
        <w:rPr>
          <w:rFonts w:hint="default" w:ascii="Times New Roman" w:hAnsi="Times New Roman" w:eastAsia="宋体" w:cs="Times New Roman"/>
          <w:color w:val="auto"/>
          <w:spacing w:val="0"/>
          <w:position w:val="17"/>
          <w:sz w:val="23"/>
          <w:szCs w:val="23"/>
          <w:highlight w:val="none"/>
        </w:rPr>
        <w:t>(公章)</w:t>
      </w:r>
    </w:p>
    <w:p w14:paraId="12F87B0D">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法定代表人签字：</w:t>
      </w:r>
    </w:p>
    <w:p w14:paraId="30AA182A">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法定代表人身份证复印件：</w:t>
      </w:r>
    </w:p>
    <w:p w14:paraId="31E1D706">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法定代表人联系电话：</w:t>
      </w:r>
    </w:p>
    <w:p w14:paraId="288FE055">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法定代表人传真：</w:t>
      </w:r>
    </w:p>
    <w:p w14:paraId="22C8B68F">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color w:val="auto"/>
          <w:spacing w:val="0"/>
          <w:position w:val="17"/>
          <w:sz w:val="23"/>
          <w:szCs w:val="23"/>
          <w:highlight w:val="none"/>
          <w:lang w:val="en-US" w:eastAsia="zh-CN"/>
        </w:rPr>
        <w:t xml:space="preserve">   年   月    日</w:t>
      </w:r>
    </w:p>
    <w:p w14:paraId="0B0D2577">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72B63C59">
      <w:pPr>
        <w:keepNext w:val="0"/>
        <w:keepLines w:val="0"/>
        <w:kinsoku/>
        <w:overflowPunct/>
        <w:topLinePunct w:val="0"/>
        <w:bidi w:val="0"/>
        <w:spacing w:before="75" w:line="310" w:lineRule="exact"/>
        <w:ind w:left="140"/>
        <w:jc w:val="both"/>
        <w:outlineLvl w:val="2"/>
        <w:rPr>
          <w:rFonts w:hint="default" w:ascii="Times New Roman" w:hAnsi="Times New Roman" w:eastAsia="宋体" w:cs="Times New Roman"/>
          <w:b/>
          <w:bCs/>
          <w:color w:val="auto"/>
          <w:spacing w:val="0"/>
          <w:sz w:val="23"/>
          <w:szCs w:val="23"/>
          <w:highlight w:val="none"/>
          <w:lang w:val="en-US" w:eastAsia="zh-CN"/>
        </w:rPr>
      </w:pPr>
      <w:r>
        <w:rPr>
          <w:rFonts w:hint="default" w:ascii="Times New Roman" w:hAnsi="Times New Roman" w:eastAsia="宋体" w:cs="Times New Roman"/>
          <w:b/>
          <w:bCs/>
          <w:color w:val="auto"/>
          <w:spacing w:val="0"/>
          <w:position w:val="1"/>
          <w:sz w:val="23"/>
          <w:szCs w:val="23"/>
          <w:highlight w:val="none"/>
        </w:rPr>
        <w:t>1</w:t>
      </w:r>
      <w:r>
        <w:rPr>
          <w:rFonts w:hint="eastAsia" w:ascii="Times New Roman" w:hAnsi="Times New Roman" w:eastAsia="宋体" w:cs="Times New Roman"/>
          <w:b/>
          <w:bCs/>
          <w:color w:val="auto"/>
          <w:spacing w:val="0"/>
          <w:position w:val="1"/>
          <w:sz w:val="23"/>
          <w:szCs w:val="23"/>
          <w:highlight w:val="none"/>
          <w:lang w:val="en-US" w:eastAsia="zh-CN"/>
        </w:rPr>
        <w:t>4</w:t>
      </w:r>
      <w:r>
        <w:rPr>
          <w:rFonts w:hint="default" w:ascii="Times New Roman" w:hAnsi="Times New Roman" w:eastAsia="宋体" w:cs="Times New Roman"/>
          <w:b/>
          <w:bCs/>
          <w:color w:val="auto"/>
          <w:spacing w:val="0"/>
          <w:position w:val="1"/>
          <w:sz w:val="23"/>
          <w:szCs w:val="23"/>
          <w:highlight w:val="none"/>
        </w:rPr>
        <w:t>.</w:t>
      </w:r>
      <w:r>
        <w:rPr>
          <w:rFonts w:hint="eastAsia" w:ascii="Times New Roman" w:hAnsi="Times New Roman" w:eastAsia="宋体" w:cs="Times New Roman"/>
          <w:b/>
          <w:bCs/>
          <w:color w:val="auto"/>
          <w:spacing w:val="0"/>
          <w:position w:val="1"/>
          <w:sz w:val="23"/>
          <w:szCs w:val="23"/>
          <w:highlight w:val="none"/>
          <w:lang w:val="en-US" w:eastAsia="zh-CN"/>
        </w:rPr>
        <w:t>商务条款偏离表</w:t>
      </w:r>
    </w:p>
    <w:p w14:paraId="3FE674DB">
      <w:pPr>
        <w:keepNext w:val="0"/>
        <w:keepLines w:val="0"/>
        <w:tabs>
          <w:tab w:val="left" w:pos="2795"/>
        </w:tabs>
        <w:kinsoku/>
        <w:overflowPunct/>
        <w:topLinePunct w:val="0"/>
        <w:bidi w:val="0"/>
        <w:spacing w:line="440" w:lineRule="exact"/>
        <w:ind w:firstLine="562"/>
        <w:jc w:val="center"/>
        <w:rPr>
          <w:rFonts w:hint="eastAsia" w:ascii="宋体" w:hAnsi="宋体" w:eastAsia="宋体" w:cs="宋体"/>
          <w:b/>
          <w:bCs/>
          <w:color w:val="000000"/>
          <w:sz w:val="28"/>
          <w:szCs w:val="28"/>
          <w:highlight w:val="none"/>
        </w:rPr>
      </w:pPr>
      <w:bookmarkStart w:id="61" w:name="_Toc7851"/>
      <w:bookmarkStart w:id="62" w:name="_Toc18639"/>
      <w:bookmarkStart w:id="63" w:name="_Toc2260"/>
      <w:bookmarkStart w:id="64" w:name="_Toc10442"/>
      <w:bookmarkStart w:id="65" w:name="_Toc26247"/>
      <w:r>
        <w:rPr>
          <w:rFonts w:hint="eastAsia" w:ascii="宋体" w:hAnsi="宋体" w:eastAsia="宋体" w:cs="宋体"/>
          <w:b/>
          <w:bCs/>
          <w:color w:val="000000"/>
          <w:sz w:val="28"/>
          <w:szCs w:val="28"/>
          <w:highlight w:val="none"/>
        </w:rPr>
        <w:t>商务条款响应偏离表</w:t>
      </w:r>
      <w:bookmarkEnd w:id="61"/>
      <w:bookmarkEnd w:id="62"/>
      <w:bookmarkEnd w:id="63"/>
      <w:bookmarkEnd w:id="64"/>
      <w:bookmarkEnd w:id="65"/>
    </w:p>
    <w:p w14:paraId="78CCD3C0">
      <w:pPr>
        <w:keepNext w:val="0"/>
        <w:keepLines w:val="0"/>
        <w:kinsoku/>
        <w:overflowPunct/>
        <w:topLinePunct w:val="0"/>
        <w:bidi w:val="0"/>
        <w:spacing w:line="500" w:lineRule="exact"/>
        <w:ind w:firstLine="420" w:firstLineChars="200"/>
        <w:rPr>
          <w:rFonts w:hint="eastAsia" w:ascii="宋体" w:hAnsi="宋体" w:eastAsia="宋体" w:cs="宋体"/>
          <w:sz w:val="21"/>
          <w:szCs w:val="21"/>
          <w:highlight w:val="none"/>
          <w:u w:val="single"/>
        </w:rPr>
      </w:pPr>
      <w:r>
        <w:rPr>
          <w:rFonts w:hint="default" w:ascii="Times New Roman" w:hAnsi="Times New Roman" w:eastAsia="宋体" w:cs="Times New Roman"/>
          <w:color w:val="auto"/>
          <w:spacing w:val="0"/>
          <w:sz w:val="21"/>
          <w:szCs w:val="21"/>
          <w:highlight w:val="none"/>
        </w:rPr>
        <w:t>项目编号：</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合同包名称</w:t>
      </w:r>
      <w:r>
        <w:rPr>
          <w:rFonts w:hint="default" w:ascii="Times New Roman" w:hAnsi="Times New Roman" w:eastAsia="宋体" w:cs="Times New Roman"/>
          <w:color w:val="auto"/>
          <w:spacing w:val="0"/>
          <w:sz w:val="21"/>
          <w:szCs w:val="21"/>
          <w:highlight w:val="none"/>
          <w:u w:val="none"/>
        </w:rPr>
        <w:t>：</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p>
    <w:tbl>
      <w:tblPr>
        <w:tblStyle w:val="20"/>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2133"/>
        <w:gridCol w:w="955"/>
      </w:tblGrid>
      <w:tr w14:paraId="66D308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1230C6D">
            <w:pPr>
              <w:keepNext w:val="0"/>
              <w:keepLines w:val="0"/>
              <w:kinsoku/>
              <w:overflowPunct/>
              <w:topLinePunct w:val="0"/>
              <w:bidi w:val="0"/>
              <w:jc w:val="center"/>
              <w:rPr>
                <w:rFonts w:hint="eastAsia"/>
                <w:sz w:val="24"/>
                <w:szCs w:val="24"/>
                <w:highlight w:val="none"/>
              </w:rPr>
            </w:pPr>
            <w:r>
              <w:rPr>
                <w:rFonts w:hint="eastAsia"/>
                <w:sz w:val="24"/>
                <w:szCs w:val="24"/>
                <w:highlight w:val="none"/>
              </w:rPr>
              <w:t>序号</w:t>
            </w:r>
          </w:p>
        </w:tc>
        <w:tc>
          <w:tcPr>
            <w:tcW w:w="2950" w:type="dxa"/>
            <w:noWrap w:val="0"/>
            <w:tcMar>
              <w:top w:w="57" w:type="dxa"/>
              <w:left w:w="28" w:type="dxa"/>
              <w:bottom w:w="57" w:type="dxa"/>
              <w:right w:w="28" w:type="dxa"/>
            </w:tcMar>
            <w:vAlign w:val="center"/>
          </w:tcPr>
          <w:p w14:paraId="3E844784">
            <w:pPr>
              <w:keepNext w:val="0"/>
              <w:keepLines w:val="0"/>
              <w:kinsoku/>
              <w:overflowPunct/>
              <w:topLinePunct w:val="0"/>
              <w:bidi w:val="0"/>
              <w:jc w:val="center"/>
              <w:rPr>
                <w:rFonts w:hint="eastAsia"/>
                <w:sz w:val="24"/>
                <w:szCs w:val="24"/>
                <w:highlight w:val="none"/>
              </w:rPr>
            </w:pPr>
            <w:r>
              <w:rPr>
                <w:rFonts w:hint="eastAsia"/>
                <w:sz w:val="24"/>
                <w:szCs w:val="24"/>
                <w:highlight w:val="none"/>
                <w:lang w:val="en-US" w:eastAsia="zh-CN"/>
              </w:rPr>
              <w:t>招标</w:t>
            </w:r>
            <w:r>
              <w:rPr>
                <w:rFonts w:hint="eastAsia"/>
                <w:sz w:val="24"/>
                <w:szCs w:val="24"/>
                <w:highlight w:val="none"/>
              </w:rPr>
              <w:t>文件商务要求</w:t>
            </w:r>
          </w:p>
        </w:tc>
        <w:tc>
          <w:tcPr>
            <w:tcW w:w="2379" w:type="dxa"/>
            <w:noWrap w:val="0"/>
            <w:tcMar>
              <w:top w:w="57" w:type="dxa"/>
              <w:left w:w="28" w:type="dxa"/>
              <w:bottom w:w="57" w:type="dxa"/>
              <w:right w:w="28" w:type="dxa"/>
            </w:tcMar>
            <w:vAlign w:val="center"/>
          </w:tcPr>
          <w:p w14:paraId="74D76225">
            <w:pPr>
              <w:keepNext w:val="0"/>
              <w:keepLines w:val="0"/>
              <w:kinsoku/>
              <w:overflowPunct/>
              <w:topLinePunct w:val="0"/>
              <w:bidi w:val="0"/>
              <w:jc w:val="center"/>
              <w:rPr>
                <w:rFonts w:hint="eastAsia"/>
                <w:sz w:val="24"/>
                <w:szCs w:val="24"/>
                <w:highlight w:val="none"/>
              </w:rPr>
            </w:pPr>
            <w:r>
              <w:rPr>
                <w:rFonts w:hint="eastAsia"/>
                <w:sz w:val="24"/>
                <w:szCs w:val="24"/>
                <w:highlight w:val="none"/>
                <w:lang w:val="en-US" w:eastAsia="zh-CN"/>
              </w:rPr>
              <w:t>投标</w:t>
            </w:r>
            <w:r>
              <w:rPr>
                <w:rFonts w:hint="eastAsia"/>
                <w:sz w:val="24"/>
                <w:szCs w:val="24"/>
                <w:highlight w:val="none"/>
              </w:rPr>
              <w:t>文件商务响应</w:t>
            </w:r>
          </w:p>
        </w:tc>
        <w:tc>
          <w:tcPr>
            <w:tcW w:w="2133" w:type="dxa"/>
            <w:noWrap w:val="0"/>
            <w:tcMar>
              <w:top w:w="57" w:type="dxa"/>
              <w:left w:w="28" w:type="dxa"/>
              <w:bottom w:w="57" w:type="dxa"/>
              <w:right w:w="28" w:type="dxa"/>
            </w:tcMar>
            <w:vAlign w:val="center"/>
          </w:tcPr>
          <w:p w14:paraId="69927BE4">
            <w:pPr>
              <w:keepNext w:val="0"/>
              <w:keepLines w:val="0"/>
              <w:kinsoku/>
              <w:overflowPunct/>
              <w:topLinePunct w:val="0"/>
              <w:bidi w:val="0"/>
              <w:jc w:val="center"/>
              <w:rPr>
                <w:rFonts w:hint="eastAsia"/>
                <w:sz w:val="24"/>
                <w:szCs w:val="24"/>
                <w:highlight w:val="none"/>
              </w:rPr>
            </w:pPr>
            <w:r>
              <w:rPr>
                <w:rFonts w:hint="eastAsia"/>
                <w:sz w:val="24"/>
                <w:szCs w:val="24"/>
                <w:highlight w:val="none"/>
              </w:rPr>
              <w:t>偏离情况(负差／相同／正偏)</w:t>
            </w:r>
          </w:p>
        </w:tc>
        <w:tc>
          <w:tcPr>
            <w:tcW w:w="955" w:type="dxa"/>
            <w:noWrap w:val="0"/>
            <w:vAlign w:val="center"/>
          </w:tcPr>
          <w:p w14:paraId="691B86E9">
            <w:pPr>
              <w:keepNext w:val="0"/>
              <w:keepLines w:val="0"/>
              <w:kinsoku/>
              <w:overflowPunct/>
              <w:topLinePunct w:val="0"/>
              <w:bidi w:val="0"/>
              <w:jc w:val="center"/>
              <w:rPr>
                <w:rFonts w:hint="eastAsia"/>
                <w:sz w:val="24"/>
                <w:szCs w:val="24"/>
                <w:highlight w:val="none"/>
                <w:lang w:eastAsia="zh-CN"/>
              </w:rPr>
            </w:pPr>
            <w:r>
              <w:rPr>
                <w:rFonts w:hint="eastAsia"/>
                <w:sz w:val="24"/>
                <w:szCs w:val="24"/>
                <w:highlight w:val="none"/>
                <w:lang w:val="en-US" w:eastAsia="zh-CN"/>
              </w:rPr>
              <w:t>备注</w:t>
            </w:r>
          </w:p>
        </w:tc>
      </w:tr>
      <w:tr w14:paraId="70B7E4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14:paraId="4937C72C">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11D75096">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tcBorders>
              <w:bottom w:val="single" w:color="auto" w:sz="4" w:space="0"/>
            </w:tcBorders>
            <w:noWrap w:val="0"/>
            <w:tcMar>
              <w:top w:w="57" w:type="dxa"/>
              <w:left w:w="28" w:type="dxa"/>
              <w:bottom w:w="57" w:type="dxa"/>
              <w:right w:w="28" w:type="dxa"/>
            </w:tcMar>
            <w:vAlign w:val="center"/>
          </w:tcPr>
          <w:p w14:paraId="7FB7788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tcBorders>
              <w:bottom w:val="single" w:color="auto" w:sz="4" w:space="0"/>
            </w:tcBorders>
            <w:noWrap w:val="0"/>
            <w:tcMar>
              <w:top w:w="57" w:type="dxa"/>
              <w:left w:w="28" w:type="dxa"/>
              <w:bottom w:w="57" w:type="dxa"/>
              <w:right w:w="28" w:type="dxa"/>
            </w:tcMar>
            <w:vAlign w:val="center"/>
          </w:tcPr>
          <w:p w14:paraId="7BCE0E94">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tcBorders>
              <w:bottom w:val="single" w:color="auto" w:sz="4" w:space="0"/>
            </w:tcBorders>
            <w:noWrap w:val="0"/>
            <w:vAlign w:val="center"/>
          </w:tcPr>
          <w:p w14:paraId="3221ACC6">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497AF7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14:paraId="5BB58DCB">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205FA32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tcBorders>
              <w:bottom w:val="single" w:color="auto" w:sz="4" w:space="0"/>
            </w:tcBorders>
            <w:noWrap w:val="0"/>
            <w:tcMar>
              <w:top w:w="57" w:type="dxa"/>
              <w:left w:w="28" w:type="dxa"/>
              <w:bottom w:w="57" w:type="dxa"/>
              <w:right w:w="28" w:type="dxa"/>
            </w:tcMar>
            <w:vAlign w:val="center"/>
          </w:tcPr>
          <w:p w14:paraId="219F0C81">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tcBorders>
              <w:bottom w:val="single" w:color="auto" w:sz="4" w:space="0"/>
            </w:tcBorders>
            <w:noWrap w:val="0"/>
            <w:tcMar>
              <w:top w:w="57" w:type="dxa"/>
              <w:left w:w="28" w:type="dxa"/>
              <w:bottom w:w="57" w:type="dxa"/>
              <w:right w:w="28" w:type="dxa"/>
            </w:tcMar>
            <w:vAlign w:val="center"/>
          </w:tcPr>
          <w:p w14:paraId="30B8608D">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tcBorders>
              <w:bottom w:val="single" w:color="auto" w:sz="4" w:space="0"/>
            </w:tcBorders>
            <w:noWrap w:val="0"/>
            <w:vAlign w:val="center"/>
          </w:tcPr>
          <w:p w14:paraId="1A10A10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500CAE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0C4040A">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54F82B41">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326B9CC6">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5CDAC54F">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0CA5D623">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5AD0BF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6751640">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0D5C73F8">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2094EF4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7F28B8A5">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57F14675">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40DCE2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3295910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469ED21A">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534BF892">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1D3319F4">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047BB27E">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31F49B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2F89114">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2A6E0FFF">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66E0DAF0">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33E206CD">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14F868CE">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36A134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A5EA753">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294FF631">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0DAF2E9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01CAC648">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6E3F8BC2">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6AA35C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6138E89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224FEEF3">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1DB0AC4E">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6EC0EDD8">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52DBA014">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129F84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2355F7B">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7AE900DF">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1B72606C">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454CE172">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2A579E0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1A0044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EFEA860">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49C86A6E">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2F689528">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17931C53">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2430108B">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bl>
    <w:p w14:paraId="4A002439">
      <w:pPr>
        <w:pStyle w:val="48"/>
        <w:keepNext w:val="0"/>
        <w:keepLines w:val="0"/>
        <w:kinsoku/>
        <w:overflowPunct/>
        <w:topLinePunct w:val="0"/>
        <w:bidi w:val="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注：</w:t>
      </w:r>
      <w:r>
        <w:rPr>
          <w:rFonts w:hint="eastAsia" w:eastAsia="宋体" w:cs="宋体"/>
          <w:sz w:val="21"/>
          <w:szCs w:val="21"/>
          <w:highlight w:val="none"/>
          <w:lang w:val="en-US" w:eastAsia="zh-CN"/>
        </w:rPr>
        <w:t>1.本表须按照“第四章、商务要求”所列各项条款进行响应。</w:t>
      </w:r>
    </w:p>
    <w:p w14:paraId="1CB28EED">
      <w:pPr>
        <w:pStyle w:val="48"/>
        <w:keepNext w:val="0"/>
        <w:keepLines w:val="0"/>
        <w:kinsoku/>
        <w:overflowPunct/>
        <w:topLinePunct w:val="0"/>
        <w:bidi w:val="0"/>
        <w:ind w:firstLine="840" w:firstLineChars="400"/>
        <w:rPr>
          <w:rFonts w:hint="default" w:ascii="宋体" w:hAnsi="宋体" w:eastAsia="宋体" w:cs="宋体"/>
          <w:sz w:val="21"/>
          <w:szCs w:val="21"/>
          <w:highlight w:val="none"/>
          <w:lang w:val="en-US" w:eastAsia="zh-CN"/>
        </w:rPr>
      </w:pPr>
      <w:r>
        <w:rPr>
          <w:rFonts w:hint="eastAsia" w:eastAsia="宋体" w:cs="宋体"/>
          <w:sz w:val="21"/>
          <w:szCs w:val="21"/>
          <w:highlight w:val="none"/>
          <w:lang w:val="en-US" w:eastAsia="zh-CN"/>
        </w:rPr>
        <w:t>2.商务条款不得出现负偏离，否则视为无效投标。</w:t>
      </w:r>
    </w:p>
    <w:p w14:paraId="75E84B84">
      <w:pPr>
        <w:keepNext w:val="0"/>
        <w:keepLines w:val="0"/>
        <w:kinsoku/>
        <w:overflowPunct/>
        <w:topLinePunct w:val="0"/>
        <w:bidi w:val="0"/>
        <w:spacing w:before="211" w:line="227" w:lineRule="auto"/>
        <w:ind w:left="142"/>
        <w:jc w:val="both"/>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lang w:val="en-US" w:eastAsia="zh-CN"/>
        </w:rPr>
        <w:t>供应商</w:t>
      </w:r>
      <w:r>
        <w:rPr>
          <w:rFonts w:hint="default" w:ascii="Times New Roman" w:hAnsi="Times New Roman" w:eastAsia="宋体" w:cs="Times New Roman"/>
          <w:color w:val="auto"/>
          <w:spacing w:val="0"/>
          <w:sz w:val="23"/>
          <w:szCs w:val="23"/>
          <w:highlight w:val="none"/>
        </w:rPr>
        <w:t>：</w:t>
      </w:r>
      <w:r>
        <w:rPr>
          <w:rFonts w:hint="eastAsia" w:ascii="Times New Roman" w:hAnsi="Times New Roman" w:eastAsia="宋体" w:cs="Times New Roman"/>
          <w:color w:val="auto"/>
          <w:spacing w:val="0"/>
          <w:sz w:val="23"/>
          <w:szCs w:val="23"/>
          <w:highlight w:val="none"/>
          <w:u w:val="single"/>
          <w:lang w:val="en-US" w:eastAsia="zh-CN"/>
        </w:rPr>
        <w:t xml:space="preserve">                       </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(公章)</w:t>
      </w:r>
    </w:p>
    <w:p w14:paraId="6BE0E189">
      <w:pPr>
        <w:keepNext w:val="0"/>
        <w:keepLines w:val="0"/>
        <w:kinsoku/>
        <w:overflowPunct/>
        <w:topLinePunct w:val="0"/>
        <w:bidi w:val="0"/>
        <w:spacing w:before="235" w:line="227" w:lineRule="auto"/>
        <w:ind w:left="14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法定代表人或委托代理人：</w:t>
      </w:r>
      <w:r>
        <w:rPr>
          <w:rFonts w:hint="eastAsia" w:ascii="Times New Roman" w:hAnsi="Times New Roman" w:eastAsia="宋体" w:cs="Times New Roman"/>
          <w:color w:val="auto"/>
          <w:spacing w:val="0"/>
          <w:sz w:val="23"/>
          <w:szCs w:val="23"/>
          <w:highlight w:val="none"/>
          <w:u w:val="single"/>
          <w:lang w:val="en-US" w:eastAsia="zh-CN"/>
        </w:rPr>
        <w:t xml:space="preserve">                  </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(签字或盖章)</w:t>
      </w:r>
    </w:p>
    <w:p w14:paraId="4AECD58B">
      <w:pPr>
        <w:keepNext w:val="0"/>
        <w:keepLines w:val="0"/>
        <w:kinsoku/>
        <w:overflowPunct/>
        <w:topLinePunct w:val="0"/>
        <w:bidi w:val="0"/>
        <w:spacing w:before="239" w:line="227" w:lineRule="auto"/>
        <w:ind w:left="181"/>
        <w:jc w:val="both"/>
        <w:rPr>
          <w:rFonts w:hint="default" w:ascii="Times New Roman" w:hAnsi="Times New Roman" w:eastAsia="宋体" w:cs="Times New Roman"/>
          <w:color w:val="auto"/>
          <w:spacing w:val="0"/>
          <w:sz w:val="23"/>
          <w:szCs w:val="23"/>
          <w:highlight w:val="none"/>
          <w:lang w:val="en-US" w:eastAsia="zh-CN"/>
        </w:rPr>
      </w:pPr>
      <w:r>
        <w:rPr>
          <w:rFonts w:hint="default" w:ascii="Times New Roman" w:hAnsi="Times New Roman" w:eastAsia="宋体" w:cs="Times New Roman"/>
          <w:color w:val="auto"/>
          <w:spacing w:val="0"/>
          <w:sz w:val="23"/>
          <w:szCs w:val="23"/>
          <w:highlight w:val="none"/>
        </w:rPr>
        <w:t>日期：</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年</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月</w:t>
      </w:r>
      <w:r>
        <w:rPr>
          <w:rFonts w:hint="eastAsia" w:ascii="Times New Roman" w:hAnsi="Times New Roman" w:eastAsia="宋体" w:cs="Times New Roman"/>
          <w:color w:val="auto"/>
          <w:spacing w:val="0"/>
          <w:sz w:val="23"/>
          <w:szCs w:val="23"/>
          <w:highlight w:val="none"/>
          <w:lang w:val="en-US" w:eastAsia="zh-CN"/>
        </w:rPr>
        <w:t xml:space="preserve">      日</w:t>
      </w:r>
    </w:p>
    <w:p w14:paraId="76B6C3C2">
      <w:pPr>
        <w:keepNext w:val="0"/>
        <w:keepLines w:val="0"/>
        <w:kinsoku/>
        <w:overflowPunct/>
        <w:topLinePunct w:val="0"/>
        <w:bidi w:val="0"/>
        <w:jc w:val="both"/>
        <w:rPr>
          <w:rFonts w:hint="default" w:ascii="Times New Roman" w:hAnsi="Times New Roman" w:eastAsia="宋体" w:cs="Times New Roman"/>
          <w:color w:val="auto"/>
          <w:spacing w:val="0"/>
          <w:position w:val="1"/>
          <w:sz w:val="23"/>
          <w:szCs w:val="23"/>
          <w:highlight w:val="none"/>
        </w:rPr>
      </w:pPr>
      <w:r>
        <w:rPr>
          <w:rFonts w:hint="default" w:ascii="Times New Roman" w:hAnsi="Times New Roman" w:eastAsia="宋体" w:cs="Times New Roman"/>
          <w:color w:val="auto"/>
          <w:spacing w:val="0"/>
          <w:position w:val="1"/>
          <w:sz w:val="23"/>
          <w:szCs w:val="23"/>
          <w:highlight w:val="none"/>
        </w:rPr>
        <w:br w:type="page"/>
      </w:r>
    </w:p>
    <w:p w14:paraId="6078BDC3">
      <w:pPr>
        <w:keepNext w:val="0"/>
        <w:keepLines w:val="0"/>
        <w:kinsoku/>
        <w:overflowPunct/>
        <w:topLinePunct w:val="0"/>
        <w:bidi w:val="0"/>
        <w:spacing w:before="100" w:line="240" w:lineRule="auto"/>
        <w:ind w:left="3174"/>
        <w:jc w:val="both"/>
        <w:outlineLvl w:val="1"/>
        <w:rPr>
          <w:rFonts w:hint="default" w:ascii="Times New Roman" w:hAnsi="Times New Roman" w:eastAsia="宋体" w:cs="Times New Roman"/>
          <w:b/>
          <w:bCs/>
          <w:color w:val="auto"/>
          <w:spacing w:val="0"/>
          <w:sz w:val="31"/>
          <w:szCs w:val="31"/>
          <w:highlight w:val="none"/>
        </w:rPr>
      </w:pPr>
      <w:r>
        <w:rPr>
          <w:rFonts w:hint="default" w:ascii="Times New Roman" w:hAnsi="Times New Roman" w:eastAsia="宋体" w:cs="Times New Roman"/>
          <w:b/>
          <w:bCs/>
          <w:color w:val="auto"/>
          <w:spacing w:val="0"/>
          <w:position w:val="36"/>
          <w:sz w:val="31"/>
          <w:szCs w:val="31"/>
          <w:highlight w:val="none"/>
        </w:rPr>
        <w:t>第三部分、投标方案</w:t>
      </w:r>
    </w:p>
    <w:p w14:paraId="080A9510">
      <w:pPr>
        <w:keepNext w:val="0"/>
        <w:keepLines w:val="0"/>
        <w:kinsoku/>
        <w:overflowPunct/>
        <w:topLinePunct w:val="0"/>
        <w:bidi w:val="0"/>
        <w:spacing w:line="360" w:lineRule="auto"/>
        <w:ind w:left="27"/>
        <w:jc w:val="both"/>
        <w:outlineLvl w:val="2"/>
        <w:rPr>
          <w:rFonts w:hint="default" w:ascii="Times New Roman" w:hAnsi="Times New Roman" w:eastAsia="宋体" w:cs="Times New Roman"/>
          <w:b/>
          <w:bCs/>
          <w:color w:val="auto"/>
          <w:spacing w:val="0"/>
          <w:position w:val="1"/>
          <w:sz w:val="23"/>
          <w:szCs w:val="23"/>
          <w:highlight w:val="none"/>
        </w:rPr>
      </w:pPr>
      <w:r>
        <w:rPr>
          <w:rFonts w:hint="default" w:ascii="Times New Roman" w:hAnsi="Times New Roman" w:eastAsia="宋体" w:cs="Times New Roman"/>
          <w:b/>
          <w:bCs/>
          <w:color w:val="auto"/>
          <w:spacing w:val="0"/>
          <w:position w:val="1"/>
          <w:sz w:val="23"/>
          <w:szCs w:val="23"/>
          <w:highlight w:val="none"/>
        </w:rPr>
        <w:t>1</w:t>
      </w:r>
      <w:r>
        <w:rPr>
          <w:rFonts w:hint="eastAsia" w:ascii="Times New Roman" w:hAnsi="Times New Roman" w:eastAsia="宋体" w:cs="Times New Roman"/>
          <w:b/>
          <w:bCs/>
          <w:color w:val="auto"/>
          <w:spacing w:val="0"/>
          <w:position w:val="1"/>
          <w:sz w:val="23"/>
          <w:szCs w:val="23"/>
          <w:highlight w:val="none"/>
          <w:lang w:val="en-US" w:eastAsia="zh-CN"/>
        </w:rPr>
        <w:t>5</w:t>
      </w:r>
      <w:r>
        <w:rPr>
          <w:rFonts w:hint="default" w:ascii="Times New Roman" w:hAnsi="Times New Roman" w:eastAsia="宋体" w:cs="Times New Roman"/>
          <w:b/>
          <w:bCs/>
          <w:color w:val="auto"/>
          <w:spacing w:val="0"/>
          <w:position w:val="1"/>
          <w:sz w:val="23"/>
          <w:szCs w:val="23"/>
          <w:highlight w:val="none"/>
        </w:rPr>
        <w:t>.技术方案</w:t>
      </w:r>
    </w:p>
    <w:p w14:paraId="07448AF3">
      <w:pPr>
        <w:keepNext w:val="0"/>
        <w:keepLines w:val="0"/>
        <w:kinsoku/>
        <w:overflowPunct/>
        <w:topLinePunct w:val="0"/>
        <w:bidi w:val="0"/>
        <w:spacing w:line="360" w:lineRule="auto"/>
        <w:ind w:left="27" w:firstLine="460" w:firstLineChars="200"/>
        <w:jc w:val="both"/>
        <w:rPr>
          <w:rFonts w:hint="default" w:ascii="Times New Roman" w:hAnsi="Times New Roman" w:eastAsia="宋体" w:cs="Times New Roman"/>
          <w:b w:val="0"/>
          <w:bCs w:val="0"/>
          <w:color w:val="auto"/>
          <w:spacing w:val="0"/>
          <w:position w:val="1"/>
          <w:sz w:val="23"/>
          <w:szCs w:val="23"/>
          <w:highlight w:val="none"/>
        </w:rPr>
      </w:pPr>
      <w:r>
        <w:rPr>
          <w:rFonts w:hint="default" w:ascii="Times New Roman" w:hAnsi="Times New Roman" w:eastAsia="宋体" w:cs="Times New Roman"/>
          <w:b w:val="0"/>
          <w:bCs w:val="0"/>
          <w:color w:val="auto"/>
          <w:spacing w:val="0"/>
          <w:position w:val="1"/>
          <w:sz w:val="23"/>
          <w:szCs w:val="23"/>
          <w:highlight w:val="none"/>
        </w:rPr>
        <w:t>投标人根据评审办法自行拟定投标方案格式。</w:t>
      </w:r>
    </w:p>
    <w:p w14:paraId="742022DF">
      <w:pPr>
        <w:keepNext w:val="0"/>
        <w:keepLines w:val="0"/>
        <w:kinsoku/>
        <w:overflowPunct/>
        <w:topLinePunct w:val="0"/>
        <w:bidi w:val="0"/>
        <w:spacing w:line="308" w:lineRule="exact"/>
        <w:ind w:left="27"/>
        <w:jc w:val="both"/>
        <w:rPr>
          <w:rFonts w:hint="default" w:ascii="Times New Roman" w:hAnsi="Times New Roman" w:eastAsia="宋体" w:cs="Times New Roman"/>
          <w:b/>
          <w:bCs/>
          <w:color w:val="auto"/>
          <w:spacing w:val="0"/>
          <w:position w:val="1"/>
          <w:sz w:val="23"/>
          <w:szCs w:val="23"/>
          <w:highlight w:val="none"/>
        </w:rPr>
      </w:pPr>
    </w:p>
    <w:p w14:paraId="6F443C93">
      <w:pPr>
        <w:keepNext w:val="0"/>
        <w:keepLines w:val="0"/>
        <w:kinsoku/>
        <w:overflowPunct/>
        <w:topLinePunct w:val="0"/>
        <w:bidi w:val="0"/>
        <w:jc w:val="both"/>
        <w:rPr>
          <w:rFonts w:hint="default" w:ascii="Times New Roman" w:hAnsi="Times New Roman" w:eastAsia="宋体" w:cs="Times New Roman"/>
          <w:color w:val="auto"/>
          <w:spacing w:val="0"/>
          <w:position w:val="1"/>
          <w:sz w:val="23"/>
          <w:szCs w:val="23"/>
          <w:highlight w:val="none"/>
        </w:rPr>
      </w:pPr>
      <w:r>
        <w:rPr>
          <w:rFonts w:hint="default" w:ascii="Times New Roman" w:hAnsi="Times New Roman" w:eastAsia="宋体" w:cs="Times New Roman"/>
          <w:color w:val="auto"/>
          <w:spacing w:val="0"/>
          <w:position w:val="1"/>
          <w:sz w:val="23"/>
          <w:szCs w:val="23"/>
          <w:highlight w:val="none"/>
        </w:rPr>
        <w:br w:type="page"/>
      </w:r>
    </w:p>
    <w:p w14:paraId="1C44F3A8">
      <w:pPr>
        <w:keepNext w:val="0"/>
        <w:keepLines w:val="0"/>
        <w:kinsoku/>
        <w:overflowPunct/>
        <w:topLinePunct w:val="0"/>
        <w:bidi w:val="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1</w:t>
      </w:r>
      <w:r>
        <w:rPr>
          <w:rFonts w:hint="eastAsia" w:ascii="Times New Roman" w:hAnsi="Times New Roman" w:eastAsia="宋体" w:cs="Times New Roman"/>
          <w:color w:val="auto"/>
          <w:spacing w:val="0"/>
          <w:sz w:val="23"/>
          <w:szCs w:val="23"/>
          <w:highlight w:val="none"/>
          <w:lang w:val="en-US" w:eastAsia="zh-CN"/>
        </w:rPr>
        <w:t>5</w:t>
      </w:r>
      <w:r>
        <w:rPr>
          <w:rFonts w:hint="default" w:ascii="Times New Roman" w:hAnsi="Times New Roman" w:eastAsia="宋体" w:cs="Times New Roman"/>
          <w:color w:val="auto"/>
          <w:spacing w:val="0"/>
          <w:sz w:val="23"/>
          <w:szCs w:val="23"/>
          <w:highlight w:val="none"/>
        </w:rPr>
        <w:t>.</w:t>
      </w:r>
      <w:r>
        <w:rPr>
          <w:rFonts w:hint="eastAsia" w:ascii="Times New Roman" w:hAnsi="Times New Roman" w:eastAsia="宋体" w:cs="Times New Roman"/>
          <w:color w:val="auto"/>
          <w:spacing w:val="0"/>
          <w:sz w:val="23"/>
          <w:szCs w:val="23"/>
          <w:highlight w:val="none"/>
          <w:lang w:val="en-US" w:eastAsia="zh-CN"/>
        </w:rPr>
        <w:t>1</w:t>
      </w:r>
      <w:r>
        <w:rPr>
          <w:rFonts w:hint="default" w:ascii="Times New Roman" w:hAnsi="Times New Roman" w:eastAsia="宋体" w:cs="Times New Roman"/>
          <w:color w:val="auto"/>
          <w:spacing w:val="0"/>
          <w:sz w:val="23"/>
          <w:szCs w:val="23"/>
          <w:highlight w:val="none"/>
        </w:rPr>
        <w:t>填写技术指标响应表</w:t>
      </w:r>
    </w:p>
    <w:p w14:paraId="7213BE8E">
      <w:pPr>
        <w:keepNext w:val="0"/>
        <w:keepLines w:val="0"/>
        <w:kinsoku/>
        <w:overflowPunct/>
        <w:topLinePunct w:val="0"/>
        <w:bidi w:val="0"/>
        <w:spacing w:before="202" w:line="220" w:lineRule="auto"/>
        <w:ind w:left="3646"/>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技术指标响应表</w:t>
      </w:r>
    </w:p>
    <w:p w14:paraId="464852AF">
      <w:pPr>
        <w:keepNext w:val="0"/>
        <w:keepLines w:val="0"/>
        <w:kinsoku/>
        <w:overflowPunct/>
        <w:topLinePunct w:val="0"/>
        <w:bidi w:val="0"/>
        <w:spacing w:before="91" w:line="220" w:lineRule="auto"/>
        <w:jc w:val="both"/>
        <w:rPr>
          <w:rFonts w:hint="default" w:ascii="Times New Roman" w:hAnsi="Times New Roman" w:eastAsia="宋体" w:cs="Times New Roman"/>
          <w:color w:val="auto"/>
          <w:spacing w:val="0"/>
          <w:sz w:val="24"/>
          <w:szCs w:val="24"/>
          <w:highlight w:val="none"/>
          <w:u w:val="none"/>
          <w:lang w:eastAsia="zh-CN"/>
        </w:rPr>
      </w:pPr>
      <w:r>
        <w:rPr>
          <w:rFonts w:hint="default" w:ascii="Times New Roman" w:hAnsi="Times New Roman" w:eastAsia="宋体" w:cs="Times New Roman"/>
          <w:color w:val="auto"/>
          <w:spacing w:val="0"/>
          <w:sz w:val="21"/>
          <w:szCs w:val="21"/>
          <w:highlight w:val="none"/>
        </w:rPr>
        <w:t>项目编号：</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合同包名称</w:t>
      </w:r>
      <w:r>
        <w:rPr>
          <w:rFonts w:hint="default" w:ascii="Times New Roman" w:hAnsi="Times New Roman" w:eastAsia="宋体" w:cs="Times New Roman"/>
          <w:color w:val="auto"/>
          <w:spacing w:val="0"/>
          <w:sz w:val="21"/>
          <w:szCs w:val="21"/>
          <w:highlight w:val="none"/>
          <w:u w:val="none"/>
        </w:rPr>
        <w:t>：</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w:t>
      </w:r>
      <w:r>
        <w:rPr>
          <w:rFonts w:hint="eastAsia" w:ascii="Times New Roman" w:hAnsi="Times New Roman" w:eastAsia="宋体" w:cs="Times New Roman"/>
          <w:color w:val="auto"/>
          <w:spacing w:val="0"/>
          <w:sz w:val="24"/>
          <w:szCs w:val="24"/>
          <w:highlight w:val="none"/>
          <w:u w:val="none"/>
          <w:lang w:val="en-US" w:eastAsia="zh-CN"/>
        </w:rPr>
        <w:t xml:space="preserve">         </w:t>
      </w:r>
    </w:p>
    <w:p w14:paraId="39F35207">
      <w:pPr>
        <w:keepNext w:val="0"/>
        <w:keepLines w:val="0"/>
        <w:kinsoku/>
        <w:overflowPunct/>
        <w:topLinePunct w:val="0"/>
        <w:bidi w:val="0"/>
        <w:spacing w:line="26" w:lineRule="exact"/>
        <w:jc w:val="both"/>
        <w:rPr>
          <w:rFonts w:hint="default" w:ascii="Times New Roman" w:hAnsi="Times New Roman" w:cs="Times New Roman"/>
          <w:color w:val="auto"/>
          <w:spacing w:val="0"/>
          <w:highlight w:val="none"/>
        </w:rPr>
      </w:pPr>
    </w:p>
    <w:tbl>
      <w:tblPr>
        <w:tblStyle w:val="37"/>
        <w:tblW w:w="942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1"/>
        <w:gridCol w:w="2536"/>
        <w:gridCol w:w="2385"/>
        <w:gridCol w:w="2100"/>
        <w:gridCol w:w="1262"/>
      </w:tblGrid>
      <w:tr w14:paraId="55137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1" w:hRule="atLeast"/>
        </w:trPr>
        <w:tc>
          <w:tcPr>
            <w:tcW w:w="1141" w:type="dxa"/>
            <w:tcBorders>
              <w:top w:val="single" w:color="000000" w:sz="2" w:space="0"/>
              <w:bottom w:val="single" w:color="000000" w:sz="2" w:space="0"/>
            </w:tcBorders>
            <w:vAlign w:val="center"/>
          </w:tcPr>
          <w:p w14:paraId="2B6C5A68">
            <w:pPr>
              <w:keepNext w:val="0"/>
              <w:keepLines w:val="0"/>
              <w:kinsoku/>
              <w:overflowPunct/>
              <w:topLinePunct w:val="0"/>
              <w:bidi w:val="0"/>
              <w:jc w:val="center"/>
              <w:rPr>
                <w:rFonts w:hint="default"/>
                <w:sz w:val="24"/>
                <w:szCs w:val="24"/>
                <w:highlight w:val="none"/>
              </w:rPr>
            </w:pPr>
            <w:r>
              <w:rPr>
                <w:rFonts w:hint="default"/>
                <w:sz w:val="24"/>
                <w:szCs w:val="24"/>
                <w:highlight w:val="none"/>
              </w:rPr>
              <w:t>品目</w:t>
            </w:r>
          </w:p>
        </w:tc>
        <w:tc>
          <w:tcPr>
            <w:tcW w:w="2536" w:type="dxa"/>
            <w:tcBorders>
              <w:top w:val="single" w:color="000000" w:sz="2" w:space="0"/>
              <w:bottom w:val="single" w:color="000000" w:sz="2" w:space="0"/>
            </w:tcBorders>
            <w:vAlign w:val="center"/>
          </w:tcPr>
          <w:p w14:paraId="0ABBC393">
            <w:pPr>
              <w:keepNext w:val="0"/>
              <w:keepLines w:val="0"/>
              <w:kinsoku/>
              <w:overflowPunct/>
              <w:topLinePunct w:val="0"/>
              <w:bidi w:val="0"/>
              <w:jc w:val="center"/>
              <w:rPr>
                <w:rFonts w:hint="default"/>
                <w:sz w:val="24"/>
                <w:szCs w:val="24"/>
                <w:highlight w:val="none"/>
              </w:rPr>
            </w:pPr>
            <w:r>
              <w:rPr>
                <w:rFonts w:hint="default"/>
                <w:sz w:val="24"/>
                <w:szCs w:val="24"/>
                <w:highlight w:val="none"/>
              </w:rPr>
              <w:t>招标标的物技术指标(按招标文件誊写)</w:t>
            </w:r>
          </w:p>
        </w:tc>
        <w:tc>
          <w:tcPr>
            <w:tcW w:w="2385" w:type="dxa"/>
            <w:tcBorders>
              <w:top w:val="single" w:color="000000" w:sz="2" w:space="0"/>
              <w:bottom w:val="single" w:color="000000" w:sz="2" w:space="0"/>
            </w:tcBorders>
            <w:vAlign w:val="center"/>
          </w:tcPr>
          <w:p w14:paraId="4A9B84CF">
            <w:pPr>
              <w:keepNext w:val="0"/>
              <w:keepLines w:val="0"/>
              <w:kinsoku/>
              <w:overflowPunct/>
              <w:topLinePunct w:val="0"/>
              <w:bidi w:val="0"/>
              <w:jc w:val="center"/>
              <w:rPr>
                <w:rFonts w:hint="default"/>
                <w:sz w:val="24"/>
                <w:szCs w:val="24"/>
                <w:highlight w:val="none"/>
              </w:rPr>
            </w:pPr>
            <w:r>
              <w:rPr>
                <w:rFonts w:hint="default"/>
                <w:sz w:val="24"/>
                <w:szCs w:val="24"/>
                <w:highlight w:val="none"/>
              </w:rPr>
              <w:t>投标标的物技术指标(供应商如实填写)</w:t>
            </w:r>
          </w:p>
        </w:tc>
        <w:tc>
          <w:tcPr>
            <w:tcW w:w="2100" w:type="dxa"/>
            <w:tcBorders>
              <w:top w:val="single" w:color="000000" w:sz="2" w:space="0"/>
              <w:bottom w:val="single" w:color="000000" w:sz="2" w:space="0"/>
            </w:tcBorders>
            <w:vAlign w:val="center"/>
          </w:tcPr>
          <w:p w14:paraId="00232A8E">
            <w:pPr>
              <w:keepNext w:val="0"/>
              <w:keepLines w:val="0"/>
              <w:kinsoku/>
              <w:overflowPunct/>
              <w:topLinePunct w:val="0"/>
              <w:bidi w:val="0"/>
              <w:jc w:val="center"/>
              <w:rPr>
                <w:rFonts w:hint="default"/>
                <w:sz w:val="24"/>
                <w:szCs w:val="24"/>
                <w:highlight w:val="none"/>
              </w:rPr>
            </w:pPr>
            <w:r>
              <w:rPr>
                <w:rFonts w:hint="eastAsia" w:eastAsia="宋体"/>
                <w:sz w:val="24"/>
                <w:szCs w:val="24"/>
                <w:highlight w:val="none"/>
                <w:lang w:val="en-US" w:eastAsia="zh-CN"/>
              </w:rPr>
              <w:t>偏离情况</w:t>
            </w:r>
            <w:r>
              <w:rPr>
                <w:rFonts w:hint="default"/>
                <w:sz w:val="24"/>
                <w:szCs w:val="24"/>
                <w:highlight w:val="none"/>
              </w:rPr>
              <w:t>(负</w:t>
            </w:r>
            <w:r>
              <w:rPr>
                <w:rFonts w:hint="eastAsia" w:eastAsia="宋体"/>
                <w:sz w:val="24"/>
                <w:szCs w:val="24"/>
                <w:highlight w:val="none"/>
                <w:lang w:val="en-US" w:eastAsia="zh-CN"/>
              </w:rPr>
              <w:t>偏</w:t>
            </w:r>
            <w:r>
              <w:rPr>
                <w:rFonts w:hint="default"/>
                <w:sz w:val="24"/>
                <w:szCs w:val="24"/>
                <w:highlight w:val="none"/>
              </w:rPr>
              <w:t>／相同／正偏)</w:t>
            </w:r>
          </w:p>
        </w:tc>
        <w:tc>
          <w:tcPr>
            <w:tcW w:w="1262" w:type="dxa"/>
            <w:tcBorders>
              <w:top w:val="single" w:color="000000" w:sz="2" w:space="0"/>
              <w:bottom w:val="single" w:color="000000" w:sz="2" w:space="0"/>
            </w:tcBorders>
            <w:vAlign w:val="center"/>
          </w:tcPr>
          <w:p w14:paraId="46935B86">
            <w:pPr>
              <w:keepNext w:val="0"/>
              <w:keepLines w:val="0"/>
              <w:kinsoku/>
              <w:overflowPunct/>
              <w:topLinePunct w:val="0"/>
              <w:bidi w:val="0"/>
              <w:jc w:val="center"/>
              <w:rPr>
                <w:rFonts w:hint="default"/>
                <w:sz w:val="24"/>
                <w:szCs w:val="24"/>
                <w:highlight w:val="none"/>
              </w:rPr>
            </w:pPr>
            <w:r>
              <w:rPr>
                <w:rFonts w:hint="default"/>
                <w:sz w:val="24"/>
                <w:szCs w:val="24"/>
                <w:highlight w:val="none"/>
              </w:rPr>
              <w:t>备注</w:t>
            </w:r>
          </w:p>
        </w:tc>
      </w:tr>
      <w:tr w14:paraId="7308B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1F9141D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66A23E9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686BFF89">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26EE7B7A">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restart"/>
            <w:tcBorders>
              <w:top w:val="single" w:color="000000" w:sz="2" w:space="0"/>
              <w:bottom w:val="nil"/>
            </w:tcBorders>
            <w:vAlign w:val="center"/>
          </w:tcPr>
          <w:p w14:paraId="4B121B6C">
            <w:pPr>
              <w:keepNext w:val="0"/>
              <w:keepLines w:val="0"/>
              <w:kinsoku/>
              <w:overflowPunct/>
              <w:topLinePunct w:val="0"/>
              <w:bidi w:val="0"/>
              <w:spacing w:before="75" w:line="249" w:lineRule="auto"/>
              <w:ind w:right="65"/>
              <w:jc w:val="center"/>
              <w:rPr>
                <w:rFonts w:hint="default" w:ascii="Times New Roman" w:hAnsi="Times New Roman" w:eastAsia="宋体" w:cs="Times New Roman"/>
                <w:color w:val="auto"/>
                <w:spacing w:val="0"/>
                <w:sz w:val="23"/>
                <w:szCs w:val="23"/>
                <w:highlight w:val="none"/>
              </w:rPr>
            </w:pPr>
          </w:p>
        </w:tc>
      </w:tr>
      <w:tr w14:paraId="55626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518D165E">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7CA7937E">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02F5D4A1">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4565B682">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3A940E8F">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3AC43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24A56D36">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1AE133E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4CB5183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42D63B1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4FD5C202">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67D6C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141" w:type="dxa"/>
            <w:tcBorders>
              <w:top w:val="single" w:color="000000" w:sz="2" w:space="0"/>
              <w:bottom w:val="single" w:color="000000" w:sz="2" w:space="0"/>
            </w:tcBorders>
            <w:vAlign w:val="top"/>
          </w:tcPr>
          <w:p w14:paraId="4DB36DD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70FD7D9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75A20546">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61C86DC5">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7CA398A8">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22458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366E85A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00EA2F05">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7578D0B2">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5D4B0D92">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2EF95706">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22034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0E526D43">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5DF693C0">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38EA51F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3586BAE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4E20CA05">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4BAF4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141" w:type="dxa"/>
            <w:tcBorders>
              <w:top w:val="single" w:color="000000" w:sz="2" w:space="0"/>
              <w:bottom w:val="single" w:color="000000" w:sz="2" w:space="0"/>
            </w:tcBorders>
            <w:vAlign w:val="top"/>
          </w:tcPr>
          <w:p w14:paraId="7D422BB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34E4036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4E9654BD">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4BE68FB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061666CB">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34BE9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2A5D0A4E">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3C45DB01">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3FC78200">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60A09065">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207F45DD">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6ECCB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141" w:type="dxa"/>
            <w:tcBorders>
              <w:top w:val="single" w:color="000000" w:sz="2" w:space="0"/>
              <w:bottom w:val="single" w:color="000000" w:sz="2" w:space="0"/>
            </w:tcBorders>
            <w:vAlign w:val="top"/>
          </w:tcPr>
          <w:p w14:paraId="2313BD2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6516941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5CC7FB3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6517C427">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52FB7844">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1938B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141" w:type="dxa"/>
            <w:tcBorders>
              <w:top w:val="single" w:color="000000" w:sz="2" w:space="0"/>
              <w:bottom w:val="single" w:color="000000" w:sz="2" w:space="0"/>
            </w:tcBorders>
            <w:vAlign w:val="top"/>
          </w:tcPr>
          <w:p w14:paraId="24FDB42A">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14BF8C80">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1711E2FE">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6052A1F9">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24D434CF">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1B3CB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031D5AB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193E1DC6">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0D020379">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3E8B2958">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7A772658">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78DC8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141" w:type="dxa"/>
            <w:tcBorders>
              <w:top w:val="single" w:color="000000" w:sz="2" w:space="0"/>
              <w:bottom w:val="single" w:color="000000" w:sz="2" w:space="0"/>
            </w:tcBorders>
            <w:vAlign w:val="top"/>
          </w:tcPr>
          <w:p w14:paraId="7B394A17">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37F4B1A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1E363BE1">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75D50B75">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7F87990F">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3EE78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0A6B62A8">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4329E059">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016F5872">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7792E42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41291B23">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73611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27059C45">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74DB05DA">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6A096449">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441C126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638736B5">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52495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141" w:type="dxa"/>
            <w:tcBorders>
              <w:top w:val="single" w:color="000000" w:sz="2" w:space="0"/>
              <w:bottom w:val="single" w:color="000000" w:sz="2" w:space="0"/>
            </w:tcBorders>
            <w:vAlign w:val="top"/>
          </w:tcPr>
          <w:p w14:paraId="53A736A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7021B8E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0941499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5CB05380">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single" w:color="000000" w:sz="2" w:space="0"/>
            </w:tcBorders>
            <w:vAlign w:val="top"/>
          </w:tcPr>
          <w:p w14:paraId="7B8E31A1">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25B92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9424" w:type="dxa"/>
            <w:gridSpan w:val="5"/>
            <w:tcBorders>
              <w:top w:val="single" w:color="000000" w:sz="2" w:space="0"/>
              <w:bottom w:val="single" w:color="000000" w:sz="2" w:space="0"/>
            </w:tcBorders>
            <w:vAlign w:val="top"/>
          </w:tcPr>
          <w:p w14:paraId="7D37EF4B">
            <w:pPr>
              <w:keepNext w:val="0"/>
              <w:keepLines w:val="0"/>
              <w:kinsoku/>
              <w:overflowPunct/>
              <w:topLinePunct w:val="0"/>
              <w:bidi w:val="0"/>
              <w:spacing w:before="157" w:line="227" w:lineRule="auto"/>
              <w:ind w:left="396"/>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说明：如果投标人填写的不真实，则造成的不利后果和投标风险，由其自行承担。</w:t>
            </w:r>
          </w:p>
        </w:tc>
      </w:tr>
    </w:tbl>
    <w:p w14:paraId="246280DE">
      <w:pPr>
        <w:keepNext w:val="0"/>
        <w:keepLines w:val="0"/>
        <w:kinsoku/>
        <w:overflowPunct/>
        <w:topLinePunct w:val="0"/>
        <w:bidi w:val="0"/>
        <w:spacing w:before="211" w:line="227" w:lineRule="auto"/>
        <w:ind w:left="142"/>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投标人：</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(公章)</w:t>
      </w:r>
    </w:p>
    <w:p w14:paraId="78D018EB">
      <w:pPr>
        <w:keepNext w:val="0"/>
        <w:keepLines w:val="0"/>
        <w:kinsoku/>
        <w:overflowPunct/>
        <w:topLinePunct w:val="0"/>
        <w:bidi w:val="0"/>
        <w:spacing w:before="235" w:line="227" w:lineRule="auto"/>
        <w:ind w:left="14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法定代表人或委托代理人：(签字或盖章)</w:t>
      </w:r>
    </w:p>
    <w:p w14:paraId="1965E2A4">
      <w:pPr>
        <w:keepNext w:val="0"/>
        <w:keepLines w:val="0"/>
        <w:kinsoku/>
        <w:overflowPunct/>
        <w:topLinePunct w:val="0"/>
        <w:bidi w:val="0"/>
        <w:spacing w:before="239" w:line="227" w:lineRule="auto"/>
        <w:ind w:left="181"/>
        <w:jc w:val="both"/>
        <w:rPr>
          <w:rFonts w:hint="default" w:ascii="Times New Roman" w:hAnsi="Times New Roman" w:eastAsia="宋体" w:cs="Times New Roman"/>
          <w:color w:val="auto"/>
          <w:spacing w:val="0"/>
          <w:sz w:val="23"/>
          <w:szCs w:val="23"/>
          <w:highlight w:val="none"/>
          <w:lang w:val="en-US" w:eastAsia="zh-CN"/>
        </w:rPr>
      </w:pPr>
      <w:r>
        <w:rPr>
          <w:rFonts w:hint="default" w:ascii="Times New Roman" w:hAnsi="Times New Roman" w:eastAsia="宋体" w:cs="Times New Roman"/>
          <w:color w:val="auto"/>
          <w:spacing w:val="0"/>
          <w:sz w:val="23"/>
          <w:szCs w:val="23"/>
          <w:highlight w:val="none"/>
        </w:rPr>
        <w:t>日期：年</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月</w:t>
      </w:r>
      <w:r>
        <w:rPr>
          <w:rFonts w:hint="eastAsia" w:ascii="Times New Roman" w:hAnsi="Times New Roman" w:eastAsia="宋体" w:cs="Times New Roman"/>
          <w:color w:val="auto"/>
          <w:spacing w:val="0"/>
          <w:sz w:val="23"/>
          <w:szCs w:val="23"/>
          <w:highlight w:val="none"/>
          <w:lang w:val="en-US" w:eastAsia="zh-CN"/>
        </w:rPr>
        <w:t xml:space="preserve">   日</w:t>
      </w:r>
    </w:p>
    <w:p w14:paraId="7DC2C5DA">
      <w:pPr>
        <w:keepNext w:val="0"/>
        <w:keepLines w:val="0"/>
        <w:kinsoku/>
        <w:overflowPunct/>
        <w:topLinePunct w:val="0"/>
        <w:bidi w:val="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br w:type="page"/>
      </w:r>
    </w:p>
    <w:p w14:paraId="0EE5438C">
      <w:pPr>
        <w:keepNext w:val="0"/>
        <w:keepLines w:val="0"/>
        <w:kinsoku/>
        <w:overflowPunct/>
        <w:topLinePunct w:val="0"/>
        <w:bidi w:val="0"/>
        <w:spacing w:before="75" w:line="360" w:lineRule="auto"/>
        <w:ind w:left="27"/>
        <w:jc w:val="both"/>
        <w:outlineLvl w:val="2"/>
        <w:rPr>
          <w:rFonts w:hint="default" w:ascii="Times New Roman" w:hAnsi="Times New Roman" w:eastAsia="宋体" w:cs="Times New Roman"/>
          <w:b/>
          <w:bCs/>
          <w:color w:val="auto"/>
          <w:spacing w:val="0"/>
          <w:sz w:val="23"/>
          <w:szCs w:val="23"/>
          <w:highlight w:val="none"/>
        </w:rPr>
      </w:pPr>
      <w:r>
        <w:rPr>
          <w:rFonts w:hint="default" w:ascii="Times New Roman" w:hAnsi="Times New Roman" w:eastAsia="宋体" w:cs="Times New Roman"/>
          <w:b/>
          <w:bCs/>
          <w:color w:val="auto"/>
          <w:spacing w:val="0"/>
          <w:position w:val="1"/>
          <w:sz w:val="23"/>
          <w:szCs w:val="23"/>
          <w:highlight w:val="none"/>
        </w:rPr>
        <w:t>1</w:t>
      </w:r>
      <w:r>
        <w:rPr>
          <w:rFonts w:hint="eastAsia" w:ascii="Times New Roman" w:hAnsi="Times New Roman" w:eastAsia="宋体" w:cs="Times New Roman"/>
          <w:b/>
          <w:bCs/>
          <w:color w:val="auto"/>
          <w:spacing w:val="0"/>
          <w:position w:val="1"/>
          <w:sz w:val="23"/>
          <w:szCs w:val="23"/>
          <w:highlight w:val="none"/>
          <w:lang w:val="en-US" w:eastAsia="zh-CN"/>
        </w:rPr>
        <w:t>6</w:t>
      </w:r>
      <w:r>
        <w:rPr>
          <w:rFonts w:hint="default" w:ascii="Times New Roman" w:hAnsi="Times New Roman" w:eastAsia="宋体" w:cs="Times New Roman"/>
          <w:b/>
          <w:bCs/>
          <w:color w:val="auto"/>
          <w:spacing w:val="0"/>
          <w:position w:val="1"/>
          <w:sz w:val="23"/>
          <w:szCs w:val="23"/>
          <w:highlight w:val="none"/>
        </w:rPr>
        <w:t>.</w:t>
      </w:r>
      <w:r>
        <w:rPr>
          <w:rFonts w:hint="default" w:ascii="Times New Roman" w:hAnsi="Times New Roman" w:eastAsia="宋体" w:cs="Times New Roman"/>
          <w:b/>
          <w:bCs/>
          <w:color w:val="auto"/>
          <w:spacing w:val="0"/>
          <w:position w:val="1"/>
          <w:sz w:val="23"/>
          <w:szCs w:val="23"/>
          <w:highlight w:val="none"/>
          <w:lang w:val="en-US" w:eastAsia="zh-CN"/>
        </w:rPr>
        <w:t>类似</w:t>
      </w:r>
      <w:r>
        <w:rPr>
          <w:rFonts w:hint="default" w:ascii="Times New Roman" w:hAnsi="Times New Roman" w:eastAsia="宋体" w:cs="Times New Roman"/>
          <w:b/>
          <w:bCs/>
          <w:color w:val="auto"/>
          <w:spacing w:val="0"/>
          <w:position w:val="1"/>
          <w:sz w:val="23"/>
          <w:szCs w:val="23"/>
          <w:highlight w:val="none"/>
        </w:rPr>
        <w:t>项目业绩</w:t>
      </w:r>
    </w:p>
    <w:p w14:paraId="67193A52">
      <w:pPr>
        <w:pStyle w:val="8"/>
        <w:keepNext w:val="0"/>
        <w:keepLines w:val="0"/>
        <w:kinsoku/>
        <w:overflowPunct/>
        <w:topLinePunct w:val="0"/>
        <w:bidi w:val="0"/>
        <w:spacing w:line="360" w:lineRule="auto"/>
        <w:ind w:firstLine="460" w:firstLineChars="200"/>
        <w:jc w:val="both"/>
        <w:rPr>
          <w:rFonts w:hint="eastAsia" w:ascii="Times New Roman" w:hAnsi="Times New Roman" w:eastAsia="宋体" w:cs="Times New Roman"/>
          <w:b w:val="0"/>
          <w:bCs/>
          <w:color w:val="auto"/>
          <w:spacing w:val="0"/>
          <w:sz w:val="23"/>
          <w:szCs w:val="23"/>
          <w:highlight w:val="none"/>
          <w:lang w:eastAsia="zh-CN"/>
        </w:rPr>
      </w:pPr>
      <w:r>
        <w:rPr>
          <w:rFonts w:hint="eastAsia" w:ascii="Times New Roman" w:hAnsi="Times New Roman" w:eastAsia="宋体" w:cs="Times New Roman"/>
          <w:b w:val="0"/>
          <w:bCs/>
          <w:color w:val="auto"/>
          <w:spacing w:val="0"/>
          <w:sz w:val="23"/>
          <w:szCs w:val="23"/>
          <w:highlight w:val="none"/>
          <w:lang w:eastAsia="zh-CN"/>
        </w:rPr>
        <w:t>投标人202</w:t>
      </w:r>
      <w:r>
        <w:rPr>
          <w:rFonts w:hint="eastAsia" w:ascii="Times New Roman" w:hAnsi="Times New Roman" w:eastAsia="宋体" w:cs="Times New Roman"/>
          <w:b w:val="0"/>
          <w:bCs/>
          <w:color w:val="auto"/>
          <w:spacing w:val="0"/>
          <w:sz w:val="23"/>
          <w:szCs w:val="23"/>
          <w:highlight w:val="none"/>
          <w:lang w:val="en-US" w:eastAsia="zh-CN"/>
        </w:rPr>
        <w:t>3</w:t>
      </w:r>
      <w:r>
        <w:rPr>
          <w:rFonts w:hint="eastAsia" w:ascii="Times New Roman" w:hAnsi="Times New Roman" w:eastAsia="宋体" w:cs="Times New Roman"/>
          <w:b w:val="0"/>
          <w:bCs/>
          <w:color w:val="auto"/>
          <w:spacing w:val="0"/>
          <w:sz w:val="23"/>
          <w:szCs w:val="23"/>
          <w:highlight w:val="none"/>
          <w:lang w:eastAsia="zh-CN"/>
        </w:rPr>
        <w:t>年</w:t>
      </w:r>
      <w:r>
        <w:rPr>
          <w:rFonts w:hint="eastAsia" w:ascii="Times New Roman" w:hAnsi="Times New Roman" w:eastAsia="宋体" w:cs="Times New Roman"/>
          <w:b w:val="0"/>
          <w:bCs/>
          <w:color w:val="auto"/>
          <w:spacing w:val="0"/>
          <w:sz w:val="23"/>
          <w:szCs w:val="23"/>
          <w:highlight w:val="none"/>
          <w:lang w:val="en-US" w:eastAsia="zh-CN"/>
        </w:rPr>
        <w:t>1</w:t>
      </w:r>
      <w:r>
        <w:rPr>
          <w:rFonts w:hint="eastAsia" w:ascii="Times New Roman" w:hAnsi="Times New Roman" w:eastAsia="宋体" w:cs="Times New Roman"/>
          <w:b w:val="0"/>
          <w:bCs/>
          <w:color w:val="auto"/>
          <w:spacing w:val="0"/>
          <w:sz w:val="23"/>
          <w:szCs w:val="23"/>
          <w:highlight w:val="none"/>
          <w:lang w:eastAsia="zh-CN"/>
        </w:rPr>
        <w:t>月至今（以合同签订时间为准）有类似项目业绩，</w:t>
      </w:r>
      <w:r>
        <w:rPr>
          <w:rFonts w:hint="eastAsia" w:ascii="Times New Roman" w:hAnsi="Times New Roman" w:eastAsia="宋体" w:cs="Times New Roman"/>
          <w:b w:val="0"/>
          <w:bCs/>
          <w:color w:val="auto"/>
          <w:spacing w:val="0"/>
          <w:sz w:val="23"/>
          <w:szCs w:val="23"/>
          <w:highlight w:val="none"/>
          <w:lang w:val="en-US" w:eastAsia="zh-CN"/>
        </w:rPr>
        <w:t>提供业绩合同复印件</w:t>
      </w:r>
      <w:r>
        <w:rPr>
          <w:rFonts w:hint="eastAsia" w:ascii="Times New Roman" w:hAnsi="Times New Roman" w:eastAsia="宋体" w:cs="Times New Roman"/>
          <w:b w:val="0"/>
          <w:bCs/>
          <w:color w:val="auto"/>
          <w:spacing w:val="0"/>
          <w:sz w:val="23"/>
          <w:szCs w:val="23"/>
          <w:highlight w:val="none"/>
          <w:lang w:eastAsia="zh-CN"/>
        </w:rPr>
        <w:t>。（</w:t>
      </w:r>
      <w:r>
        <w:rPr>
          <w:rFonts w:hint="default" w:ascii="Times New Roman" w:hAnsi="Times New Roman" w:eastAsia="宋体" w:cs="Times New Roman"/>
          <w:b w:val="0"/>
          <w:bCs/>
          <w:color w:val="auto"/>
          <w:spacing w:val="0"/>
          <w:sz w:val="23"/>
          <w:szCs w:val="23"/>
          <w:highlight w:val="none"/>
        </w:rPr>
        <w:t>加盖公章</w:t>
      </w:r>
      <w:r>
        <w:rPr>
          <w:rFonts w:hint="eastAsia" w:ascii="Times New Roman" w:hAnsi="Times New Roman" w:eastAsia="宋体" w:cs="Times New Roman"/>
          <w:b w:val="0"/>
          <w:bCs/>
          <w:color w:val="auto"/>
          <w:spacing w:val="0"/>
          <w:sz w:val="23"/>
          <w:szCs w:val="23"/>
          <w:highlight w:val="none"/>
          <w:lang w:eastAsia="zh-CN"/>
        </w:rPr>
        <w:t>）</w:t>
      </w:r>
    </w:p>
    <w:p w14:paraId="694BB000">
      <w:pPr>
        <w:keepNext w:val="0"/>
        <w:keepLines w:val="0"/>
        <w:kinsoku/>
        <w:overflowPunct/>
        <w:topLinePunct w:val="0"/>
        <w:bidi w:val="0"/>
        <w:rPr>
          <w:rFonts w:hint="eastAsia" w:ascii="Times New Roman" w:hAnsi="Times New Roman" w:eastAsia="宋体" w:cs="Times New Roman"/>
          <w:b w:val="0"/>
          <w:bCs/>
          <w:color w:val="auto"/>
          <w:spacing w:val="0"/>
          <w:sz w:val="23"/>
          <w:szCs w:val="23"/>
          <w:highlight w:val="none"/>
          <w:lang w:eastAsia="zh-CN"/>
        </w:rPr>
      </w:pPr>
      <w:r>
        <w:rPr>
          <w:rFonts w:hint="eastAsia" w:ascii="Times New Roman" w:hAnsi="Times New Roman" w:eastAsia="宋体" w:cs="Times New Roman"/>
          <w:b w:val="0"/>
          <w:bCs/>
          <w:color w:val="auto"/>
          <w:spacing w:val="0"/>
          <w:sz w:val="23"/>
          <w:szCs w:val="23"/>
          <w:highlight w:val="none"/>
          <w:lang w:eastAsia="zh-CN"/>
        </w:rPr>
        <w:br w:type="page"/>
      </w:r>
    </w:p>
    <w:p w14:paraId="22F513E9">
      <w:pPr>
        <w:keepNext w:val="0"/>
        <w:keepLines w:val="0"/>
        <w:kinsoku/>
        <w:overflowPunct/>
        <w:topLinePunct w:val="0"/>
        <w:bidi w:val="0"/>
        <w:spacing w:before="75" w:line="360" w:lineRule="auto"/>
        <w:ind w:left="27"/>
        <w:jc w:val="both"/>
        <w:outlineLvl w:val="2"/>
        <w:rPr>
          <w:rFonts w:hint="default" w:ascii="Times New Roman" w:hAnsi="Times New Roman" w:eastAsia="宋体" w:cs="Times New Roman"/>
          <w:b/>
          <w:bCs/>
          <w:color w:val="auto"/>
          <w:spacing w:val="0"/>
          <w:position w:val="1"/>
          <w:sz w:val="23"/>
          <w:szCs w:val="23"/>
          <w:highlight w:val="none"/>
          <w:lang w:val="en-US" w:eastAsia="zh-CN"/>
        </w:rPr>
      </w:pPr>
      <w:r>
        <w:rPr>
          <w:rFonts w:hint="eastAsia" w:ascii="Times New Roman" w:hAnsi="Times New Roman" w:eastAsia="宋体" w:cs="Times New Roman"/>
          <w:b/>
          <w:bCs/>
          <w:color w:val="auto"/>
          <w:spacing w:val="0"/>
          <w:position w:val="1"/>
          <w:sz w:val="23"/>
          <w:szCs w:val="23"/>
          <w:highlight w:val="none"/>
          <w:lang w:val="en-US" w:eastAsia="zh-CN"/>
        </w:rPr>
        <w:t>17.供应商认为其他需要的材料</w:t>
      </w:r>
    </w:p>
    <w:p w14:paraId="78212ADC">
      <w:pPr>
        <w:keepNext w:val="0"/>
        <w:keepLines w:val="0"/>
        <w:kinsoku/>
        <w:overflowPunct/>
        <w:topLinePunct w:val="0"/>
        <w:bidi w:val="0"/>
        <w:spacing w:line="360" w:lineRule="auto"/>
        <w:jc w:val="both"/>
        <w:rPr>
          <w:rFonts w:hint="default" w:ascii="Times New Roman" w:hAnsi="Times New Roman" w:eastAsia="宋体" w:cs="Times New Roman"/>
          <w:b w:val="0"/>
          <w:bCs/>
          <w:color w:val="auto"/>
          <w:spacing w:val="0"/>
          <w:sz w:val="23"/>
          <w:szCs w:val="23"/>
          <w:highlight w:val="none"/>
        </w:rPr>
      </w:pPr>
    </w:p>
    <w:p w14:paraId="7DF937DB">
      <w:pPr>
        <w:keepNext w:val="0"/>
        <w:keepLines w:val="0"/>
        <w:kinsoku/>
        <w:overflowPunct/>
        <w:topLinePunct w:val="0"/>
        <w:bidi w:val="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br w:type="page"/>
      </w:r>
    </w:p>
    <w:p w14:paraId="359D4427">
      <w:pPr>
        <w:keepNext w:val="0"/>
        <w:keepLines w:val="0"/>
        <w:widowControl/>
        <w:suppressLineNumbers w:val="0"/>
        <w:kinsoku/>
        <w:overflowPunct/>
        <w:topLinePunct w:val="0"/>
        <w:bidi w:val="0"/>
        <w:jc w:val="left"/>
        <w:outlineLvl w:val="2"/>
        <w:rPr>
          <w:rFonts w:hint="default" w:ascii="Times New Roman" w:hAnsi="Times New Roman" w:eastAsia="宋体" w:cs="Times New Roman"/>
          <w:color w:val="auto"/>
          <w:spacing w:val="0"/>
          <w:sz w:val="28"/>
          <w:szCs w:val="28"/>
          <w:highlight w:val="none"/>
        </w:rPr>
      </w:pPr>
      <w:bookmarkStart w:id="66" w:name="_Toc5028"/>
      <w:bookmarkStart w:id="67" w:name="_Toc29675"/>
      <w:bookmarkStart w:id="68" w:name="_Toc2509"/>
      <w:r>
        <w:rPr>
          <w:rFonts w:hint="default" w:ascii="Times New Roman" w:hAnsi="Times New Roman" w:eastAsia="宋体" w:cs="Times New Roman"/>
          <w:color w:val="auto"/>
          <w:spacing w:val="0"/>
          <w:sz w:val="28"/>
          <w:szCs w:val="28"/>
          <w:highlight w:val="none"/>
        </w:rPr>
        <w:t>附件一：</w:t>
      </w:r>
      <w:bookmarkEnd w:id="66"/>
      <w:bookmarkEnd w:id="67"/>
      <w:r>
        <w:rPr>
          <w:rFonts w:hint="eastAsia" w:ascii="Times New Roman" w:hAnsi="Times New Roman" w:eastAsia="宋体" w:cs="Times New Roman"/>
          <w:color w:val="auto"/>
          <w:spacing w:val="0"/>
          <w:sz w:val="28"/>
          <w:szCs w:val="28"/>
          <w:highlight w:val="none"/>
          <w:lang w:val="en-US" w:eastAsia="zh-CN"/>
        </w:rPr>
        <w:t>中小企业声明函</w:t>
      </w:r>
      <w:r>
        <w:rPr>
          <w:rFonts w:hint="eastAsia" w:ascii="Times New Roman" w:hAnsi="Times New Roman" w:eastAsia="宋体" w:cs="Times New Roman"/>
          <w:color w:val="000000" w:themeColor="text1"/>
          <w:spacing w:val="0"/>
          <w:sz w:val="28"/>
          <w:szCs w:val="28"/>
          <w:highlight w:val="none"/>
          <w:lang w:val="en-US" w:eastAsia="zh-CN"/>
          <w14:textFill>
            <w14:solidFill>
              <w14:schemeClr w14:val="tx1"/>
            </w14:solidFill>
          </w14:textFill>
        </w:rPr>
        <w:t>（货物）</w:t>
      </w:r>
      <w:bookmarkEnd w:id="68"/>
      <w:r>
        <w:rPr>
          <w:rFonts w:hint="eastAsia" w:ascii="Times New Roman" w:hAnsi="Times New Roman" w:eastAsia="宋体" w:cs="Times New Roman"/>
          <w:color w:val="000000" w:themeColor="text1"/>
          <w:spacing w:val="0"/>
          <w:sz w:val="28"/>
          <w:szCs w:val="28"/>
          <w:highlight w:val="none"/>
          <w:lang w:val="en-US" w:eastAsia="zh-CN"/>
          <w14:textFill>
            <w14:solidFill>
              <w14:schemeClr w14:val="tx1"/>
            </w14:solidFill>
          </w14:textFill>
        </w:rPr>
        <w:t xml:space="preserve"> </w:t>
      </w:r>
    </w:p>
    <w:p w14:paraId="0149CDF8">
      <w:pPr>
        <w:keepNext w:val="0"/>
        <w:keepLines w:val="0"/>
        <w:widowControl/>
        <w:suppressLineNumbers w:val="0"/>
        <w:kinsoku/>
        <w:overflowPunct/>
        <w:topLinePunct w:val="0"/>
        <w:bidi w:val="0"/>
        <w:ind w:firstLine="620" w:firstLineChars="200"/>
        <w:jc w:val="left"/>
        <w:rPr>
          <w:rFonts w:ascii="仿宋" w:hAnsi="仿宋" w:eastAsia="仿宋" w:cs="仿宋"/>
          <w:snapToGrid w:val="0"/>
          <w:color w:val="000000"/>
          <w:kern w:val="0"/>
          <w:sz w:val="31"/>
          <w:szCs w:val="31"/>
          <w:highlight w:val="none"/>
          <w:lang w:val="en-US" w:eastAsia="zh-CN" w:bidi="ar"/>
        </w:rPr>
      </w:pPr>
    </w:p>
    <w:p w14:paraId="591DEF45">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i w:val="0"/>
          <w:iCs w:val="0"/>
          <w:snapToGrid w:val="0"/>
          <w:color w:val="000000"/>
          <w:kern w:val="0"/>
          <w:sz w:val="24"/>
          <w:szCs w:val="24"/>
          <w:highlight w:val="none"/>
          <w:u w:val="single"/>
          <w:lang w:val="en-US" w:eastAsia="zh-CN" w:bidi="ar"/>
        </w:rPr>
        <w:t>（单位名称）</w:t>
      </w:r>
      <w:r>
        <w:rPr>
          <w:rFonts w:hint="eastAsia" w:ascii="宋体" w:hAnsi="宋体" w:eastAsia="宋体" w:cs="宋体"/>
          <w:i w:val="0"/>
          <w:iCs w:val="0"/>
          <w:snapToGrid w:val="0"/>
          <w:color w:val="000000"/>
          <w:kern w:val="0"/>
          <w:sz w:val="24"/>
          <w:szCs w:val="24"/>
          <w:highlight w:val="none"/>
          <w:lang w:val="en-US" w:eastAsia="zh-CN" w:bidi="ar"/>
        </w:rPr>
        <w:t>的</w:t>
      </w:r>
      <w:r>
        <w:rPr>
          <w:rFonts w:hint="eastAsia" w:ascii="宋体" w:hAnsi="宋体" w:eastAsia="宋体" w:cs="宋体"/>
          <w:i w:val="0"/>
          <w:iCs w:val="0"/>
          <w:snapToGrid w:val="0"/>
          <w:color w:val="000000"/>
          <w:kern w:val="0"/>
          <w:sz w:val="24"/>
          <w:szCs w:val="24"/>
          <w:highlight w:val="none"/>
          <w:u w:val="single"/>
          <w:lang w:val="en-US" w:eastAsia="zh-CN" w:bidi="ar"/>
        </w:rPr>
        <w:t>（合同包名称）</w:t>
      </w:r>
      <w:r>
        <w:rPr>
          <w:rFonts w:hint="eastAsia" w:ascii="宋体" w:hAnsi="宋体" w:eastAsia="宋体" w:cs="宋体"/>
          <w:i w:val="0"/>
          <w:iCs w:val="0"/>
          <w:snapToGrid w:val="0"/>
          <w:color w:val="000000"/>
          <w:kern w:val="0"/>
          <w:sz w:val="24"/>
          <w:szCs w:val="24"/>
          <w:highlight w:val="none"/>
          <w:lang w:val="en-US" w:eastAsia="zh-CN" w:bidi="ar"/>
        </w:rPr>
        <w:t>采购活动，提供的货物全部由符合政策要求的</w:t>
      </w:r>
      <w:r>
        <w:rPr>
          <w:rFonts w:hint="eastAsia" w:ascii="宋体" w:hAnsi="宋体" w:eastAsia="宋体" w:cs="宋体"/>
          <w:b/>
          <w:bCs/>
          <w:i w:val="0"/>
          <w:iCs w:val="0"/>
          <w:snapToGrid w:val="0"/>
          <w:color w:val="000000"/>
          <w:kern w:val="0"/>
          <w:sz w:val="24"/>
          <w:szCs w:val="24"/>
          <w:highlight w:val="none"/>
          <w:lang w:val="en-US" w:eastAsia="zh-CN" w:bidi="ar"/>
        </w:rPr>
        <w:t>中小企业制造</w:t>
      </w:r>
      <w:r>
        <w:rPr>
          <w:rFonts w:hint="eastAsia" w:ascii="宋体" w:hAnsi="宋体" w:eastAsia="宋体" w:cs="宋体"/>
          <w:i w:val="0"/>
          <w:iCs w:val="0"/>
          <w:snapToGrid w:val="0"/>
          <w:color w:val="000000"/>
          <w:kern w:val="0"/>
          <w:sz w:val="24"/>
          <w:szCs w:val="24"/>
          <w:highlight w:val="none"/>
          <w:lang w:val="en-US" w:eastAsia="zh-CN" w:bidi="ar"/>
        </w:rPr>
        <w:t xml:space="preserve">。相关企业（含联合体中的中小企业、签订分包意向协议的中小企业）的具体情况如下： </w:t>
      </w:r>
    </w:p>
    <w:p w14:paraId="731D40BB">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1.</w:t>
      </w:r>
      <w:r>
        <w:rPr>
          <w:rFonts w:hint="eastAsia" w:ascii="宋体" w:hAnsi="宋体" w:eastAsia="宋体" w:cs="宋体"/>
          <w:i w:val="0"/>
          <w:iCs w:val="0"/>
          <w:snapToGrid w:val="0"/>
          <w:color w:val="000000"/>
          <w:kern w:val="0"/>
          <w:sz w:val="24"/>
          <w:szCs w:val="24"/>
          <w:highlight w:val="none"/>
          <w:u w:val="single"/>
          <w:lang w:val="en-US" w:eastAsia="zh-CN" w:bidi="ar"/>
        </w:rPr>
        <w:t xml:space="preserve"> （标的名称） </w:t>
      </w:r>
      <w:r>
        <w:rPr>
          <w:rFonts w:hint="eastAsia" w:ascii="宋体" w:hAnsi="宋体" w:eastAsia="宋体" w:cs="宋体"/>
          <w:i w:val="0"/>
          <w:iCs w:val="0"/>
          <w:snapToGrid w:val="0"/>
          <w:color w:val="000000"/>
          <w:kern w:val="0"/>
          <w:sz w:val="24"/>
          <w:szCs w:val="24"/>
          <w:highlight w:val="none"/>
          <w:lang w:val="en-US" w:eastAsia="zh-CN" w:bidi="ar"/>
        </w:rPr>
        <w:t>，属于</w:t>
      </w:r>
      <w:r>
        <w:rPr>
          <w:rFonts w:hint="eastAsia" w:ascii="宋体" w:hAnsi="宋体" w:eastAsia="宋体" w:cs="宋体"/>
          <w:i w:val="0"/>
          <w:iCs w:val="0"/>
          <w:snapToGrid w:val="0"/>
          <w:color w:val="000000"/>
          <w:kern w:val="0"/>
          <w:sz w:val="24"/>
          <w:szCs w:val="24"/>
          <w:highlight w:val="none"/>
          <w:u w:val="single"/>
          <w:lang w:val="en-US" w:eastAsia="zh-CN" w:bidi="ar"/>
        </w:rPr>
        <w:t>（采购文件中明确的所属行业）行业</w:t>
      </w:r>
      <w:r>
        <w:rPr>
          <w:rFonts w:hint="eastAsia" w:ascii="宋体" w:hAnsi="宋体" w:eastAsia="宋体" w:cs="宋体"/>
          <w:i w:val="0"/>
          <w:iCs w:val="0"/>
          <w:snapToGrid w:val="0"/>
          <w:color w:val="000000"/>
          <w:kern w:val="0"/>
          <w:sz w:val="24"/>
          <w:szCs w:val="24"/>
          <w:highlight w:val="none"/>
          <w:lang w:val="en-US" w:eastAsia="zh-CN" w:bidi="ar"/>
        </w:rPr>
        <w:t>；制造商为</w:t>
      </w:r>
      <w:r>
        <w:rPr>
          <w:rFonts w:hint="eastAsia" w:ascii="宋体" w:hAnsi="宋体" w:eastAsia="宋体" w:cs="宋体"/>
          <w:i w:val="0"/>
          <w:iCs w:val="0"/>
          <w:snapToGrid w:val="0"/>
          <w:color w:val="000000"/>
          <w:kern w:val="0"/>
          <w:sz w:val="24"/>
          <w:szCs w:val="24"/>
          <w:highlight w:val="none"/>
          <w:u w:val="single"/>
          <w:lang w:val="en-US" w:eastAsia="zh-CN" w:bidi="ar"/>
        </w:rPr>
        <w:t>（企业名称）</w:t>
      </w:r>
      <w:r>
        <w:rPr>
          <w:rFonts w:hint="eastAsia" w:ascii="宋体" w:hAnsi="宋体" w:eastAsia="宋体" w:cs="宋体"/>
          <w:i w:val="0"/>
          <w:iCs w:val="0"/>
          <w:snapToGrid w:val="0"/>
          <w:color w:val="000000"/>
          <w:kern w:val="0"/>
          <w:sz w:val="24"/>
          <w:szCs w:val="24"/>
          <w:highlight w:val="none"/>
          <w:lang w:val="en-US" w:eastAsia="zh-CN" w:bidi="ar"/>
        </w:rPr>
        <w:t>，从业人员</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人，营业收入为</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万元，资产总额为</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万元，属于</w:t>
      </w:r>
      <w:r>
        <w:rPr>
          <w:rFonts w:hint="eastAsia" w:ascii="宋体" w:hAnsi="宋体" w:eastAsia="宋体" w:cs="宋体"/>
          <w:i w:val="0"/>
          <w:iCs w:val="0"/>
          <w:snapToGrid w:val="0"/>
          <w:color w:val="000000"/>
          <w:kern w:val="0"/>
          <w:sz w:val="24"/>
          <w:szCs w:val="24"/>
          <w:highlight w:val="none"/>
          <w:u w:val="single"/>
          <w:lang w:val="en-US" w:eastAsia="zh-CN" w:bidi="ar"/>
        </w:rPr>
        <w:t>（中型企业、小型企业、微型企业）</w:t>
      </w:r>
      <w:r>
        <w:rPr>
          <w:rFonts w:hint="eastAsia" w:ascii="宋体" w:hAnsi="宋体" w:eastAsia="宋体" w:cs="宋体"/>
          <w:i w:val="0"/>
          <w:iCs w:val="0"/>
          <w:snapToGrid w:val="0"/>
          <w:color w:val="000000"/>
          <w:kern w:val="0"/>
          <w:sz w:val="24"/>
          <w:szCs w:val="24"/>
          <w:highlight w:val="none"/>
          <w:lang w:val="en-US" w:eastAsia="zh-CN" w:bidi="ar"/>
        </w:rPr>
        <w:t xml:space="preserve">； </w:t>
      </w:r>
    </w:p>
    <w:p w14:paraId="21C78CC4">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2.</w:t>
      </w:r>
      <w:r>
        <w:rPr>
          <w:rFonts w:hint="eastAsia" w:ascii="宋体" w:hAnsi="宋体" w:eastAsia="宋体" w:cs="宋体"/>
          <w:i w:val="0"/>
          <w:iCs w:val="0"/>
          <w:snapToGrid w:val="0"/>
          <w:color w:val="000000"/>
          <w:kern w:val="0"/>
          <w:sz w:val="24"/>
          <w:szCs w:val="24"/>
          <w:highlight w:val="none"/>
          <w:u w:val="single"/>
          <w:lang w:val="en-US" w:eastAsia="zh-CN" w:bidi="ar"/>
        </w:rPr>
        <w:t xml:space="preserve"> （标的名称） </w:t>
      </w:r>
      <w:r>
        <w:rPr>
          <w:rFonts w:hint="eastAsia" w:ascii="宋体" w:hAnsi="宋体" w:eastAsia="宋体" w:cs="宋体"/>
          <w:i w:val="0"/>
          <w:iCs w:val="0"/>
          <w:snapToGrid w:val="0"/>
          <w:color w:val="000000"/>
          <w:kern w:val="0"/>
          <w:sz w:val="24"/>
          <w:szCs w:val="24"/>
          <w:highlight w:val="none"/>
          <w:lang w:val="en-US" w:eastAsia="zh-CN" w:bidi="ar"/>
        </w:rPr>
        <w:t>，属于</w:t>
      </w:r>
      <w:r>
        <w:rPr>
          <w:rFonts w:hint="eastAsia" w:ascii="宋体" w:hAnsi="宋体" w:eastAsia="宋体" w:cs="宋体"/>
          <w:i w:val="0"/>
          <w:iCs w:val="0"/>
          <w:snapToGrid w:val="0"/>
          <w:color w:val="000000"/>
          <w:kern w:val="0"/>
          <w:sz w:val="24"/>
          <w:szCs w:val="24"/>
          <w:highlight w:val="none"/>
          <w:u w:val="single"/>
          <w:lang w:val="en-US" w:eastAsia="zh-CN" w:bidi="ar"/>
        </w:rPr>
        <w:t>（采购文件中明确的所属行业）行业</w:t>
      </w:r>
      <w:r>
        <w:rPr>
          <w:rFonts w:hint="eastAsia" w:ascii="宋体" w:hAnsi="宋体" w:eastAsia="宋体" w:cs="宋体"/>
          <w:i w:val="0"/>
          <w:iCs w:val="0"/>
          <w:snapToGrid w:val="0"/>
          <w:color w:val="000000"/>
          <w:kern w:val="0"/>
          <w:sz w:val="24"/>
          <w:szCs w:val="24"/>
          <w:highlight w:val="none"/>
          <w:lang w:val="en-US" w:eastAsia="zh-CN" w:bidi="ar"/>
        </w:rPr>
        <w:t>；制造商为</w:t>
      </w:r>
      <w:r>
        <w:rPr>
          <w:rFonts w:hint="eastAsia" w:ascii="宋体" w:hAnsi="宋体" w:eastAsia="宋体" w:cs="宋体"/>
          <w:i w:val="0"/>
          <w:iCs w:val="0"/>
          <w:snapToGrid w:val="0"/>
          <w:color w:val="000000"/>
          <w:kern w:val="0"/>
          <w:sz w:val="24"/>
          <w:szCs w:val="24"/>
          <w:highlight w:val="none"/>
          <w:u w:val="single"/>
          <w:lang w:val="en-US" w:eastAsia="zh-CN" w:bidi="ar"/>
        </w:rPr>
        <w:t>（企业名称）</w:t>
      </w:r>
      <w:r>
        <w:rPr>
          <w:rFonts w:hint="eastAsia" w:ascii="宋体" w:hAnsi="宋体" w:eastAsia="宋体" w:cs="宋体"/>
          <w:i w:val="0"/>
          <w:iCs w:val="0"/>
          <w:snapToGrid w:val="0"/>
          <w:color w:val="000000"/>
          <w:kern w:val="0"/>
          <w:sz w:val="24"/>
          <w:szCs w:val="24"/>
          <w:highlight w:val="none"/>
          <w:lang w:val="en-US" w:eastAsia="zh-CN" w:bidi="ar"/>
        </w:rPr>
        <w:t>，从业人员</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人，营业收入为</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万元，资产总额为</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万元，属于</w:t>
      </w:r>
      <w:r>
        <w:rPr>
          <w:rFonts w:hint="eastAsia" w:ascii="宋体" w:hAnsi="宋体" w:eastAsia="宋体" w:cs="宋体"/>
          <w:i w:val="0"/>
          <w:iCs w:val="0"/>
          <w:snapToGrid w:val="0"/>
          <w:color w:val="000000"/>
          <w:kern w:val="0"/>
          <w:sz w:val="24"/>
          <w:szCs w:val="24"/>
          <w:highlight w:val="none"/>
          <w:u w:val="single"/>
          <w:lang w:val="en-US" w:eastAsia="zh-CN" w:bidi="ar"/>
        </w:rPr>
        <w:t>（中型企业、小型企业、微型企业）</w:t>
      </w:r>
      <w:r>
        <w:rPr>
          <w:rFonts w:hint="eastAsia" w:ascii="宋体" w:hAnsi="宋体" w:eastAsia="宋体" w:cs="宋体"/>
          <w:i w:val="0"/>
          <w:iCs w:val="0"/>
          <w:snapToGrid w:val="0"/>
          <w:color w:val="000000"/>
          <w:kern w:val="0"/>
          <w:sz w:val="24"/>
          <w:szCs w:val="24"/>
          <w:highlight w:val="none"/>
          <w:lang w:val="en-US" w:eastAsia="zh-CN" w:bidi="ar"/>
        </w:rPr>
        <w:t>；</w:t>
      </w:r>
    </w:p>
    <w:p w14:paraId="09327E43">
      <w:pPr>
        <w:keepNext w:val="0"/>
        <w:keepLines w:val="0"/>
        <w:widowControl/>
        <w:suppressLineNumbers w:val="0"/>
        <w:kinsoku/>
        <w:overflowPunct/>
        <w:topLinePunct w:val="0"/>
        <w:bidi w:val="0"/>
        <w:spacing w:line="360" w:lineRule="auto"/>
        <w:ind w:firstLine="480" w:firstLineChars="200"/>
        <w:jc w:val="both"/>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w:t>
      </w:r>
    </w:p>
    <w:p w14:paraId="0923A496">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 xml:space="preserve">以上企业，不属于大企业的分支机构，不存在控股股东为大企业的情形，也不存在与大企业的负责人为同一人的情形。 </w:t>
      </w:r>
    </w:p>
    <w:p w14:paraId="53C2312F">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 xml:space="preserve">本企业对上述声明内容的真实性负责。如有虚假，将依法承担相应责任。 </w:t>
      </w:r>
    </w:p>
    <w:p w14:paraId="2A69A52D">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napToGrid w:val="0"/>
          <w:color w:val="000000"/>
          <w:kern w:val="0"/>
          <w:sz w:val="24"/>
          <w:szCs w:val="24"/>
          <w:highlight w:val="none"/>
          <w:lang w:val="en-US" w:eastAsia="zh-CN" w:bidi="ar"/>
        </w:rPr>
      </w:pPr>
    </w:p>
    <w:p w14:paraId="63D30BB8">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企业名称： （盖章）</w:t>
      </w:r>
    </w:p>
    <w:p w14:paraId="23EC5F30">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 xml:space="preserve">日 期： </w:t>
      </w:r>
    </w:p>
    <w:p w14:paraId="5D682C9D">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72070395">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6CA9740E">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6F86EB04">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5BE9FD77">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096CF171">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4A091A3F">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备注：从业人员、营业收入、资产总额填报上一年度数据，无上一年度数据的新成立企业可不填报。</w:t>
      </w:r>
    </w:p>
    <w:p w14:paraId="09C96032">
      <w:pPr>
        <w:keepNext w:val="0"/>
        <w:keepLines w:val="0"/>
        <w:kinsoku/>
        <w:overflowPunct/>
        <w:topLinePunct w:val="0"/>
        <w:bidi w:val="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br w:type="page"/>
      </w:r>
    </w:p>
    <w:p w14:paraId="43B09D01">
      <w:pPr>
        <w:keepNext w:val="0"/>
        <w:keepLines w:val="0"/>
        <w:kinsoku/>
        <w:overflowPunct/>
        <w:topLinePunct w:val="0"/>
        <w:bidi w:val="0"/>
        <w:spacing w:before="91" w:line="219" w:lineRule="auto"/>
        <w:ind w:left="33"/>
        <w:jc w:val="both"/>
        <w:outlineLvl w:val="2"/>
        <w:rPr>
          <w:rFonts w:hint="default" w:ascii="Times New Roman" w:hAnsi="Times New Roman" w:eastAsia="宋体" w:cs="Times New Roman"/>
          <w:color w:val="auto"/>
          <w:spacing w:val="0"/>
          <w:sz w:val="28"/>
          <w:szCs w:val="28"/>
          <w:highlight w:val="none"/>
        </w:rPr>
      </w:pPr>
      <w:bookmarkStart w:id="69" w:name="_Toc4724"/>
      <w:bookmarkStart w:id="70" w:name="_Toc7250"/>
      <w:bookmarkStart w:id="71" w:name="_Toc7494"/>
      <w:r>
        <w:rPr>
          <w:rFonts w:hint="default" w:ascii="Times New Roman" w:hAnsi="Times New Roman" w:eastAsia="宋体" w:cs="Times New Roman"/>
          <w:color w:val="auto"/>
          <w:spacing w:val="0"/>
          <w:sz w:val="28"/>
          <w:szCs w:val="28"/>
          <w:highlight w:val="none"/>
        </w:rPr>
        <w:t>附件二：残疾人福利性单位声明函</w:t>
      </w:r>
      <w:bookmarkEnd w:id="69"/>
      <w:bookmarkEnd w:id="70"/>
      <w:bookmarkEnd w:id="71"/>
    </w:p>
    <w:p w14:paraId="0BAF487E">
      <w:pPr>
        <w:keepNext w:val="0"/>
        <w:keepLines w:val="0"/>
        <w:kinsoku/>
        <w:overflowPunct/>
        <w:topLinePunct w:val="0"/>
        <w:bidi w:val="0"/>
        <w:spacing w:before="213" w:line="259" w:lineRule="auto"/>
        <w:ind w:left="12" w:right="1672" w:firstLine="1660"/>
        <w:jc w:val="both"/>
        <w:rPr>
          <w:rFonts w:hint="eastAsia" w:ascii="Times New Roman" w:hAnsi="Times New Roman" w:eastAsia="宋体" w:cs="Times New Roman"/>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w:t>
      </w:r>
      <w:r>
        <w:rPr>
          <w:rFonts w:hint="default" w:ascii="Times New Roman" w:hAnsi="Times New Roman" w:eastAsia="宋体" w:cs="Times New Roman"/>
          <w:color w:val="auto"/>
          <w:spacing w:val="0"/>
          <w:sz w:val="28"/>
          <w:szCs w:val="28"/>
          <w:highlight w:val="none"/>
        </w:rPr>
        <w:t>注：厂家为残疾人福利性单位投标的应填写</w:t>
      </w:r>
      <w:r>
        <w:rPr>
          <w:rFonts w:hint="eastAsia" w:ascii="宋体" w:hAnsi="宋体" w:eastAsia="宋体" w:cs="宋体"/>
          <w:color w:val="auto"/>
          <w:spacing w:val="0"/>
          <w:sz w:val="28"/>
          <w:szCs w:val="28"/>
          <w:highlight w:val="none"/>
          <w:lang w:eastAsia="zh-CN"/>
        </w:rPr>
        <w:t>）</w:t>
      </w:r>
    </w:p>
    <w:p w14:paraId="584540A4">
      <w:pPr>
        <w:keepNext w:val="0"/>
        <w:keepLines w:val="0"/>
        <w:kinsoku/>
        <w:overflowPunct/>
        <w:topLinePunct w:val="0"/>
        <w:bidi w:val="0"/>
        <w:spacing w:line="345" w:lineRule="auto"/>
        <w:jc w:val="both"/>
        <w:rPr>
          <w:rFonts w:hint="default" w:ascii="Times New Roman" w:hAnsi="Times New Roman" w:cs="Times New Roman"/>
          <w:color w:val="auto"/>
          <w:spacing w:val="0"/>
          <w:sz w:val="24"/>
          <w:szCs w:val="24"/>
          <w:highlight w:val="none"/>
        </w:rPr>
      </w:pPr>
    </w:p>
    <w:p w14:paraId="55C835E2">
      <w:pPr>
        <w:keepNext w:val="0"/>
        <w:keepLines w:val="0"/>
        <w:kinsoku/>
        <w:overflowPunct/>
        <w:topLinePunct w:val="0"/>
        <w:bidi w:val="0"/>
        <w:spacing w:before="75" w:line="482" w:lineRule="auto"/>
        <w:ind w:left="9" w:firstLine="481"/>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本单位郑重声明，根据《财政部民政部中国残疾人联合会关于促进残疾人就业政府采购政策的通知》(财库〔2017〕141号)的规定，本单位为符合条件的残疾人福利性单位，且本单位参加的项目采购活动提供本单位制造的货物(由本单位承担工程/提供服务)，或者提供其他残疾人福利性单位制造的货物(不包括使用非残疾人福利性单位注册商标的货物)。</w:t>
      </w:r>
    </w:p>
    <w:p w14:paraId="53F44612">
      <w:pPr>
        <w:keepNext w:val="0"/>
        <w:keepLines w:val="0"/>
        <w:kinsoku/>
        <w:overflowPunct/>
        <w:topLinePunct w:val="0"/>
        <w:bidi w:val="0"/>
        <w:spacing w:line="226" w:lineRule="auto"/>
        <w:ind w:left="491"/>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本单位对上述声明的真实性负责。如有虚假，将依法承担相应责任。</w:t>
      </w:r>
    </w:p>
    <w:p w14:paraId="06002335">
      <w:pPr>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3B4DCCC7">
      <w:pPr>
        <w:pStyle w:val="8"/>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292E1A1B">
      <w:pPr>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1800E629">
      <w:pPr>
        <w:pStyle w:val="8"/>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0F493F57">
      <w:pPr>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12977ADA">
      <w:pPr>
        <w:keepNext w:val="0"/>
        <w:keepLines w:val="0"/>
        <w:kinsoku/>
        <w:overflowPunct/>
        <w:topLinePunct w:val="0"/>
        <w:bidi w:val="0"/>
        <w:spacing w:before="1" w:line="227" w:lineRule="auto"/>
        <w:ind w:left="491"/>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声明人</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(投标人名称、公章)</w:t>
      </w:r>
    </w:p>
    <w:p w14:paraId="0984758D">
      <w:pPr>
        <w:keepNext w:val="0"/>
        <w:keepLines w:val="0"/>
        <w:kinsoku/>
        <w:overflowPunct/>
        <w:topLinePunct w:val="0"/>
        <w:bidi w:val="0"/>
        <w:spacing w:before="1" w:line="227" w:lineRule="auto"/>
        <w:ind w:left="491"/>
        <w:jc w:val="both"/>
        <w:rPr>
          <w:rFonts w:hint="default" w:ascii="Times New Roman" w:hAnsi="Times New Roman" w:eastAsia="宋体" w:cs="Times New Roman"/>
          <w:color w:val="auto"/>
          <w:spacing w:val="0"/>
          <w:sz w:val="24"/>
          <w:szCs w:val="24"/>
          <w:highlight w:val="none"/>
        </w:rPr>
      </w:pPr>
    </w:p>
    <w:p w14:paraId="20DB113A">
      <w:pPr>
        <w:keepNext w:val="0"/>
        <w:keepLines w:val="0"/>
        <w:kinsoku/>
        <w:overflowPunct/>
        <w:topLinePunct w:val="0"/>
        <w:bidi w:val="0"/>
        <w:spacing w:before="1" w:line="227" w:lineRule="auto"/>
        <w:ind w:left="491"/>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法定代表人：(签名或盖章)</w:t>
      </w:r>
    </w:p>
    <w:p w14:paraId="320B19B3">
      <w:pPr>
        <w:keepNext w:val="0"/>
        <w:keepLines w:val="0"/>
        <w:kinsoku/>
        <w:overflowPunct/>
        <w:topLinePunct w:val="0"/>
        <w:bidi w:val="0"/>
        <w:spacing w:line="262" w:lineRule="auto"/>
        <w:jc w:val="both"/>
        <w:rPr>
          <w:rFonts w:hint="default" w:ascii="Times New Roman" w:hAnsi="Times New Roman" w:cs="Times New Roman"/>
          <w:color w:val="auto"/>
          <w:spacing w:val="0"/>
          <w:sz w:val="24"/>
          <w:szCs w:val="24"/>
          <w:highlight w:val="none"/>
        </w:rPr>
      </w:pPr>
    </w:p>
    <w:p w14:paraId="0BE82D65">
      <w:pPr>
        <w:keepNext w:val="0"/>
        <w:keepLines w:val="0"/>
        <w:kinsoku/>
        <w:overflowPunct/>
        <w:topLinePunct w:val="0"/>
        <w:bidi w:val="0"/>
        <w:spacing w:before="75" w:line="192" w:lineRule="auto"/>
        <w:ind w:left="493"/>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投标日期：</w:t>
      </w:r>
    </w:p>
    <w:p w14:paraId="5EE57BCA">
      <w:pPr>
        <w:pStyle w:val="8"/>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031A2046">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3E4C06D1">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1D3620F0">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2162A2A0">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2E1DFAB6">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备注：投标人提供的《残疾人福利性单位声明函》必须真实有效，如果被举报经查实出具虚假声明函的，将被取消投标资格，并按有关规定予以处理。</w:t>
      </w:r>
    </w:p>
    <w:p w14:paraId="7E87DD3F">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注：非残疾人福利性单位可</w:t>
      </w:r>
      <w:r>
        <w:rPr>
          <w:rFonts w:hint="eastAsia" w:ascii="Times New Roman" w:hAnsi="Times New Roman" w:eastAsia="宋体" w:cs="Times New Roman"/>
          <w:color w:val="auto"/>
          <w:spacing w:val="0"/>
          <w:sz w:val="24"/>
          <w:szCs w:val="24"/>
          <w:highlight w:val="none"/>
          <w:lang w:val="en-US" w:eastAsia="zh-CN"/>
        </w:rPr>
        <w:t>不提供</w:t>
      </w:r>
      <w:r>
        <w:rPr>
          <w:rFonts w:hint="default" w:ascii="Times New Roman" w:hAnsi="Times New Roman" w:cs="Times New Roman"/>
          <w:color w:val="auto"/>
          <w:spacing w:val="0"/>
          <w:sz w:val="24"/>
          <w:szCs w:val="24"/>
          <w:highlight w:val="none"/>
        </w:rPr>
        <w:t>。</w:t>
      </w:r>
    </w:p>
    <w:p w14:paraId="53CEB734">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p w14:paraId="2382B0B2">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p w14:paraId="06A57538">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p w14:paraId="41E70267">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p w14:paraId="7220FC65">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p w14:paraId="60475873">
      <w:pPr>
        <w:keepNext w:val="0"/>
        <w:keepLines w:val="0"/>
        <w:kinsoku/>
        <w:overflowPunct/>
        <w:topLinePunct w:val="0"/>
        <w:bidi w:val="0"/>
        <w:spacing w:before="91" w:line="219" w:lineRule="auto"/>
        <w:ind w:left="33"/>
        <w:jc w:val="both"/>
        <w:outlineLvl w:val="2"/>
        <w:rPr>
          <w:rFonts w:hint="eastAsia" w:ascii="Times New Roman" w:hAnsi="Times New Roman" w:eastAsia="宋体" w:cs="Times New Roman"/>
          <w:color w:val="auto"/>
          <w:spacing w:val="0"/>
          <w:sz w:val="28"/>
          <w:szCs w:val="28"/>
          <w:highlight w:val="none"/>
          <w:lang w:eastAsia="zh-CN"/>
        </w:rPr>
      </w:pPr>
      <w:r>
        <w:rPr>
          <w:rFonts w:hint="default" w:ascii="Times New Roman" w:hAnsi="Times New Roman" w:eastAsia="宋体" w:cs="Times New Roman"/>
          <w:color w:val="auto"/>
          <w:spacing w:val="0"/>
          <w:sz w:val="28"/>
          <w:szCs w:val="28"/>
          <w:highlight w:val="none"/>
        </w:rPr>
        <w:t>附件</w:t>
      </w:r>
      <w:r>
        <w:rPr>
          <w:rFonts w:hint="eastAsia" w:ascii="Times New Roman" w:hAnsi="Times New Roman" w:eastAsia="宋体" w:cs="Times New Roman"/>
          <w:color w:val="auto"/>
          <w:spacing w:val="0"/>
          <w:sz w:val="28"/>
          <w:szCs w:val="28"/>
          <w:highlight w:val="none"/>
          <w:lang w:val="en-US" w:eastAsia="zh-CN"/>
        </w:rPr>
        <w:t>三</w:t>
      </w:r>
      <w:r>
        <w:rPr>
          <w:rFonts w:hint="default" w:ascii="Times New Roman" w:hAnsi="Times New Roman" w:eastAsia="宋体" w:cs="Times New Roman"/>
          <w:color w:val="auto"/>
          <w:spacing w:val="0"/>
          <w:sz w:val="28"/>
          <w:szCs w:val="28"/>
          <w:highlight w:val="none"/>
        </w:rPr>
        <w:t>：监狱企业证明文件</w:t>
      </w:r>
    </w:p>
    <w:p w14:paraId="70169CD9">
      <w:pPr>
        <w:keepNext w:val="0"/>
        <w:keepLines w:val="0"/>
        <w:kinsoku/>
        <w:overflowPunct/>
        <w:topLinePunct w:val="0"/>
        <w:bidi w:val="0"/>
        <w:spacing w:before="75" w:line="192" w:lineRule="auto"/>
        <w:ind w:left="493"/>
        <w:jc w:val="both"/>
        <w:rPr>
          <w:rFonts w:hint="default" w:ascii="Times New Roman" w:hAnsi="Times New Roman" w:eastAsia="宋体" w:cs="Times New Roman"/>
          <w:color w:val="auto"/>
          <w:spacing w:val="0"/>
          <w:sz w:val="24"/>
          <w:szCs w:val="24"/>
          <w:highlight w:val="none"/>
        </w:rPr>
      </w:pPr>
    </w:p>
    <w:p w14:paraId="3E41C834">
      <w:pPr>
        <w:keepNext w:val="0"/>
        <w:keepLines w:val="0"/>
        <w:kinsoku/>
        <w:overflowPunct/>
        <w:topLinePunct w:val="0"/>
        <w:bidi w:val="0"/>
        <w:spacing w:before="75" w:line="482" w:lineRule="auto"/>
        <w:ind w:left="9" w:firstLine="481"/>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14:paraId="24A6EA1C">
      <w:pPr>
        <w:pStyle w:val="8"/>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3A8DCA49">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1FBA4234">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383D9B11">
      <w:pPr>
        <w:keepNext w:val="0"/>
        <w:keepLines w:val="0"/>
        <w:pageBreakBefore/>
        <w:widowControl w:val="0"/>
        <w:kinsoku/>
        <w:wordWrap/>
        <w:overflowPunct/>
        <w:topLinePunct w:val="0"/>
        <w:autoSpaceDE w:val="0"/>
        <w:autoSpaceDN w:val="0"/>
        <w:bidi w:val="0"/>
        <w:adjustRightInd w:val="0"/>
        <w:snapToGrid w:val="0"/>
        <w:spacing w:before="91" w:line="219" w:lineRule="auto"/>
        <w:ind w:left="34"/>
        <w:jc w:val="both"/>
        <w:textAlignment w:val="baseline"/>
        <w:outlineLvl w:val="2"/>
        <w:rPr>
          <w:rFonts w:hint="eastAsia" w:ascii="Times New Roman" w:hAnsi="Times New Roman" w:eastAsia="宋体" w:cs="Times New Roman"/>
          <w:color w:val="auto"/>
          <w:spacing w:val="0"/>
          <w:sz w:val="28"/>
          <w:szCs w:val="28"/>
          <w:highlight w:val="none"/>
          <w:lang w:eastAsia="zh-CN"/>
        </w:rPr>
      </w:pPr>
      <w:r>
        <w:rPr>
          <w:rFonts w:hint="default" w:ascii="Times New Roman" w:hAnsi="Times New Roman" w:eastAsia="宋体" w:cs="Times New Roman"/>
          <w:color w:val="auto"/>
          <w:spacing w:val="0"/>
          <w:sz w:val="28"/>
          <w:szCs w:val="28"/>
          <w:highlight w:val="none"/>
        </w:rPr>
        <w:t>附件</w:t>
      </w:r>
      <w:r>
        <w:rPr>
          <w:rFonts w:hint="eastAsia" w:ascii="Times New Roman" w:hAnsi="Times New Roman" w:eastAsia="宋体" w:cs="Times New Roman"/>
          <w:color w:val="auto"/>
          <w:spacing w:val="0"/>
          <w:sz w:val="28"/>
          <w:szCs w:val="28"/>
          <w:highlight w:val="none"/>
          <w:lang w:val="en-US" w:eastAsia="zh-CN"/>
        </w:rPr>
        <w:t>四</w:t>
      </w:r>
      <w:r>
        <w:rPr>
          <w:rFonts w:hint="default" w:ascii="Times New Roman" w:hAnsi="Times New Roman" w:eastAsia="宋体" w:cs="Times New Roman"/>
          <w:color w:val="auto"/>
          <w:spacing w:val="0"/>
          <w:sz w:val="28"/>
          <w:szCs w:val="28"/>
          <w:highlight w:val="none"/>
        </w:rPr>
        <w:t>：关于符合本国产品标准的声明函</w:t>
      </w:r>
    </w:p>
    <w:p w14:paraId="2849D820">
      <w:pPr>
        <w:keepNext w:val="0"/>
        <w:keepLines w:val="0"/>
        <w:kinsoku/>
        <w:overflowPunct/>
        <w:topLinePunct w:val="0"/>
        <w:bidi w:val="0"/>
        <w:spacing w:before="75" w:line="192" w:lineRule="auto"/>
        <w:ind w:left="493"/>
        <w:jc w:val="both"/>
        <w:rPr>
          <w:rFonts w:hint="default" w:ascii="Times New Roman" w:hAnsi="Times New Roman" w:eastAsia="宋体" w:cs="Times New Roman"/>
          <w:color w:val="auto"/>
          <w:spacing w:val="0"/>
          <w:sz w:val="24"/>
          <w:szCs w:val="24"/>
          <w:highlight w:val="none"/>
        </w:rPr>
      </w:pPr>
    </w:p>
    <w:p w14:paraId="5487812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drawing>
          <wp:anchor distT="0" distB="0" distL="0" distR="0" simplePos="0" relativeHeight="251661312" behindDoc="1" locked="0" layoutInCell="1" allowOverlap="1">
            <wp:simplePos x="0" y="0"/>
            <wp:positionH relativeFrom="column">
              <wp:posOffset>6806565</wp:posOffset>
            </wp:positionH>
            <wp:positionV relativeFrom="paragraph">
              <wp:posOffset>404495</wp:posOffset>
            </wp:positionV>
            <wp:extent cx="12700" cy="1206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3"/>
                    <a:stretch>
                      <a:fillRect/>
                    </a:stretch>
                  </pic:blipFill>
                  <pic:spPr>
                    <a:xfrm>
                      <a:off x="0" y="0"/>
                      <a:ext cx="12410" cy="12192"/>
                    </a:xfrm>
                    <a:prstGeom prst="rect">
                      <a:avLst/>
                    </a:prstGeom>
                  </pic:spPr>
                </pic:pic>
              </a:graphicData>
            </a:graphic>
          </wp:anchor>
        </w:drawing>
      </w:r>
      <w:r>
        <w:rPr>
          <w:rFonts w:hint="eastAsia" w:ascii="宋体" w:hAnsi="宋体" w:eastAsia="宋体" w:cs="宋体"/>
          <w:b w:val="0"/>
          <w:bCs w:val="0"/>
          <w:color w:val="auto"/>
          <w:spacing w:val="7"/>
          <w:sz w:val="24"/>
          <w:szCs w:val="24"/>
          <w:highlight w:val="none"/>
        </w:rPr>
        <w:t>本公司（单位）郑重声明，根据《国务院办公厅关于在政府采购中实施</w:t>
      </w:r>
      <w:r>
        <w:rPr>
          <w:rFonts w:hint="eastAsia" w:ascii="宋体" w:hAnsi="宋体" w:eastAsia="宋体" w:cs="宋体"/>
          <w:b w:val="0"/>
          <w:bCs w:val="0"/>
          <w:color w:val="auto"/>
          <w:spacing w:val="6"/>
          <w:sz w:val="24"/>
          <w:szCs w:val="24"/>
          <w:highlight w:val="none"/>
        </w:rPr>
        <w:t>本国产品标准及相关政策的通知》（国办发〔2025〕34号）的规定，本公司</w:t>
      </w:r>
      <w:r>
        <w:rPr>
          <w:rFonts w:hint="eastAsia" w:ascii="宋体" w:hAnsi="宋体" w:eastAsia="宋体" w:cs="宋体"/>
          <w:b w:val="0"/>
          <w:bCs w:val="0"/>
          <w:color w:val="auto"/>
          <w:spacing w:val="4"/>
          <w:sz w:val="24"/>
          <w:szCs w:val="24"/>
          <w:highlight w:val="none"/>
        </w:rPr>
        <w:t>（单位）提供的以下产品属于本国产品。具体情况如下：</w:t>
      </w:r>
    </w:p>
    <w:p w14:paraId="6C2E7992">
      <w:pPr>
        <w:keepNext w:val="0"/>
        <w:keepLines w:val="0"/>
        <w:pageBreakBefore w:val="0"/>
        <w:widowControl/>
        <w:kinsoku/>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8"/>
          <w:sz w:val="24"/>
          <w:szCs w:val="24"/>
          <w:highlight w:val="none"/>
        </w:rPr>
        <w:t>1.</w:t>
      </w:r>
      <w:r>
        <w:rPr>
          <w:rFonts w:hint="eastAsia" w:ascii="宋体" w:hAnsi="宋体" w:eastAsia="宋体" w:cs="宋体"/>
          <w:b w:val="0"/>
          <w:bCs w:val="0"/>
          <w:color w:val="auto"/>
          <w:spacing w:val="8"/>
          <w:sz w:val="24"/>
          <w:szCs w:val="24"/>
          <w:highlight w:val="none"/>
          <w:u w:val="single" w:color="auto"/>
        </w:rPr>
        <w:t>（产品名称1）</w:t>
      </w:r>
      <w:r>
        <w:rPr>
          <w:rFonts w:hint="eastAsia" w:ascii="宋体" w:hAnsi="宋体" w:eastAsia="宋体" w:cs="宋体"/>
          <w:b w:val="0"/>
          <w:bCs w:val="0"/>
          <w:color w:val="auto"/>
          <w:spacing w:val="8"/>
          <w:sz w:val="24"/>
          <w:szCs w:val="24"/>
          <w:highlight w:val="none"/>
        </w:rPr>
        <w:t>，生产厂为</w:t>
      </w:r>
      <w:r>
        <w:rPr>
          <w:rFonts w:hint="eastAsia" w:ascii="宋体" w:hAnsi="宋体" w:eastAsia="宋体" w:cs="宋体"/>
          <w:b w:val="0"/>
          <w:bCs w:val="0"/>
          <w:color w:val="auto"/>
          <w:spacing w:val="8"/>
          <w:sz w:val="24"/>
          <w:szCs w:val="24"/>
          <w:highlight w:val="none"/>
          <w:u w:val="single" w:color="auto"/>
        </w:rPr>
        <w:t>（厂名）</w:t>
      </w:r>
      <w:r>
        <w:rPr>
          <w:rFonts w:hint="eastAsia" w:ascii="宋体" w:hAnsi="宋体" w:eastAsia="宋体" w:cs="宋体"/>
          <w:b w:val="0"/>
          <w:bCs w:val="0"/>
          <w:color w:val="auto"/>
          <w:spacing w:val="8"/>
          <w:sz w:val="24"/>
          <w:szCs w:val="24"/>
          <w:highlight w:val="none"/>
        </w:rPr>
        <w:t>，厂址为</w:t>
      </w:r>
      <w:r>
        <w:rPr>
          <w:rFonts w:hint="eastAsia" w:ascii="宋体" w:hAnsi="宋体" w:eastAsia="宋体" w:cs="宋体"/>
          <w:b w:val="0"/>
          <w:bCs w:val="0"/>
          <w:color w:val="auto"/>
          <w:spacing w:val="8"/>
          <w:sz w:val="24"/>
          <w:szCs w:val="24"/>
          <w:highlight w:val="none"/>
          <w:u w:val="single" w:color="auto"/>
        </w:rPr>
        <w:t>（生产厂址）</w:t>
      </w:r>
      <w:r>
        <w:rPr>
          <w:rFonts w:hint="eastAsia" w:ascii="宋体" w:hAnsi="宋体" w:eastAsia="宋体" w:cs="宋体"/>
          <w:b w:val="0"/>
          <w:bCs w:val="0"/>
          <w:color w:val="auto"/>
          <w:spacing w:val="-61"/>
          <w:sz w:val="24"/>
          <w:szCs w:val="24"/>
          <w:highlight w:val="none"/>
          <w:u w:val="single" w:color="auto"/>
        </w:rPr>
        <w:t xml:space="preserve"> </w:t>
      </w:r>
      <w:r>
        <w:rPr>
          <w:rFonts w:hint="eastAsia" w:ascii="宋体" w:hAnsi="宋体" w:eastAsia="宋体" w:cs="宋体"/>
          <w:b w:val="0"/>
          <w:bCs w:val="0"/>
          <w:color w:val="auto"/>
          <w:spacing w:val="8"/>
          <w:sz w:val="24"/>
          <w:szCs w:val="24"/>
          <w:highlight w:val="none"/>
        </w:rPr>
        <w:t>。</w:t>
      </w:r>
      <w:r>
        <w:rPr>
          <w:rFonts w:hint="eastAsia" w:ascii="宋体" w:hAnsi="宋体" w:eastAsia="宋体" w:cs="宋体"/>
          <w:b w:val="0"/>
          <w:bCs w:val="0"/>
          <w:color w:val="auto"/>
          <w:spacing w:val="8"/>
          <w:sz w:val="24"/>
          <w:szCs w:val="24"/>
          <w:highlight w:val="none"/>
          <w:u w:val="single" w:color="auto"/>
        </w:rPr>
        <w:t>（产</w:t>
      </w:r>
      <w:r>
        <w:rPr>
          <w:rFonts w:hint="eastAsia" w:ascii="宋体" w:hAnsi="宋体" w:eastAsia="宋体" w:cs="宋体"/>
          <w:b w:val="0"/>
          <w:bCs w:val="0"/>
          <w:color w:val="auto"/>
          <w:spacing w:val="13"/>
          <w:sz w:val="24"/>
          <w:szCs w:val="24"/>
          <w:highlight w:val="none"/>
          <w:u w:val="single" w:color="auto"/>
        </w:rPr>
        <w:t>品名称1）</w:t>
      </w:r>
      <w:r>
        <w:rPr>
          <w:rFonts w:hint="eastAsia" w:ascii="宋体" w:hAnsi="宋体" w:eastAsia="宋体" w:cs="宋体"/>
          <w:b w:val="0"/>
          <w:bCs w:val="0"/>
          <w:color w:val="auto"/>
          <w:spacing w:val="-70"/>
          <w:sz w:val="24"/>
          <w:szCs w:val="24"/>
          <w:highlight w:val="none"/>
          <w:u w:val="single" w:color="auto"/>
        </w:rPr>
        <w:t xml:space="preserve"> </w:t>
      </w:r>
      <w:r>
        <w:rPr>
          <w:rFonts w:hint="eastAsia" w:ascii="宋体" w:hAnsi="宋体" w:eastAsia="宋体" w:cs="宋体"/>
          <w:b w:val="0"/>
          <w:bCs w:val="0"/>
          <w:color w:val="auto"/>
          <w:spacing w:val="13"/>
          <w:sz w:val="24"/>
          <w:szCs w:val="24"/>
          <w:highlight w:val="none"/>
        </w:rPr>
        <w:t>的中国境内生产的组件成本占比≥</w:t>
      </w:r>
      <w:r>
        <w:rPr>
          <w:rFonts w:hint="eastAsia" w:ascii="宋体" w:hAnsi="宋体" w:eastAsia="宋体" w:cs="宋体"/>
          <w:b w:val="0"/>
          <w:bCs w:val="0"/>
          <w:color w:val="auto"/>
          <w:spacing w:val="13"/>
          <w:sz w:val="24"/>
          <w:szCs w:val="24"/>
          <w:highlight w:val="none"/>
          <w:u w:val="single" w:color="auto"/>
        </w:rPr>
        <w:t>（规定比例）</w:t>
      </w:r>
      <w:r>
        <w:rPr>
          <w:rFonts w:hint="eastAsia" w:ascii="宋体" w:hAnsi="宋体" w:eastAsia="宋体" w:cs="宋体"/>
          <w:b w:val="0"/>
          <w:bCs w:val="0"/>
          <w:color w:val="auto"/>
          <w:spacing w:val="13"/>
          <w:sz w:val="24"/>
          <w:szCs w:val="24"/>
          <w:highlight w:val="none"/>
        </w:rPr>
        <w:t>。</w:t>
      </w:r>
      <w:r>
        <w:rPr>
          <w:rFonts w:hint="eastAsia" w:ascii="宋体" w:hAnsi="宋体" w:eastAsia="宋体" w:cs="宋体"/>
          <w:b w:val="0"/>
          <w:bCs w:val="0"/>
          <w:color w:val="auto"/>
          <w:spacing w:val="13"/>
          <w:sz w:val="24"/>
          <w:szCs w:val="24"/>
          <w:highlight w:val="none"/>
          <w:u w:val="single" w:color="auto"/>
        </w:rPr>
        <w:t>（产品名称</w:t>
      </w:r>
      <w:r>
        <w:rPr>
          <w:rFonts w:hint="eastAsia" w:ascii="宋体" w:hAnsi="宋体" w:eastAsia="宋体" w:cs="宋体"/>
          <w:b w:val="0"/>
          <w:bCs w:val="0"/>
          <w:color w:val="auto"/>
          <w:spacing w:val="6"/>
          <w:sz w:val="24"/>
          <w:szCs w:val="24"/>
          <w:highlight w:val="none"/>
          <w:u w:val="single" w:color="auto"/>
        </w:rPr>
        <w:t>1）</w:t>
      </w:r>
      <w:r>
        <w:rPr>
          <w:rFonts w:hint="eastAsia" w:ascii="宋体" w:hAnsi="宋体" w:eastAsia="宋体" w:cs="宋体"/>
          <w:b w:val="0"/>
          <w:bCs w:val="0"/>
          <w:color w:val="auto"/>
          <w:spacing w:val="6"/>
          <w:sz w:val="24"/>
          <w:szCs w:val="24"/>
          <w:highlight w:val="none"/>
        </w:rPr>
        <w:t>的</w:t>
      </w:r>
      <w:r>
        <w:rPr>
          <w:rFonts w:hint="eastAsia" w:ascii="宋体" w:hAnsi="宋体" w:eastAsia="宋体" w:cs="宋体"/>
          <w:b w:val="0"/>
          <w:bCs w:val="0"/>
          <w:color w:val="auto"/>
          <w:spacing w:val="6"/>
          <w:sz w:val="24"/>
          <w:szCs w:val="24"/>
          <w:highlight w:val="none"/>
          <w:u w:val="single" w:color="auto"/>
        </w:rPr>
        <w:t>（关键组件）</w:t>
      </w:r>
      <w:r>
        <w:rPr>
          <w:rFonts w:hint="eastAsia" w:ascii="宋体" w:hAnsi="宋体" w:eastAsia="宋体" w:cs="宋体"/>
          <w:b w:val="0"/>
          <w:bCs w:val="0"/>
          <w:color w:val="auto"/>
          <w:spacing w:val="6"/>
          <w:sz w:val="24"/>
          <w:szCs w:val="24"/>
          <w:highlight w:val="none"/>
        </w:rPr>
        <w:t>在中国境内生产。</w:t>
      </w:r>
      <w:r>
        <w:rPr>
          <w:rFonts w:hint="eastAsia" w:ascii="宋体" w:hAnsi="宋体" w:eastAsia="宋体" w:cs="宋体"/>
          <w:b w:val="0"/>
          <w:bCs w:val="0"/>
          <w:color w:val="auto"/>
          <w:spacing w:val="6"/>
          <w:sz w:val="24"/>
          <w:szCs w:val="24"/>
          <w:highlight w:val="none"/>
          <w:u w:val="single" w:color="auto"/>
        </w:rPr>
        <w:t>（产品名称1）</w:t>
      </w:r>
      <w:r>
        <w:rPr>
          <w:rFonts w:hint="eastAsia" w:ascii="宋体" w:hAnsi="宋体" w:eastAsia="宋体" w:cs="宋体"/>
          <w:b w:val="0"/>
          <w:bCs w:val="0"/>
          <w:color w:val="auto"/>
          <w:spacing w:val="6"/>
          <w:sz w:val="24"/>
          <w:szCs w:val="24"/>
          <w:highlight w:val="none"/>
        </w:rPr>
        <w:t>的</w:t>
      </w:r>
      <w:r>
        <w:rPr>
          <w:rFonts w:hint="eastAsia" w:ascii="宋体" w:hAnsi="宋体" w:eastAsia="宋体" w:cs="宋体"/>
          <w:b w:val="0"/>
          <w:bCs w:val="0"/>
          <w:color w:val="auto"/>
          <w:spacing w:val="6"/>
          <w:sz w:val="24"/>
          <w:szCs w:val="24"/>
          <w:highlight w:val="none"/>
          <w:u w:val="single" w:color="auto"/>
        </w:rPr>
        <w:t>（关键工序）</w:t>
      </w:r>
      <w:r>
        <w:rPr>
          <w:rFonts w:hint="eastAsia" w:ascii="宋体" w:hAnsi="宋体" w:eastAsia="宋体" w:cs="宋体"/>
          <w:b w:val="0"/>
          <w:bCs w:val="0"/>
          <w:color w:val="auto"/>
          <w:spacing w:val="6"/>
          <w:position w:val="2"/>
          <w:sz w:val="24"/>
          <w:szCs w:val="24"/>
          <w:highlight w:val="none"/>
        </w:rPr>
        <w:t>在中</w:t>
      </w:r>
      <w:r>
        <w:rPr>
          <w:rFonts w:hint="eastAsia" w:ascii="宋体" w:hAnsi="宋体" w:eastAsia="宋体" w:cs="宋体"/>
          <w:b w:val="0"/>
          <w:bCs w:val="0"/>
          <w:color w:val="auto"/>
          <w:spacing w:val="-2"/>
          <w:sz w:val="24"/>
          <w:szCs w:val="24"/>
          <w:highlight w:val="none"/>
        </w:rPr>
        <w:t>国境内完成。</w:t>
      </w:r>
    </w:p>
    <w:p w14:paraId="073D2A35">
      <w:pPr>
        <w:keepNext w:val="0"/>
        <w:keepLines w:val="0"/>
        <w:pageBreakBefore w:val="0"/>
        <w:widowControl/>
        <w:kinsoku/>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7"/>
          <w:sz w:val="24"/>
          <w:szCs w:val="24"/>
          <w:highlight w:val="none"/>
        </w:rPr>
        <w:t>2.</w:t>
      </w:r>
      <w:r>
        <w:rPr>
          <w:rFonts w:hint="eastAsia" w:ascii="宋体" w:hAnsi="宋体" w:eastAsia="宋体" w:cs="宋体"/>
          <w:b w:val="0"/>
          <w:bCs w:val="0"/>
          <w:color w:val="auto"/>
          <w:spacing w:val="7"/>
          <w:sz w:val="24"/>
          <w:szCs w:val="24"/>
          <w:highlight w:val="none"/>
          <w:u w:val="single" w:color="auto"/>
        </w:rPr>
        <w:t>（产品名称2</w:t>
      </w:r>
      <w:r>
        <w:rPr>
          <w:rFonts w:hint="eastAsia" w:ascii="宋体" w:hAnsi="宋体" w:eastAsia="宋体" w:cs="宋体"/>
          <w:b w:val="0"/>
          <w:bCs w:val="0"/>
          <w:color w:val="auto"/>
          <w:spacing w:val="26"/>
          <w:sz w:val="24"/>
          <w:szCs w:val="24"/>
          <w:highlight w:val="none"/>
          <w:u w:val="single" w:color="auto"/>
        </w:rPr>
        <w:t>）</w:t>
      </w:r>
      <w:r>
        <w:rPr>
          <w:rFonts w:hint="eastAsia" w:ascii="宋体" w:hAnsi="宋体" w:eastAsia="宋体" w:cs="宋体"/>
          <w:b w:val="0"/>
          <w:bCs w:val="0"/>
          <w:color w:val="auto"/>
          <w:spacing w:val="26"/>
          <w:sz w:val="24"/>
          <w:szCs w:val="24"/>
          <w:highlight w:val="none"/>
        </w:rPr>
        <w:t>，</w:t>
      </w:r>
      <w:r>
        <w:rPr>
          <w:rFonts w:hint="eastAsia" w:ascii="宋体" w:hAnsi="宋体" w:eastAsia="宋体" w:cs="宋体"/>
          <w:b w:val="0"/>
          <w:bCs w:val="0"/>
          <w:color w:val="auto"/>
          <w:spacing w:val="7"/>
          <w:sz w:val="24"/>
          <w:szCs w:val="24"/>
          <w:highlight w:val="none"/>
        </w:rPr>
        <w:t>生产厂为</w:t>
      </w:r>
      <w:r>
        <w:rPr>
          <w:rFonts w:hint="eastAsia" w:ascii="宋体" w:hAnsi="宋体" w:eastAsia="宋体" w:cs="宋体"/>
          <w:b w:val="0"/>
          <w:bCs w:val="0"/>
          <w:color w:val="auto"/>
          <w:spacing w:val="7"/>
          <w:sz w:val="24"/>
          <w:szCs w:val="24"/>
          <w:highlight w:val="none"/>
          <w:u w:val="single" w:color="auto"/>
        </w:rPr>
        <w:t>（厂名</w:t>
      </w:r>
      <w:r>
        <w:rPr>
          <w:rFonts w:hint="eastAsia" w:ascii="宋体" w:hAnsi="宋体" w:eastAsia="宋体" w:cs="宋体"/>
          <w:b w:val="0"/>
          <w:bCs w:val="0"/>
          <w:color w:val="auto"/>
          <w:spacing w:val="26"/>
          <w:sz w:val="24"/>
          <w:szCs w:val="24"/>
          <w:highlight w:val="none"/>
          <w:u w:val="single" w:color="auto"/>
        </w:rPr>
        <w:t>）</w:t>
      </w:r>
      <w:r>
        <w:rPr>
          <w:rFonts w:hint="eastAsia" w:ascii="宋体" w:hAnsi="宋体" w:eastAsia="宋体" w:cs="宋体"/>
          <w:b w:val="0"/>
          <w:bCs w:val="0"/>
          <w:color w:val="auto"/>
          <w:spacing w:val="26"/>
          <w:sz w:val="24"/>
          <w:szCs w:val="24"/>
          <w:highlight w:val="none"/>
        </w:rPr>
        <w:t>，</w:t>
      </w:r>
      <w:r>
        <w:rPr>
          <w:rFonts w:hint="eastAsia" w:ascii="宋体" w:hAnsi="宋体" w:eastAsia="宋体" w:cs="宋体"/>
          <w:b w:val="0"/>
          <w:bCs w:val="0"/>
          <w:color w:val="auto"/>
          <w:spacing w:val="7"/>
          <w:sz w:val="24"/>
          <w:szCs w:val="24"/>
          <w:highlight w:val="none"/>
        </w:rPr>
        <w:t>厂址为</w:t>
      </w:r>
      <w:r>
        <w:rPr>
          <w:rFonts w:hint="eastAsia" w:ascii="宋体" w:hAnsi="宋体" w:eastAsia="宋体" w:cs="宋体"/>
          <w:b w:val="0"/>
          <w:bCs w:val="0"/>
          <w:color w:val="auto"/>
          <w:spacing w:val="7"/>
          <w:sz w:val="24"/>
          <w:szCs w:val="24"/>
          <w:highlight w:val="none"/>
          <w:u w:val="single" w:color="auto"/>
        </w:rPr>
        <w:t>（生产厂址）</w:t>
      </w:r>
      <w:r>
        <w:rPr>
          <w:rFonts w:hint="eastAsia" w:ascii="宋体" w:hAnsi="宋体" w:eastAsia="宋体" w:cs="宋体"/>
          <w:b w:val="0"/>
          <w:bCs w:val="0"/>
          <w:color w:val="auto"/>
          <w:spacing w:val="-116"/>
          <w:sz w:val="24"/>
          <w:szCs w:val="24"/>
          <w:highlight w:val="none"/>
          <w:u w:val="single" w:color="auto"/>
        </w:rPr>
        <w:t xml:space="preserve"> </w:t>
      </w:r>
      <w:r>
        <w:rPr>
          <w:rFonts w:hint="eastAsia" w:ascii="宋体" w:hAnsi="宋体" w:eastAsia="宋体" w:cs="宋体"/>
          <w:b w:val="0"/>
          <w:bCs w:val="0"/>
          <w:color w:val="auto"/>
          <w:spacing w:val="-100"/>
          <w:sz w:val="24"/>
          <w:szCs w:val="24"/>
          <w:highlight w:val="none"/>
        </w:rPr>
        <w:t xml:space="preserve"> </w:t>
      </w:r>
      <w:r>
        <w:rPr>
          <w:rFonts w:hint="eastAsia" w:ascii="宋体" w:hAnsi="宋体" w:eastAsia="宋体" w:cs="宋体"/>
          <w:b w:val="0"/>
          <w:bCs w:val="0"/>
          <w:color w:val="auto"/>
          <w:spacing w:val="7"/>
          <w:sz w:val="24"/>
          <w:szCs w:val="24"/>
          <w:highlight w:val="none"/>
        </w:rPr>
        <w:t>。</w:t>
      </w:r>
      <w:r>
        <w:rPr>
          <w:rFonts w:hint="eastAsia" w:ascii="宋体" w:hAnsi="宋体" w:eastAsia="宋体" w:cs="宋体"/>
          <w:b w:val="0"/>
          <w:bCs w:val="0"/>
          <w:color w:val="auto"/>
          <w:spacing w:val="7"/>
          <w:sz w:val="24"/>
          <w:szCs w:val="24"/>
          <w:highlight w:val="none"/>
          <w:u w:val="single" w:color="auto"/>
        </w:rPr>
        <w:t>（产品名称2）</w:t>
      </w:r>
      <w:r>
        <w:rPr>
          <w:rFonts w:hint="eastAsia" w:ascii="宋体" w:hAnsi="宋体" w:eastAsia="宋体" w:cs="宋体"/>
          <w:b w:val="0"/>
          <w:bCs w:val="0"/>
          <w:color w:val="auto"/>
          <w:spacing w:val="7"/>
          <w:sz w:val="24"/>
          <w:szCs w:val="24"/>
          <w:highlight w:val="none"/>
        </w:rPr>
        <w:t>的中国境内生产的组件成本占比≥</w:t>
      </w:r>
      <w:r>
        <w:rPr>
          <w:rFonts w:hint="eastAsia" w:ascii="宋体" w:hAnsi="宋体" w:eastAsia="宋体" w:cs="宋体"/>
          <w:b w:val="0"/>
          <w:bCs w:val="0"/>
          <w:color w:val="auto"/>
          <w:spacing w:val="7"/>
          <w:sz w:val="24"/>
          <w:szCs w:val="24"/>
          <w:highlight w:val="none"/>
          <w:u w:val="single" w:color="auto"/>
        </w:rPr>
        <w:t>（规定比例）</w:t>
      </w:r>
      <w:r>
        <w:rPr>
          <w:rFonts w:hint="eastAsia" w:ascii="宋体" w:hAnsi="宋体" w:eastAsia="宋体" w:cs="宋体"/>
          <w:b w:val="0"/>
          <w:bCs w:val="0"/>
          <w:color w:val="auto"/>
          <w:spacing w:val="7"/>
          <w:sz w:val="24"/>
          <w:szCs w:val="24"/>
          <w:highlight w:val="none"/>
        </w:rPr>
        <w:t>。</w:t>
      </w:r>
      <w:r>
        <w:rPr>
          <w:rFonts w:hint="eastAsia" w:ascii="宋体" w:hAnsi="宋体" w:eastAsia="宋体" w:cs="宋体"/>
          <w:b w:val="0"/>
          <w:bCs w:val="0"/>
          <w:color w:val="auto"/>
          <w:spacing w:val="7"/>
          <w:sz w:val="24"/>
          <w:szCs w:val="24"/>
          <w:highlight w:val="none"/>
          <w:u w:val="single" w:color="auto"/>
        </w:rPr>
        <w:t>（产品名称2）</w:t>
      </w:r>
      <w:r>
        <w:rPr>
          <w:rFonts w:hint="eastAsia" w:ascii="宋体" w:hAnsi="宋体" w:eastAsia="宋体" w:cs="宋体"/>
          <w:b w:val="0"/>
          <w:bCs w:val="0"/>
          <w:color w:val="auto"/>
          <w:spacing w:val="7"/>
          <w:sz w:val="24"/>
          <w:szCs w:val="24"/>
          <w:highlight w:val="none"/>
        </w:rPr>
        <w:t>的</w:t>
      </w:r>
      <w:r>
        <w:rPr>
          <w:rFonts w:hint="eastAsia" w:ascii="宋体" w:hAnsi="宋体" w:eastAsia="宋体" w:cs="宋体"/>
          <w:b w:val="0"/>
          <w:bCs w:val="0"/>
          <w:color w:val="auto"/>
          <w:sz w:val="24"/>
          <w:szCs w:val="24"/>
          <w:highlight w:val="none"/>
          <w:u w:val="single" w:color="auto"/>
        </w:rPr>
        <w:tab/>
      </w:r>
      <w:r>
        <w:rPr>
          <w:rFonts w:hint="eastAsia" w:ascii="宋体" w:hAnsi="宋体" w:eastAsia="宋体" w:cs="宋体"/>
          <w:b w:val="0"/>
          <w:bCs w:val="0"/>
          <w:color w:val="auto"/>
          <w:spacing w:val="5"/>
          <w:sz w:val="24"/>
          <w:szCs w:val="24"/>
          <w:highlight w:val="none"/>
          <w:u w:val="single" w:color="auto"/>
        </w:rPr>
        <w:t>（关键组件）</w:t>
      </w:r>
      <w:r>
        <w:rPr>
          <w:rFonts w:hint="eastAsia" w:ascii="宋体" w:hAnsi="宋体" w:eastAsia="宋体" w:cs="宋体"/>
          <w:b w:val="0"/>
          <w:bCs w:val="0"/>
          <w:color w:val="auto"/>
          <w:spacing w:val="5"/>
          <w:sz w:val="24"/>
          <w:szCs w:val="24"/>
          <w:highlight w:val="none"/>
        </w:rPr>
        <w:t>在中国境内生产。</w:t>
      </w:r>
      <w:r>
        <w:rPr>
          <w:rFonts w:hint="eastAsia" w:ascii="宋体" w:hAnsi="宋体" w:eastAsia="宋体" w:cs="宋体"/>
          <w:b w:val="0"/>
          <w:bCs w:val="0"/>
          <w:color w:val="auto"/>
          <w:spacing w:val="5"/>
          <w:sz w:val="24"/>
          <w:szCs w:val="24"/>
          <w:highlight w:val="none"/>
          <w:u w:val="single" w:color="auto"/>
        </w:rPr>
        <w:t>（产品名称2）</w:t>
      </w:r>
      <w:r>
        <w:rPr>
          <w:rFonts w:hint="eastAsia" w:ascii="宋体" w:hAnsi="宋体" w:eastAsia="宋体" w:cs="宋体"/>
          <w:b w:val="0"/>
          <w:bCs w:val="0"/>
          <w:color w:val="auto"/>
          <w:spacing w:val="-77"/>
          <w:sz w:val="24"/>
          <w:szCs w:val="24"/>
          <w:highlight w:val="none"/>
          <w:u w:val="single" w:color="auto"/>
        </w:rPr>
        <w:t xml:space="preserve"> </w:t>
      </w:r>
      <w:r>
        <w:rPr>
          <w:rFonts w:hint="eastAsia" w:ascii="宋体" w:hAnsi="宋体" w:eastAsia="宋体" w:cs="宋体"/>
          <w:b w:val="0"/>
          <w:bCs w:val="0"/>
          <w:color w:val="auto"/>
          <w:spacing w:val="5"/>
          <w:sz w:val="24"/>
          <w:szCs w:val="24"/>
          <w:highlight w:val="none"/>
        </w:rPr>
        <w:t>的</w:t>
      </w:r>
      <w:r>
        <w:rPr>
          <w:rFonts w:hint="eastAsia" w:ascii="宋体" w:hAnsi="宋体" w:eastAsia="宋体" w:cs="宋体"/>
          <w:b w:val="0"/>
          <w:bCs w:val="0"/>
          <w:color w:val="auto"/>
          <w:spacing w:val="5"/>
          <w:sz w:val="24"/>
          <w:szCs w:val="24"/>
          <w:highlight w:val="none"/>
          <w:u w:val="single" w:color="auto"/>
        </w:rPr>
        <w:t>（关键工序）</w:t>
      </w:r>
      <w:r>
        <w:rPr>
          <w:rFonts w:hint="eastAsia" w:ascii="宋体" w:hAnsi="宋体" w:eastAsia="宋体" w:cs="宋体"/>
          <w:b w:val="0"/>
          <w:bCs w:val="0"/>
          <w:color w:val="auto"/>
          <w:spacing w:val="5"/>
          <w:sz w:val="24"/>
          <w:szCs w:val="24"/>
          <w:highlight w:val="none"/>
        </w:rPr>
        <w:t>在中国境内</w:t>
      </w:r>
      <w:r>
        <w:rPr>
          <w:rFonts w:hint="eastAsia" w:ascii="宋体" w:hAnsi="宋体" w:eastAsia="宋体" w:cs="宋体"/>
          <w:b w:val="0"/>
          <w:bCs w:val="0"/>
          <w:color w:val="auto"/>
          <w:spacing w:val="2"/>
          <w:sz w:val="24"/>
          <w:szCs w:val="24"/>
          <w:highlight w:val="none"/>
        </w:rPr>
        <w:t>完成。</w:t>
      </w:r>
    </w:p>
    <w:p w14:paraId="53AC5B7C">
      <w:pPr>
        <w:pStyle w:val="8"/>
        <w:keepNext w:val="0"/>
        <w:keepLines w:val="0"/>
        <w:pageBreakBefore w:val="0"/>
        <w:widowControl/>
        <w:kinsoku/>
        <w:wordWrap/>
        <w:overflowPunct/>
        <w:topLinePunct w:val="0"/>
        <w:autoSpaceDE w:val="0"/>
        <w:autoSpaceDN w:val="0"/>
        <w:bidi w:val="0"/>
        <w:adjustRightInd w:val="0"/>
        <w:snapToGrid w:val="0"/>
        <w:spacing w:line="360" w:lineRule="auto"/>
        <w:ind w:left="605" w:firstLine="44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0"/>
          <w:position w:val="3"/>
          <w:sz w:val="24"/>
          <w:szCs w:val="24"/>
          <w:highlight w:val="none"/>
        </w:rPr>
        <w:t>……</w:t>
      </w:r>
    </w:p>
    <w:p w14:paraId="64A85665">
      <w:pPr>
        <w:keepNext w:val="0"/>
        <w:keepLines w:val="0"/>
        <w:pageBreakBefore w:val="0"/>
        <w:widowControl/>
        <w:kinsoku/>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7"/>
          <w:sz w:val="24"/>
          <w:szCs w:val="24"/>
          <w:highlight w:val="none"/>
        </w:rPr>
        <w:t>本公司（单位）对上述声明内容的真实性负责。如有虚假，愿承担相应</w:t>
      </w:r>
      <w:r>
        <w:rPr>
          <w:rFonts w:hint="eastAsia" w:ascii="宋体" w:hAnsi="宋体" w:eastAsia="宋体" w:cs="宋体"/>
          <w:b w:val="0"/>
          <w:bCs w:val="0"/>
          <w:color w:val="auto"/>
          <w:sz w:val="24"/>
          <w:szCs w:val="24"/>
          <w:highlight w:val="none"/>
        </w:rPr>
        <w:t>法律责任。</w:t>
      </w:r>
    </w:p>
    <w:p w14:paraId="08FFCC9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p>
    <w:p w14:paraId="67DA0C7D">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p>
    <w:p w14:paraId="0C742B83">
      <w:pPr>
        <w:keepNext w:val="0"/>
        <w:keepLines w:val="0"/>
        <w:pageBreakBefore w:val="0"/>
        <w:widowControl/>
        <w:kinsoku/>
        <w:wordWrap/>
        <w:overflowPunct/>
        <w:topLinePunct w:val="0"/>
        <w:autoSpaceDE w:val="0"/>
        <w:autoSpaceDN w:val="0"/>
        <w:bidi w:val="0"/>
        <w:adjustRightInd w:val="0"/>
        <w:snapToGrid w:val="0"/>
        <w:spacing w:line="360" w:lineRule="auto"/>
        <w:ind w:firstLine="4674" w:firstLineChars="19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单位名称（盖章</w:t>
      </w:r>
      <w:r>
        <w:rPr>
          <w:rFonts w:hint="eastAsia" w:ascii="宋体" w:hAnsi="宋体" w:eastAsia="宋体" w:cs="宋体"/>
          <w:b w:val="0"/>
          <w:bCs w:val="0"/>
          <w:color w:val="auto"/>
          <w:spacing w:val="-3"/>
          <w:sz w:val="24"/>
          <w:szCs w:val="24"/>
          <w:highlight w:val="none"/>
        </w:rPr>
        <w:t>）：</w:t>
      </w:r>
    </w:p>
    <w:p w14:paraId="1A793C86">
      <w:pPr>
        <w:keepNext w:val="0"/>
        <w:keepLines w:val="0"/>
        <w:pageBreakBefore w:val="0"/>
        <w:widowControl/>
        <w:kinsoku/>
        <w:wordWrap/>
        <w:overflowPunct/>
        <w:topLinePunct w:val="0"/>
        <w:autoSpaceDE w:val="0"/>
        <w:autoSpaceDN w:val="0"/>
        <w:bidi w:val="0"/>
        <w:adjustRightInd w:val="0"/>
        <w:snapToGrid w:val="0"/>
        <w:spacing w:line="360" w:lineRule="auto"/>
        <w:ind w:firstLine="4708" w:firstLineChars="2200"/>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13"/>
          <w:sz w:val="24"/>
          <w:szCs w:val="24"/>
          <w:highlight w:val="none"/>
        </w:rPr>
        <w:t>日期：</w:t>
      </w:r>
      <w:r>
        <w:rPr>
          <w:rFonts w:hint="eastAsia" w:ascii="宋体" w:hAnsi="宋体" w:eastAsia="宋体" w:cs="宋体"/>
          <w:b w:val="0"/>
          <w:bCs w:val="0"/>
          <w:color w:val="auto"/>
          <w:spacing w:val="6"/>
          <w:sz w:val="24"/>
          <w:szCs w:val="24"/>
          <w:highlight w:val="none"/>
        </w:rPr>
        <w:t xml:space="preserve">    </w:t>
      </w:r>
      <w:r>
        <w:rPr>
          <w:rFonts w:hint="eastAsia" w:ascii="宋体" w:hAnsi="宋体" w:eastAsia="宋体" w:cs="宋体"/>
          <w:b w:val="0"/>
          <w:bCs w:val="0"/>
          <w:color w:val="auto"/>
          <w:spacing w:val="-13"/>
          <w:sz w:val="24"/>
          <w:szCs w:val="24"/>
          <w:highlight w:val="none"/>
        </w:rPr>
        <w:t>年</w:t>
      </w:r>
      <w:r>
        <w:rPr>
          <w:rFonts w:hint="eastAsia" w:ascii="宋体" w:hAnsi="宋体" w:eastAsia="宋体" w:cs="宋体"/>
          <w:b w:val="0"/>
          <w:bCs w:val="0"/>
          <w:color w:val="auto"/>
          <w:spacing w:val="10"/>
          <w:sz w:val="24"/>
          <w:szCs w:val="24"/>
          <w:highlight w:val="none"/>
        </w:rPr>
        <w:t xml:space="preserve">  </w:t>
      </w:r>
      <w:r>
        <w:rPr>
          <w:rFonts w:hint="eastAsia" w:ascii="宋体" w:hAnsi="宋体" w:eastAsia="宋体" w:cs="宋体"/>
          <w:b w:val="0"/>
          <w:bCs w:val="0"/>
          <w:color w:val="auto"/>
          <w:spacing w:val="-13"/>
          <w:sz w:val="24"/>
          <w:szCs w:val="24"/>
          <w:highlight w:val="none"/>
        </w:rPr>
        <w:t>月</w:t>
      </w:r>
      <w:r>
        <w:rPr>
          <w:rFonts w:hint="eastAsia" w:ascii="宋体" w:hAnsi="宋体" w:eastAsia="宋体" w:cs="宋体"/>
          <w:b w:val="0"/>
          <w:bCs w:val="0"/>
          <w:color w:val="auto"/>
          <w:spacing w:val="19"/>
          <w:sz w:val="24"/>
          <w:szCs w:val="24"/>
          <w:highlight w:val="none"/>
        </w:rPr>
        <w:t xml:space="preserve">  </w:t>
      </w:r>
      <w:r>
        <w:rPr>
          <w:rFonts w:hint="eastAsia" w:ascii="宋体" w:hAnsi="宋体" w:eastAsia="宋体" w:cs="宋体"/>
          <w:b w:val="0"/>
          <w:bCs w:val="0"/>
          <w:color w:val="auto"/>
          <w:spacing w:val="-13"/>
          <w:sz w:val="24"/>
          <w:szCs w:val="24"/>
          <w:highlight w:val="none"/>
        </w:rPr>
        <w:t>日</w:t>
      </w:r>
    </w:p>
    <w:p w14:paraId="5772B0B2">
      <w:pPr>
        <w:pStyle w:val="8"/>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注：</w:t>
      </w:r>
    </w:p>
    <w:p w14:paraId="29A463C0">
      <w:pPr>
        <w:keepNext w:val="0"/>
        <w:keepLines w:val="0"/>
        <w:pageBreakBefore w:val="0"/>
        <w:widowControl/>
        <w:kinsoku/>
        <w:wordWrap/>
        <w:overflowPunct/>
        <w:topLinePunct w:val="0"/>
        <w:autoSpaceDE w:val="0"/>
        <w:autoSpaceDN w:val="0"/>
        <w:bidi w:val="0"/>
        <w:adjustRightInd w:val="0"/>
        <w:snapToGrid w:val="0"/>
        <w:spacing w:line="360" w:lineRule="auto"/>
        <w:ind w:firstLine="424" w:firstLineChars="200"/>
        <w:textAlignment w:val="baseline"/>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snapToGrid w:val="0"/>
          <w:color w:val="auto"/>
          <w:spacing w:val="-4"/>
          <w:kern w:val="0"/>
          <w:sz w:val="22"/>
          <w:szCs w:val="22"/>
          <w:highlight w:val="none"/>
        </w:rPr>
        <w:t>1.</w:t>
      </w:r>
      <w:r>
        <w:rPr>
          <w:rFonts w:hint="eastAsia" w:ascii="宋体" w:hAnsi="宋体" w:eastAsia="宋体" w:cs="宋体"/>
          <w:b w:val="0"/>
          <w:bCs w:val="0"/>
          <w:color w:val="auto"/>
          <w:spacing w:val="-4"/>
          <w:sz w:val="22"/>
          <w:szCs w:val="22"/>
          <w:highlight w:val="none"/>
        </w:rPr>
        <w:t>产品如有型号，请在“产品名称</w:t>
      </w:r>
      <w:r>
        <w:rPr>
          <w:rFonts w:hint="eastAsia" w:ascii="宋体" w:hAnsi="宋体" w:eastAsia="宋体" w:cs="宋体"/>
          <w:b w:val="0"/>
          <w:bCs w:val="0"/>
          <w:color w:val="auto"/>
          <w:spacing w:val="-81"/>
          <w:sz w:val="22"/>
          <w:szCs w:val="22"/>
          <w:highlight w:val="none"/>
        </w:rPr>
        <w:t xml:space="preserve"> </w:t>
      </w:r>
      <w:r>
        <w:rPr>
          <w:rFonts w:hint="eastAsia" w:ascii="宋体" w:hAnsi="宋体" w:eastAsia="宋体" w:cs="宋体"/>
          <w:b w:val="0"/>
          <w:bCs w:val="0"/>
          <w:color w:val="auto"/>
          <w:spacing w:val="-4"/>
          <w:sz w:val="22"/>
          <w:szCs w:val="22"/>
          <w:highlight w:val="none"/>
        </w:rPr>
        <w:t>”栏一并填写。</w:t>
      </w:r>
    </w:p>
    <w:p w14:paraId="08AB815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4" w:firstLineChars="200"/>
        <w:jc w:val="both"/>
        <w:textAlignment w:val="baseline"/>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2.生产厂名与厂址应与生产厂营业执照载明的相关信息保持一致。</w:t>
      </w:r>
    </w:p>
    <w:p w14:paraId="314FF92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4" w:firstLineChars="200"/>
        <w:jc w:val="both"/>
        <w:textAlignment w:val="baseline"/>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3.该产品的中国境内生产的组件成本占比相关要求实施前，“规定比例 ”栏可不填，下同。</w:t>
      </w:r>
    </w:p>
    <w:p w14:paraId="44809D17">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4" w:firstLineChars="200"/>
        <w:jc w:val="both"/>
        <w:textAlignment w:val="baseline"/>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4.该产品的关键组件要求实施前，“关键组件 ”栏可不填，下同。</w:t>
      </w:r>
    </w:p>
    <w:p w14:paraId="701F6452">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4" w:firstLineChars="200"/>
        <w:jc w:val="both"/>
        <w:textAlignment w:val="baseline"/>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5.该产品的关键工序要求实施前，“关键工序 ”栏可不填，下同。</w:t>
      </w:r>
    </w:p>
    <w:p w14:paraId="72D69BED">
      <w:pPr>
        <w:keepNext w:val="0"/>
        <w:keepLines w:val="0"/>
        <w:pageBreakBefore w:val="0"/>
        <w:widowControl/>
        <w:kinsoku/>
        <w:wordWrap/>
        <w:overflowPunct/>
        <w:topLinePunct w:val="0"/>
        <w:autoSpaceDE w:val="0"/>
        <w:autoSpaceDN w:val="0"/>
        <w:bidi w:val="0"/>
        <w:adjustRightInd w:val="0"/>
        <w:snapToGrid w:val="0"/>
        <w:spacing w:line="480" w:lineRule="auto"/>
        <w:ind w:firstLine="480" w:firstLineChars="200"/>
        <w:jc w:val="both"/>
        <w:textAlignment w:val="baseline"/>
        <w:rPr>
          <w:rFonts w:hint="default" w:ascii="Times New Roman" w:hAnsi="Times New Roman" w:cs="Times New Roman"/>
          <w:color w:val="auto"/>
          <w:spacing w:val="0"/>
          <w:sz w:val="24"/>
          <w:szCs w:val="24"/>
          <w:highlight w:val="none"/>
        </w:rPr>
      </w:pPr>
    </w:p>
    <w:p w14:paraId="731D845A">
      <w:pPr>
        <w:keepNext w:val="0"/>
        <w:keepLines w:val="0"/>
        <w:pageBreakBefore w:val="0"/>
        <w:widowControl/>
        <w:kinsoku/>
        <w:wordWrap/>
        <w:overflowPunct/>
        <w:topLinePunct w:val="0"/>
        <w:autoSpaceDE w:val="0"/>
        <w:autoSpaceDN w:val="0"/>
        <w:bidi w:val="0"/>
        <w:adjustRightInd w:val="0"/>
        <w:snapToGrid w:val="0"/>
        <w:spacing w:line="480" w:lineRule="auto"/>
        <w:ind w:firstLine="480" w:firstLineChars="200"/>
        <w:jc w:val="both"/>
        <w:textAlignment w:val="baseline"/>
        <w:rPr>
          <w:rFonts w:hint="default" w:ascii="Times New Roman" w:hAnsi="Times New Roman" w:cs="Times New Roman"/>
          <w:color w:val="auto"/>
          <w:spacing w:val="0"/>
          <w:sz w:val="24"/>
          <w:szCs w:val="24"/>
          <w:highlight w:val="none"/>
        </w:rPr>
      </w:pPr>
    </w:p>
    <w:p w14:paraId="636E3621">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sectPr>
      <w:headerReference r:id="rId9" w:type="default"/>
      <w:footerReference r:id="rId10" w:type="default"/>
      <w:pgSz w:w="11906" w:h="16839"/>
      <w:pgMar w:top="1417" w:right="1361" w:bottom="1417" w:left="1361" w:header="964" w:footer="986"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592C0">
    <w:pPr>
      <w:spacing w:line="230" w:lineRule="auto"/>
      <w:ind w:left="11"/>
      <w:rPr>
        <w:rFonts w:hint="default" w:ascii="宋体" w:hAnsi="宋体" w:eastAsia="宋体" w:cs="宋体"/>
        <w:sz w:val="20"/>
        <w:szCs w:val="20"/>
        <w:lang w:val="en-US"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5DAD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95DAD4">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20"/>
        <w:szCs w:val="20"/>
        <w:u w:val="single"/>
        <w:lang w:eastAsia="zh-CN"/>
      </w:rPr>
      <w:t>凌辉建设工程咨询有限公司</w:t>
    </w:r>
    <w:r>
      <w:rPr>
        <w:rFonts w:hint="eastAsia" w:ascii="宋体" w:hAnsi="宋体" w:eastAsia="宋体" w:cs="宋体"/>
        <w:sz w:val="20"/>
        <w:szCs w:val="20"/>
        <w:u w:val="single"/>
        <w:lang w:val="en-US" w:eastAsia="zh-CN"/>
      </w:rPr>
      <w:t xml:space="preserve">                                                       0917-3667177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81DD">
    <w:pPr>
      <w:spacing w:line="230" w:lineRule="auto"/>
      <w:ind w:left="11"/>
      <w:rPr>
        <w:rFonts w:hint="default" w:ascii="宋体" w:hAnsi="宋体" w:eastAsia="宋体" w:cs="宋体"/>
        <w:sz w:val="20"/>
        <w:szCs w:val="20"/>
        <w:lang w:val="en-US" w:eastAsia="zh-CN"/>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BB97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43BB977">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20"/>
        <w:szCs w:val="20"/>
        <w:u w:val="single"/>
        <w:lang w:eastAsia="zh-CN"/>
      </w:rPr>
      <w:t>凌辉建设工程咨询有限公司</w:t>
    </w:r>
    <w:r>
      <w:rPr>
        <w:rFonts w:hint="eastAsia" w:ascii="宋体" w:hAnsi="宋体" w:eastAsia="宋体" w:cs="宋体"/>
        <w:sz w:val="20"/>
        <w:szCs w:val="20"/>
        <w:u w:val="single"/>
        <w:lang w:val="en-US" w:eastAsia="zh-CN"/>
      </w:rPr>
      <w:t xml:space="preserve">                                                                                                       0917-3667177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4921A">
    <w:pPr>
      <w:spacing w:line="230" w:lineRule="auto"/>
      <w:ind w:left="11"/>
      <w:rPr>
        <w:rFonts w:hint="default" w:ascii="宋体" w:hAnsi="宋体" w:eastAsia="宋体" w:cs="宋体"/>
        <w:sz w:val="20"/>
        <w:szCs w:val="20"/>
        <w:lang w:val="en-US" w:eastAsia="zh-CN"/>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DBC2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0DBC2E">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20"/>
        <w:szCs w:val="20"/>
        <w:u w:val="single"/>
        <w:lang w:eastAsia="zh-CN"/>
      </w:rPr>
      <w:t>凌辉建设工程咨询有限公司</w:t>
    </w:r>
    <w:r>
      <w:rPr>
        <w:rFonts w:hint="eastAsia" w:ascii="宋体" w:hAnsi="宋体" w:eastAsia="宋体" w:cs="宋体"/>
        <w:sz w:val="20"/>
        <w:szCs w:val="20"/>
        <w:u w:val="single"/>
        <w:lang w:val="en-US" w:eastAsia="zh-CN"/>
      </w:rPr>
      <w:t xml:space="preserve">                                                       0917-3667177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470F">
    <w:pPr>
      <w:pBdr>
        <w:bottom w:val="single" w:color="auto" w:sz="4" w:space="0"/>
      </w:pBdr>
      <w:spacing w:line="221" w:lineRule="auto"/>
      <w:ind w:left="53"/>
      <w:rPr>
        <w:rFonts w:hint="default" w:ascii="宋体" w:hAnsi="宋体" w:eastAsia="宋体" w:cs="宋体"/>
        <w:sz w:val="16"/>
        <w:szCs w:val="16"/>
        <w:u w:val="none"/>
        <w:lang w:val="en-US" w:eastAsia="zh-CN"/>
      </w:rPr>
    </w:pPr>
    <w:r>
      <w:rPr>
        <w:rFonts w:hint="eastAsia" w:ascii="宋体" w:hAnsi="宋体" w:eastAsia="宋体" w:cs="宋体"/>
        <w:b w:val="0"/>
        <w:bCs w:val="0"/>
        <w:color w:val="auto"/>
        <w:sz w:val="20"/>
        <w:szCs w:val="20"/>
        <w:highlight w:val="none"/>
        <w:u w:val="none"/>
        <w:lang w:eastAsia="zh-CN"/>
      </w:rPr>
      <w:t>宝鸡市第二人民医院彩超采购项目</w:t>
    </w:r>
    <w:r>
      <w:rPr>
        <w:rFonts w:hint="eastAsia" w:ascii="宋体" w:hAnsi="宋体" w:eastAsia="宋体" w:cs="宋体"/>
        <w:b w:val="0"/>
        <w:bCs w:val="0"/>
        <w:color w:val="auto"/>
        <w:sz w:val="20"/>
        <w:szCs w:val="20"/>
        <w:highlight w:val="none"/>
        <w:u w:val="none"/>
        <w:lang w:val="en-US" w:eastAsia="zh-CN"/>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87DA6">
    <w:pPr>
      <w:pBdr>
        <w:bottom w:val="single" w:color="auto" w:sz="4" w:space="0"/>
      </w:pBdr>
      <w:spacing w:line="221" w:lineRule="auto"/>
      <w:ind w:left="53"/>
      <w:rPr>
        <w:rFonts w:hint="default" w:ascii="宋体" w:hAnsi="宋体" w:eastAsia="宋体" w:cs="宋体"/>
        <w:sz w:val="16"/>
        <w:szCs w:val="16"/>
        <w:u w:val="none"/>
        <w:lang w:val="en-US" w:eastAsia="zh-CN"/>
      </w:rPr>
    </w:pPr>
    <w:r>
      <w:rPr>
        <w:rFonts w:hint="eastAsia" w:ascii="宋体" w:hAnsi="宋体" w:eastAsia="宋体" w:cs="宋体"/>
        <w:b w:val="0"/>
        <w:bCs w:val="0"/>
        <w:color w:val="auto"/>
        <w:sz w:val="20"/>
        <w:szCs w:val="20"/>
        <w:highlight w:val="none"/>
        <w:u w:val="none"/>
        <w:lang w:eastAsia="zh-CN"/>
      </w:rPr>
      <w:t>宝鸡市第二人民医院彩超采购项目</w:t>
    </w:r>
    <w:r>
      <w:rPr>
        <w:rFonts w:hint="eastAsia" w:ascii="宋体" w:hAnsi="宋体" w:eastAsia="宋体" w:cs="宋体"/>
        <w:b w:val="0"/>
        <w:bCs w:val="0"/>
        <w:color w:val="auto"/>
        <w:sz w:val="20"/>
        <w:szCs w:val="20"/>
        <w:highlight w:val="none"/>
        <w:u w:val="none"/>
        <w:lang w:val="en-US" w:eastAsia="zh-CN"/>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21DE8">
    <w:pPr>
      <w:pBdr>
        <w:bottom w:val="single" w:color="auto" w:sz="4" w:space="0"/>
      </w:pBdr>
      <w:spacing w:line="221" w:lineRule="auto"/>
      <w:ind w:left="53"/>
      <w:rPr>
        <w:rFonts w:hint="default" w:ascii="宋体" w:hAnsi="宋体" w:eastAsia="宋体" w:cs="宋体"/>
        <w:sz w:val="16"/>
        <w:szCs w:val="16"/>
        <w:u w:val="none"/>
        <w:lang w:val="en-US" w:eastAsia="zh-CN"/>
      </w:rPr>
    </w:pPr>
    <w:r>
      <w:rPr>
        <w:rFonts w:hint="eastAsia" w:ascii="宋体" w:hAnsi="宋体" w:eastAsia="宋体" w:cs="宋体"/>
        <w:b w:val="0"/>
        <w:bCs w:val="0"/>
        <w:color w:val="auto"/>
        <w:sz w:val="20"/>
        <w:szCs w:val="20"/>
        <w:highlight w:val="none"/>
        <w:u w:val="none"/>
        <w:lang w:eastAsia="zh-CN"/>
      </w:rPr>
      <w:t>宝鸡市第二人民医院彩超采购项目</w:t>
    </w:r>
    <w:r>
      <w:rPr>
        <w:rFonts w:hint="eastAsia" w:ascii="宋体" w:hAnsi="宋体" w:eastAsia="宋体" w:cs="宋体"/>
        <w:b w:val="0"/>
        <w:bCs w:val="0"/>
        <w:color w:val="auto"/>
        <w:sz w:val="20"/>
        <w:szCs w:val="20"/>
        <w:highlight w:val="none"/>
        <w:u w:val="none"/>
        <w:lang w:val="en-US" w:eastAsia="zh-CN"/>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2126D"/>
    <w:multiLevelType w:val="singleLevel"/>
    <w:tmpl w:val="0862126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ExNjc2NDkyNTU3MTA2YTgzZmJiNWY5NGMyMWE3ZDgifQ=="/>
  </w:docVars>
  <w:rsids>
    <w:rsidRoot w:val="00000000"/>
    <w:rsid w:val="0007773A"/>
    <w:rsid w:val="005539A0"/>
    <w:rsid w:val="00627E6B"/>
    <w:rsid w:val="006A2456"/>
    <w:rsid w:val="00977B14"/>
    <w:rsid w:val="00B46918"/>
    <w:rsid w:val="00DD5E1E"/>
    <w:rsid w:val="00EE40DF"/>
    <w:rsid w:val="00F16A52"/>
    <w:rsid w:val="012A067A"/>
    <w:rsid w:val="01692D83"/>
    <w:rsid w:val="017165B7"/>
    <w:rsid w:val="01F42ECA"/>
    <w:rsid w:val="021A0C65"/>
    <w:rsid w:val="022369EF"/>
    <w:rsid w:val="024221B8"/>
    <w:rsid w:val="029E2E94"/>
    <w:rsid w:val="02B631CA"/>
    <w:rsid w:val="02D037B2"/>
    <w:rsid w:val="031C0F59"/>
    <w:rsid w:val="03563CB7"/>
    <w:rsid w:val="03661A20"/>
    <w:rsid w:val="039B3DC0"/>
    <w:rsid w:val="03C2588D"/>
    <w:rsid w:val="03DF1EFE"/>
    <w:rsid w:val="03E2445B"/>
    <w:rsid w:val="03E855BF"/>
    <w:rsid w:val="03FF0B9E"/>
    <w:rsid w:val="043A294C"/>
    <w:rsid w:val="04467C44"/>
    <w:rsid w:val="045D1075"/>
    <w:rsid w:val="048F49C5"/>
    <w:rsid w:val="04D31D7F"/>
    <w:rsid w:val="052027CE"/>
    <w:rsid w:val="0586171E"/>
    <w:rsid w:val="05B22957"/>
    <w:rsid w:val="05B41DF3"/>
    <w:rsid w:val="05D03C38"/>
    <w:rsid w:val="05E72C31"/>
    <w:rsid w:val="05F45A09"/>
    <w:rsid w:val="063519BD"/>
    <w:rsid w:val="063D2F0C"/>
    <w:rsid w:val="066F61E5"/>
    <w:rsid w:val="06782196"/>
    <w:rsid w:val="069A210C"/>
    <w:rsid w:val="069C40D7"/>
    <w:rsid w:val="06B84C89"/>
    <w:rsid w:val="06C532A1"/>
    <w:rsid w:val="06D161B9"/>
    <w:rsid w:val="06FE40E3"/>
    <w:rsid w:val="07087F03"/>
    <w:rsid w:val="070F7012"/>
    <w:rsid w:val="07124399"/>
    <w:rsid w:val="07131B19"/>
    <w:rsid w:val="072A2F74"/>
    <w:rsid w:val="073005AC"/>
    <w:rsid w:val="07480E14"/>
    <w:rsid w:val="0788260A"/>
    <w:rsid w:val="07907481"/>
    <w:rsid w:val="07AC659B"/>
    <w:rsid w:val="07AF7E3A"/>
    <w:rsid w:val="07BD4916"/>
    <w:rsid w:val="07CF1B65"/>
    <w:rsid w:val="07D82BC5"/>
    <w:rsid w:val="08255752"/>
    <w:rsid w:val="08555CC0"/>
    <w:rsid w:val="08862D45"/>
    <w:rsid w:val="08A1633B"/>
    <w:rsid w:val="08A515BF"/>
    <w:rsid w:val="08CC33A2"/>
    <w:rsid w:val="08DE097A"/>
    <w:rsid w:val="08EB10DE"/>
    <w:rsid w:val="09143080"/>
    <w:rsid w:val="092A0EA6"/>
    <w:rsid w:val="093D7985"/>
    <w:rsid w:val="09527275"/>
    <w:rsid w:val="09741A2E"/>
    <w:rsid w:val="0976602C"/>
    <w:rsid w:val="099A7CD4"/>
    <w:rsid w:val="09AD6C2E"/>
    <w:rsid w:val="09C9476B"/>
    <w:rsid w:val="09FC09DC"/>
    <w:rsid w:val="0A395DAD"/>
    <w:rsid w:val="0A522CFE"/>
    <w:rsid w:val="0AE1644F"/>
    <w:rsid w:val="0AE2480E"/>
    <w:rsid w:val="0B4B540D"/>
    <w:rsid w:val="0B574A70"/>
    <w:rsid w:val="0B584344"/>
    <w:rsid w:val="0BA25DD2"/>
    <w:rsid w:val="0BA72079"/>
    <w:rsid w:val="0BBA06AF"/>
    <w:rsid w:val="0BDF4A68"/>
    <w:rsid w:val="0BF518FA"/>
    <w:rsid w:val="0C0B2ABD"/>
    <w:rsid w:val="0C2030B4"/>
    <w:rsid w:val="0C243D9D"/>
    <w:rsid w:val="0C25691C"/>
    <w:rsid w:val="0C7966F5"/>
    <w:rsid w:val="0C7B3F42"/>
    <w:rsid w:val="0C8353F1"/>
    <w:rsid w:val="0C915D60"/>
    <w:rsid w:val="0CBE467B"/>
    <w:rsid w:val="0D27282F"/>
    <w:rsid w:val="0D29243C"/>
    <w:rsid w:val="0D503887"/>
    <w:rsid w:val="0D950ABE"/>
    <w:rsid w:val="0D98311E"/>
    <w:rsid w:val="0DA41AC3"/>
    <w:rsid w:val="0DBC78D8"/>
    <w:rsid w:val="0DD17B12"/>
    <w:rsid w:val="0DEE6A20"/>
    <w:rsid w:val="0E0679AF"/>
    <w:rsid w:val="0E147160"/>
    <w:rsid w:val="0E517AB8"/>
    <w:rsid w:val="0E6D6359"/>
    <w:rsid w:val="0E721BC2"/>
    <w:rsid w:val="0E81681B"/>
    <w:rsid w:val="0ED21F60"/>
    <w:rsid w:val="0EE675A7"/>
    <w:rsid w:val="0F1A64E0"/>
    <w:rsid w:val="0F3C4FFD"/>
    <w:rsid w:val="0F3D73C4"/>
    <w:rsid w:val="0F576A04"/>
    <w:rsid w:val="0F7A5ED6"/>
    <w:rsid w:val="0F7E00FD"/>
    <w:rsid w:val="0FF07749"/>
    <w:rsid w:val="100B00D7"/>
    <w:rsid w:val="10135F94"/>
    <w:rsid w:val="102C698D"/>
    <w:rsid w:val="10354C54"/>
    <w:rsid w:val="103E1033"/>
    <w:rsid w:val="1046715A"/>
    <w:rsid w:val="10572D77"/>
    <w:rsid w:val="10686EC2"/>
    <w:rsid w:val="108005C5"/>
    <w:rsid w:val="108D03D6"/>
    <w:rsid w:val="10FB5E9E"/>
    <w:rsid w:val="11140D0D"/>
    <w:rsid w:val="11166833"/>
    <w:rsid w:val="111D5E14"/>
    <w:rsid w:val="11351B3C"/>
    <w:rsid w:val="117A28A4"/>
    <w:rsid w:val="11B43EFD"/>
    <w:rsid w:val="11B761D9"/>
    <w:rsid w:val="11DA205E"/>
    <w:rsid w:val="11DD1A47"/>
    <w:rsid w:val="11EB7CC0"/>
    <w:rsid w:val="122447BE"/>
    <w:rsid w:val="12A10CC7"/>
    <w:rsid w:val="12A165D1"/>
    <w:rsid w:val="12A81CD6"/>
    <w:rsid w:val="130C4392"/>
    <w:rsid w:val="13182014"/>
    <w:rsid w:val="132A0CBC"/>
    <w:rsid w:val="132D1357"/>
    <w:rsid w:val="132F0080"/>
    <w:rsid w:val="13581385"/>
    <w:rsid w:val="137B1518"/>
    <w:rsid w:val="13877EBC"/>
    <w:rsid w:val="13A14883"/>
    <w:rsid w:val="13A742FF"/>
    <w:rsid w:val="13D36C5E"/>
    <w:rsid w:val="14092680"/>
    <w:rsid w:val="142C636E"/>
    <w:rsid w:val="14456D19"/>
    <w:rsid w:val="1465674F"/>
    <w:rsid w:val="1486302D"/>
    <w:rsid w:val="149C69C1"/>
    <w:rsid w:val="14A01D3E"/>
    <w:rsid w:val="14A64372"/>
    <w:rsid w:val="14B16888"/>
    <w:rsid w:val="1516371A"/>
    <w:rsid w:val="15212D2E"/>
    <w:rsid w:val="15455939"/>
    <w:rsid w:val="154F0566"/>
    <w:rsid w:val="15593193"/>
    <w:rsid w:val="158C458D"/>
    <w:rsid w:val="15EA4168"/>
    <w:rsid w:val="15EC60D8"/>
    <w:rsid w:val="162B2D81"/>
    <w:rsid w:val="163634D4"/>
    <w:rsid w:val="163B172F"/>
    <w:rsid w:val="1662251B"/>
    <w:rsid w:val="16B56AEF"/>
    <w:rsid w:val="16BC0089"/>
    <w:rsid w:val="17125CEF"/>
    <w:rsid w:val="171448A7"/>
    <w:rsid w:val="173858C9"/>
    <w:rsid w:val="17542220"/>
    <w:rsid w:val="175801FB"/>
    <w:rsid w:val="178B2B81"/>
    <w:rsid w:val="17C35D1C"/>
    <w:rsid w:val="17FB6783"/>
    <w:rsid w:val="18175989"/>
    <w:rsid w:val="182A7068"/>
    <w:rsid w:val="185F757C"/>
    <w:rsid w:val="189464FF"/>
    <w:rsid w:val="189D6891"/>
    <w:rsid w:val="18E43E57"/>
    <w:rsid w:val="18FC27B3"/>
    <w:rsid w:val="195B397D"/>
    <w:rsid w:val="198307A0"/>
    <w:rsid w:val="198D3D53"/>
    <w:rsid w:val="19C179EB"/>
    <w:rsid w:val="19C76AEE"/>
    <w:rsid w:val="19F20351"/>
    <w:rsid w:val="1A2B7742"/>
    <w:rsid w:val="1A64168A"/>
    <w:rsid w:val="1A69031C"/>
    <w:rsid w:val="1AB570BD"/>
    <w:rsid w:val="1B1B26AB"/>
    <w:rsid w:val="1B320981"/>
    <w:rsid w:val="1B355DFC"/>
    <w:rsid w:val="1B4B5C73"/>
    <w:rsid w:val="1B5A0736"/>
    <w:rsid w:val="1B5E7755"/>
    <w:rsid w:val="1B85781C"/>
    <w:rsid w:val="1BAA299A"/>
    <w:rsid w:val="1BBC1093"/>
    <w:rsid w:val="1BCB709E"/>
    <w:rsid w:val="1BCE63A0"/>
    <w:rsid w:val="1BE560E6"/>
    <w:rsid w:val="1C220782"/>
    <w:rsid w:val="1C2D7127"/>
    <w:rsid w:val="1C5E0F7A"/>
    <w:rsid w:val="1C65645D"/>
    <w:rsid w:val="1C6A0609"/>
    <w:rsid w:val="1C735482"/>
    <w:rsid w:val="1C787029"/>
    <w:rsid w:val="1C9F1DD3"/>
    <w:rsid w:val="1CE26164"/>
    <w:rsid w:val="1CF52E26"/>
    <w:rsid w:val="1CFF6D16"/>
    <w:rsid w:val="1D186D28"/>
    <w:rsid w:val="1D2633F0"/>
    <w:rsid w:val="1D2D5631"/>
    <w:rsid w:val="1D836CAC"/>
    <w:rsid w:val="1DA17DCD"/>
    <w:rsid w:val="1DC04A96"/>
    <w:rsid w:val="1DD01BCE"/>
    <w:rsid w:val="1DD513F5"/>
    <w:rsid w:val="1E170668"/>
    <w:rsid w:val="1E1A3B08"/>
    <w:rsid w:val="1E43227A"/>
    <w:rsid w:val="1E507BB9"/>
    <w:rsid w:val="1E6B7566"/>
    <w:rsid w:val="1E7554E1"/>
    <w:rsid w:val="1E801834"/>
    <w:rsid w:val="1E9038FA"/>
    <w:rsid w:val="1EF81C6E"/>
    <w:rsid w:val="1EF95BE2"/>
    <w:rsid w:val="1F2773F9"/>
    <w:rsid w:val="1F342554"/>
    <w:rsid w:val="1F4D46C5"/>
    <w:rsid w:val="1FC571F2"/>
    <w:rsid w:val="1FF86F5A"/>
    <w:rsid w:val="20026E29"/>
    <w:rsid w:val="20653333"/>
    <w:rsid w:val="208420F0"/>
    <w:rsid w:val="2096173F"/>
    <w:rsid w:val="209B49DD"/>
    <w:rsid w:val="20BB7250"/>
    <w:rsid w:val="20D362A4"/>
    <w:rsid w:val="20EE3329"/>
    <w:rsid w:val="21435075"/>
    <w:rsid w:val="21717A03"/>
    <w:rsid w:val="21A62AEF"/>
    <w:rsid w:val="21C347B6"/>
    <w:rsid w:val="22433606"/>
    <w:rsid w:val="226C09A9"/>
    <w:rsid w:val="226F01FC"/>
    <w:rsid w:val="226F4570"/>
    <w:rsid w:val="228F5866"/>
    <w:rsid w:val="22AC06A2"/>
    <w:rsid w:val="23184960"/>
    <w:rsid w:val="236E24FF"/>
    <w:rsid w:val="23D941CF"/>
    <w:rsid w:val="23DF7CE9"/>
    <w:rsid w:val="23ED122E"/>
    <w:rsid w:val="2444261C"/>
    <w:rsid w:val="24681644"/>
    <w:rsid w:val="24A35C0C"/>
    <w:rsid w:val="24CA5148"/>
    <w:rsid w:val="24CE1799"/>
    <w:rsid w:val="24E0742D"/>
    <w:rsid w:val="24FA2FB0"/>
    <w:rsid w:val="24FB01DE"/>
    <w:rsid w:val="250F56BB"/>
    <w:rsid w:val="25162E4E"/>
    <w:rsid w:val="25251F0D"/>
    <w:rsid w:val="252F5F84"/>
    <w:rsid w:val="255120D8"/>
    <w:rsid w:val="258F4359"/>
    <w:rsid w:val="25A45211"/>
    <w:rsid w:val="25A62424"/>
    <w:rsid w:val="25BD0469"/>
    <w:rsid w:val="260E7FC9"/>
    <w:rsid w:val="26272840"/>
    <w:rsid w:val="265754CC"/>
    <w:rsid w:val="26697889"/>
    <w:rsid w:val="26D27C2D"/>
    <w:rsid w:val="27207725"/>
    <w:rsid w:val="273E3CA5"/>
    <w:rsid w:val="27541A0C"/>
    <w:rsid w:val="2758774E"/>
    <w:rsid w:val="275F21F8"/>
    <w:rsid w:val="27627953"/>
    <w:rsid w:val="276E2ACE"/>
    <w:rsid w:val="278F6B85"/>
    <w:rsid w:val="28113A35"/>
    <w:rsid w:val="281573ED"/>
    <w:rsid w:val="28214BB3"/>
    <w:rsid w:val="288074A4"/>
    <w:rsid w:val="28A75F11"/>
    <w:rsid w:val="28A86228"/>
    <w:rsid w:val="28DA4193"/>
    <w:rsid w:val="28F11E5B"/>
    <w:rsid w:val="28F47F51"/>
    <w:rsid w:val="29336ED9"/>
    <w:rsid w:val="29431FF9"/>
    <w:rsid w:val="29566528"/>
    <w:rsid w:val="29966079"/>
    <w:rsid w:val="29AD6A44"/>
    <w:rsid w:val="29B721FE"/>
    <w:rsid w:val="29C35CED"/>
    <w:rsid w:val="29C72969"/>
    <w:rsid w:val="29C73A03"/>
    <w:rsid w:val="2A356E13"/>
    <w:rsid w:val="2A4734EC"/>
    <w:rsid w:val="2A781EB5"/>
    <w:rsid w:val="2A783262"/>
    <w:rsid w:val="2AA84366"/>
    <w:rsid w:val="2AAB0E76"/>
    <w:rsid w:val="2ABE3D6C"/>
    <w:rsid w:val="2AD02B48"/>
    <w:rsid w:val="2ADA5C0E"/>
    <w:rsid w:val="2ADC41F2"/>
    <w:rsid w:val="2B193698"/>
    <w:rsid w:val="2B597F39"/>
    <w:rsid w:val="2B6568DD"/>
    <w:rsid w:val="2B8054C5"/>
    <w:rsid w:val="2BA32F62"/>
    <w:rsid w:val="2BA967CA"/>
    <w:rsid w:val="2BB52F88"/>
    <w:rsid w:val="2BC743B5"/>
    <w:rsid w:val="2C0954BB"/>
    <w:rsid w:val="2C4D0ED1"/>
    <w:rsid w:val="2C7D054D"/>
    <w:rsid w:val="2C802E20"/>
    <w:rsid w:val="2CA83CBA"/>
    <w:rsid w:val="2CAD12FB"/>
    <w:rsid w:val="2CFA3FA6"/>
    <w:rsid w:val="2D1F486A"/>
    <w:rsid w:val="2D200D0E"/>
    <w:rsid w:val="2D460049"/>
    <w:rsid w:val="2D9D2698"/>
    <w:rsid w:val="2DA31AC5"/>
    <w:rsid w:val="2DDB11B5"/>
    <w:rsid w:val="2E095952"/>
    <w:rsid w:val="2E2E277A"/>
    <w:rsid w:val="2EBC458F"/>
    <w:rsid w:val="2EC851B9"/>
    <w:rsid w:val="2EFF3095"/>
    <w:rsid w:val="2F045B74"/>
    <w:rsid w:val="2F0D62B4"/>
    <w:rsid w:val="2F182613"/>
    <w:rsid w:val="2F1E6169"/>
    <w:rsid w:val="2F236894"/>
    <w:rsid w:val="2F884949"/>
    <w:rsid w:val="2FD8767E"/>
    <w:rsid w:val="2FE778C1"/>
    <w:rsid w:val="30054923"/>
    <w:rsid w:val="301B6C75"/>
    <w:rsid w:val="301F1E4C"/>
    <w:rsid w:val="304C3F79"/>
    <w:rsid w:val="3092644E"/>
    <w:rsid w:val="31102E48"/>
    <w:rsid w:val="3118146A"/>
    <w:rsid w:val="31277A6D"/>
    <w:rsid w:val="312E71CF"/>
    <w:rsid w:val="313A1763"/>
    <w:rsid w:val="31476261"/>
    <w:rsid w:val="314F3970"/>
    <w:rsid w:val="31E66D2B"/>
    <w:rsid w:val="31F3511A"/>
    <w:rsid w:val="321149C8"/>
    <w:rsid w:val="32592276"/>
    <w:rsid w:val="3268280F"/>
    <w:rsid w:val="32822076"/>
    <w:rsid w:val="32B37542"/>
    <w:rsid w:val="32CE4D68"/>
    <w:rsid w:val="32F942B2"/>
    <w:rsid w:val="330F1CCA"/>
    <w:rsid w:val="33274478"/>
    <w:rsid w:val="3360394E"/>
    <w:rsid w:val="33AB3CE0"/>
    <w:rsid w:val="33F407FF"/>
    <w:rsid w:val="342D300F"/>
    <w:rsid w:val="344A2B14"/>
    <w:rsid w:val="349F26AA"/>
    <w:rsid w:val="34AD2063"/>
    <w:rsid w:val="34B63D06"/>
    <w:rsid w:val="34B72C28"/>
    <w:rsid w:val="34C06933"/>
    <w:rsid w:val="34DA5C46"/>
    <w:rsid w:val="35FE3BB6"/>
    <w:rsid w:val="36276452"/>
    <w:rsid w:val="363477DB"/>
    <w:rsid w:val="363D0FCE"/>
    <w:rsid w:val="364019D4"/>
    <w:rsid w:val="36464E91"/>
    <w:rsid w:val="36992CCA"/>
    <w:rsid w:val="36A12136"/>
    <w:rsid w:val="36C30D04"/>
    <w:rsid w:val="36ED5F79"/>
    <w:rsid w:val="370922AC"/>
    <w:rsid w:val="370B6CF4"/>
    <w:rsid w:val="372A7722"/>
    <w:rsid w:val="37623CD1"/>
    <w:rsid w:val="37B33D89"/>
    <w:rsid w:val="37BC5AD7"/>
    <w:rsid w:val="380F2DDF"/>
    <w:rsid w:val="3819583E"/>
    <w:rsid w:val="382F62A9"/>
    <w:rsid w:val="38355A6B"/>
    <w:rsid w:val="38413B84"/>
    <w:rsid w:val="387D1690"/>
    <w:rsid w:val="38984884"/>
    <w:rsid w:val="38A104D8"/>
    <w:rsid w:val="38D82238"/>
    <w:rsid w:val="38D94467"/>
    <w:rsid w:val="38DE1A7D"/>
    <w:rsid w:val="38F372D7"/>
    <w:rsid w:val="390A2872"/>
    <w:rsid w:val="391F00CC"/>
    <w:rsid w:val="395C1320"/>
    <w:rsid w:val="398B4D6E"/>
    <w:rsid w:val="39C173D5"/>
    <w:rsid w:val="3A080B60"/>
    <w:rsid w:val="3A5B704B"/>
    <w:rsid w:val="3AE07D2F"/>
    <w:rsid w:val="3B2F036E"/>
    <w:rsid w:val="3BCF046A"/>
    <w:rsid w:val="3C1C6B44"/>
    <w:rsid w:val="3C5A58BF"/>
    <w:rsid w:val="3CC86181"/>
    <w:rsid w:val="3CCD0302"/>
    <w:rsid w:val="3D0E3E15"/>
    <w:rsid w:val="3D1C0E2D"/>
    <w:rsid w:val="3D2775FF"/>
    <w:rsid w:val="3D545B2A"/>
    <w:rsid w:val="3DA93D8D"/>
    <w:rsid w:val="3DA96A13"/>
    <w:rsid w:val="3DE71DF7"/>
    <w:rsid w:val="3E592E6E"/>
    <w:rsid w:val="3E742C68"/>
    <w:rsid w:val="3E846C23"/>
    <w:rsid w:val="3E8574A3"/>
    <w:rsid w:val="3E9B631A"/>
    <w:rsid w:val="3EA05D9B"/>
    <w:rsid w:val="3ECE06BD"/>
    <w:rsid w:val="3EDE34DE"/>
    <w:rsid w:val="3EF166E2"/>
    <w:rsid w:val="3F5B5BD6"/>
    <w:rsid w:val="3FB62E0C"/>
    <w:rsid w:val="3FC902DB"/>
    <w:rsid w:val="3FF86700"/>
    <w:rsid w:val="40871D74"/>
    <w:rsid w:val="409C64A6"/>
    <w:rsid w:val="40A351EE"/>
    <w:rsid w:val="40D928D7"/>
    <w:rsid w:val="40F0583B"/>
    <w:rsid w:val="410302D3"/>
    <w:rsid w:val="410B7187"/>
    <w:rsid w:val="412070D7"/>
    <w:rsid w:val="41285F8B"/>
    <w:rsid w:val="415B0978"/>
    <w:rsid w:val="415E375B"/>
    <w:rsid w:val="41876612"/>
    <w:rsid w:val="41DB758E"/>
    <w:rsid w:val="4219357A"/>
    <w:rsid w:val="421A58D4"/>
    <w:rsid w:val="421F2362"/>
    <w:rsid w:val="42435AA9"/>
    <w:rsid w:val="4252548F"/>
    <w:rsid w:val="426F7296"/>
    <w:rsid w:val="4280593C"/>
    <w:rsid w:val="42982C9D"/>
    <w:rsid w:val="42C71511"/>
    <w:rsid w:val="42C85330"/>
    <w:rsid w:val="42E14644"/>
    <w:rsid w:val="43454667"/>
    <w:rsid w:val="435A402D"/>
    <w:rsid w:val="43A47181"/>
    <w:rsid w:val="43ED3D79"/>
    <w:rsid w:val="44020D16"/>
    <w:rsid w:val="443B7D84"/>
    <w:rsid w:val="444B5B90"/>
    <w:rsid w:val="44676DCB"/>
    <w:rsid w:val="4476700E"/>
    <w:rsid w:val="44A41DCD"/>
    <w:rsid w:val="44A754C5"/>
    <w:rsid w:val="44B33DBE"/>
    <w:rsid w:val="44BE0E1C"/>
    <w:rsid w:val="4579257A"/>
    <w:rsid w:val="45A831F7"/>
    <w:rsid w:val="45BF0D92"/>
    <w:rsid w:val="45DD5596"/>
    <w:rsid w:val="45FA0F01"/>
    <w:rsid w:val="46183B27"/>
    <w:rsid w:val="462F5277"/>
    <w:rsid w:val="4630151C"/>
    <w:rsid w:val="46756214"/>
    <w:rsid w:val="467F21AA"/>
    <w:rsid w:val="46935C55"/>
    <w:rsid w:val="46EB449C"/>
    <w:rsid w:val="46F26A10"/>
    <w:rsid w:val="471F1CB4"/>
    <w:rsid w:val="472821DD"/>
    <w:rsid w:val="47441155"/>
    <w:rsid w:val="477D29CB"/>
    <w:rsid w:val="478101A3"/>
    <w:rsid w:val="47830DB5"/>
    <w:rsid w:val="47A26987"/>
    <w:rsid w:val="47C44006"/>
    <w:rsid w:val="47E96C73"/>
    <w:rsid w:val="48010AA9"/>
    <w:rsid w:val="48126C2E"/>
    <w:rsid w:val="48677479"/>
    <w:rsid w:val="487A51A7"/>
    <w:rsid w:val="487F7E32"/>
    <w:rsid w:val="48E40799"/>
    <w:rsid w:val="48E92B85"/>
    <w:rsid w:val="4993727F"/>
    <w:rsid w:val="499D4578"/>
    <w:rsid w:val="49CD38B4"/>
    <w:rsid w:val="49CE6208"/>
    <w:rsid w:val="49CF0436"/>
    <w:rsid w:val="49E26748"/>
    <w:rsid w:val="49F7258C"/>
    <w:rsid w:val="4A253068"/>
    <w:rsid w:val="4A291D5E"/>
    <w:rsid w:val="4A35453B"/>
    <w:rsid w:val="4A3C51B1"/>
    <w:rsid w:val="4A4831FA"/>
    <w:rsid w:val="4AA66DFD"/>
    <w:rsid w:val="4AB202FF"/>
    <w:rsid w:val="4AEB582E"/>
    <w:rsid w:val="4AEF6F7A"/>
    <w:rsid w:val="4B4F092F"/>
    <w:rsid w:val="4B6B3D7C"/>
    <w:rsid w:val="4B6B4193"/>
    <w:rsid w:val="4BE64A79"/>
    <w:rsid w:val="4C1A7CB9"/>
    <w:rsid w:val="4C1C66ED"/>
    <w:rsid w:val="4C212AFC"/>
    <w:rsid w:val="4C2A705C"/>
    <w:rsid w:val="4C431ECB"/>
    <w:rsid w:val="4CB34267"/>
    <w:rsid w:val="4CB6271A"/>
    <w:rsid w:val="4CDE2F88"/>
    <w:rsid w:val="4CF002E4"/>
    <w:rsid w:val="4D0E5DFE"/>
    <w:rsid w:val="4D294E8D"/>
    <w:rsid w:val="4D2F0A2D"/>
    <w:rsid w:val="4D661307"/>
    <w:rsid w:val="4D7B7443"/>
    <w:rsid w:val="4D8640F4"/>
    <w:rsid w:val="4DF7375A"/>
    <w:rsid w:val="4E176081"/>
    <w:rsid w:val="4E3728EC"/>
    <w:rsid w:val="4E910E8F"/>
    <w:rsid w:val="4E956EC4"/>
    <w:rsid w:val="4EC407A0"/>
    <w:rsid w:val="4ED07495"/>
    <w:rsid w:val="4ED724C0"/>
    <w:rsid w:val="4ED80FF1"/>
    <w:rsid w:val="4EFD16A2"/>
    <w:rsid w:val="4EFD2805"/>
    <w:rsid w:val="4F3B1644"/>
    <w:rsid w:val="4FD32219"/>
    <w:rsid w:val="4FDD6193"/>
    <w:rsid w:val="4FEA274C"/>
    <w:rsid w:val="4FEB0D06"/>
    <w:rsid w:val="5031764D"/>
    <w:rsid w:val="504E01BD"/>
    <w:rsid w:val="507664B7"/>
    <w:rsid w:val="507718E7"/>
    <w:rsid w:val="509E32AF"/>
    <w:rsid w:val="515226E8"/>
    <w:rsid w:val="51BB3BB6"/>
    <w:rsid w:val="51D13AD5"/>
    <w:rsid w:val="51F37EF0"/>
    <w:rsid w:val="524A3FB4"/>
    <w:rsid w:val="524B49CF"/>
    <w:rsid w:val="526E2DD3"/>
    <w:rsid w:val="526F0D7A"/>
    <w:rsid w:val="528D20F2"/>
    <w:rsid w:val="52977F3F"/>
    <w:rsid w:val="52A609A6"/>
    <w:rsid w:val="52EB4CD8"/>
    <w:rsid w:val="52ED493F"/>
    <w:rsid w:val="52FF1A0D"/>
    <w:rsid w:val="53073C53"/>
    <w:rsid w:val="53081779"/>
    <w:rsid w:val="53187398"/>
    <w:rsid w:val="53777366"/>
    <w:rsid w:val="539F6C49"/>
    <w:rsid w:val="53A5521A"/>
    <w:rsid w:val="53C1695A"/>
    <w:rsid w:val="540D6216"/>
    <w:rsid w:val="5423737F"/>
    <w:rsid w:val="54617C92"/>
    <w:rsid w:val="5491486B"/>
    <w:rsid w:val="54A92AE8"/>
    <w:rsid w:val="54C0055D"/>
    <w:rsid w:val="55001794"/>
    <w:rsid w:val="552F1BBA"/>
    <w:rsid w:val="554D7917"/>
    <w:rsid w:val="557F4D90"/>
    <w:rsid w:val="5596306C"/>
    <w:rsid w:val="55A5543C"/>
    <w:rsid w:val="55B55BE8"/>
    <w:rsid w:val="55D21FF1"/>
    <w:rsid w:val="55EB487A"/>
    <w:rsid w:val="55FE6608"/>
    <w:rsid w:val="561346BC"/>
    <w:rsid w:val="56252A1B"/>
    <w:rsid w:val="565A053D"/>
    <w:rsid w:val="565A678F"/>
    <w:rsid w:val="56632DAB"/>
    <w:rsid w:val="566F5D92"/>
    <w:rsid w:val="567315FF"/>
    <w:rsid w:val="567B533C"/>
    <w:rsid w:val="568850AA"/>
    <w:rsid w:val="56B960D7"/>
    <w:rsid w:val="56F51D94"/>
    <w:rsid w:val="57081D47"/>
    <w:rsid w:val="57501B81"/>
    <w:rsid w:val="57996E43"/>
    <w:rsid w:val="57BC345F"/>
    <w:rsid w:val="57C540DC"/>
    <w:rsid w:val="58175C55"/>
    <w:rsid w:val="582256B3"/>
    <w:rsid w:val="584F0049"/>
    <w:rsid w:val="587358E6"/>
    <w:rsid w:val="588232F7"/>
    <w:rsid w:val="58B42C85"/>
    <w:rsid w:val="58CD1630"/>
    <w:rsid w:val="58DB24F3"/>
    <w:rsid w:val="58F92290"/>
    <w:rsid w:val="59356E55"/>
    <w:rsid w:val="5948379E"/>
    <w:rsid w:val="594D3367"/>
    <w:rsid w:val="59570D64"/>
    <w:rsid w:val="5994429F"/>
    <w:rsid w:val="59A1315F"/>
    <w:rsid w:val="59C20723"/>
    <w:rsid w:val="59F30596"/>
    <w:rsid w:val="5A03762B"/>
    <w:rsid w:val="5A186250"/>
    <w:rsid w:val="5A2F6AF7"/>
    <w:rsid w:val="5A91789C"/>
    <w:rsid w:val="5AAD17DD"/>
    <w:rsid w:val="5ABF12B7"/>
    <w:rsid w:val="5AC91AD2"/>
    <w:rsid w:val="5AD7215D"/>
    <w:rsid w:val="5B1A5B33"/>
    <w:rsid w:val="5B7E0B2B"/>
    <w:rsid w:val="5B9E711E"/>
    <w:rsid w:val="5BD007B0"/>
    <w:rsid w:val="5BE46972"/>
    <w:rsid w:val="5C4E7073"/>
    <w:rsid w:val="5C7D3BEF"/>
    <w:rsid w:val="5C835DFA"/>
    <w:rsid w:val="5C9014E4"/>
    <w:rsid w:val="5CF844DE"/>
    <w:rsid w:val="5D2B4EC5"/>
    <w:rsid w:val="5D32630C"/>
    <w:rsid w:val="5D82428A"/>
    <w:rsid w:val="5D9D728B"/>
    <w:rsid w:val="5DAC41E6"/>
    <w:rsid w:val="5DB2530E"/>
    <w:rsid w:val="5E1F6B38"/>
    <w:rsid w:val="5EAA7B88"/>
    <w:rsid w:val="5EAF7499"/>
    <w:rsid w:val="5ECA34D0"/>
    <w:rsid w:val="5EF332DD"/>
    <w:rsid w:val="5EFD29B4"/>
    <w:rsid w:val="5F227739"/>
    <w:rsid w:val="5F625217"/>
    <w:rsid w:val="5F6661A5"/>
    <w:rsid w:val="5F761A99"/>
    <w:rsid w:val="600F2399"/>
    <w:rsid w:val="605E0C2A"/>
    <w:rsid w:val="605E61E5"/>
    <w:rsid w:val="606E3563"/>
    <w:rsid w:val="608F5A1D"/>
    <w:rsid w:val="60913709"/>
    <w:rsid w:val="60BD048E"/>
    <w:rsid w:val="60CA62C0"/>
    <w:rsid w:val="60D32E85"/>
    <w:rsid w:val="60D65184"/>
    <w:rsid w:val="60F04EBB"/>
    <w:rsid w:val="610E0E65"/>
    <w:rsid w:val="6132342B"/>
    <w:rsid w:val="615E2F29"/>
    <w:rsid w:val="618C2929"/>
    <w:rsid w:val="618D5C6B"/>
    <w:rsid w:val="61915DCF"/>
    <w:rsid w:val="61F65ADE"/>
    <w:rsid w:val="621C0D9D"/>
    <w:rsid w:val="62361E5F"/>
    <w:rsid w:val="624F1CFB"/>
    <w:rsid w:val="6252672A"/>
    <w:rsid w:val="62554E07"/>
    <w:rsid w:val="62570906"/>
    <w:rsid w:val="62593D9F"/>
    <w:rsid w:val="625C5B39"/>
    <w:rsid w:val="627B1F67"/>
    <w:rsid w:val="62DB1CE2"/>
    <w:rsid w:val="62E47B0C"/>
    <w:rsid w:val="62EE44E7"/>
    <w:rsid w:val="630B0742"/>
    <w:rsid w:val="63216248"/>
    <w:rsid w:val="63472079"/>
    <w:rsid w:val="63860BC4"/>
    <w:rsid w:val="640D47A6"/>
    <w:rsid w:val="6436755C"/>
    <w:rsid w:val="644A1BF1"/>
    <w:rsid w:val="64721148"/>
    <w:rsid w:val="647D21F5"/>
    <w:rsid w:val="64B427C2"/>
    <w:rsid w:val="64C44DAC"/>
    <w:rsid w:val="64D77029"/>
    <w:rsid w:val="64EC0EFA"/>
    <w:rsid w:val="64F102BF"/>
    <w:rsid w:val="65090FBA"/>
    <w:rsid w:val="65455EB1"/>
    <w:rsid w:val="65624D19"/>
    <w:rsid w:val="659961FD"/>
    <w:rsid w:val="65A26A47"/>
    <w:rsid w:val="65AE7AB9"/>
    <w:rsid w:val="65D75707"/>
    <w:rsid w:val="65DD0A16"/>
    <w:rsid w:val="65FC0AC0"/>
    <w:rsid w:val="660D425B"/>
    <w:rsid w:val="661673E0"/>
    <w:rsid w:val="66507267"/>
    <w:rsid w:val="66577378"/>
    <w:rsid w:val="666E469A"/>
    <w:rsid w:val="66797B5E"/>
    <w:rsid w:val="66D954AE"/>
    <w:rsid w:val="66F66D1F"/>
    <w:rsid w:val="66F67805"/>
    <w:rsid w:val="66F96E12"/>
    <w:rsid w:val="66FE4F15"/>
    <w:rsid w:val="671B1F28"/>
    <w:rsid w:val="672E5483"/>
    <w:rsid w:val="67345C23"/>
    <w:rsid w:val="67383A5D"/>
    <w:rsid w:val="67840DE7"/>
    <w:rsid w:val="67DC3048"/>
    <w:rsid w:val="67FB0475"/>
    <w:rsid w:val="68595BBC"/>
    <w:rsid w:val="688307AC"/>
    <w:rsid w:val="68863414"/>
    <w:rsid w:val="68AB2361"/>
    <w:rsid w:val="68D573D2"/>
    <w:rsid w:val="68F16ADF"/>
    <w:rsid w:val="69692B1A"/>
    <w:rsid w:val="6974326C"/>
    <w:rsid w:val="69BE5A22"/>
    <w:rsid w:val="69C51C00"/>
    <w:rsid w:val="69C95AC3"/>
    <w:rsid w:val="69CD0CF9"/>
    <w:rsid w:val="69DD3507"/>
    <w:rsid w:val="69DF590B"/>
    <w:rsid w:val="6A042842"/>
    <w:rsid w:val="6A083CCF"/>
    <w:rsid w:val="6A09726C"/>
    <w:rsid w:val="6A466ADA"/>
    <w:rsid w:val="6ACE3FD8"/>
    <w:rsid w:val="6AEF20FE"/>
    <w:rsid w:val="6B143236"/>
    <w:rsid w:val="6B2A0087"/>
    <w:rsid w:val="6B621194"/>
    <w:rsid w:val="6BAF4A30"/>
    <w:rsid w:val="6BDB7EEC"/>
    <w:rsid w:val="6C225864"/>
    <w:rsid w:val="6C2C15FF"/>
    <w:rsid w:val="6C30791F"/>
    <w:rsid w:val="6C41527C"/>
    <w:rsid w:val="6C654624"/>
    <w:rsid w:val="6C692E30"/>
    <w:rsid w:val="6C6E4164"/>
    <w:rsid w:val="6C78748D"/>
    <w:rsid w:val="6C8639E2"/>
    <w:rsid w:val="6CC13DE6"/>
    <w:rsid w:val="6CC85DA9"/>
    <w:rsid w:val="6D3B21C6"/>
    <w:rsid w:val="6D566DCE"/>
    <w:rsid w:val="6D742AA0"/>
    <w:rsid w:val="6D9604CF"/>
    <w:rsid w:val="6DC1397E"/>
    <w:rsid w:val="6DCF760B"/>
    <w:rsid w:val="6DD52417"/>
    <w:rsid w:val="6E3A2090"/>
    <w:rsid w:val="6E4A0E4A"/>
    <w:rsid w:val="6E7F45EC"/>
    <w:rsid w:val="6E851A78"/>
    <w:rsid w:val="6E970129"/>
    <w:rsid w:val="6EA03AC1"/>
    <w:rsid w:val="6EDB1433"/>
    <w:rsid w:val="6EE766B2"/>
    <w:rsid w:val="6F23376B"/>
    <w:rsid w:val="6F3B4F58"/>
    <w:rsid w:val="6F505160"/>
    <w:rsid w:val="6F5E3092"/>
    <w:rsid w:val="6F656F93"/>
    <w:rsid w:val="6F7A769A"/>
    <w:rsid w:val="6FDF6988"/>
    <w:rsid w:val="6FEE5281"/>
    <w:rsid w:val="7023779A"/>
    <w:rsid w:val="70571E45"/>
    <w:rsid w:val="708F1C17"/>
    <w:rsid w:val="70E234E7"/>
    <w:rsid w:val="713F23B2"/>
    <w:rsid w:val="715C7408"/>
    <w:rsid w:val="718819E9"/>
    <w:rsid w:val="72247F25"/>
    <w:rsid w:val="723D59AA"/>
    <w:rsid w:val="726D4E4F"/>
    <w:rsid w:val="72707F19"/>
    <w:rsid w:val="72E4155E"/>
    <w:rsid w:val="73410663"/>
    <w:rsid w:val="73522870"/>
    <w:rsid w:val="737D4C17"/>
    <w:rsid w:val="73875771"/>
    <w:rsid w:val="73C05A2C"/>
    <w:rsid w:val="73D019E7"/>
    <w:rsid w:val="73D74B33"/>
    <w:rsid w:val="73F35909"/>
    <w:rsid w:val="7432542B"/>
    <w:rsid w:val="744966C1"/>
    <w:rsid w:val="744D0FEF"/>
    <w:rsid w:val="74881FC6"/>
    <w:rsid w:val="7497710B"/>
    <w:rsid w:val="749B3DA3"/>
    <w:rsid w:val="74A25132"/>
    <w:rsid w:val="74DF1EE2"/>
    <w:rsid w:val="74E559B0"/>
    <w:rsid w:val="755A1D17"/>
    <w:rsid w:val="756D690B"/>
    <w:rsid w:val="75987049"/>
    <w:rsid w:val="759E24FF"/>
    <w:rsid w:val="75C85A7C"/>
    <w:rsid w:val="75EE6DA4"/>
    <w:rsid w:val="75F23E97"/>
    <w:rsid w:val="7669592A"/>
    <w:rsid w:val="767B3E8C"/>
    <w:rsid w:val="76CC46E8"/>
    <w:rsid w:val="76DE0A80"/>
    <w:rsid w:val="77075720"/>
    <w:rsid w:val="7721621A"/>
    <w:rsid w:val="77AA4702"/>
    <w:rsid w:val="77D64151"/>
    <w:rsid w:val="77D679E8"/>
    <w:rsid w:val="77DA2C65"/>
    <w:rsid w:val="77E733FE"/>
    <w:rsid w:val="77F04406"/>
    <w:rsid w:val="77F27BDF"/>
    <w:rsid w:val="78235625"/>
    <w:rsid w:val="784B788E"/>
    <w:rsid w:val="78A3200D"/>
    <w:rsid w:val="79002D6F"/>
    <w:rsid w:val="79235B3E"/>
    <w:rsid w:val="792E3438"/>
    <w:rsid w:val="79323F7F"/>
    <w:rsid w:val="79444A09"/>
    <w:rsid w:val="7947274B"/>
    <w:rsid w:val="79565D1A"/>
    <w:rsid w:val="79A656C4"/>
    <w:rsid w:val="79C60419"/>
    <w:rsid w:val="7A0378F7"/>
    <w:rsid w:val="7A052FFC"/>
    <w:rsid w:val="7A903C7E"/>
    <w:rsid w:val="7A920612"/>
    <w:rsid w:val="7A9A6BFB"/>
    <w:rsid w:val="7AE150FA"/>
    <w:rsid w:val="7AF67F85"/>
    <w:rsid w:val="7B474C85"/>
    <w:rsid w:val="7B535D99"/>
    <w:rsid w:val="7B5E724B"/>
    <w:rsid w:val="7B884B1F"/>
    <w:rsid w:val="7BC05240"/>
    <w:rsid w:val="7BFA1CF7"/>
    <w:rsid w:val="7C1E7080"/>
    <w:rsid w:val="7C3F38AE"/>
    <w:rsid w:val="7C81665C"/>
    <w:rsid w:val="7C881AE4"/>
    <w:rsid w:val="7CAD4FBB"/>
    <w:rsid w:val="7CAE2861"/>
    <w:rsid w:val="7CBE2238"/>
    <w:rsid w:val="7CBE7BAD"/>
    <w:rsid w:val="7CEA58C8"/>
    <w:rsid w:val="7D02017C"/>
    <w:rsid w:val="7D24527D"/>
    <w:rsid w:val="7D2E09FC"/>
    <w:rsid w:val="7D2F11C7"/>
    <w:rsid w:val="7D4F2B37"/>
    <w:rsid w:val="7D637655"/>
    <w:rsid w:val="7D6D2150"/>
    <w:rsid w:val="7D787D07"/>
    <w:rsid w:val="7DD10836"/>
    <w:rsid w:val="7DDC31FD"/>
    <w:rsid w:val="7DEC5B06"/>
    <w:rsid w:val="7EBB39C0"/>
    <w:rsid w:val="7EF24F07"/>
    <w:rsid w:val="7EFE7D49"/>
    <w:rsid w:val="7F0F7AF0"/>
    <w:rsid w:val="7F172A6E"/>
    <w:rsid w:val="7F375215"/>
    <w:rsid w:val="7FFA72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spacing w:before="120"/>
    </w:pPr>
    <w:rPr>
      <w:rFonts w:ascii="Arial" w:hAnsi="Arial"/>
      <w:sz w:val="24"/>
    </w:rPr>
  </w:style>
  <w:style w:type="paragraph" w:styleId="6">
    <w:name w:val="annotation text"/>
    <w:basedOn w:val="1"/>
    <w:qFormat/>
    <w:uiPriority w:val="0"/>
    <w:pPr>
      <w:jc w:val="left"/>
    </w:pPr>
  </w:style>
  <w:style w:type="paragraph" w:styleId="7">
    <w:name w:val="Body Text 3"/>
    <w:basedOn w:val="1"/>
    <w:qFormat/>
    <w:uiPriority w:val="99"/>
    <w:pPr>
      <w:spacing w:line="380" w:lineRule="exact"/>
    </w:pPr>
    <w:rPr>
      <w:rFonts w:eastAsia="黑体"/>
      <w:kern w:val="0"/>
      <w:sz w:val="20"/>
      <w:szCs w:val="20"/>
    </w:rPr>
  </w:style>
  <w:style w:type="paragraph" w:styleId="8">
    <w:name w:val="Body Text"/>
    <w:basedOn w:val="1"/>
    <w:qFormat/>
    <w:uiPriority w:val="0"/>
    <w:rPr>
      <w:b/>
      <w:sz w:val="28"/>
    </w:rPr>
  </w:style>
  <w:style w:type="paragraph" w:styleId="9">
    <w:name w:val="Body Text Indent"/>
    <w:basedOn w:val="1"/>
    <w:next w:val="1"/>
    <w:qFormat/>
    <w:uiPriority w:val="0"/>
    <w:pPr>
      <w:spacing w:line="360" w:lineRule="auto"/>
      <w:ind w:firstLine="570"/>
    </w:pPr>
    <w:rPr>
      <w:sz w:val="24"/>
    </w:rPr>
  </w:style>
  <w:style w:type="paragraph" w:styleId="10">
    <w:name w:val="Plain Text"/>
    <w:basedOn w:val="1"/>
    <w:qFormat/>
    <w:uiPriority w:val="0"/>
    <w:rPr>
      <w:rFonts w:ascii="宋体" w:hAnsi="Courier New" w:eastAsia="华文宋体"/>
      <w:sz w:val="28"/>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6"/>
    <w:basedOn w:val="1"/>
    <w:next w:val="1"/>
    <w:qFormat/>
    <w:uiPriority w:val="0"/>
    <w:pPr>
      <w:ind w:left="1050"/>
      <w:jc w:val="left"/>
    </w:pPr>
    <w:rPr>
      <w:sz w:val="18"/>
      <w:szCs w:val="18"/>
    </w:rPr>
  </w:style>
  <w:style w:type="paragraph" w:styleId="15">
    <w:name w:val="Body Text 2"/>
    <w:basedOn w:val="1"/>
    <w:qFormat/>
    <w:uiPriority w:val="0"/>
    <w:pPr>
      <w:jc w:val="center"/>
    </w:pPr>
    <w:rPr>
      <w:sz w:val="21"/>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w:basedOn w:val="1"/>
    <w:next w:val="19"/>
    <w:qFormat/>
    <w:uiPriority w:val="0"/>
    <w:pPr>
      <w:ind w:firstLine="420" w:firstLineChars="100"/>
    </w:pPr>
    <w:rPr>
      <w:rFonts w:ascii="Times New Roman" w:hAnsi="Times New Roman" w:eastAsia="仿宋_GB2312" w:cs="Times New Roman"/>
      <w:sz w:val="28"/>
    </w:rPr>
  </w:style>
  <w:style w:type="paragraph" w:styleId="19">
    <w:name w:val="Body Text First Indent 2"/>
    <w:basedOn w:val="9"/>
    <w:next w:val="18"/>
    <w:qFormat/>
    <w:uiPriority w:val="0"/>
    <w:pPr>
      <w:spacing w:after="120" w:line="240" w:lineRule="auto"/>
      <w:ind w:left="420" w:leftChars="200" w:firstLine="42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rPr>
      <w:b/>
      <w:bCs/>
    </w:rPr>
  </w:style>
  <w:style w:type="character" w:styleId="27">
    <w:name w:val="HTML Definition"/>
    <w:basedOn w:val="22"/>
    <w:qFormat/>
    <w:uiPriority w:val="0"/>
    <w:rPr>
      <w:bdr w:val="single" w:color="BDBEC1" w:sz="6" w:space="0"/>
      <w:shd w:val="clear" w:fill="F2F4F9"/>
    </w:rPr>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style>
  <w:style w:type="character" w:styleId="30">
    <w:name w:val="HTML Variable"/>
    <w:basedOn w:val="22"/>
    <w:qFormat/>
    <w:uiPriority w:val="0"/>
  </w:style>
  <w:style w:type="character" w:styleId="31">
    <w:name w:val="Hyperlink"/>
    <w:basedOn w:val="22"/>
    <w:qFormat/>
    <w:uiPriority w:val="0"/>
    <w:rPr>
      <w:color w:val="0000FF"/>
      <w:u w:val="single"/>
    </w:rPr>
  </w:style>
  <w:style w:type="character" w:styleId="32">
    <w:name w:val="HTML Code"/>
    <w:basedOn w:val="22"/>
    <w:qFormat/>
    <w:uiPriority w:val="0"/>
    <w:rPr>
      <w:rFonts w:ascii="monospace" w:hAnsi="monospace" w:eastAsia="monospace" w:cs="monospace"/>
      <w:sz w:val="20"/>
    </w:rPr>
  </w:style>
  <w:style w:type="character" w:styleId="33">
    <w:name w:val="HTML Cite"/>
    <w:basedOn w:val="22"/>
    <w:qFormat/>
    <w:uiPriority w:val="0"/>
  </w:style>
  <w:style w:type="character" w:styleId="34">
    <w:name w:val="HTML Keyboard"/>
    <w:basedOn w:val="22"/>
    <w:qFormat/>
    <w:uiPriority w:val="0"/>
    <w:rPr>
      <w:rFonts w:hint="default" w:ascii="monospace" w:hAnsi="monospace" w:eastAsia="monospace" w:cs="monospace"/>
      <w:sz w:val="20"/>
    </w:rPr>
  </w:style>
  <w:style w:type="character" w:styleId="35">
    <w:name w:val="HTML Sample"/>
    <w:basedOn w:val="22"/>
    <w:qFormat/>
    <w:uiPriority w:val="0"/>
    <w:rPr>
      <w:rFonts w:hint="default" w:ascii="monospace" w:hAnsi="monospace" w:eastAsia="monospace" w:cs="monospace"/>
    </w:rPr>
  </w:style>
  <w:style w:type="paragraph" w:customStyle="1" w:styleId="36">
    <w:name w:val="正文1"/>
    <w:autoRedefine/>
    <w:qFormat/>
    <w:uiPriority w:val="0"/>
    <w:pPr>
      <w:spacing w:line="440" w:lineRule="atLeast"/>
      <w:ind w:firstLine="200" w:firstLineChars="200"/>
      <w:jc w:val="both"/>
    </w:pPr>
    <w:rPr>
      <w:rFonts w:ascii="Times New Roman" w:hAnsi="Times New Roman" w:eastAsia="仿宋" w:cs="Times New Roman"/>
      <w:kern w:val="2"/>
      <w:sz w:val="24"/>
      <w:szCs w:val="30"/>
      <w:lang w:val="en-US" w:eastAsia="zh-CN" w:bidi="ar-SA"/>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character" w:customStyle="1" w:styleId="39">
    <w:name w:val="font13"/>
    <w:basedOn w:val="22"/>
    <w:qFormat/>
    <w:uiPriority w:val="0"/>
    <w:rPr>
      <w:rFonts w:hint="eastAsia" w:ascii="宋体" w:hAnsi="宋体" w:eastAsia="宋体" w:cs="宋体"/>
      <w:color w:val="000000"/>
      <w:sz w:val="18"/>
      <w:szCs w:val="18"/>
      <w:u w:val="none"/>
    </w:rPr>
  </w:style>
  <w:style w:type="character" w:customStyle="1" w:styleId="40">
    <w:name w:val="font81"/>
    <w:basedOn w:val="22"/>
    <w:qFormat/>
    <w:uiPriority w:val="0"/>
    <w:rPr>
      <w:rFonts w:hint="eastAsia" w:ascii="仿宋" w:hAnsi="仿宋" w:eastAsia="仿宋" w:cs="仿宋"/>
      <w:color w:val="000000"/>
      <w:sz w:val="18"/>
      <w:szCs w:val="18"/>
      <w:u w:val="none"/>
    </w:rPr>
  </w:style>
  <w:style w:type="character" w:customStyle="1" w:styleId="41">
    <w:name w:val="font61"/>
    <w:basedOn w:val="22"/>
    <w:qFormat/>
    <w:uiPriority w:val="0"/>
    <w:rPr>
      <w:rFonts w:hint="eastAsia" w:ascii="仿宋" w:hAnsi="仿宋" w:eastAsia="仿宋" w:cs="仿宋"/>
      <w:color w:val="000000"/>
      <w:sz w:val="18"/>
      <w:szCs w:val="18"/>
      <w:u w:val="none"/>
    </w:rPr>
  </w:style>
  <w:style w:type="character" w:customStyle="1" w:styleId="42">
    <w:name w:val="font101"/>
    <w:basedOn w:val="22"/>
    <w:qFormat/>
    <w:uiPriority w:val="0"/>
    <w:rPr>
      <w:rFonts w:ascii="Wingdings 2" w:hAnsi="Wingdings 2" w:eastAsia="Wingdings 2" w:cs="Wingdings 2"/>
      <w:color w:val="000000"/>
      <w:sz w:val="18"/>
      <w:szCs w:val="18"/>
      <w:u w:val="none"/>
    </w:rPr>
  </w:style>
  <w:style w:type="character" w:customStyle="1" w:styleId="43">
    <w:name w:val="font111"/>
    <w:basedOn w:val="22"/>
    <w:qFormat/>
    <w:uiPriority w:val="0"/>
    <w:rPr>
      <w:rFonts w:hint="eastAsia" w:ascii="宋体" w:hAnsi="宋体" w:eastAsia="宋体" w:cs="宋体"/>
      <w:color w:val="000000"/>
      <w:sz w:val="18"/>
      <w:szCs w:val="18"/>
      <w:u w:val="none"/>
    </w:rPr>
  </w:style>
  <w:style w:type="character" w:customStyle="1" w:styleId="44">
    <w:name w:val="font41"/>
    <w:basedOn w:val="22"/>
    <w:qFormat/>
    <w:uiPriority w:val="0"/>
    <w:rPr>
      <w:rFonts w:hint="eastAsia" w:ascii="宋体" w:hAnsi="宋体" w:eastAsia="宋体" w:cs="宋体"/>
      <w:color w:val="000000"/>
      <w:sz w:val="18"/>
      <w:szCs w:val="18"/>
      <w:u w:val="none"/>
    </w:rPr>
  </w:style>
  <w:style w:type="character" w:customStyle="1" w:styleId="45">
    <w:name w:val="font21"/>
    <w:basedOn w:val="22"/>
    <w:qFormat/>
    <w:uiPriority w:val="0"/>
    <w:rPr>
      <w:rFonts w:hint="eastAsia" w:ascii="仿宋" w:hAnsi="仿宋" w:eastAsia="仿宋" w:cs="仿宋"/>
      <w:color w:val="000000"/>
      <w:sz w:val="18"/>
      <w:szCs w:val="18"/>
      <w:u w:val="none"/>
    </w:rPr>
  </w:style>
  <w:style w:type="character" w:customStyle="1" w:styleId="46">
    <w:name w:val="font31"/>
    <w:basedOn w:val="22"/>
    <w:qFormat/>
    <w:uiPriority w:val="0"/>
    <w:rPr>
      <w:rFonts w:hint="eastAsia" w:ascii="宋体" w:hAnsi="宋体" w:eastAsia="宋体" w:cs="宋体"/>
      <w:color w:val="000000"/>
      <w:sz w:val="24"/>
      <w:szCs w:val="24"/>
      <w:u w:val="none"/>
    </w:rPr>
  </w:style>
  <w:style w:type="character" w:customStyle="1" w:styleId="47">
    <w:name w:val="font11"/>
    <w:basedOn w:val="22"/>
    <w:qFormat/>
    <w:uiPriority w:val="0"/>
    <w:rPr>
      <w:rFonts w:hint="eastAsia" w:ascii="仿宋" w:hAnsi="仿宋" w:eastAsia="仿宋" w:cs="仿宋"/>
      <w:color w:val="000000"/>
      <w:sz w:val="24"/>
      <w:szCs w:val="24"/>
      <w:u w:val="none"/>
    </w:rPr>
  </w:style>
  <w:style w:type="paragraph" w:customStyle="1" w:styleId="48">
    <w:name w:val="段"/>
    <w:next w:val="1"/>
    <w:qFormat/>
    <w:uiPriority w:val="99"/>
    <w:pPr>
      <w:tabs>
        <w:tab w:val="center" w:pos="4201"/>
        <w:tab w:val="right" w:leader="dot" w:pos="9298"/>
      </w:tabs>
      <w:autoSpaceDE w:val="0"/>
      <w:autoSpaceDN w:val="0"/>
      <w:spacing w:line="360" w:lineRule="auto"/>
      <w:ind w:firstLine="420" w:firstLineChars="200"/>
      <w:jc w:val="both"/>
    </w:pPr>
    <w:rPr>
      <w:rFonts w:ascii="宋体" w:hAnsi="宋体" w:eastAsia="仿宋" w:cs="Times New Roman"/>
      <w:sz w:val="28"/>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50">
    <w:name w:val="List Paragraph"/>
    <w:basedOn w:val="1"/>
    <w:qFormat/>
    <w:uiPriority w:val="34"/>
    <w:pPr>
      <w:ind w:firstLine="200" w:firstLineChars="200"/>
    </w:pPr>
  </w:style>
  <w:style w:type="paragraph" w:customStyle="1" w:styleId="51">
    <w:name w:val="Table Text"/>
    <w:basedOn w:val="1"/>
    <w:hidden/>
    <w:qFormat/>
    <w:uiPriority w:val="0"/>
    <w:pPr>
      <w:kinsoku w:val="0"/>
      <w:autoSpaceDE w:val="0"/>
      <w:autoSpaceDN w:val="0"/>
      <w:adjustRightInd w:val="0"/>
      <w:snapToGrid w:val="0"/>
      <w:jc w:val="left"/>
      <w:textAlignment w:val="baseline"/>
    </w:pPr>
    <w:rPr>
      <w:rFonts w:hint="eastAsia" w:ascii="宋体" w:hAnsi="宋体"/>
      <w:color w:val="000000"/>
      <w:kern w:val="0"/>
      <w:sz w:val="24"/>
    </w:rPr>
  </w:style>
  <w:style w:type="paragraph" w:customStyle="1" w:styleId="52">
    <w:name w:val="列出段落1"/>
    <w:basedOn w:val="1"/>
    <w:qFormat/>
    <w:uiPriority w:val="34"/>
    <w:pPr>
      <w:ind w:firstLine="420" w:firstLineChars="200"/>
    </w:pPr>
    <w:rPr>
      <w:rFonts w:ascii="Times New Roman" w:hAnsi="Times New Roman"/>
    </w:rPr>
  </w:style>
  <w:style w:type="character" w:customStyle="1" w:styleId="53">
    <w:name w:val="font01"/>
    <w:qFormat/>
    <w:uiPriority w:val="0"/>
    <w:rPr>
      <w:rFonts w:hint="eastAsia" w:ascii="宋体" w:hAnsi="宋体" w:eastAsia="宋体" w:cs="宋体"/>
      <w:color w:val="000000"/>
      <w:sz w:val="24"/>
      <w:szCs w:val="24"/>
      <w:u w:val="none"/>
    </w:rPr>
  </w:style>
  <w:style w:type="paragraph" w:customStyle="1" w:styleId="54">
    <w:name w:val="null3"/>
    <w:hidden/>
    <w:qFormat/>
    <w:uiPriority w:val="0"/>
    <w:rPr>
      <w:rFonts w:hint="eastAsia" w:asciiTheme="minorHAnsi" w:hAnsiTheme="minorHAnsi" w:eastAsiaTheme="minorEastAsia" w:cstheme="minorBidi"/>
      <w:lang w:val="en-US" w:eastAsia="zh-Hans"/>
    </w:rPr>
  </w:style>
  <w:style w:type="paragraph" w:customStyle="1" w:styleId="55">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5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纯文本1"/>
    <w:basedOn w:val="1"/>
    <w:qFormat/>
    <w:uiPriority w:val="0"/>
    <w:rPr>
      <w:rFonts w:ascii="宋体" w:hAnsi="Courier New" w:eastAsiaTheme="minorEastAsia" w:cstheme="minorBidi"/>
      <w:sz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92</Pages>
  <Words>1634</Words>
  <Characters>1698</Characters>
  <TotalTime>30</TotalTime>
  <ScaleCrop>false</ScaleCrop>
  <LinksUpToDate>false</LinksUpToDate>
  <CharactersWithSpaces>1709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2022-04-25T15:03:00Z</dcterms:created>
  <dc:creator>微软用户</dc:creator>
  <cp:lastModifiedBy>迪瑞盈</cp:lastModifiedBy>
  <cp:lastPrinted>2026-02-13T02:28:00Z</cp:lastPrinted>
  <dcterms:modified xsi:type="dcterms:W3CDTF">2026-03-24T01:51:52Z</dcterms:modified>
  <dc:title>文件编号：XCZX2009-057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2023-03-13T09:46:43Z</vt:filetime>
  </property>
  <property fmtid="{D5CDD505-2E9C-101B-9397-08002B2CF9AE}" pid="4" name="KSOProductBuildVer">
    <vt:lpwstr>2052-12.1.0.25225</vt:lpwstr>
  </property>
  <property fmtid="{D5CDD505-2E9C-101B-9397-08002B2CF9AE}" pid="5" name="ICV">
    <vt:lpwstr>E590AB5C9E2C4E20803C683A0728AA8E_13</vt:lpwstr>
  </property>
  <property fmtid="{D5CDD505-2E9C-101B-9397-08002B2CF9AE}" pid="6" name="KSOTemplateDocerSaveRecord">
    <vt:lpwstr>eyJoZGlkIjoiMmExNjc2NDkyNTU3MTA2YTgzZmJiNWY5NGMyMWE3ZDgiLCJ1c2VySWQiOiIxMzc0MzcyNzMzIn0=</vt:lpwstr>
  </property>
</Properties>
</file>