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9ECF2">
      <w:pPr>
        <w:pStyle w:val="4"/>
      </w:pPr>
      <w:r>
        <w:rPr>
          <w:rFonts w:ascii="仿宋_GB2312" w:hAnsi="仿宋_GB2312" w:eastAsia="仿宋_GB2312" w:cs="仿宋_GB2312"/>
        </w:rPr>
        <w:t>标的名称：</w:t>
      </w:r>
      <w:r>
        <w:rPr>
          <w:rFonts w:hint="eastAsia" w:ascii="仿宋_GB2312" w:hAnsi="仿宋_GB2312" w:eastAsia="仿宋_GB2312" w:cs="仿宋_GB2312"/>
        </w:rPr>
        <w:t>高速公路通信系统运维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1"/>
        <w:gridCol w:w="1275"/>
        <w:gridCol w:w="5971"/>
      </w:tblGrid>
      <w:tr w14:paraId="7F571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tcPr>
          <w:p w14:paraId="7B8CC329">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r>
              <w:rPr>
                <w:rFonts w:hint="eastAsia" w:ascii="宋体" w:hAnsi="宋体" w:eastAsia="宋体" w:cs="宋体"/>
                <w:sz w:val="20"/>
                <w:szCs w:val="20"/>
              </w:rPr>
              <w:t xml:space="preserve"> 序号</w:t>
            </w:r>
          </w:p>
        </w:tc>
        <w:tc>
          <w:tcPr>
            <w:tcW w:w="1275" w:type="dxa"/>
          </w:tcPr>
          <w:p w14:paraId="6EC39CFE">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r>
              <w:rPr>
                <w:rFonts w:hint="eastAsia" w:ascii="宋体" w:hAnsi="宋体" w:eastAsia="宋体" w:cs="宋体"/>
                <w:sz w:val="20"/>
                <w:szCs w:val="20"/>
              </w:rPr>
              <w:t xml:space="preserve"> 参数性质</w:t>
            </w:r>
          </w:p>
        </w:tc>
        <w:tc>
          <w:tcPr>
            <w:tcW w:w="5971" w:type="dxa"/>
          </w:tcPr>
          <w:p w14:paraId="42364FC5">
            <w:pPr>
              <w:pStyle w:val="4"/>
              <w:rPr>
                <w:rFonts w:hint="eastAsia" w:ascii="仿宋_GB2312" w:hAnsi="仿宋_GB2312" w:eastAsia="仿宋_GB2312" w:cs="仿宋_GB2312"/>
              </w:rPr>
            </w:pPr>
            <w:r>
              <w:rPr>
                <w:rFonts w:hint="eastAsia" w:ascii="仿宋_GB2312" w:hAnsi="仿宋_GB2312" w:eastAsia="仿宋_GB2312" w:cs="仿宋_GB2312"/>
              </w:rPr>
              <w:t xml:space="preserve"> 技术参数与性能指标</w:t>
            </w:r>
          </w:p>
        </w:tc>
      </w:tr>
      <w:tr w14:paraId="51E53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tcPr>
          <w:p w14:paraId="3DF65FFA">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275" w:type="dxa"/>
          </w:tcPr>
          <w:p w14:paraId="36869DDE">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r>
              <w:rPr>
                <w:rFonts w:hint="eastAsia" w:ascii="宋体" w:hAnsi="宋体" w:eastAsia="宋体" w:cs="宋体"/>
                <w:sz w:val="20"/>
                <w:szCs w:val="20"/>
              </w:rPr>
              <w:t>项目概况</w:t>
            </w:r>
          </w:p>
        </w:tc>
        <w:tc>
          <w:tcPr>
            <w:tcW w:w="5971" w:type="dxa"/>
          </w:tcPr>
          <w:p w14:paraId="7E9EEB2E">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（一）基本情况</w:t>
            </w:r>
          </w:p>
          <w:p w14:paraId="3A276691">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为保障中心信息系统安全稳定运行，按照国家等级保护要求，结合系统业务实际情况及安全现状，依据国家相关信息安全政策及技术标准，对中心信息系统开展等级保护测评服务，开展数据安全风险评估。</w:t>
            </w:r>
          </w:p>
          <w:p w14:paraId="0D735EA9">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（二）服务范围</w:t>
            </w:r>
          </w:p>
          <w:p w14:paraId="767974A5">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1.安全等级保护测评服务范围：安全等级保护测评共包含3个第三级信息系统，6个第二级信息系统，系统名称及对应等级详见下表。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5059"/>
            </w:tblGrid>
            <w:tr w14:paraId="0AC4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6" w:type="dxa"/>
                  <w:noWrap w:val="0"/>
                  <w:vAlign w:val="center"/>
                </w:tcPr>
                <w:p w14:paraId="637D23D4">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安全等级</w:t>
                  </w:r>
                </w:p>
              </w:tc>
              <w:tc>
                <w:tcPr>
                  <w:tcW w:w="5059" w:type="dxa"/>
                  <w:noWrap w:val="0"/>
                  <w:vAlign w:val="center"/>
                </w:tcPr>
                <w:p w14:paraId="7CF0DD64">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系统名称</w:t>
                  </w:r>
                </w:p>
              </w:tc>
            </w:tr>
            <w:tr w14:paraId="7D89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14:paraId="5551EAAD">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第三级</w:t>
                  </w:r>
                </w:p>
              </w:tc>
              <w:tc>
                <w:tcPr>
                  <w:tcW w:w="5059" w:type="dxa"/>
                  <w:noWrap w:val="0"/>
                  <w:vAlign w:val="center"/>
                </w:tcPr>
                <w:p w14:paraId="199C1156">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陕西省高速公路联网收费系统（省中心）</w:t>
                  </w:r>
                </w:p>
              </w:tc>
            </w:tr>
            <w:tr w14:paraId="1686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14:paraId="2A6FDD2F">
                  <w:pPr>
                    <w:pStyle w:val="4"/>
                    <w:rPr>
                      <w:rFonts w:hint="eastAsia" w:ascii="仿宋_GB2312" w:hAnsi="仿宋_GB2312" w:eastAsia="仿宋_GB2312" w:cs="仿宋_GB2312"/>
                      <w:lang w:eastAsia="zh-CN"/>
                    </w:rPr>
                  </w:pPr>
                </w:p>
              </w:tc>
              <w:tc>
                <w:tcPr>
                  <w:tcW w:w="5059" w:type="dxa"/>
                  <w:noWrap w:val="0"/>
                  <w:vAlign w:val="center"/>
                </w:tcPr>
                <w:p w14:paraId="1862DE0C">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高速公路ETC发行服务系统</w:t>
                  </w:r>
                </w:p>
              </w:tc>
            </w:tr>
            <w:tr w14:paraId="2477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14:paraId="4097DBC7">
                  <w:pPr>
                    <w:pStyle w:val="4"/>
                    <w:rPr>
                      <w:rFonts w:hint="eastAsia" w:ascii="仿宋_GB2312" w:hAnsi="仿宋_GB2312" w:eastAsia="仿宋_GB2312" w:cs="仿宋_GB2312"/>
                      <w:lang w:eastAsia="zh-CN"/>
                    </w:rPr>
                  </w:pPr>
                </w:p>
              </w:tc>
              <w:tc>
                <w:tcPr>
                  <w:tcW w:w="5059" w:type="dxa"/>
                  <w:noWrap w:val="0"/>
                  <w:vAlign w:val="center"/>
                </w:tcPr>
                <w:p w14:paraId="557A2069">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陕西ETC网厅</w:t>
                  </w:r>
                </w:p>
              </w:tc>
            </w:tr>
            <w:tr w14:paraId="7946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14:paraId="5108EBDA">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第二级</w:t>
                  </w:r>
                </w:p>
              </w:tc>
              <w:tc>
                <w:tcPr>
                  <w:tcW w:w="5059" w:type="dxa"/>
                  <w:noWrap w:val="0"/>
                  <w:vAlign w:val="center"/>
                </w:tcPr>
                <w:p w14:paraId="194F37E4">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陕西省高速公路网综合监控系统（省中心）</w:t>
                  </w:r>
                </w:p>
              </w:tc>
            </w:tr>
            <w:tr w14:paraId="522A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top"/>
                </w:tcPr>
                <w:p w14:paraId="18D6B714">
                  <w:pPr>
                    <w:pStyle w:val="4"/>
                    <w:rPr>
                      <w:rFonts w:hint="eastAsia" w:ascii="仿宋_GB2312" w:hAnsi="仿宋_GB2312" w:eastAsia="仿宋_GB2312" w:cs="仿宋_GB2312"/>
                      <w:lang w:eastAsia="zh-CN"/>
                    </w:rPr>
                  </w:pPr>
                </w:p>
              </w:tc>
              <w:tc>
                <w:tcPr>
                  <w:tcW w:w="5059" w:type="dxa"/>
                  <w:noWrap w:val="0"/>
                  <w:vAlign w:val="center"/>
                </w:tcPr>
                <w:p w14:paraId="39FF3861">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陕西收费公路营改增应用服务设施数据采集网报平台</w:t>
                  </w:r>
                </w:p>
              </w:tc>
            </w:tr>
            <w:tr w14:paraId="14E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top"/>
                </w:tcPr>
                <w:p w14:paraId="050572C7">
                  <w:pPr>
                    <w:pStyle w:val="4"/>
                    <w:rPr>
                      <w:rFonts w:hint="eastAsia" w:ascii="仿宋_GB2312" w:hAnsi="仿宋_GB2312" w:eastAsia="仿宋_GB2312" w:cs="仿宋_GB2312"/>
                      <w:lang w:eastAsia="zh-CN"/>
                    </w:rPr>
                  </w:pPr>
                </w:p>
              </w:tc>
              <w:tc>
                <w:tcPr>
                  <w:tcW w:w="5059" w:type="dxa"/>
                  <w:noWrap w:val="0"/>
                  <w:vAlign w:val="center"/>
                </w:tcPr>
                <w:p w14:paraId="3123CD30">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陕西省非封闭式公路收费站统计分析网报系统</w:t>
                  </w:r>
                </w:p>
              </w:tc>
            </w:tr>
            <w:tr w14:paraId="5F51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top"/>
                </w:tcPr>
                <w:p w14:paraId="0437AB6C">
                  <w:pPr>
                    <w:pStyle w:val="4"/>
                    <w:rPr>
                      <w:rFonts w:hint="eastAsia" w:ascii="仿宋_GB2312" w:hAnsi="仿宋_GB2312" w:eastAsia="仿宋_GB2312" w:cs="仿宋_GB2312"/>
                      <w:lang w:eastAsia="zh-CN"/>
                    </w:rPr>
                  </w:pPr>
                </w:p>
              </w:tc>
              <w:tc>
                <w:tcPr>
                  <w:tcW w:w="5059" w:type="dxa"/>
                  <w:noWrap w:val="0"/>
                  <w:vAlign w:val="center"/>
                </w:tcPr>
                <w:p w14:paraId="2738800B">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陕西省收费公路绿色通道车辆管理省级服务平台</w:t>
                  </w:r>
                </w:p>
              </w:tc>
            </w:tr>
            <w:tr w14:paraId="607D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top"/>
                </w:tcPr>
                <w:p w14:paraId="5D3E6491">
                  <w:pPr>
                    <w:pStyle w:val="4"/>
                    <w:rPr>
                      <w:rFonts w:hint="eastAsia" w:ascii="仿宋_GB2312" w:hAnsi="仿宋_GB2312" w:eastAsia="仿宋_GB2312" w:cs="仿宋_GB2312"/>
                      <w:lang w:eastAsia="zh-CN"/>
                    </w:rPr>
                  </w:pPr>
                </w:p>
              </w:tc>
              <w:tc>
                <w:tcPr>
                  <w:tcW w:w="5059" w:type="dxa"/>
                  <w:noWrap w:val="0"/>
                  <w:vAlign w:val="center"/>
                </w:tcPr>
                <w:p w14:paraId="6EE2E59B">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陕西省12328交通运输服务监督电话系统</w:t>
                  </w:r>
                </w:p>
              </w:tc>
            </w:tr>
            <w:tr w14:paraId="50F6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top"/>
                </w:tcPr>
                <w:p w14:paraId="1EB951B6">
                  <w:pPr>
                    <w:pStyle w:val="4"/>
                    <w:rPr>
                      <w:rFonts w:hint="eastAsia" w:ascii="仿宋_GB2312" w:hAnsi="仿宋_GB2312" w:eastAsia="仿宋_GB2312" w:cs="仿宋_GB2312"/>
                      <w:lang w:eastAsia="zh-CN"/>
                    </w:rPr>
                  </w:pPr>
                </w:p>
              </w:tc>
              <w:tc>
                <w:tcPr>
                  <w:tcW w:w="5059" w:type="dxa"/>
                  <w:noWrap w:val="0"/>
                  <w:vAlign w:val="center"/>
                </w:tcPr>
                <w:p w14:paraId="4F5BF90B">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陕西交通服务热线12122系统</w:t>
                  </w:r>
                </w:p>
              </w:tc>
            </w:tr>
          </w:tbl>
          <w:p w14:paraId="2F1B5E4B">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2.数据安全风险评估：陕西省高速公路联网收费系统（省中心）</w:t>
            </w:r>
          </w:p>
          <w:p w14:paraId="42930A6F">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（三）服务主要依据</w:t>
            </w:r>
          </w:p>
          <w:p w14:paraId="0644D2E5">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1.《中华人民共和国网络安全法》；</w:t>
            </w:r>
          </w:p>
          <w:p w14:paraId="423E1F95">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2.《中华人民共和国数据安全法》；</w:t>
            </w:r>
          </w:p>
          <w:p w14:paraId="28A2D42D">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3.《中华人民共和国个人信息保护法》；</w:t>
            </w:r>
          </w:p>
          <w:p w14:paraId="107F1E86">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4.《信息安全技术 网络安全等级保护基本要求》（GB/T22239-2019）；</w:t>
            </w:r>
          </w:p>
          <w:p w14:paraId="5CBD08CF">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5.《信息安全技术 网络安全等级保护测评要求》（GB∕T 28448-2019）；</w:t>
            </w:r>
          </w:p>
          <w:p w14:paraId="2494227B">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6.《信息安全技术 网络安全等级保护测评过程指南》（GB∕T 28449-2018）；</w:t>
            </w:r>
          </w:p>
          <w:p w14:paraId="4964B626">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7.《网络数据安全管理条例》；</w:t>
            </w:r>
          </w:p>
          <w:p w14:paraId="3ACEB672">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8.《公路水路交通运输数据分类分级指南》；</w:t>
            </w:r>
          </w:p>
          <w:p w14:paraId="3421F240">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9.《交通运输数据安全风险评估指南》（JT／T1547-2025）；</w:t>
            </w:r>
          </w:p>
          <w:p w14:paraId="36949D30">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10.《收费公路联网收费系统网络安全管理暂行办法》（交科技发〔2019〕86号）；</w:t>
            </w:r>
          </w:p>
          <w:p w14:paraId="302E42E5">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11.《陕西省交通运输厅网络安全管理暂行办法》（陕交发〔2019〕12号）；</w:t>
            </w:r>
          </w:p>
          <w:p w14:paraId="515D1FDE">
            <w:pPr>
              <w:pStyle w:val="4"/>
              <w:rPr>
                <w:rFonts w:hint="eastAsia" w:ascii="仿宋_GB2312" w:hAnsi="仿宋_GB2312" w:eastAsia="仿宋_GB2312" w:cs="仿宋_GB2312"/>
                <w:lang w:eastAsia="zh-CN"/>
              </w:rPr>
            </w:pPr>
            <w:r>
              <w:rPr>
                <w:rFonts w:hint="eastAsia" w:ascii="仿宋_GB2312" w:hAnsi="仿宋_GB2312" w:eastAsia="仿宋_GB2312" w:cs="仿宋_GB2312"/>
                <w:lang w:eastAsia="zh-CN"/>
              </w:rPr>
              <w:t>12.《陕西省高速公路联网收费系统网络安全总体方案》（陕交发〔2019〕88号）。</w:t>
            </w:r>
          </w:p>
        </w:tc>
      </w:tr>
      <w:tr w14:paraId="2EED5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4" w:hRule="atLeast"/>
        </w:trPr>
        <w:tc>
          <w:tcPr>
            <w:tcW w:w="1061" w:type="dxa"/>
          </w:tcPr>
          <w:p w14:paraId="0C0B011E">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275" w:type="dxa"/>
          </w:tcPr>
          <w:p w14:paraId="58AC99CA">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服务内容</w:t>
            </w:r>
          </w:p>
        </w:tc>
        <w:tc>
          <w:tcPr>
            <w:tcW w:w="5971" w:type="dxa"/>
          </w:tcPr>
          <w:p w14:paraId="06771AAB">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（一）等保测评服务内容</w:t>
            </w:r>
          </w:p>
          <w:p w14:paraId="022ED445">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根据网络安全等级保护相关要求，通过访谈、文档查阅、实地勘看、配置核查、工具测试、漏洞扫描等方式，对信息系统在管理和技术两大方面进行测评，内容包括但不限于安全管理制度、安全管理机构、安全管理人员、安全建设管理、安全运维管理、安全物理环境、安全通信网络、安全区域边界、安全计算环境、安全管理中心等方面，同时，协助采购人完成网络安全整改，通过等级保护测评。</w:t>
            </w:r>
          </w:p>
          <w:p w14:paraId="34796B5A">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1.安全管理制度</w:t>
            </w:r>
          </w:p>
          <w:p w14:paraId="42B43B3A">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通过访谈、文档查阅的方式，核查安全管理要求、安全管理策略、管理操作规程等安全管理制度，发现缺失管理制度；核查是否指定或授权专门的部门或人员负责安全管理制度的制定和发布以及制定发布、修订的程序符合性。</w:t>
            </w:r>
          </w:p>
          <w:p w14:paraId="58855F04">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2.安全管理机构</w:t>
            </w:r>
          </w:p>
          <w:p w14:paraId="04A60547">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通过访谈、文档查阅的方式，核查采购人安全管理机构的职能部门、人员配备是否满足要求；核查系统变更、重要操作、系统接入等重要事项的授权审批机制；核查沟通和合作、审核和检查等方面存在的问题，提出整改措施建议。</w:t>
            </w:r>
          </w:p>
          <w:p w14:paraId="25A0C258">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3.安全管理人员</w:t>
            </w:r>
          </w:p>
          <w:p w14:paraId="32BD5C1A">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系统关键岗位人员背景审查资料、人员录用、离职离岗管理措施进行核查；通过访谈、文档查阅的方式，核查安全管理人员意识教育和培训有关资料；通过工具测试、人工分析等方式，检测外部人员访问管理措施有效性，提出安全整改措施建议。</w:t>
            </w:r>
          </w:p>
          <w:p w14:paraId="5EE16349">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4.安全建设管理</w:t>
            </w:r>
          </w:p>
          <w:p w14:paraId="1C816D2A">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核查系统定级备案、安全建设方案、产品采购和使用清单、软件开发、项目实施、系统交付、项目验收等相关资料；通过工具测试、漏洞扫描等方式，发现系统存在的软件应用、中间件、数据库等方面安全漏洞，提出安全整改措施建议。</w:t>
            </w:r>
          </w:p>
          <w:p w14:paraId="6BDC117D">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5.安全运维管理</w:t>
            </w:r>
          </w:p>
          <w:p w14:paraId="5046D31C">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通过访谈、文档查阅的方式，核查系统资产清单、介质管理记录、设备运维记录、重要事项变更、漏洞隐患处置跟踪表单等管理措施过程记录；通过配置核查、工具测试等方式，发现配置管理、密码管理、备份与恢复管理、漏洞和风险管理等方面存在的安全漏洞，提出完善措施建议。</w:t>
            </w:r>
          </w:p>
          <w:p w14:paraId="36699F1F">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6.安全物理环境</w:t>
            </w:r>
          </w:p>
          <w:p w14:paraId="00151CF0">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对系统机房安全管理措施进行核查，查阅机房人员出入、设备出入登记记录，实地勘看门禁系统、防盗防破坏、防雷、防火、防水防潮、防静电、电力供应等物理环境，提出安全物理环境保障措施整改建议。</w:t>
            </w:r>
          </w:p>
          <w:p w14:paraId="60788F97">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7.安全通信网络</w:t>
            </w:r>
          </w:p>
          <w:p w14:paraId="3EC734BC">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根据业务应用重要程度，查阅系统网络拓扑图，实地勘看网络架构，分析现有网络架构、分区分域的合理性，核查网络分区分域管理措施是否有效落实，提出优化措施建议；核查系统数据通信传输现有保障措施，验证是否满足可信验证；核查通信网络设备隔离措施有效性和合理性，发现存在安全隐患的隔离措施，提出安全整改建议。</w:t>
            </w:r>
          </w:p>
          <w:p w14:paraId="7649DA8B">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8.安全区域边界</w:t>
            </w:r>
          </w:p>
          <w:p w14:paraId="273AEDA2">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根据系统业务实际情况和网络接入关系，通过配置核查、人工分析的方式，核查边界访问控制、高危端口、共享端口、准入控制、流量监测等安全策略设置的合理性，发现系统网络边界、区域边界的不合理策略，检测出系统存在的高危隐患，提出完善优化的可行性整改措施。</w:t>
            </w:r>
          </w:p>
          <w:p w14:paraId="3E3F78AD">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9.安全计算环境</w:t>
            </w:r>
          </w:p>
          <w:p w14:paraId="1871B86A">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网络设备、安全设备、服务器、终端、应用系统等资产的用户权限、账户口令、登录失败、连接超时、入侵防范等安全策略进行核查，发现不合理安全配置策略；对系统资产进行漏洞扫描，发现系统安全漏洞，并在测试评估后，提出整改措施建议；核查系统设备是否均保留了日志审计记录，且留存记录是否满足要求。</w:t>
            </w:r>
          </w:p>
          <w:p w14:paraId="22D697AC">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10.安全管理中心</w:t>
            </w:r>
          </w:p>
          <w:p w14:paraId="6E4A850C">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通过访谈交流、文档查阅、配置核查的方式，对系统管理员、审计管理员、安全管理员的权限分配进行检查，发现不合理资源权限划分；核查安全管理产品及产品配置的安全策略有效性，评估运维操作行为的规范性，分析系统集中管控措施，对系统监测手段提出针对性意见建议。</w:t>
            </w:r>
          </w:p>
          <w:p w14:paraId="21883658">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（二）数据安全风险评估服务内容</w:t>
            </w:r>
          </w:p>
          <w:p w14:paraId="119A28C6">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针对陕西省高速公路联网收费系统（省中心）实际，采用人员访谈、文档审核、安全核查、技术测试等方式，对数据处理活动、数据安全管理、数据安全技术和个人信息保护等四个维度进行评估。</w:t>
            </w:r>
          </w:p>
          <w:p w14:paraId="1F5C1C5F">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（三）服务交付成果</w:t>
            </w:r>
          </w:p>
          <w:p w14:paraId="19E1FCAC">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包含但不限于以下内容：</w:t>
            </w:r>
          </w:p>
          <w:p w14:paraId="51892E6D">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1.《系统测评方案》</w:t>
            </w:r>
          </w:p>
          <w:p w14:paraId="29B95A3D">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2.《系统等级保护差距分析报告》</w:t>
            </w:r>
          </w:p>
          <w:p w14:paraId="46DD1EE5">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3.《系统网络安全整改方案》</w:t>
            </w:r>
          </w:p>
          <w:p w14:paraId="3411D3CA">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4.《系统等级保护测评初测报告》</w:t>
            </w:r>
          </w:p>
          <w:p w14:paraId="2F562D1D">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5.《系统等级保护测评复测报告》</w:t>
            </w:r>
          </w:p>
          <w:p w14:paraId="7F8D09B2">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6.《系统数据安全风险评估报告》</w:t>
            </w:r>
          </w:p>
        </w:tc>
      </w:tr>
      <w:tr w14:paraId="4F333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tcPr>
          <w:p w14:paraId="2A85BF9F">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275" w:type="dxa"/>
          </w:tcPr>
          <w:p w14:paraId="4A996952">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服务要求</w:t>
            </w:r>
          </w:p>
        </w:tc>
        <w:tc>
          <w:tcPr>
            <w:tcW w:w="5971" w:type="dxa"/>
          </w:tcPr>
          <w:p w14:paraId="0D8F417E">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（一）基本要求</w:t>
            </w:r>
          </w:p>
          <w:p w14:paraId="3F32A74A">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1.服务时间</w:t>
            </w:r>
          </w:p>
          <w:p w14:paraId="1A458B3A">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自合同签订之日起100个日历天内完成系统等级保护测评工作、数据安全风险评估工作后，30个日历天内提交项目所有交付成果。</w:t>
            </w:r>
          </w:p>
          <w:p w14:paraId="411D64F4">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2.服务地点</w:t>
            </w:r>
          </w:p>
          <w:p w14:paraId="60C24FF6">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陕西省高速公路收费中心 </w:t>
            </w:r>
          </w:p>
          <w:p w14:paraId="51D0A979">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3.合同签订。供应商应配合采购方在法定时间内完成合同的签订工作，签订地点由采购方指定。</w:t>
            </w:r>
          </w:p>
          <w:p w14:paraId="64026FB3">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（二）项目管理</w:t>
            </w:r>
          </w:p>
          <w:p w14:paraId="42F3BFCE">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1.总体要求</w:t>
            </w:r>
          </w:p>
          <w:p w14:paraId="0C04DD1B">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供应商应在统一组织协调下，开展好前期调研、现场实施和报告撰写等工作，所提供的项目经理和实施人员应是具有丰富经验和专业技能的技术骨干，应有同类项目经验。在以往参与的项目中，应具有项目实施、熟悉项目需求和团队建设方面的优势，应在项目全过程中严格遵循各项网络安全管理制度要求，确保项目顺利开展。</w:t>
            </w:r>
          </w:p>
          <w:p w14:paraId="2A4C8D7B">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2.项目风险控制</w:t>
            </w:r>
          </w:p>
          <w:p w14:paraId="50235BE5">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供应商应对本项目进行充分的风险考虑，在项目实施过程中，应做好计划与安排，不得影响系统正常业务工作开展。当测评评估系统发生合并，按合并前分项报价合并进行结算；系统下线的，按相应分项报价进行扣减。</w:t>
            </w:r>
          </w:p>
          <w:p w14:paraId="7C68215E">
            <w:pPr>
              <w:pStyle w:val="4"/>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（三）项目人员要求</w:t>
            </w:r>
          </w:p>
          <w:p w14:paraId="3CE2B59E">
            <w:pPr>
              <w:pStyle w:val="4"/>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为确保本项目的顺利开展，供应商应对服务人员素质整体把关，原则上应满足以下条件：</w:t>
            </w:r>
          </w:p>
          <w:p w14:paraId="404DC7AA">
            <w:pPr>
              <w:pStyle w:val="4"/>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 xml:space="preserve">1.指定一名项目经理，负责项目的整体统筹管理、资源协调、服务质量总体把关，同时应具有预见和应对项目风险的能力。 </w:t>
            </w:r>
          </w:p>
          <w:p w14:paraId="054F047F">
            <w:pPr>
              <w:pStyle w:val="4"/>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2.项目组成员（不包括项目经理）至少三人以上。</w:t>
            </w:r>
          </w:p>
          <w:p w14:paraId="7A9D1827">
            <w:pPr>
              <w:pStyle w:val="4"/>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3.项目团队成员一经确认，原则上不得更换。如因特殊情况确需调整，须提前15个日历天向采购人提交书面申请，经采购人审核同意后方可更换，且替换人员的职称、专业背景、从业年限及项目经验不得低于原定人员标准，确保项目服务质量不受影响。</w:t>
            </w:r>
          </w:p>
          <w:p w14:paraId="462B82CB">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（四）网络安全要求</w:t>
            </w:r>
          </w:p>
          <w:p w14:paraId="0C81676A">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供应商具备健全的网络安全服务体系，具有网络安全隐患排查、完善加固、预警监测、应对攻击等服务能力，配备具有相关技术能力的网络安全专项人员，为本项目提供漏洞检测、策略配置、加固整改、安全监测、应急处置等保障措施，确保系统安全稳定运行，按照要求签署网络安全责任协议。</w:t>
            </w:r>
          </w:p>
          <w:p w14:paraId="6C87492C">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（五）保密要求</w:t>
            </w:r>
          </w:p>
          <w:p w14:paraId="00E5F0B8">
            <w:pPr>
              <w:pStyle w:val="4"/>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目实施过程中所收集、产生的所有与本项目相关文档、资料，包括文字、图片、表格、数字等各种形式所属权均归属陕西省高速公路收费中心，供应商必须对所涉及到的内容保密，按照要求签署保密协议。保密期限不受合同有效期的限制，在合同有效期结束后，供应商仍应承担保密义务。</w:t>
            </w:r>
          </w:p>
        </w:tc>
      </w:tr>
    </w:tbl>
    <w:p w14:paraId="1A24590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15C96"/>
    <w:rsid w:val="1071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2026-04-07T03:42:00Z</dcterms:created>
  <dc:creator>833</dc:creator>
  <cp:lastModifiedBy>833</cp:lastModifiedBy>
  <dcterms:modified xsi:type="dcterms:W3CDTF">2026-04-07T03:42:25Z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70CABDCB314340E88F5AC31993F8B2B4_11</vt:lpwstr>
  </property>
  <property fmtid="{D5CDD505-2E9C-101B-9397-08002B2CF9AE}" pid="4" name="KSOTemplateDocerSaveRecord">
    <vt:lpwstr>eyJoZGlkIjoiNTI1OGU5NzEwNjlmOTA0NzYwMTIyZGJlNThjMzMxOGYiLCJ1c2VySWQiOiIzMTI3MDEwNzEifQ==</vt:lpwstr>
  </property>
</Properties>
</file>