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A838">
      <w:pPr>
        <w:numPr>
          <w:ilvl w:val="0"/>
          <w:numId w:val="0"/>
        </w:numPr>
        <w:jc w:val="center"/>
        <w:outlineLvl w:val="0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采购需求</w:t>
      </w:r>
    </w:p>
    <w:p w14:paraId="770455B7">
      <w:pPr>
        <w:pStyle w:val="5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一、服务内容</w:t>
      </w:r>
    </w:p>
    <w:p w14:paraId="3956721F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1.按照国家相关标准规范，在西安市行政区域内，对20处指定机关办公用房（含技术业务用房）院落的楼宇楼层及房间进行实测，办公用房总建筑面积暂估36万平方米。</w:t>
      </w:r>
      <w:bookmarkStart w:id="0" w:name="_GoBack"/>
      <w:bookmarkEnd w:id="0"/>
    </w:p>
    <w:p w14:paraId="440C91F7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2.提供专业的测绘服务和测绘数据管理团队，负责采集和表述房屋和房屋用地的有关信息，为办公用房管理平台提供基础数据。采购内容包括：房屋调查、房产面积测算、测绘数据管理、房产图绘制，以及成果资料的检查与验收。</w:t>
      </w:r>
    </w:p>
    <w:p w14:paraId="7AD61257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（1）房屋调查</w:t>
      </w:r>
    </w:p>
    <w:p w14:paraId="386237DA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房屋调查内容包括房屋坐落、层数、建筑结构、用途。</w:t>
      </w:r>
    </w:p>
    <w:p w14:paraId="37F555F7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（2）房间面积测算</w:t>
      </w:r>
    </w:p>
    <w:p w14:paraId="76AF0D73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房产面积测算指水平面积测算，房屋面积测算包括房屋建筑面积、使用面积等测算。房屋建筑面积指房屋外墙（柱）勒脚以上各层的外围水平投影面积，包括阳台、挑廊、室外楼梯等。房屋使用面积指房屋户内全部可供使用的空间面积，按房屋的内墙面水平投影计算。</w:t>
      </w:r>
    </w:p>
    <w:p w14:paraId="79BC5938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（3）测绘数据管理</w:t>
      </w:r>
    </w:p>
    <w:p w14:paraId="6B29A526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供应商需具备对测绘数据进行管理的能力，提供自动化的工具实现对大量测绘数据的及时管理和分类归档，提供结构化数据和非结构化数据管理和检索服务，提供多种测绘文件数据，实现CAD文件、图片文件、表格文件及PDF等文件的解析和数据关联，并录入本级党政机关办公用房相关信息数据。</w:t>
      </w:r>
    </w:p>
    <w:p w14:paraId="71ED3B64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（4）房产图绘制</w:t>
      </w:r>
    </w:p>
    <w:p w14:paraId="1F843653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房产图绘制指根据房屋调查和房间面积测算的结果，绘制建筑平面CAD图，并准确标注各部分长度、房间面积等数据情况。</w:t>
      </w:r>
    </w:p>
    <w:p w14:paraId="317EE1E5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（5）成果检查验收</w:t>
      </w:r>
    </w:p>
    <w:p w14:paraId="0ADB79A5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房产测量成果实行二级检查一级验收制。</w:t>
      </w:r>
    </w:p>
    <w:p w14:paraId="013CBC03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一级检查为过程检</w:t>
      </w: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查，在全面自检、互查的基础上，由专职或兼职检查人员承担。二级检查由质量检查机构和专职检查人员在一级检查的基础上进行。检查验收工作在二级检查合格后由主管机关实施。二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级检查和验收工作完成后会分别写出检查、验收报告。产品成果最终验收工作由任务的委托单位组织实施。验收工作结束后出具检查报告和验收书。</w:t>
      </w:r>
    </w:p>
    <w:p w14:paraId="3A58F84D">
      <w:pPr>
        <w:pStyle w:val="5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二、服务要求</w:t>
      </w:r>
    </w:p>
    <w:p w14:paraId="0490AE0D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1.供应商在实施办公用房实测期间，应安排专职人员对接、配合相关工作。</w:t>
      </w:r>
    </w:p>
    <w:p w14:paraId="758DA151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2.本项目为固定总价合同（含税），包含完成项目所需的所有相关费用。</w:t>
      </w:r>
    </w:p>
    <w:p w14:paraId="3EADA159">
      <w:pPr>
        <w:pStyle w:val="5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三、商务要求</w:t>
      </w:r>
    </w:p>
    <w:p w14:paraId="4A0B925F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1.服务期：供应商应在2026年9月30日之前完成中标测量面积全部实测工作，并提交成果报告、测量数据等相关资料。</w:t>
      </w:r>
    </w:p>
    <w:p w14:paraId="01BB8482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2.付款方式：根据供应商实际完成测绘的工作量，据实结算（具体以合同签订为准）。</w:t>
      </w:r>
    </w:p>
    <w:p w14:paraId="62D8E8C6">
      <w:pPr>
        <w:pStyle w:val="5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四、其他要求</w:t>
      </w:r>
    </w:p>
    <w:p w14:paraId="7CAF901E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（一）测量要求</w:t>
      </w:r>
    </w:p>
    <w:p w14:paraId="69E5B3C9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1.办公室使用面积就是办公室内墙间的房间净面积，测量时从内墙到内墙，按建筑面积规范进行测量，测量结果精确至小数点后两位。</w:t>
      </w:r>
    </w:p>
    <w:p w14:paraId="09DE007B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2.办公室内固定柜子或以柜代墙的，所占面积计入办公室使用面积，测量时从柜子内板起测。</w:t>
      </w:r>
    </w:p>
    <w:p w14:paraId="21220819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3.窗台高度在0.6米以上的室内飘窗，测量时从飘窗窗台一侧的内墙起测。</w:t>
      </w:r>
    </w:p>
    <w:p w14:paraId="16AF4926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4.办公室临窗一侧有玻璃幕墙的，以墙壁为基准进行测量，无实墙的，以幕墙窗框内边沿为基准起测。</w:t>
      </w:r>
    </w:p>
    <w:p w14:paraId="57065DA2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5.办公室内的装饰墙，测量时从面积占主体的表面起测。</w:t>
      </w:r>
    </w:p>
    <w:p w14:paraId="1EC208FB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6.结构(墙、柱)所占的面积不计入使用面积。</w:t>
      </w:r>
    </w:p>
    <w:p w14:paraId="0C6CFB97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（二）质量验收标准或规范：执行国家行业标准规范。</w:t>
      </w:r>
    </w:p>
    <w:p w14:paraId="378BE00E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1.中华人民共和国国家标准《房产测量规范》（GB/T 17986.1-2000）；</w:t>
      </w:r>
    </w:p>
    <w:p w14:paraId="569FF014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2.《工程测量规范》（GB 50026-2007）；</w:t>
      </w:r>
    </w:p>
    <w:p w14:paraId="3508C0BA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3.《建筑工程建筑面积计算规范》（GB/T 50353-2013）；</w:t>
      </w:r>
    </w:p>
    <w:p w14:paraId="6EDC314F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4.测量数据须符合《机关事务信息化基础数据规范》（GB/T 43243-2023）。</w:t>
      </w:r>
    </w:p>
    <w:p w14:paraId="7B156F21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5.符合其他国家行业标准规范。</w:t>
      </w:r>
    </w:p>
    <w:p w14:paraId="068E351F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（三）保密要求</w:t>
      </w:r>
    </w:p>
    <w:p w14:paraId="6C087897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1.供应商负责对采购人所提供资料及最终成果的保密，供应商及其工作人员需遵守采购单位的保密规定，不以任何形式将收集的所有资料、数据等进行泄漏、传播。</w:t>
      </w:r>
    </w:p>
    <w:p w14:paraId="5C830737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2.项目服务人员需签署相关保密协议，承担工作中接触相关内容的保密义务。</w:t>
      </w:r>
    </w:p>
    <w:p w14:paraId="5A6D4561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3.项目成果最终所有权属采购人，在项目完成时供应商必须全部移交。</w:t>
      </w:r>
    </w:p>
    <w:p w14:paraId="6CF4628B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4.供应商须维护项目服务成果，不得转让给第三方重复使用。</w:t>
      </w:r>
    </w:p>
    <w:p w14:paraId="707C0F42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（四）售后要求</w:t>
      </w:r>
    </w:p>
    <w:p w14:paraId="45B7F6B0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1.供应商需具备售后服务管理体系，提供完善的售后服务保障。提供良好的履约质量、响应项目履约时间要求，具备良好的服务态度。</w:t>
      </w:r>
    </w:p>
    <w:p w14:paraId="62260ED7">
      <w:pPr>
        <w:pStyle w:val="5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2.供应商需提供免费售后服务电话和在线客服系统，确保售后过程中有任何问题可以及时响应。</w:t>
      </w:r>
    </w:p>
    <w:p w14:paraId="532F3D56"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供应商需保证所采集的基础数据格式符合采购人要求，可以无缝对接陕西省办公用房管理平台，逾期无法实现的，采购人将按照虚假响应报政府采购监督管理部门处理，如因基础数据格式问题产生的相关费用由供应商自行支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E2A46"/>
    <w:rsid w:val="3AB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tabs>
        <w:tab w:val="left" w:pos="8640"/>
      </w:tabs>
      <w:ind w:firstLine="420"/>
    </w:pPr>
    <w:rPr>
      <w:rFonts w:ascii="楷体_GB2312" w:eastAsia="楷体_GB2312"/>
      <w:color w:val="000000"/>
      <w:sz w:val="28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List"/>
    <w:basedOn w:val="1"/>
    <w:qFormat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5">
    <w:name w:val="Body Text First Indent 2"/>
    <w:basedOn w:val="2"/>
    <w:next w:val="4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2026-04-07T08:37:00Z</dcterms:created>
  <dc:creator>德仁招标</dc:creator>
  <cp:lastModifiedBy>德仁招标</cp:lastModifiedBy>
  <dcterms:modified xsi:type="dcterms:W3CDTF">2026-04-07T08:37:58Z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81EEA677C84A4477BC7D14F38AF0B92F_11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