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14:paraId="68C1A546">
      <w:pPr>
        <w:widowControl w:val="0"/>
        <w:topLinePunct/>
        <w:jc w:val="center"/>
        <w:rPr>
          <w:rFonts w:eastAsia="宋体" w:cs="Tahoma"/>
          <w:sz w:val="44"/>
          <w:szCs w:val="44"/>
        </w:rPr>
      </w:pPr>
      <w:bookmarkStart w:id="19" w:name="_GoBack"/>
      <w:bookmarkEnd w:id="19"/>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项目名称：西安市秦岭生态环境保护管理局物业管理服务</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XCZX2026-0009</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2026年4月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4DF3E142">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1"/>
          <w:rFonts w:hint="eastAsia"/>
        </w:rPr>
        <w:t>第一章　投标邀请函</w:t>
      </w:r>
      <w:r>
        <w:tab/>
      </w:r>
      <w:r>
        <w:fldChar w:fldCharType="begin"/>
      </w:r>
      <w:r>
        <w:instrText xml:space="preserve"> PAGEREF _Toc211437466 \h </w:instrText>
      </w:r>
      <w:r>
        <w:fldChar w:fldCharType="separate"/>
      </w:r>
      <w:r>
        <w:t>1</w:t>
      </w:r>
      <w:r>
        <w:fldChar w:fldCharType="end"/>
      </w:r>
      <w:r>
        <w:fldChar w:fldCharType="end"/>
      </w:r>
    </w:p>
    <w:p w14:paraId="201574F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1"/>
          <w:rFonts w:hint="eastAsia"/>
        </w:rPr>
        <w:t>第二章　供应商须知</w:t>
      </w:r>
      <w:r>
        <w:tab/>
      </w:r>
      <w:r>
        <w:fldChar w:fldCharType="begin"/>
      </w:r>
      <w:r>
        <w:instrText xml:space="preserve"> PAGEREF _Toc211437467 \h </w:instrText>
      </w:r>
      <w:r>
        <w:fldChar w:fldCharType="separate"/>
      </w:r>
      <w:r>
        <w:t>4</w:t>
      </w:r>
      <w:r>
        <w:fldChar w:fldCharType="end"/>
      </w:r>
      <w:r>
        <w:fldChar w:fldCharType="end"/>
      </w:r>
    </w:p>
    <w:p w14:paraId="72353FA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"_Toc211437468" </w:instrText>
      </w:r>
      <w:r>
        <w:fldChar w:fldCharType="separate"/>
      </w:r>
      <w:r>
        <w:rPr>
          <w:rStyle w:val="31"/>
          <w:rFonts w:hint="eastAsia"/>
        </w:rPr>
        <w:t>第三章　招标内容及要求</w:t>
      </w:r>
      <w:r>
        <w:tab/>
      </w:r>
      <w:r>
        <w:fldChar w:fldCharType="begin"/>
      </w:r>
      <w:r>
        <w:instrText xml:space="preserve"> PAGEREF _Toc211437468 \h </w:instrText>
      </w:r>
      <w:r>
        <w:fldChar w:fldCharType="separate"/>
      </w:r>
      <w:r>
        <w:t>34</w:t>
      </w:r>
      <w:r>
        <w:fldChar w:fldCharType="end"/>
      </w:r>
      <w:r>
        <w:fldChar w:fldCharType="end"/>
      </w:r>
    </w:p>
    <w:p w14:paraId="7FD9047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"_Toc211437469" </w:instrText>
      </w:r>
      <w:r>
        <w:fldChar w:fldCharType="separate"/>
      </w:r>
      <w:r>
        <w:rPr>
          <w:rStyle w:val="31"/>
          <w:rFonts w:hint="eastAsia"/>
        </w:rPr>
        <w:t>第四章　合同文本</w:t>
      </w:r>
      <w:r>
        <w:tab/>
      </w:r>
      <w:r>
        <w:t>44</w:t>
      </w:r>
      <w:r>
        <w:fldChar w:fldCharType="end"/>
      </w:r>
    </w:p>
    <w:p w14:paraId="4BE8EB7E">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1"/>
          <w:rFonts w:hint="eastAsia"/>
        </w:rPr>
        <w:t>第五章　投标文件构成及格式</w:t>
      </w:r>
      <w:r>
        <w:tab/>
      </w:r>
      <w:r>
        <w:fldChar w:fldCharType="begin"/>
      </w:r>
      <w:r>
        <w:instrText xml:space="preserve"> PAGEREF _Toc211437471 \h </w:instrText>
      </w:r>
      <w:r>
        <w:fldChar w:fldCharType="separate"/>
      </w:r>
      <w:r>
        <w:t>50</w:t>
      </w:r>
      <w:r>
        <w:fldChar w:fldCharType="end"/>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1437466"/>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西安市秦岭生态环境保护管理局</w:t>
      </w:r>
      <w:r>
        <w:rPr>
          <w:rFonts w:hint="eastAsia"/>
        </w:rPr>
        <w:t>的委托，经政府采购监管部门批准，按照政府采购程序，对</w:t>
      </w:r>
      <w:r>
        <w:rPr>
          <w:rFonts w:hint="eastAsia"/>
          <w:color w:val="C00000"/>
        </w:rPr>
        <w:t>西安市秦岭生态环境保护管理局物业管理服务</w:t>
      </w:r>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西安市秦岭生态环境保护管理局物业管理服务</w:t>
      </w:r>
    </w:p>
    <w:p w14:paraId="6C237C05">
      <w:pPr>
        <w:widowControl w:val="0"/>
        <w:topLinePunct/>
        <w:ind w:firstLine="480" w:firstLineChars="200"/>
        <w:jc w:val="both"/>
      </w:pPr>
      <w:r>
        <w:rPr>
          <w:rFonts w:hint="eastAsia"/>
        </w:rPr>
        <w:t>项目编号：</w:t>
      </w:r>
      <w:r>
        <w:rPr>
          <w:rFonts w:hint="eastAsia"/>
          <w:color w:val="C00000"/>
        </w:rPr>
        <w:t>XCZX202</w:t>
      </w:r>
      <w:r>
        <w:rPr>
          <w:color w:val="C00000"/>
        </w:rPr>
        <w:t>6</w:t>
      </w:r>
      <w:r>
        <w:rPr>
          <w:rFonts w:hint="eastAsia"/>
          <w:color w:val="C00000"/>
        </w:rPr>
        <w:t>-</w:t>
      </w:r>
      <w:r>
        <w:rPr>
          <w:color w:val="C00000"/>
        </w:rPr>
        <w:t>0009</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026-</w:t>
      </w:r>
      <w:r>
        <w:rPr>
          <w:rFonts w:hint="eastAsia"/>
          <w:color w:val="C00000"/>
        </w:rPr>
        <w:t>0</w:t>
      </w:r>
      <w:r>
        <w:rPr>
          <w:color w:val="C00000"/>
        </w:rPr>
        <w:t>0103</w:t>
      </w:r>
    </w:p>
    <w:p w14:paraId="11EC738C">
      <w:pPr>
        <w:widowControl w:val="0"/>
        <w:topLinePunct/>
        <w:ind w:firstLine="480" w:firstLineChars="200"/>
        <w:jc w:val="both"/>
      </w:pPr>
      <w:r>
        <w:rPr>
          <w:rFonts w:hint="eastAsia"/>
          <w:b/>
        </w:rPr>
        <w:t>二、项目性质：</w:t>
      </w:r>
      <w:r>
        <w:rPr>
          <w:rFonts w:hint="eastAsia"/>
          <w:color w:val="C00000"/>
        </w:rPr>
        <w:t>专门面向小微企业的采购项目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w:t>
      </w:r>
      <w:r>
        <w:rPr>
          <w:color w:val="C00000"/>
        </w:rPr>
        <w:t>6822000</w:t>
      </w:r>
      <w:r>
        <w:rPr>
          <w:rFonts w:hint="eastAsia"/>
          <w:color w:val="C00000"/>
        </w:rPr>
        <w:t>元〉（最高限价〈6</w:t>
      </w:r>
      <w:r>
        <w:rPr>
          <w:color w:val="C00000"/>
        </w:rPr>
        <w:t>822000</w:t>
      </w:r>
      <w:r>
        <w:rPr>
          <w:rFonts w:hint="eastAsia"/>
          <w:color w:val="C00000"/>
        </w:rPr>
        <w:t>元〉）</w:t>
      </w:r>
    </w:p>
    <w:p w14:paraId="371969CC">
      <w:pPr>
        <w:widowControl w:val="0"/>
        <w:topLinePunct/>
        <w:ind w:firstLine="480" w:firstLineChars="200"/>
        <w:jc w:val="both"/>
        <w:rPr>
          <w:b/>
        </w:rPr>
      </w:pPr>
      <w:r>
        <w:rPr>
          <w:b/>
        </w:rPr>
        <w:t>四、采购</w:t>
      </w:r>
      <w:r>
        <w:rPr>
          <w:rFonts w:hint="eastAsia"/>
          <w:b/>
        </w:rPr>
        <w:t>内容和要求：</w:t>
      </w:r>
    </w:p>
    <w:p w14:paraId="6F5A3689">
      <w:pPr>
        <w:widowControl w:val="0"/>
        <w:topLinePunct/>
        <w:ind w:firstLine="480" w:firstLineChars="200"/>
        <w:jc w:val="both"/>
      </w:pPr>
      <w:r>
        <w:rPr>
          <w:rFonts w:hint="eastAsia"/>
        </w:rPr>
        <w:t>西安市秦岭生态环境保护管理局物业管理服务</w:t>
      </w:r>
      <w:r>
        <w:t>，服务期为自合同签订之日起三年。</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026</w:t>
      </w:r>
      <w:r>
        <w:rPr>
          <w:rFonts w:hint="eastAsia"/>
        </w:rPr>
        <w:t>年_</w:t>
      </w:r>
      <w:r>
        <w:rPr>
          <w:u w:val="single"/>
        </w:rPr>
        <w:t>4</w:t>
      </w:r>
      <w:r>
        <w:rPr>
          <w:rFonts w:hint="eastAsia"/>
        </w:rPr>
        <w:t>_</w:t>
      </w:r>
      <w:r>
        <w:t>_</w:t>
      </w:r>
      <w:r>
        <w:rPr>
          <w:rFonts w:hint="eastAsia"/>
        </w:rPr>
        <w:t>月_</w:t>
      </w:r>
      <w:r>
        <w:rPr>
          <w:u w:val="single"/>
        </w:rPr>
        <w:t>8</w:t>
      </w:r>
      <w:r>
        <w:rPr>
          <w:rFonts w:hint="eastAsia"/>
        </w:rPr>
        <w:t>_</w:t>
      </w:r>
      <w:r>
        <w:t>_</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026</w:t>
      </w:r>
      <w:r>
        <w:rPr>
          <w:rFonts w:hint="eastAsia"/>
        </w:rPr>
        <w:t>年_</w:t>
      </w:r>
      <w:r>
        <w:rPr>
          <w:u w:val="single"/>
        </w:rPr>
        <w:t>4</w:t>
      </w:r>
      <w:r>
        <w:rPr>
          <w:rFonts w:hint="eastAsia"/>
        </w:rPr>
        <w:t>_</w:t>
      </w:r>
      <w:r>
        <w:t>_</w:t>
      </w:r>
      <w:r>
        <w:rPr>
          <w:rFonts w:hint="eastAsia"/>
        </w:rPr>
        <w:t>月_</w:t>
      </w:r>
      <w:r>
        <w:rPr>
          <w:u w:val="single"/>
        </w:rPr>
        <w:t>8</w:t>
      </w:r>
      <w:r>
        <w:rPr>
          <w:rFonts w:hint="eastAsia"/>
        </w:rPr>
        <w:t>_</w:t>
      </w:r>
      <w:r>
        <w:t>_</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地点：本集采机构虚拟开标室_</w:t>
      </w:r>
      <w:r>
        <w:rPr>
          <w:u w:val="single"/>
        </w:rPr>
        <w:t>4</w:t>
      </w:r>
      <w:r>
        <w:rPr>
          <w:rFonts w:hint="eastAsia"/>
        </w:rPr>
        <w:t>__。</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1．采购人：西安市秦岭生态环境保护管理局</w:t>
      </w:r>
    </w:p>
    <w:p w14:paraId="07A194B0">
      <w:pPr>
        <w:widowControl w:val="0"/>
        <w:topLinePunct/>
        <w:ind w:firstLine="480" w:firstLineChars="200"/>
        <w:jc w:val="both"/>
      </w:pPr>
      <w:r>
        <w:rPr>
          <w:rFonts w:hint="eastAsia"/>
        </w:rPr>
        <w:t>地址：西安市长安区关中环线子午段2345号</w:t>
      </w:r>
    </w:p>
    <w:p w14:paraId="5CD1CE1F">
      <w:pPr>
        <w:widowControl w:val="0"/>
        <w:topLinePunct/>
        <w:ind w:firstLine="480" w:firstLineChars="200"/>
        <w:jc w:val="both"/>
      </w:pPr>
      <w:r>
        <w:rPr>
          <w:rFonts w:hint="eastAsia"/>
        </w:rPr>
        <w:t>联系人：任老师</w:t>
      </w:r>
    </w:p>
    <w:p w14:paraId="7C403659">
      <w:pPr>
        <w:widowControl w:val="0"/>
        <w:topLinePunct/>
        <w:ind w:firstLine="480" w:firstLineChars="200"/>
        <w:jc w:val="both"/>
      </w:pPr>
      <w:r>
        <w:rPr>
          <w:rFonts w:hint="eastAsia"/>
        </w:rPr>
        <w:t>联系电话：0</w:t>
      </w:r>
      <w:r>
        <w:t>29-89801312</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标书联系人及分机号：高老师（</w:t>
      </w:r>
      <w:r>
        <w:t>80811</w:t>
      </w:r>
      <w:r>
        <w:rPr>
          <w:rFonts w:hint="eastAsia"/>
        </w:rPr>
        <w:t>）</w:t>
      </w:r>
    </w:p>
    <w:p w14:paraId="6F1334A2">
      <w:pPr>
        <w:widowControl w:val="0"/>
        <w:topLinePunct/>
        <w:ind w:firstLine="480" w:firstLineChars="200"/>
        <w:jc w:val="both"/>
      </w:pPr>
      <w:r>
        <w:rPr>
          <w:rFonts w:hint="eastAsia"/>
        </w:rPr>
        <w:t>开标联系人及分机号：李老师（80</w:t>
      </w:r>
      <w:r>
        <w:t>758</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445407251"/>
      <w:bookmarkStart w:id="2" w:name="_Toc533363235"/>
      <w:bookmarkStart w:id="3" w:name="_Toc534656409"/>
      <w:bookmarkStart w:id="4" w:name="_Toc533363262"/>
      <w:bookmarkStart w:id="5" w:name="_Toc498349068"/>
      <w:bookmarkStart w:id="6" w:name="_Toc97563329"/>
      <w:bookmarkStart w:id="7" w:name="_Toc211437467"/>
      <w:bookmarkStart w:id="8" w:name="_Toc534656414"/>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西安市秦岭生态环境保护管理局物业管理服务</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XCZX2026-0009</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6822000</w:t>
            </w:r>
            <w:r>
              <w:rPr>
                <w:rFonts w:hint="eastAsia" w:ascii="Calibri" w:hAnsi="宋体" w:eastAsia="宋体" w:cstheme="minorHAnsi"/>
                <w:sz w:val="21"/>
              </w:rPr>
              <w:t>元〉（最高限价</w:t>
            </w:r>
            <w:r>
              <w:rPr>
                <w:rFonts w:ascii="Calibri" w:hAnsi="宋体" w:eastAsia="宋体" w:cstheme="minorHAnsi"/>
                <w:sz w:val="21"/>
              </w:rPr>
              <w:t>6822000</w:t>
            </w:r>
            <w:r>
              <w:rPr>
                <w:rFonts w:hint="eastAsia" w:ascii="Calibri" w:hAnsi="宋体" w:eastAsia="宋体" w:cstheme="minorHAnsi"/>
                <w:sz w:val="21"/>
              </w:rPr>
              <w:t>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w:t>
            </w:r>
            <w:r>
              <w:rPr>
                <w:rFonts w:ascii="Calibri" w:hAnsi="宋体" w:eastAsia="宋体" w:cstheme="minorHAnsi"/>
                <w:sz w:val="21"/>
                <w:u w:val="single"/>
              </w:rPr>
              <w:t>5</w:t>
            </w:r>
            <w:r>
              <w:rPr>
                <w:rFonts w:hint="eastAsia" w:ascii="Calibri" w:hAnsi="宋体" w:eastAsia="宋体" w:cstheme="minorHAnsi"/>
                <w:sz w:val="21"/>
              </w:rPr>
              <w:t>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物业管理</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42806E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1B0B53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32616AB">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67405D5C">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2B4A77F4">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62E89AD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108903B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73608CF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5A0D1235">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1"/>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firstLine="48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24或</w:t>
            </w:r>
            <w:r>
              <w:rPr>
                <w:rFonts w:hint="eastAsia" w:ascii="Calibri" w:hAnsi="宋体" w:eastAsia="宋体" w:cstheme="minorHAnsi"/>
                <w:bCs/>
                <w:sz w:val="21"/>
              </w:rPr>
              <w:t>2025年度经审计的财务会计报告（成立时间至提交投标文件截止时间不足一年的可提供成立后任意时段的资产负债表）；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bookmarkStart w:id="9" w:name="_Hlk224739082"/>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bookmarkEnd w:id="9"/>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仅接受小型、微型企业参与，提供《中小企业声明函》、或《残疾人福利性单位声明函》、或《监狱企业证明函》。</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8389" w:type="dxa"/>
            <w:gridSpan w:val="2"/>
            <w:vAlign w:val="center"/>
          </w:tcPr>
          <w:p w14:paraId="2D536DFE">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（1）自行招用保安员的投标人，须出具承诺书（承诺书形式不限），承诺自承接本项目之日起30日内向采购人所在地设区的市级人民政府公安机关备案。</w:t>
            </w:r>
          </w:p>
          <w:p w14:paraId="239B9E32">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（2）从保安服务公司购买保安服务的投标人，需提供该保安公司的《保安服务许可证》及投标人与保安服务公司签订的保安服务合同，明确规定服务的项目、内容以及双方的权利义务。</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6E77109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ind w:firstLine="480"/>
      </w:pPr>
      <w:r>
        <w:rPr>
          <w:rFonts w:hint="eastAsia"/>
        </w:rPr>
        <w:t>1．关于技术标“暗标盲评”</w:t>
      </w:r>
    </w:p>
    <w:p w14:paraId="23542BF5">
      <w:pPr>
        <w:pStyle w:val="81"/>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63C0B9B7">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3010E81C">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C75C960">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566CDCD9">
      <w:pPr>
        <w:pStyle w:val="81"/>
        <w:ind w:firstLine="482"/>
        <w:rPr>
          <w:b/>
        </w:rPr>
      </w:pPr>
      <w:r>
        <w:rPr>
          <w:rFonts w:hint="eastAsia"/>
          <w:b/>
        </w:rPr>
        <w:t>4．异常低价的审查</w:t>
      </w:r>
    </w:p>
    <w:p w14:paraId="29614401">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（1）评审中出现下列情形之一的，评标委员会应当启动异常低价投标审查程序：</w:t>
      </w:r>
    </w:p>
    <w:p w14:paraId="137AA5AB">
      <w:pPr>
        <w:pStyle w:val="99"/>
        <w:snapToGrid w:val="0"/>
        <w:spacing w:line="360" w:lineRule="auto"/>
        <w:ind w:firstLine="480" w:firstLineChars="200"/>
        <w:textAlignment w:val="auto"/>
        <w:rPr>
          <w:color w:val="FF0000"/>
          <w:sz w:val="24"/>
          <w:szCs w:val="24"/>
        </w:rPr>
      </w:pPr>
      <w:r>
        <w:rPr>
          <w:rFonts w:hint="eastAsia"/>
          <w:color w:val="FF0000"/>
          <w:sz w:val="24"/>
          <w:szCs w:val="24"/>
        </w:rPr>
        <w:t xml:space="preserve">① </w:t>
      </w:r>
      <w:r>
        <w:rPr>
          <w:color w:val="FF0000"/>
          <w:sz w:val="24"/>
          <w:szCs w:val="24"/>
        </w:rPr>
        <w:t>投标报价低于全部通过符合性审查供应商投标报价平均值</w:t>
      </w:r>
      <w:r>
        <w:rPr>
          <w:rFonts w:hint="eastAsia"/>
          <w:color w:val="FF0000"/>
          <w:sz w:val="24"/>
          <w:szCs w:val="24"/>
          <w:u w:val="single"/>
        </w:rPr>
        <w:t xml:space="preserve"> </w:t>
      </w:r>
      <w:r>
        <w:rPr>
          <w:color w:val="FF0000"/>
          <w:sz w:val="24"/>
          <w:szCs w:val="24"/>
          <w:u w:val="single"/>
        </w:rPr>
        <w:t>50</w:t>
      </w:r>
      <w:r>
        <w:rPr>
          <w:rFonts w:hint="eastAsia"/>
          <w:color w:val="FF0000"/>
          <w:sz w:val="24"/>
          <w:szCs w:val="24"/>
          <w:u w:val="single"/>
        </w:rPr>
        <w:t xml:space="preserve">  </w:t>
      </w:r>
      <w:r>
        <w:rPr>
          <w:color w:val="FF0000"/>
          <w:sz w:val="24"/>
          <w:szCs w:val="24"/>
        </w:rPr>
        <w:t>%的，即投标报价</w:t>
      </w:r>
      <w:r>
        <w:rPr>
          <w:rFonts w:hint="eastAsia"/>
          <w:color w:val="FF0000"/>
          <w:sz w:val="24"/>
          <w:szCs w:val="24"/>
        </w:rPr>
        <w:t>＜</w:t>
      </w:r>
      <w:r>
        <w:rPr>
          <w:color w:val="FF0000"/>
          <w:sz w:val="24"/>
          <w:szCs w:val="24"/>
        </w:rPr>
        <w:t>全部通过符合性审查供应商投标报价平均值×</w:t>
      </w:r>
      <w:r>
        <w:rPr>
          <w:rFonts w:hint="eastAsia"/>
          <w:color w:val="FF0000"/>
          <w:sz w:val="24"/>
          <w:szCs w:val="24"/>
          <w:u w:val="single"/>
        </w:rPr>
        <w:t xml:space="preserve">  </w:t>
      </w:r>
      <w:r>
        <w:rPr>
          <w:color w:val="FF0000"/>
          <w:sz w:val="24"/>
          <w:szCs w:val="24"/>
          <w:u w:val="single"/>
        </w:rPr>
        <w:t>50</w:t>
      </w:r>
      <w:r>
        <w:rPr>
          <w:rFonts w:hint="eastAsia"/>
          <w:color w:val="FF0000"/>
          <w:sz w:val="24"/>
          <w:szCs w:val="24"/>
          <w:u w:val="single"/>
        </w:rPr>
        <w:t xml:space="preserve"> </w:t>
      </w:r>
      <w:r>
        <w:rPr>
          <w:color w:val="FF0000"/>
          <w:sz w:val="24"/>
          <w:szCs w:val="24"/>
        </w:rPr>
        <w:t>%；</w:t>
      </w:r>
    </w:p>
    <w:p w14:paraId="633259A6">
      <w:pPr>
        <w:pStyle w:val="99"/>
        <w:snapToGrid w:val="0"/>
        <w:spacing w:line="360" w:lineRule="auto"/>
        <w:ind w:firstLine="480" w:firstLineChars="200"/>
        <w:textAlignment w:val="auto"/>
        <w:rPr>
          <w:color w:val="FF0000"/>
          <w:sz w:val="24"/>
          <w:szCs w:val="24"/>
        </w:rPr>
      </w:pPr>
      <w:r>
        <w:rPr>
          <w:rFonts w:hint="eastAsia"/>
          <w:color w:val="FF0000"/>
          <w:sz w:val="24"/>
          <w:szCs w:val="24"/>
        </w:rPr>
        <w:t xml:space="preserve">② </w:t>
      </w:r>
      <w:r>
        <w:rPr>
          <w:color w:val="FF0000"/>
          <w:sz w:val="24"/>
          <w:szCs w:val="24"/>
        </w:rPr>
        <w:t>投标报价低于通过符合性审查的次低报价供应商投标报价</w:t>
      </w:r>
      <w:r>
        <w:rPr>
          <w:rFonts w:hint="eastAsia"/>
          <w:color w:val="FF0000"/>
          <w:sz w:val="24"/>
          <w:szCs w:val="24"/>
          <w:u w:val="single"/>
        </w:rPr>
        <w:t xml:space="preserve"> </w:t>
      </w:r>
      <w:r>
        <w:rPr>
          <w:color w:val="FF0000"/>
          <w:sz w:val="24"/>
          <w:szCs w:val="24"/>
          <w:u w:val="single"/>
        </w:rPr>
        <w:t>50</w:t>
      </w:r>
      <w:r>
        <w:rPr>
          <w:rFonts w:hint="eastAsia"/>
          <w:color w:val="FF0000"/>
          <w:sz w:val="24"/>
          <w:szCs w:val="24"/>
          <w:u w:val="single"/>
        </w:rPr>
        <w:t xml:space="preserve">  </w:t>
      </w:r>
      <w:r>
        <w:rPr>
          <w:color w:val="FF0000"/>
          <w:sz w:val="24"/>
          <w:szCs w:val="24"/>
        </w:rPr>
        <w:t>%的，即投标报价</w:t>
      </w:r>
      <w:r>
        <w:rPr>
          <w:rFonts w:hint="eastAsia"/>
          <w:color w:val="FF0000"/>
          <w:sz w:val="24"/>
          <w:szCs w:val="24"/>
        </w:rPr>
        <w:t>＜</w:t>
      </w:r>
      <w:r>
        <w:rPr>
          <w:color w:val="FF0000"/>
          <w:sz w:val="24"/>
          <w:szCs w:val="24"/>
        </w:rPr>
        <w:t>通过符合性审查的次低报价供应商投标报价×</w:t>
      </w:r>
      <w:r>
        <w:rPr>
          <w:rFonts w:hint="eastAsia"/>
          <w:color w:val="FF0000"/>
          <w:sz w:val="24"/>
          <w:szCs w:val="24"/>
          <w:u w:val="single"/>
        </w:rPr>
        <w:t xml:space="preserve">  </w:t>
      </w:r>
      <w:r>
        <w:rPr>
          <w:color w:val="FF0000"/>
          <w:sz w:val="24"/>
          <w:szCs w:val="24"/>
          <w:u w:val="single"/>
        </w:rPr>
        <w:t>50</w:t>
      </w:r>
      <w:r>
        <w:rPr>
          <w:rFonts w:hint="eastAsia"/>
          <w:color w:val="FF0000"/>
          <w:sz w:val="24"/>
          <w:szCs w:val="24"/>
          <w:u w:val="single"/>
        </w:rPr>
        <w:t xml:space="preserve"> </w:t>
      </w:r>
      <w:r>
        <w:rPr>
          <w:color w:val="FF0000"/>
          <w:sz w:val="24"/>
          <w:szCs w:val="24"/>
        </w:rPr>
        <w:t>%；</w:t>
      </w:r>
    </w:p>
    <w:p w14:paraId="1DA62EEA">
      <w:pPr>
        <w:pStyle w:val="99"/>
        <w:snapToGrid w:val="0"/>
        <w:spacing w:line="360" w:lineRule="auto"/>
        <w:ind w:firstLine="480" w:firstLineChars="200"/>
        <w:textAlignment w:val="auto"/>
        <w:rPr>
          <w:rFonts w:hAnsi="宋体" w:cs="宋体"/>
          <w:color w:val="FF0000"/>
          <w:sz w:val="24"/>
          <w:szCs w:val="24"/>
        </w:rPr>
      </w:pPr>
      <w:r>
        <w:rPr>
          <w:rFonts w:hint="eastAsia"/>
          <w:color w:val="FF0000"/>
          <w:sz w:val="24"/>
          <w:szCs w:val="24"/>
        </w:rPr>
        <w:t xml:space="preserve">③ </w:t>
      </w:r>
      <w:r>
        <w:rPr>
          <w:color w:val="FF0000"/>
          <w:sz w:val="24"/>
          <w:szCs w:val="24"/>
        </w:rPr>
        <w:t>投标报价低于采购项目最高限价</w:t>
      </w:r>
      <w:r>
        <w:rPr>
          <w:rFonts w:hint="eastAsia"/>
          <w:color w:val="FF0000"/>
          <w:sz w:val="24"/>
          <w:szCs w:val="24"/>
          <w:u w:val="single"/>
        </w:rPr>
        <w:t xml:space="preserve"> </w:t>
      </w:r>
      <w:r>
        <w:rPr>
          <w:color w:val="FF0000"/>
          <w:sz w:val="24"/>
          <w:szCs w:val="24"/>
          <w:u w:val="single"/>
        </w:rPr>
        <w:t>50</w:t>
      </w:r>
      <w:r>
        <w:rPr>
          <w:rFonts w:hint="eastAsia"/>
          <w:color w:val="FF0000"/>
          <w:sz w:val="24"/>
          <w:szCs w:val="24"/>
          <w:u w:val="single"/>
        </w:rPr>
        <w:t xml:space="preserve">  </w:t>
      </w:r>
      <w:r>
        <w:rPr>
          <w:color w:val="FF0000"/>
          <w:sz w:val="24"/>
          <w:szCs w:val="24"/>
        </w:rPr>
        <w:t>%的，即投标报价</w:t>
      </w:r>
      <w:r>
        <w:rPr>
          <w:rFonts w:hint="eastAsia"/>
          <w:color w:val="FF0000"/>
          <w:sz w:val="24"/>
          <w:szCs w:val="24"/>
        </w:rPr>
        <w:t>＜</w:t>
      </w:r>
      <w:r>
        <w:rPr>
          <w:color w:val="FF0000"/>
          <w:sz w:val="24"/>
          <w:szCs w:val="24"/>
        </w:rPr>
        <w:t>采购项目最高限价×</w:t>
      </w:r>
      <w:r>
        <w:rPr>
          <w:rFonts w:hint="eastAsia"/>
          <w:color w:val="FF0000"/>
          <w:sz w:val="24"/>
          <w:szCs w:val="24"/>
          <w:u w:val="single"/>
        </w:rPr>
        <w:t xml:space="preserve">  </w:t>
      </w:r>
      <w:r>
        <w:rPr>
          <w:color w:val="FF0000"/>
          <w:sz w:val="24"/>
          <w:szCs w:val="24"/>
          <w:u w:val="single"/>
        </w:rPr>
        <w:t>50</w:t>
      </w:r>
      <w:r>
        <w:rPr>
          <w:rFonts w:hint="eastAsia"/>
          <w:color w:val="FF0000"/>
          <w:sz w:val="24"/>
          <w:szCs w:val="24"/>
          <w:u w:val="single"/>
        </w:rPr>
        <w:t xml:space="preserve"> </w:t>
      </w:r>
      <w:r>
        <w:rPr>
          <w:color w:val="FF0000"/>
          <w:sz w:val="24"/>
          <w:szCs w:val="24"/>
        </w:rPr>
        <w:t>%</w:t>
      </w:r>
      <w:r>
        <w:rPr>
          <w:rFonts w:hint="eastAsia" w:hAnsi="宋体" w:cs="宋体"/>
          <w:color w:val="FF0000"/>
          <w:sz w:val="24"/>
          <w:szCs w:val="24"/>
        </w:rPr>
        <w:t>；</w:t>
      </w:r>
    </w:p>
    <w:p w14:paraId="0B629948">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④ 评标委员会基于专业判断，认为供应商报价过低，有可能影响产品质量或者不能诚信履约的其他情形。</w:t>
      </w:r>
    </w:p>
    <w:p w14:paraId="609F2390">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（2）评标委员会启动异常低价投标审查后，属于第①项至第④项情形的，相关供应商应当在40分钟</w:t>
      </w:r>
      <w:r>
        <w:rPr>
          <w:rFonts w:hAnsi="宋体" w:cs="宋体"/>
          <w:sz w:val="24"/>
          <w:szCs w:val="24"/>
        </w:rPr>
        <w:t>内</w:t>
      </w:r>
      <w:r>
        <w:rPr>
          <w:rFonts w:hint="eastAsia" w:hAnsi="宋体" w:cs="宋体"/>
          <w:sz w:val="24"/>
          <w:szCs w:val="24"/>
        </w:rPr>
        <w:t>通过电子</w:t>
      </w:r>
      <w:r>
        <w:rPr>
          <w:rFonts w:hAnsi="宋体" w:cs="宋体"/>
          <w:sz w:val="24"/>
          <w:szCs w:val="24"/>
        </w:rPr>
        <w:t>交易平台</w:t>
      </w:r>
      <w:r>
        <w:rPr>
          <w:rFonts w:hint="eastAsia" w:hAnsi="宋体" w:cs="宋体"/>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14:paraId="5424454B">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评标委员会依据专业经验，参考同类项目中标价格、类似产品市场价格水平、行业人工费用标准、国家有关部门指导行业协会发布的行业平均成本等情况，对报价合理性进行判断。</w:t>
      </w:r>
      <w:r>
        <w:rPr>
          <w:rFonts w:hint="eastAsia" w:hAnsi="宋体" w:cs="宋体"/>
          <w:b/>
          <w:sz w:val="24"/>
          <w:szCs w:val="24"/>
        </w:rPr>
        <w:t>投标供应商不能提供书面说明、证明材料，或者提供的书面说明、证明材料不能证明其报价合理性的，评标委员会应当将其作为无效投标处理。</w:t>
      </w:r>
    </w:p>
    <w:p w14:paraId="0E83435D">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CBBF697">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异常低价投标审查的启动原因、审查意见和审查结果应当在评审报告中记录，并随供应商提供的相关书面说明及证明材料，以及评标委员会有关互联网浏览、查询历史一并归档。</w:t>
      </w:r>
    </w:p>
    <w:p w14:paraId="2CF99C6F">
      <w:pPr>
        <w:pStyle w:val="81"/>
        <w:ind w:firstLine="482"/>
        <w:rPr>
          <w:b/>
        </w:rPr>
      </w:pPr>
      <w:r>
        <w:rPr>
          <w:b/>
        </w:rPr>
        <w:t>5</w:t>
      </w:r>
      <w:r>
        <w:rPr>
          <w:rFonts w:hint="eastAsia"/>
          <w:b/>
        </w:rPr>
        <w:t>．</w:t>
      </w:r>
      <w:r>
        <w:rPr>
          <w:b/>
        </w:rPr>
        <w:t>综合比较与评价</w:t>
      </w:r>
    </w:p>
    <w:p w14:paraId="1A590DF6">
      <w:pPr>
        <w:pStyle w:val="81"/>
        <w:ind w:firstLine="480"/>
      </w:pPr>
      <w:r>
        <w:rPr>
          <w:rFonts w:hint="eastAsia"/>
        </w:rPr>
        <w:t>采用最低评标价法的，评标委员会对通过符合性审查的投标文件的投标报价由低到高顺序排列。</w:t>
      </w:r>
    </w:p>
    <w:p w14:paraId="7EF30C10">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C16BAC4">
      <w:pPr>
        <w:pStyle w:val="81"/>
        <w:ind w:firstLine="480"/>
        <w:rPr>
          <w:color w:val="C00000"/>
        </w:rPr>
      </w:pPr>
      <w:r>
        <w:rPr>
          <w:color w:val="C00000"/>
        </w:rPr>
        <w:t>出现下列情形的，供应商投标无效：</w:t>
      </w:r>
    </w:p>
    <w:p w14:paraId="1F07D77C">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62034A2C">
      <w:pPr>
        <w:keepNext/>
        <w:spacing w:before="230" w:beforeLines="50" w:after="230" w:afterLines="50"/>
        <w:jc w:val="center"/>
        <w:outlineLvl w:val="2"/>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750"/>
        <w:gridCol w:w="914"/>
        <w:gridCol w:w="5645"/>
        <w:gridCol w:w="1418"/>
      </w:tblGrid>
      <w:tr w14:paraId="4481DA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tcBorders>
              <w:top w:val="single" w:color="auto" w:sz="12" w:space="0"/>
              <w:bottom w:val="single" w:color="auto" w:sz="2" w:space="0"/>
            </w:tcBorders>
            <w:shd w:val="clear" w:color="auto" w:fill="F2F2F2"/>
            <w:vAlign w:val="center"/>
          </w:tcPr>
          <w:p w14:paraId="4BE54EEF">
            <w:pPr>
              <w:widowControl w:val="0"/>
              <w:spacing w:line="320" w:lineRule="exact"/>
              <w:jc w:val="both"/>
              <w:rPr>
                <w:rFonts w:ascii="Times New Roman" w:hAnsi="Times New Roman" w:eastAsia="宋体" w:cs="Calibri"/>
                <w:b/>
                <w:bCs/>
                <w:kern w:val="2"/>
                <w:sz w:val="21"/>
                <w:szCs w:val="21"/>
              </w:rPr>
            </w:pPr>
            <w:r>
              <w:rPr>
                <w:rFonts w:ascii="Times New Roman" w:hAnsi="Times New Roman" w:eastAsia="宋体" w:cs="Calibri"/>
                <w:b/>
                <w:bCs/>
                <w:kern w:val="2"/>
                <w:sz w:val="21"/>
                <w:szCs w:val="21"/>
              </w:rPr>
              <w:t>项别</w:t>
            </w:r>
          </w:p>
        </w:tc>
        <w:tc>
          <w:tcPr>
            <w:tcW w:w="1664" w:type="dxa"/>
            <w:gridSpan w:val="2"/>
            <w:tcBorders>
              <w:top w:val="single" w:color="auto" w:sz="12" w:space="0"/>
              <w:bottom w:val="single" w:color="auto" w:sz="2" w:space="0"/>
            </w:tcBorders>
            <w:shd w:val="clear" w:color="auto" w:fill="F2F2F2"/>
            <w:vAlign w:val="center"/>
          </w:tcPr>
          <w:p w14:paraId="3712169E">
            <w:pPr>
              <w:widowControl w:val="0"/>
              <w:spacing w:line="320" w:lineRule="exact"/>
              <w:jc w:val="center"/>
              <w:rPr>
                <w:rFonts w:ascii="Times New Roman" w:hAnsi="Times New Roman" w:eastAsia="宋体" w:cs="Calibri"/>
                <w:b/>
                <w:bCs/>
                <w:kern w:val="2"/>
                <w:sz w:val="21"/>
                <w:szCs w:val="21"/>
              </w:rPr>
            </w:pPr>
            <w:r>
              <w:rPr>
                <w:rFonts w:ascii="Times New Roman" w:hAnsi="Times New Roman" w:eastAsia="宋体" w:cs="Calibri"/>
                <w:b/>
                <w:bCs/>
                <w:kern w:val="2"/>
                <w:sz w:val="21"/>
                <w:szCs w:val="21"/>
              </w:rPr>
              <w:t>总分值</w:t>
            </w:r>
          </w:p>
        </w:tc>
        <w:tc>
          <w:tcPr>
            <w:tcW w:w="5645" w:type="dxa"/>
            <w:vMerge w:val="restart"/>
            <w:tcBorders>
              <w:top w:val="single" w:color="auto" w:sz="12" w:space="0"/>
              <w:bottom w:val="single" w:color="auto" w:sz="2" w:space="0"/>
            </w:tcBorders>
            <w:shd w:val="clear" w:color="auto" w:fill="F2F2F2"/>
            <w:vAlign w:val="center"/>
          </w:tcPr>
          <w:p w14:paraId="4BFA8589">
            <w:pPr>
              <w:widowControl w:val="0"/>
              <w:spacing w:line="320" w:lineRule="exact"/>
              <w:jc w:val="center"/>
              <w:rPr>
                <w:rFonts w:ascii="Times New Roman" w:hAnsi="Times New Roman" w:eastAsia="宋体" w:cs="Calibri"/>
                <w:b/>
                <w:bCs/>
                <w:kern w:val="2"/>
                <w:sz w:val="21"/>
                <w:szCs w:val="21"/>
              </w:rPr>
            </w:pPr>
            <w:r>
              <w:rPr>
                <w:rFonts w:ascii="Times New Roman" w:hAnsi="Times New Roman" w:eastAsia="宋体" w:cs="Calibri"/>
                <w:b/>
                <w:bCs/>
                <w:kern w:val="2"/>
                <w:sz w:val="21"/>
                <w:szCs w:val="21"/>
              </w:rPr>
              <w:t>评审要素</w:t>
            </w:r>
          </w:p>
        </w:tc>
        <w:tc>
          <w:tcPr>
            <w:tcW w:w="1418" w:type="dxa"/>
            <w:vMerge w:val="restart"/>
            <w:tcBorders>
              <w:top w:val="single" w:color="auto" w:sz="12" w:space="0"/>
              <w:bottom w:val="single" w:color="auto" w:sz="2" w:space="0"/>
            </w:tcBorders>
            <w:shd w:val="clear" w:color="auto" w:fill="F2F2F2"/>
            <w:vAlign w:val="center"/>
          </w:tcPr>
          <w:p w14:paraId="64E1C650">
            <w:pPr>
              <w:widowControl w:val="0"/>
              <w:spacing w:line="320" w:lineRule="exact"/>
              <w:jc w:val="center"/>
              <w:rPr>
                <w:rFonts w:ascii="Times New Roman" w:hAnsi="Times New Roman" w:eastAsia="宋体" w:cs="Calibri"/>
                <w:b/>
                <w:bCs/>
                <w:kern w:val="2"/>
                <w:sz w:val="21"/>
                <w:szCs w:val="21"/>
              </w:rPr>
            </w:pPr>
            <w:r>
              <w:rPr>
                <w:rFonts w:ascii="Times New Roman" w:hAnsi="Times New Roman" w:eastAsia="宋体" w:cs="Calibri"/>
                <w:b/>
                <w:bCs/>
                <w:kern w:val="2"/>
                <w:sz w:val="21"/>
                <w:szCs w:val="21"/>
              </w:rPr>
              <w:t>备注</w:t>
            </w:r>
          </w:p>
        </w:tc>
      </w:tr>
      <w:tr w14:paraId="2DAC9E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tcBorders>
              <w:top w:val="single" w:color="auto" w:sz="2" w:space="0"/>
              <w:bottom w:val="single" w:color="auto" w:sz="2" w:space="0"/>
            </w:tcBorders>
            <w:shd w:val="clear" w:color="auto" w:fill="F2F2F2"/>
            <w:vAlign w:val="center"/>
          </w:tcPr>
          <w:p w14:paraId="44A1BE9A">
            <w:pPr>
              <w:widowControl w:val="0"/>
              <w:spacing w:line="320" w:lineRule="exact"/>
              <w:jc w:val="both"/>
              <w:rPr>
                <w:rFonts w:ascii="Times New Roman" w:hAnsi="Times New Roman" w:eastAsia="宋体" w:cs="Calibri"/>
                <w:bCs/>
                <w:kern w:val="2"/>
                <w:sz w:val="21"/>
                <w:szCs w:val="21"/>
              </w:rPr>
            </w:pPr>
          </w:p>
        </w:tc>
        <w:tc>
          <w:tcPr>
            <w:tcW w:w="750" w:type="dxa"/>
            <w:tcBorders>
              <w:top w:val="single" w:color="auto" w:sz="2" w:space="0"/>
              <w:bottom w:val="single" w:color="auto" w:sz="2" w:space="0"/>
            </w:tcBorders>
            <w:shd w:val="clear" w:color="auto" w:fill="F2F2F2"/>
            <w:vAlign w:val="center"/>
          </w:tcPr>
          <w:p w14:paraId="0C19FDFA">
            <w:pPr>
              <w:widowControl w:val="0"/>
              <w:spacing w:line="320" w:lineRule="exact"/>
              <w:jc w:val="both"/>
              <w:rPr>
                <w:rFonts w:ascii="Times New Roman" w:hAnsi="Times New Roman" w:eastAsia="宋体" w:cs="Calibri"/>
                <w:b/>
                <w:bCs/>
                <w:kern w:val="2"/>
                <w:sz w:val="21"/>
                <w:szCs w:val="21"/>
              </w:rPr>
            </w:pPr>
            <w:r>
              <w:rPr>
                <w:rFonts w:ascii="Times New Roman" w:hAnsi="Times New Roman" w:eastAsia="宋体" w:cs="Calibri"/>
                <w:b/>
                <w:bCs/>
                <w:kern w:val="2"/>
                <w:sz w:val="21"/>
                <w:szCs w:val="21"/>
              </w:rPr>
              <w:t>100</w:t>
            </w:r>
          </w:p>
        </w:tc>
        <w:tc>
          <w:tcPr>
            <w:tcW w:w="914" w:type="dxa"/>
            <w:tcBorders>
              <w:top w:val="single" w:color="auto" w:sz="2" w:space="0"/>
              <w:bottom w:val="single" w:color="auto" w:sz="2" w:space="0"/>
            </w:tcBorders>
            <w:shd w:val="clear" w:color="auto" w:fill="F2F2F2"/>
            <w:vAlign w:val="center"/>
          </w:tcPr>
          <w:p w14:paraId="5C31261A">
            <w:pPr>
              <w:widowControl w:val="0"/>
              <w:spacing w:line="320" w:lineRule="exact"/>
              <w:jc w:val="center"/>
              <w:rPr>
                <w:rFonts w:ascii="Times New Roman" w:hAnsi="Times New Roman" w:eastAsia="宋体" w:cs="Calibri"/>
                <w:b/>
                <w:bCs/>
                <w:kern w:val="2"/>
                <w:sz w:val="21"/>
                <w:szCs w:val="21"/>
              </w:rPr>
            </w:pPr>
            <w:r>
              <w:rPr>
                <w:rFonts w:ascii="Times New Roman" w:hAnsi="Times New Roman" w:eastAsia="宋体" w:cs="Calibri"/>
                <w:b/>
                <w:bCs/>
                <w:kern w:val="2"/>
                <w:sz w:val="21"/>
                <w:szCs w:val="21"/>
              </w:rPr>
              <w:t>分项最高分值</w:t>
            </w:r>
          </w:p>
        </w:tc>
        <w:tc>
          <w:tcPr>
            <w:tcW w:w="5645" w:type="dxa"/>
            <w:vMerge w:val="continue"/>
            <w:tcBorders>
              <w:top w:val="single" w:color="auto" w:sz="2" w:space="0"/>
              <w:bottom w:val="single" w:color="auto" w:sz="2" w:space="0"/>
            </w:tcBorders>
            <w:shd w:val="clear" w:color="auto" w:fill="F2F2F2"/>
            <w:vAlign w:val="center"/>
          </w:tcPr>
          <w:p w14:paraId="648F9BD2">
            <w:pPr>
              <w:widowControl w:val="0"/>
              <w:spacing w:line="320" w:lineRule="exact"/>
              <w:jc w:val="both"/>
              <w:rPr>
                <w:rFonts w:ascii="Times New Roman" w:hAnsi="Times New Roman" w:eastAsia="宋体" w:cs="Calibri"/>
                <w:bCs/>
                <w:kern w:val="2"/>
                <w:sz w:val="21"/>
                <w:szCs w:val="21"/>
              </w:rPr>
            </w:pPr>
          </w:p>
        </w:tc>
        <w:tc>
          <w:tcPr>
            <w:tcW w:w="1418" w:type="dxa"/>
            <w:vMerge w:val="continue"/>
            <w:tcBorders>
              <w:top w:val="single" w:color="auto" w:sz="2" w:space="0"/>
              <w:bottom w:val="single" w:color="auto" w:sz="2" w:space="0"/>
            </w:tcBorders>
            <w:shd w:val="clear" w:color="auto" w:fill="F2F2F2"/>
            <w:vAlign w:val="center"/>
          </w:tcPr>
          <w:p w14:paraId="7459A219">
            <w:pPr>
              <w:widowControl w:val="0"/>
              <w:spacing w:line="320" w:lineRule="exact"/>
              <w:jc w:val="both"/>
              <w:rPr>
                <w:rFonts w:ascii="Times New Roman" w:hAnsi="Times New Roman" w:eastAsia="宋体" w:cs="Calibri"/>
                <w:bCs/>
                <w:kern w:val="2"/>
                <w:sz w:val="21"/>
                <w:szCs w:val="21"/>
              </w:rPr>
            </w:pPr>
          </w:p>
        </w:tc>
      </w:tr>
      <w:tr w14:paraId="7FB59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tcBorders>
              <w:top w:val="single" w:color="auto" w:sz="2" w:space="0"/>
            </w:tcBorders>
            <w:shd w:val="clear" w:color="auto" w:fill="auto"/>
            <w:vAlign w:val="center"/>
          </w:tcPr>
          <w:p w14:paraId="525BCD70">
            <w:pPr>
              <w:widowControl w:val="0"/>
              <w:spacing w:line="320" w:lineRule="exact"/>
              <w:jc w:val="both"/>
              <w:rPr>
                <w:rFonts w:ascii="Times New Roman" w:hAnsi="Times New Roman" w:eastAsia="宋体" w:cs="宋体"/>
                <w:bCs/>
                <w:kern w:val="2"/>
                <w:sz w:val="21"/>
                <w:szCs w:val="21"/>
              </w:rPr>
            </w:pPr>
            <w:r>
              <w:rPr>
                <w:rFonts w:ascii="Times New Roman" w:hAnsi="Times New Roman" w:eastAsia="宋体" w:cs="宋体"/>
                <w:b/>
                <w:kern w:val="2"/>
                <w:sz w:val="21"/>
                <w:szCs w:val="21"/>
              </w:rPr>
              <w:t>价格</w:t>
            </w:r>
          </w:p>
        </w:tc>
        <w:tc>
          <w:tcPr>
            <w:tcW w:w="750" w:type="dxa"/>
            <w:tcBorders>
              <w:top w:val="single" w:color="auto" w:sz="2" w:space="0"/>
            </w:tcBorders>
            <w:shd w:val="clear" w:color="auto" w:fill="auto"/>
            <w:vAlign w:val="center"/>
          </w:tcPr>
          <w:p w14:paraId="26E51BC1">
            <w:pPr>
              <w:widowControl w:val="0"/>
              <w:spacing w:line="320" w:lineRule="exact"/>
              <w:jc w:val="both"/>
              <w:rPr>
                <w:rFonts w:ascii="Times New Roman" w:hAnsi="Times New Roman" w:eastAsia="宋体" w:cs="宋体"/>
                <w:bCs/>
                <w:kern w:val="2"/>
                <w:sz w:val="21"/>
                <w:szCs w:val="21"/>
              </w:rPr>
            </w:pPr>
            <w:r>
              <w:rPr>
                <w:rFonts w:hint="eastAsia" w:ascii="Times New Roman" w:hAnsi="Times New Roman" w:eastAsia="宋体" w:cs="宋体"/>
                <w:bCs/>
                <w:kern w:val="2"/>
                <w:sz w:val="21"/>
                <w:szCs w:val="21"/>
              </w:rPr>
              <w:t>3</w:t>
            </w:r>
            <w:r>
              <w:rPr>
                <w:rFonts w:ascii="Times New Roman" w:hAnsi="Times New Roman" w:eastAsia="宋体" w:cs="宋体"/>
                <w:bCs/>
                <w:kern w:val="2"/>
                <w:sz w:val="21"/>
                <w:szCs w:val="21"/>
              </w:rPr>
              <w:t>0</w:t>
            </w:r>
          </w:p>
        </w:tc>
        <w:tc>
          <w:tcPr>
            <w:tcW w:w="914" w:type="dxa"/>
            <w:shd w:val="clear" w:color="auto" w:fill="auto"/>
            <w:vAlign w:val="center"/>
          </w:tcPr>
          <w:p w14:paraId="3E667B54">
            <w:pPr>
              <w:widowControl w:val="0"/>
              <w:spacing w:line="320" w:lineRule="exact"/>
              <w:jc w:val="center"/>
              <w:rPr>
                <w:rFonts w:ascii="Times New Roman" w:hAnsi="Times New Roman" w:eastAsia="宋体" w:cs="宋体"/>
                <w:bCs/>
                <w:kern w:val="2"/>
                <w:sz w:val="21"/>
                <w:szCs w:val="21"/>
              </w:rPr>
            </w:pPr>
            <w:r>
              <w:rPr>
                <w:rFonts w:hint="eastAsia" w:ascii="Times New Roman" w:hAnsi="Times New Roman" w:eastAsia="宋体" w:cs="宋体"/>
                <w:bCs/>
                <w:kern w:val="2"/>
                <w:sz w:val="21"/>
                <w:szCs w:val="21"/>
              </w:rPr>
              <w:t>3</w:t>
            </w:r>
            <w:r>
              <w:rPr>
                <w:rFonts w:ascii="Times New Roman" w:hAnsi="Times New Roman" w:eastAsia="宋体" w:cs="宋体"/>
                <w:bCs/>
                <w:kern w:val="2"/>
                <w:sz w:val="21"/>
                <w:szCs w:val="21"/>
              </w:rPr>
              <w:t>0</w:t>
            </w:r>
          </w:p>
        </w:tc>
        <w:tc>
          <w:tcPr>
            <w:tcW w:w="5645" w:type="dxa"/>
            <w:tcBorders>
              <w:top w:val="single" w:color="auto" w:sz="2" w:space="0"/>
            </w:tcBorders>
            <w:shd w:val="clear" w:color="auto" w:fill="auto"/>
            <w:vAlign w:val="center"/>
          </w:tcPr>
          <w:p w14:paraId="7C96128A">
            <w:pPr>
              <w:widowControl w:val="0"/>
              <w:tabs>
                <w:tab w:val="left" w:pos="547"/>
              </w:tabs>
              <w:spacing w:line="320" w:lineRule="exact"/>
              <w:jc w:val="both"/>
              <w:rPr>
                <w:rFonts w:ascii="Times New Roman" w:hAnsi="Times New Roman" w:eastAsia="宋体" w:cs="宋体"/>
                <w:kern w:val="2"/>
                <w:sz w:val="21"/>
                <w:szCs w:val="21"/>
              </w:rPr>
            </w:pPr>
            <w:r>
              <w:rPr>
                <w:rFonts w:ascii="Times New Roman" w:hAnsi="Times New Roman" w:eastAsia="宋体" w:cs="宋体"/>
                <w:kern w:val="2"/>
                <w:sz w:val="21"/>
                <w:szCs w:val="21"/>
              </w:rPr>
              <w:t>有效供应商最低报价为基准价得</w:t>
            </w:r>
            <w:r>
              <w:rPr>
                <w:rFonts w:hint="eastAsia" w:ascii="Times New Roman" w:hAnsi="Times New Roman" w:eastAsia="宋体" w:cs="宋体"/>
                <w:kern w:val="2"/>
                <w:sz w:val="21"/>
                <w:szCs w:val="21"/>
              </w:rPr>
              <w:t>3</w:t>
            </w:r>
            <w:r>
              <w:rPr>
                <w:rFonts w:ascii="Times New Roman" w:hAnsi="Times New Roman" w:eastAsia="宋体" w:cs="宋体"/>
                <w:kern w:val="2"/>
                <w:sz w:val="21"/>
                <w:szCs w:val="21"/>
              </w:rPr>
              <w:t>0分，各供应商的报价得分按下列公式计算：（基准价/投标报价）×</w:t>
            </w:r>
            <w:r>
              <w:rPr>
                <w:rFonts w:hint="eastAsia" w:ascii="Times New Roman" w:hAnsi="Times New Roman" w:eastAsia="宋体" w:cs="宋体"/>
                <w:kern w:val="2"/>
                <w:sz w:val="21"/>
                <w:szCs w:val="21"/>
              </w:rPr>
              <w:t>3</w:t>
            </w:r>
            <w:r>
              <w:rPr>
                <w:rFonts w:ascii="Times New Roman" w:hAnsi="Times New Roman" w:eastAsia="宋体" w:cs="宋体"/>
                <w:kern w:val="2"/>
                <w:sz w:val="21"/>
                <w:szCs w:val="21"/>
              </w:rPr>
              <w:t>0%×100分</w:t>
            </w:r>
          </w:p>
        </w:tc>
        <w:tc>
          <w:tcPr>
            <w:tcW w:w="1418" w:type="dxa"/>
            <w:tcBorders>
              <w:top w:val="single" w:color="auto" w:sz="2" w:space="0"/>
            </w:tcBorders>
            <w:shd w:val="clear" w:color="auto" w:fill="auto"/>
            <w:vAlign w:val="center"/>
          </w:tcPr>
          <w:p w14:paraId="24522DD9">
            <w:pPr>
              <w:widowControl w:val="0"/>
              <w:spacing w:line="320" w:lineRule="exact"/>
              <w:jc w:val="both"/>
              <w:rPr>
                <w:rFonts w:ascii="Times New Roman" w:hAnsi="Times New Roman" w:eastAsia="宋体" w:cs="宋体"/>
                <w:bCs/>
                <w:color w:val="FF0000"/>
                <w:kern w:val="2"/>
                <w:sz w:val="21"/>
                <w:szCs w:val="21"/>
              </w:rPr>
            </w:pPr>
          </w:p>
        </w:tc>
      </w:tr>
      <w:tr w14:paraId="1EC6D7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14:paraId="75A53D92">
            <w:pPr>
              <w:widowControl w:val="0"/>
              <w:spacing w:line="320" w:lineRule="exact"/>
              <w:jc w:val="both"/>
              <w:rPr>
                <w:rFonts w:ascii="Times New Roman" w:hAnsi="Times New Roman" w:eastAsia="宋体" w:cs="宋体"/>
                <w:bCs/>
                <w:kern w:val="2"/>
                <w:sz w:val="21"/>
                <w:szCs w:val="21"/>
              </w:rPr>
            </w:pPr>
            <w:r>
              <w:rPr>
                <w:rFonts w:ascii="Times New Roman" w:hAnsi="Times New Roman" w:eastAsia="宋体" w:cs="宋体"/>
                <w:bCs/>
                <w:kern w:val="2"/>
                <w:sz w:val="21"/>
                <w:szCs w:val="21"/>
              </w:rPr>
              <w:t>技术</w:t>
            </w:r>
          </w:p>
          <w:p w14:paraId="5F3812EE">
            <w:pPr>
              <w:widowControl w:val="0"/>
              <w:spacing w:line="320" w:lineRule="exact"/>
              <w:jc w:val="both"/>
              <w:rPr>
                <w:rFonts w:ascii="Times New Roman" w:hAnsi="Times New Roman" w:eastAsia="宋体" w:cs="宋体"/>
                <w:b/>
                <w:kern w:val="2"/>
                <w:sz w:val="21"/>
                <w:szCs w:val="21"/>
              </w:rPr>
            </w:pPr>
            <w:r>
              <w:rPr>
                <w:rFonts w:ascii="Times New Roman" w:hAnsi="Times New Roman" w:eastAsia="宋体" w:cs="宋体"/>
                <w:bCs/>
                <w:kern w:val="2"/>
                <w:sz w:val="21"/>
                <w:szCs w:val="21"/>
              </w:rPr>
              <w:t>部分（暗标盲评）</w:t>
            </w:r>
          </w:p>
        </w:tc>
        <w:tc>
          <w:tcPr>
            <w:tcW w:w="750" w:type="dxa"/>
            <w:vMerge w:val="restart"/>
            <w:shd w:val="clear" w:color="auto" w:fill="auto"/>
            <w:vAlign w:val="center"/>
          </w:tcPr>
          <w:p w14:paraId="053B2F46">
            <w:pPr>
              <w:widowControl w:val="0"/>
              <w:spacing w:line="320" w:lineRule="exact"/>
              <w:jc w:val="both"/>
              <w:rPr>
                <w:rFonts w:ascii="Times New Roman" w:hAnsi="Times New Roman" w:eastAsia="宋体" w:cs="宋体"/>
                <w:bCs/>
                <w:kern w:val="2"/>
                <w:sz w:val="21"/>
                <w:szCs w:val="21"/>
              </w:rPr>
            </w:pPr>
            <w:r>
              <w:rPr>
                <w:rFonts w:ascii="Times New Roman" w:hAnsi="Times New Roman" w:eastAsia="宋体" w:cs="宋体"/>
                <w:bCs/>
                <w:kern w:val="2"/>
                <w:sz w:val="21"/>
                <w:szCs w:val="21"/>
              </w:rPr>
              <w:t>33</w:t>
            </w:r>
          </w:p>
        </w:tc>
        <w:tc>
          <w:tcPr>
            <w:tcW w:w="914" w:type="dxa"/>
            <w:shd w:val="clear" w:color="auto" w:fill="auto"/>
            <w:vAlign w:val="center"/>
          </w:tcPr>
          <w:p w14:paraId="4A9138BE">
            <w:pPr>
              <w:widowControl w:val="0"/>
              <w:spacing w:line="320" w:lineRule="exact"/>
              <w:jc w:val="center"/>
              <w:rPr>
                <w:rFonts w:ascii="Times New Roman" w:hAnsi="Times New Roman" w:eastAsia="宋体" w:cs="宋体"/>
                <w:bCs/>
                <w:kern w:val="2"/>
                <w:sz w:val="21"/>
                <w:szCs w:val="21"/>
              </w:rPr>
            </w:pPr>
            <w:r>
              <w:rPr>
                <w:rFonts w:hint="eastAsia" w:ascii="Times New Roman" w:hAnsi="Times New Roman" w:eastAsia="宋体" w:cs="宋体"/>
                <w:bCs/>
                <w:kern w:val="2"/>
                <w:sz w:val="21"/>
                <w:szCs w:val="21"/>
              </w:rPr>
              <w:t>15</w:t>
            </w:r>
          </w:p>
        </w:tc>
        <w:tc>
          <w:tcPr>
            <w:tcW w:w="5645" w:type="dxa"/>
            <w:shd w:val="clear" w:color="auto" w:fill="auto"/>
            <w:vAlign w:val="center"/>
          </w:tcPr>
          <w:p w14:paraId="403AA039">
            <w:pPr>
              <w:widowControl w:val="0"/>
              <w:tabs>
                <w:tab w:val="left" w:pos="547"/>
              </w:tabs>
              <w:spacing w:line="320" w:lineRule="exact"/>
              <w:ind w:firstLine="422"/>
              <w:jc w:val="both"/>
              <w:rPr>
                <w:rFonts w:ascii="Times New Roman" w:hAnsi="Times New Roman" w:eastAsia="宋体" w:cs="宋体"/>
                <w:b/>
                <w:color w:val="C00000"/>
                <w:kern w:val="2"/>
                <w:sz w:val="21"/>
                <w:szCs w:val="21"/>
              </w:rPr>
            </w:pPr>
            <w:r>
              <w:rPr>
                <w:rFonts w:hint="eastAsia" w:ascii="Times New Roman" w:hAnsi="Times New Roman" w:eastAsia="宋体" w:cs="宋体"/>
                <w:b/>
                <w:bCs/>
                <w:color w:val="C00000"/>
                <w:kern w:val="2"/>
                <w:sz w:val="21"/>
                <w:szCs w:val="21"/>
                <w:lang w:bidi="ar"/>
              </w:rPr>
              <w:t>物业服务</w:t>
            </w:r>
            <w:r>
              <w:rPr>
                <w:rFonts w:ascii="Times New Roman" w:hAnsi="Times New Roman" w:eastAsia="宋体" w:cs="宋体"/>
                <w:b/>
                <w:bCs/>
                <w:color w:val="C00000"/>
                <w:kern w:val="2"/>
                <w:sz w:val="21"/>
                <w:szCs w:val="21"/>
                <w:lang w:bidi="ar"/>
              </w:rPr>
              <w:t>方案</w:t>
            </w:r>
            <w:r>
              <w:rPr>
                <w:rFonts w:ascii="Times New Roman" w:hAnsi="Times New Roman" w:eastAsia="宋体" w:cs="宋体"/>
                <w:b/>
                <w:color w:val="C00000"/>
                <w:kern w:val="2"/>
                <w:sz w:val="21"/>
                <w:szCs w:val="21"/>
              </w:rPr>
              <w:t>：</w:t>
            </w:r>
          </w:p>
          <w:p w14:paraId="24218453">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一、评审内容</w:t>
            </w:r>
          </w:p>
          <w:p w14:paraId="34DE20EC">
            <w:pPr>
              <w:widowControl w:val="0"/>
              <w:tabs>
                <w:tab w:val="left" w:pos="547"/>
              </w:tabs>
              <w:spacing w:line="320" w:lineRule="exact"/>
              <w:ind w:firstLine="420" w:firstLineChars="200"/>
              <w:jc w:val="both"/>
              <w:rPr>
                <w:rFonts w:ascii="Times New Roman" w:hAnsi="Times New Roman" w:eastAsia="宋体" w:cs="宋体"/>
                <w:color w:val="FF0000"/>
                <w:kern w:val="2"/>
                <w:sz w:val="21"/>
                <w:szCs w:val="21"/>
              </w:rPr>
            </w:pPr>
            <w:r>
              <w:rPr>
                <w:rFonts w:hint="eastAsia" w:ascii="Times New Roman" w:hAnsi="Times New Roman" w:eastAsia="宋体" w:cs="宋体"/>
                <w:kern w:val="2"/>
                <w:sz w:val="21"/>
                <w:szCs w:val="21"/>
              </w:rPr>
              <w:t>提出针对于本项目的物业服务</w:t>
            </w:r>
            <w:r>
              <w:rPr>
                <w:rFonts w:hint="eastAsia" w:ascii="Times New Roman" w:hAnsi="Times New Roman" w:eastAsia="宋体" w:cs="宋体"/>
                <w:bCs/>
                <w:kern w:val="2"/>
                <w:sz w:val="21"/>
                <w:szCs w:val="21"/>
              </w:rPr>
              <w:t>方案</w:t>
            </w:r>
            <w:r>
              <w:rPr>
                <w:rFonts w:hint="eastAsia" w:ascii="Times New Roman" w:hAnsi="Times New Roman" w:eastAsia="宋体" w:cs="宋体"/>
                <w:kern w:val="2"/>
                <w:sz w:val="21"/>
                <w:szCs w:val="21"/>
              </w:rPr>
              <w:t>，方案内容包含但不限于①基本服务</w:t>
            </w:r>
            <w:r>
              <w:rPr>
                <w:rFonts w:hint="eastAsia" w:ascii="微软雅黑" w:hAnsi="微软雅黑" w:eastAsia="微软雅黑" w:cs="微软雅黑"/>
                <w:kern w:val="2"/>
                <w:sz w:val="21"/>
                <w:szCs w:val="21"/>
              </w:rPr>
              <w:t>②</w:t>
            </w:r>
            <w:r>
              <w:rPr>
                <w:rFonts w:hint="eastAsia" w:ascii="Times New Roman" w:hAnsi="Times New Roman" w:eastAsia="宋体" w:cs="宋体"/>
                <w:kern w:val="2"/>
                <w:sz w:val="21"/>
                <w:szCs w:val="21"/>
              </w:rPr>
              <w:t>保洁服务方案③保安（秩序维护）服务方案④绿化养护服务方案</w:t>
            </w:r>
            <w:r>
              <w:rPr>
                <w:rFonts w:hint="eastAsia" w:ascii="微软雅黑" w:hAnsi="微软雅黑" w:eastAsia="微软雅黑" w:cs="微软雅黑"/>
                <w:kern w:val="2"/>
                <w:sz w:val="21"/>
                <w:szCs w:val="21"/>
              </w:rPr>
              <w:t>⑤</w:t>
            </w:r>
            <w:r>
              <w:rPr>
                <w:rFonts w:hint="eastAsia" w:ascii="Times New Roman" w:hAnsi="Times New Roman" w:eastAsia="宋体" w:cs="宋体"/>
                <w:kern w:val="2"/>
                <w:sz w:val="21"/>
                <w:szCs w:val="21"/>
              </w:rPr>
              <w:t>设施维修维护方案</w:t>
            </w:r>
            <w:r>
              <w:rPr>
                <w:rFonts w:hint="eastAsia" w:ascii="Times New Roman" w:hAnsi="Times New Roman" w:eastAsia="宋体" w:cs="宋体"/>
                <w:bCs/>
                <w:kern w:val="2"/>
                <w:sz w:val="21"/>
                <w:szCs w:val="21"/>
              </w:rPr>
              <w:t>。</w:t>
            </w:r>
          </w:p>
          <w:p w14:paraId="48A1BD20">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二、评审标准</w:t>
            </w:r>
          </w:p>
          <w:p w14:paraId="7FE141B9">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1、完整性：方案须全面，对评审内容中的各项要求有详细描述及说明；</w:t>
            </w:r>
          </w:p>
          <w:p w14:paraId="7FA352E2">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2、可实施性：实施步骤清晰</w:t>
            </w:r>
            <w:r>
              <w:rPr>
                <w:rFonts w:ascii="Times New Roman" w:hAnsi="Times New Roman" w:eastAsia="宋体" w:cs="宋体"/>
                <w:kern w:val="2"/>
                <w:sz w:val="21"/>
                <w:szCs w:val="21"/>
              </w:rPr>
              <w:t>、</w:t>
            </w:r>
            <w:r>
              <w:rPr>
                <w:rFonts w:hint="eastAsia" w:ascii="Times New Roman" w:hAnsi="Times New Roman" w:eastAsia="宋体" w:cs="宋体"/>
                <w:kern w:val="2"/>
                <w:sz w:val="21"/>
                <w:szCs w:val="21"/>
              </w:rPr>
              <w:t>合理，可操作性强；</w:t>
            </w:r>
          </w:p>
          <w:p w14:paraId="37AFB1E5">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3、针对性：方案能够紧扣项目实际情况，内容科学合理。</w:t>
            </w:r>
          </w:p>
          <w:p w14:paraId="6A487987">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三、赋分标准（满分15分）</w:t>
            </w:r>
          </w:p>
          <w:p w14:paraId="796B19FD">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①基本服务：每完全满足一项评审标准得</w:t>
            </w: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分，满分3分；</w:t>
            </w:r>
          </w:p>
          <w:p w14:paraId="1CD0F8F9">
            <w:pPr>
              <w:widowControl w:val="0"/>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②保洁服务方案</w:t>
            </w:r>
            <w:r>
              <w:rPr>
                <w:rFonts w:hint="eastAsia" w:ascii="Times New Roman" w:hAnsi="Times New Roman" w:eastAsia="宋体" w:cs="宋体"/>
                <w:bCs/>
                <w:kern w:val="2"/>
                <w:sz w:val="21"/>
                <w:szCs w:val="21"/>
              </w:rPr>
              <w:t>：</w:t>
            </w:r>
            <w:r>
              <w:rPr>
                <w:rFonts w:hint="eastAsia" w:ascii="Times New Roman" w:hAnsi="Times New Roman" w:eastAsia="宋体" w:cs="宋体"/>
                <w:kern w:val="2"/>
                <w:sz w:val="21"/>
                <w:szCs w:val="21"/>
              </w:rPr>
              <w:t>每完全满足一项评审标准得</w:t>
            </w: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分，满分3分；</w:t>
            </w:r>
          </w:p>
          <w:p w14:paraId="17EC17E4">
            <w:pPr>
              <w:widowControl w:val="0"/>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③保安（秩序维护）服务方案</w:t>
            </w:r>
            <w:r>
              <w:rPr>
                <w:rFonts w:hint="eastAsia" w:ascii="Times New Roman" w:hAnsi="Times New Roman" w:eastAsia="宋体" w:cs="宋体"/>
                <w:bCs/>
                <w:kern w:val="2"/>
                <w:sz w:val="21"/>
                <w:szCs w:val="21"/>
              </w:rPr>
              <w:t>：</w:t>
            </w:r>
            <w:r>
              <w:rPr>
                <w:rFonts w:hint="eastAsia" w:ascii="Times New Roman" w:hAnsi="Times New Roman" w:eastAsia="宋体" w:cs="宋体"/>
                <w:kern w:val="2"/>
                <w:sz w:val="21"/>
                <w:szCs w:val="21"/>
              </w:rPr>
              <w:t>每完全满足一项评审标准得</w:t>
            </w: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分，满分3分；</w:t>
            </w:r>
          </w:p>
          <w:p w14:paraId="575D387B">
            <w:pPr>
              <w:widowControl w:val="0"/>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④绿化养护服务方案</w:t>
            </w:r>
            <w:r>
              <w:rPr>
                <w:rFonts w:hint="eastAsia" w:ascii="Times New Roman" w:hAnsi="Times New Roman" w:eastAsia="宋体" w:cs="宋体"/>
                <w:bCs/>
                <w:kern w:val="2"/>
                <w:sz w:val="21"/>
                <w:szCs w:val="21"/>
              </w:rPr>
              <w:t>：</w:t>
            </w:r>
            <w:r>
              <w:rPr>
                <w:rFonts w:hint="eastAsia" w:ascii="Times New Roman" w:hAnsi="Times New Roman" w:eastAsia="宋体" w:cs="宋体"/>
                <w:kern w:val="2"/>
                <w:sz w:val="21"/>
                <w:szCs w:val="21"/>
              </w:rPr>
              <w:t>每完全满足一项评审标准得</w:t>
            </w: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分，满分3分；</w:t>
            </w:r>
          </w:p>
          <w:p w14:paraId="2E4C986F">
            <w:pPr>
              <w:widowControl w:val="0"/>
              <w:spacing w:line="320" w:lineRule="exact"/>
              <w:ind w:firstLine="420" w:firstLineChars="200"/>
              <w:jc w:val="both"/>
              <w:rPr>
                <w:rFonts w:ascii="Times New Roman" w:hAnsi="Times New Roman" w:eastAsia="宋体" w:cs="宋体"/>
                <w:kern w:val="2"/>
                <w:sz w:val="21"/>
                <w:szCs w:val="21"/>
              </w:rPr>
            </w:pPr>
            <w:r>
              <w:rPr>
                <w:rFonts w:hint="eastAsia" w:ascii="微软雅黑" w:hAnsi="微软雅黑" w:eastAsia="微软雅黑" w:cs="微软雅黑"/>
                <w:kern w:val="2"/>
                <w:sz w:val="21"/>
                <w:szCs w:val="21"/>
              </w:rPr>
              <w:t>⑤</w:t>
            </w:r>
            <w:r>
              <w:rPr>
                <w:rFonts w:hint="eastAsia" w:ascii="Times New Roman" w:hAnsi="Times New Roman" w:eastAsia="宋体" w:cs="宋体"/>
                <w:kern w:val="2"/>
                <w:sz w:val="21"/>
                <w:szCs w:val="21"/>
              </w:rPr>
              <w:t>设施维修维护方案</w:t>
            </w:r>
            <w:r>
              <w:rPr>
                <w:rFonts w:hint="eastAsia" w:ascii="Times New Roman" w:hAnsi="Times New Roman" w:eastAsia="宋体" w:cs="宋体"/>
                <w:bCs/>
                <w:kern w:val="2"/>
                <w:sz w:val="21"/>
                <w:szCs w:val="21"/>
              </w:rPr>
              <w:t>：</w:t>
            </w:r>
            <w:r>
              <w:rPr>
                <w:rFonts w:hint="eastAsia" w:ascii="Times New Roman" w:hAnsi="Times New Roman" w:eastAsia="宋体" w:cs="宋体"/>
                <w:kern w:val="2"/>
                <w:sz w:val="21"/>
                <w:szCs w:val="21"/>
              </w:rPr>
              <w:t>每完全满足一项评审标准得</w:t>
            </w: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分，满分3分。</w:t>
            </w:r>
          </w:p>
        </w:tc>
        <w:tc>
          <w:tcPr>
            <w:tcW w:w="1418" w:type="dxa"/>
            <w:vMerge w:val="restart"/>
            <w:shd w:val="clear" w:color="auto" w:fill="auto"/>
            <w:vAlign w:val="center"/>
          </w:tcPr>
          <w:p w14:paraId="4B809451">
            <w:pPr>
              <w:widowControl w:val="0"/>
              <w:spacing w:line="320" w:lineRule="exact"/>
              <w:jc w:val="both"/>
              <w:rPr>
                <w:rFonts w:ascii="Times New Roman" w:hAnsi="Times New Roman" w:eastAsia="宋体" w:cs="宋体"/>
                <w:bCs/>
                <w:color w:val="FF0000"/>
                <w:kern w:val="2"/>
                <w:sz w:val="21"/>
                <w:szCs w:val="21"/>
              </w:rPr>
            </w:pPr>
            <w:r>
              <w:rPr>
                <w:rFonts w:ascii="Times New Roman" w:hAnsi="Times New Roman" w:eastAsia="宋体" w:cs="宋体"/>
                <w:bCs/>
                <w:color w:val="C00000"/>
                <w:kern w:val="2"/>
                <w:sz w:val="21"/>
                <w:szCs w:val="21"/>
              </w:rPr>
              <w:t>按照本章“七、评审方法和程序”的“（二）评标形式”中的暗标盲评部分的响应要求进行编制，否则，其投标视为无效。</w:t>
            </w:r>
          </w:p>
        </w:tc>
      </w:tr>
      <w:tr w14:paraId="663013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4D553851">
            <w:pPr>
              <w:widowControl w:val="0"/>
              <w:spacing w:line="320" w:lineRule="exact"/>
              <w:jc w:val="both"/>
              <w:rPr>
                <w:rFonts w:ascii="Times New Roman" w:hAnsi="Times New Roman" w:eastAsia="宋体" w:cs="宋体"/>
                <w:bCs/>
                <w:kern w:val="2"/>
                <w:sz w:val="21"/>
                <w:szCs w:val="21"/>
              </w:rPr>
            </w:pPr>
          </w:p>
        </w:tc>
        <w:tc>
          <w:tcPr>
            <w:tcW w:w="750" w:type="dxa"/>
            <w:vMerge w:val="continue"/>
            <w:shd w:val="clear" w:color="auto" w:fill="auto"/>
            <w:vAlign w:val="center"/>
          </w:tcPr>
          <w:p w14:paraId="595E6A3E">
            <w:pPr>
              <w:widowControl w:val="0"/>
              <w:spacing w:line="320" w:lineRule="exact"/>
              <w:jc w:val="both"/>
              <w:rPr>
                <w:rFonts w:ascii="Times New Roman" w:hAnsi="Times New Roman" w:eastAsia="宋体" w:cs="宋体"/>
                <w:bCs/>
                <w:kern w:val="2"/>
                <w:sz w:val="21"/>
                <w:szCs w:val="21"/>
              </w:rPr>
            </w:pPr>
          </w:p>
        </w:tc>
        <w:tc>
          <w:tcPr>
            <w:tcW w:w="914" w:type="dxa"/>
            <w:shd w:val="clear" w:color="auto" w:fill="auto"/>
            <w:vAlign w:val="center"/>
          </w:tcPr>
          <w:p w14:paraId="161EBF2B">
            <w:pPr>
              <w:widowControl w:val="0"/>
              <w:spacing w:line="320" w:lineRule="exact"/>
              <w:jc w:val="center"/>
              <w:rPr>
                <w:rFonts w:ascii="Times New Roman" w:hAnsi="Times New Roman" w:eastAsia="宋体" w:cs="宋体"/>
                <w:bCs/>
                <w:kern w:val="2"/>
                <w:sz w:val="21"/>
                <w:szCs w:val="21"/>
              </w:rPr>
            </w:pPr>
            <w:r>
              <w:rPr>
                <w:rFonts w:hint="eastAsia" w:ascii="Times New Roman" w:hAnsi="Times New Roman" w:eastAsia="宋体" w:cs="宋体"/>
                <w:bCs/>
                <w:kern w:val="2"/>
                <w:sz w:val="21"/>
                <w:szCs w:val="21"/>
              </w:rPr>
              <w:t>12</w:t>
            </w:r>
          </w:p>
        </w:tc>
        <w:tc>
          <w:tcPr>
            <w:tcW w:w="5645" w:type="dxa"/>
            <w:shd w:val="clear" w:color="auto" w:fill="auto"/>
            <w:vAlign w:val="center"/>
          </w:tcPr>
          <w:p w14:paraId="349884A7">
            <w:pPr>
              <w:widowControl w:val="0"/>
              <w:tabs>
                <w:tab w:val="left" w:pos="547"/>
              </w:tabs>
              <w:spacing w:line="320" w:lineRule="exact"/>
              <w:ind w:firstLine="422"/>
              <w:jc w:val="both"/>
              <w:rPr>
                <w:rFonts w:ascii="Times New Roman" w:hAnsi="Times New Roman" w:eastAsia="宋体" w:cs="宋体"/>
                <w:b/>
                <w:color w:val="C00000"/>
                <w:kern w:val="2"/>
                <w:sz w:val="21"/>
                <w:szCs w:val="21"/>
              </w:rPr>
            </w:pPr>
            <w:r>
              <w:rPr>
                <w:rFonts w:hint="eastAsia" w:ascii="Times New Roman" w:hAnsi="Times New Roman" w:eastAsia="宋体" w:cs="宋体"/>
                <w:b/>
                <w:bCs/>
                <w:color w:val="C00000"/>
                <w:kern w:val="2"/>
                <w:sz w:val="21"/>
                <w:szCs w:val="21"/>
                <w:lang w:bidi="ar"/>
              </w:rPr>
              <w:t>项目实施方案</w:t>
            </w:r>
            <w:r>
              <w:rPr>
                <w:rFonts w:ascii="Times New Roman" w:hAnsi="Times New Roman" w:eastAsia="宋体" w:cs="宋体"/>
                <w:b/>
                <w:color w:val="C00000"/>
                <w:kern w:val="2"/>
                <w:sz w:val="21"/>
                <w:szCs w:val="21"/>
              </w:rPr>
              <w:t>：</w:t>
            </w:r>
          </w:p>
          <w:p w14:paraId="5A25BEB4">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一、评审内容</w:t>
            </w:r>
          </w:p>
          <w:p w14:paraId="7511D688">
            <w:pPr>
              <w:widowControl w:val="0"/>
              <w:tabs>
                <w:tab w:val="left" w:pos="547"/>
              </w:tabs>
              <w:spacing w:line="320" w:lineRule="exact"/>
              <w:ind w:firstLine="420" w:firstLineChars="200"/>
              <w:jc w:val="both"/>
              <w:rPr>
                <w:rFonts w:ascii="Times New Roman" w:hAnsi="Times New Roman" w:eastAsia="宋体" w:cs="宋体"/>
                <w:color w:val="FF0000"/>
                <w:kern w:val="2"/>
                <w:sz w:val="21"/>
                <w:szCs w:val="21"/>
              </w:rPr>
            </w:pPr>
            <w:r>
              <w:rPr>
                <w:rFonts w:hint="eastAsia" w:ascii="Times New Roman" w:hAnsi="Times New Roman" w:eastAsia="宋体" w:cs="宋体"/>
                <w:kern w:val="2"/>
                <w:sz w:val="21"/>
                <w:szCs w:val="21"/>
              </w:rPr>
              <w:t>提出针对于本项目的分项服务实施</w:t>
            </w:r>
            <w:r>
              <w:rPr>
                <w:rFonts w:hint="eastAsia" w:ascii="Times New Roman" w:hAnsi="Times New Roman" w:eastAsia="宋体" w:cs="宋体"/>
                <w:bCs/>
                <w:kern w:val="2"/>
                <w:sz w:val="21"/>
                <w:szCs w:val="21"/>
              </w:rPr>
              <w:t>方案</w:t>
            </w:r>
            <w:r>
              <w:rPr>
                <w:rFonts w:hint="eastAsia" w:ascii="Times New Roman" w:hAnsi="Times New Roman" w:eastAsia="宋体" w:cs="宋体"/>
                <w:kern w:val="2"/>
                <w:sz w:val="21"/>
                <w:szCs w:val="21"/>
              </w:rPr>
              <w:t>，方案内容包含：①交接方案②人员培训方案③人员稳定方案④保密</w:t>
            </w:r>
            <w:r>
              <w:rPr>
                <w:rFonts w:ascii="Times New Roman" w:hAnsi="Times New Roman" w:eastAsia="宋体" w:cs="宋体"/>
                <w:kern w:val="2"/>
                <w:sz w:val="21"/>
                <w:szCs w:val="21"/>
              </w:rPr>
              <w:t>方案</w:t>
            </w:r>
            <w:r>
              <w:rPr>
                <w:rFonts w:hint="eastAsia" w:ascii="Times New Roman" w:hAnsi="Times New Roman" w:eastAsia="宋体" w:cs="宋体"/>
                <w:kern w:val="2"/>
                <w:sz w:val="21"/>
                <w:szCs w:val="21"/>
              </w:rPr>
              <w:t>。</w:t>
            </w:r>
          </w:p>
          <w:p w14:paraId="486002C3">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二、评审标准</w:t>
            </w:r>
          </w:p>
          <w:p w14:paraId="2656C749">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1、完整性：方案须全面，对评审内容中的各项要求有详细描述及说明；</w:t>
            </w:r>
          </w:p>
          <w:p w14:paraId="6A280A31">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2、可实施性：实施步骤清晰</w:t>
            </w:r>
            <w:r>
              <w:rPr>
                <w:rFonts w:ascii="Times New Roman" w:hAnsi="Times New Roman" w:eastAsia="宋体" w:cs="宋体"/>
                <w:kern w:val="2"/>
                <w:sz w:val="21"/>
                <w:szCs w:val="21"/>
              </w:rPr>
              <w:t>、</w:t>
            </w:r>
            <w:r>
              <w:rPr>
                <w:rFonts w:hint="eastAsia" w:ascii="Times New Roman" w:hAnsi="Times New Roman" w:eastAsia="宋体" w:cs="宋体"/>
                <w:kern w:val="2"/>
                <w:sz w:val="21"/>
                <w:szCs w:val="21"/>
              </w:rPr>
              <w:t>合理，可操作性强；</w:t>
            </w:r>
          </w:p>
          <w:p w14:paraId="1D1BEF5E">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3、针对性：方案能够紧扣项目实际情况，内容科学合理。</w:t>
            </w:r>
          </w:p>
          <w:p w14:paraId="53BA9C66">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三、赋分标准（满分</w:t>
            </w:r>
            <w:r>
              <w:rPr>
                <w:rFonts w:ascii="Times New Roman" w:hAnsi="Times New Roman" w:eastAsia="宋体" w:cs="宋体"/>
                <w:kern w:val="2"/>
                <w:sz w:val="21"/>
                <w:szCs w:val="21"/>
              </w:rPr>
              <w:t>12</w:t>
            </w:r>
            <w:r>
              <w:rPr>
                <w:rFonts w:hint="eastAsia" w:ascii="Times New Roman" w:hAnsi="Times New Roman" w:eastAsia="宋体" w:cs="宋体"/>
                <w:kern w:val="2"/>
                <w:sz w:val="21"/>
                <w:szCs w:val="21"/>
              </w:rPr>
              <w:t>分）</w:t>
            </w:r>
          </w:p>
          <w:p w14:paraId="390ED830">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①交接方案：每完全满足一项评审标准得1分，满分3分；</w:t>
            </w:r>
          </w:p>
          <w:p w14:paraId="098868D5">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②人员培训方案：每完全满足一项评审标准得1分，满分3分；</w:t>
            </w:r>
          </w:p>
          <w:p w14:paraId="512A5A1E">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③人员稳定方案：每完全满足一项评审标准得1分，满分3分；</w:t>
            </w:r>
          </w:p>
          <w:p w14:paraId="60D00737">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④保密</w:t>
            </w:r>
            <w:r>
              <w:rPr>
                <w:rFonts w:ascii="Times New Roman" w:hAnsi="Times New Roman" w:eastAsia="宋体" w:cs="宋体"/>
                <w:kern w:val="2"/>
                <w:sz w:val="21"/>
                <w:szCs w:val="21"/>
              </w:rPr>
              <w:t>方案</w:t>
            </w:r>
            <w:r>
              <w:rPr>
                <w:rFonts w:hint="eastAsia" w:ascii="Times New Roman" w:hAnsi="Times New Roman" w:eastAsia="宋体" w:cs="宋体"/>
                <w:kern w:val="2"/>
                <w:sz w:val="21"/>
                <w:szCs w:val="21"/>
              </w:rPr>
              <w:t>：每完全满足一项评审标准得1分，满分3分。</w:t>
            </w:r>
          </w:p>
        </w:tc>
        <w:tc>
          <w:tcPr>
            <w:tcW w:w="1418" w:type="dxa"/>
            <w:vMerge w:val="continue"/>
            <w:shd w:val="clear" w:color="auto" w:fill="auto"/>
            <w:vAlign w:val="center"/>
          </w:tcPr>
          <w:p w14:paraId="27B1AC6A">
            <w:pPr>
              <w:widowControl w:val="0"/>
              <w:spacing w:line="320" w:lineRule="exact"/>
              <w:jc w:val="both"/>
              <w:rPr>
                <w:rFonts w:ascii="Times New Roman" w:hAnsi="Times New Roman" w:eastAsia="宋体" w:cs="宋体"/>
                <w:bCs/>
                <w:color w:val="C00000"/>
                <w:kern w:val="2"/>
                <w:sz w:val="21"/>
                <w:szCs w:val="21"/>
              </w:rPr>
            </w:pPr>
          </w:p>
        </w:tc>
      </w:tr>
      <w:tr w14:paraId="050E2C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5D655FC3">
            <w:pPr>
              <w:widowControl w:val="0"/>
              <w:spacing w:line="320" w:lineRule="exact"/>
              <w:jc w:val="both"/>
              <w:rPr>
                <w:rFonts w:ascii="Times New Roman" w:hAnsi="Times New Roman" w:eastAsia="宋体" w:cs="宋体"/>
                <w:b/>
                <w:kern w:val="2"/>
                <w:sz w:val="21"/>
                <w:szCs w:val="21"/>
              </w:rPr>
            </w:pPr>
          </w:p>
        </w:tc>
        <w:tc>
          <w:tcPr>
            <w:tcW w:w="750" w:type="dxa"/>
            <w:vMerge w:val="continue"/>
            <w:shd w:val="clear" w:color="auto" w:fill="auto"/>
            <w:vAlign w:val="center"/>
          </w:tcPr>
          <w:p w14:paraId="151793A9">
            <w:pPr>
              <w:widowControl w:val="0"/>
              <w:spacing w:line="320" w:lineRule="exact"/>
              <w:jc w:val="both"/>
              <w:rPr>
                <w:rFonts w:ascii="Times New Roman" w:hAnsi="Times New Roman" w:eastAsia="宋体" w:cs="宋体"/>
                <w:bCs/>
                <w:kern w:val="2"/>
                <w:sz w:val="21"/>
                <w:szCs w:val="21"/>
              </w:rPr>
            </w:pPr>
          </w:p>
        </w:tc>
        <w:tc>
          <w:tcPr>
            <w:tcW w:w="914" w:type="dxa"/>
            <w:shd w:val="clear" w:color="auto" w:fill="auto"/>
            <w:vAlign w:val="center"/>
          </w:tcPr>
          <w:p w14:paraId="44886960">
            <w:pPr>
              <w:widowControl w:val="0"/>
              <w:spacing w:line="320" w:lineRule="exact"/>
              <w:jc w:val="center"/>
              <w:rPr>
                <w:rFonts w:ascii="Times New Roman" w:hAnsi="Times New Roman" w:eastAsia="宋体" w:cs="宋体"/>
                <w:bCs/>
                <w:kern w:val="2"/>
                <w:sz w:val="21"/>
                <w:szCs w:val="21"/>
              </w:rPr>
            </w:pPr>
            <w:r>
              <w:rPr>
                <w:rFonts w:hint="eastAsia" w:ascii="Times New Roman" w:hAnsi="Times New Roman" w:eastAsia="宋体" w:cs="宋体"/>
                <w:bCs/>
                <w:kern w:val="2"/>
                <w:sz w:val="21"/>
                <w:szCs w:val="21"/>
              </w:rPr>
              <w:t>6</w:t>
            </w:r>
          </w:p>
        </w:tc>
        <w:tc>
          <w:tcPr>
            <w:tcW w:w="5645" w:type="dxa"/>
            <w:shd w:val="clear" w:color="auto" w:fill="auto"/>
            <w:vAlign w:val="center"/>
          </w:tcPr>
          <w:p w14:paraId="403F5D72">
            <w:pPr>
              <w:widowControl w:val="0"/>
              <w:spacing w:line="320" w:lineRule="exact"/>
              <w:ind w:firstLine="422"/>
              <w:jc w:val="both"/>
              <w:rPr>
                <w:rFonts w:ascii="Times New Roman" w:hAnsi="Times New Roman" w:eastAsia="宋体" w:cs="Calibri"/>
                <w:b/>
                <w:color w:val="C00000"/>
                <w:kern w:val="2"/>
                <w:sz w:val="21"/>
                <w:szCs w:val="21"/>
              </w:rPr>
            </w:pPr>
            <w:r>
              <w:rPr>
                <w:rFonts w:hint="eastAsia" w:ascii="Times New Roman" w:hAnsi="Times New Roman" w:eastAsia="宋体" w:cs="Calibri"/>
                <w:b/>
                <w:color w:val="C00000"/>
                <w:kern w:val="2"/>
                <w:sz w:val="21"/>
                <w:szCs w:val="21"/>
              </w:rPr>
              <w:t>应急预案</w:t>
            </w:r>
            <w:r>
              <w:rPr>
                <w:rFonts w:ascii="Times New Roman" w:hAnsi="Times New Roman" w:eastAsia="宋体" w:cs="Calibri"/>
                <w:b/>
                <w:color w:val="C00000"/>
                <w:kern w:val="2"/>
                <w:sz w:val="21"/>
                <w:szCs w:val="21"/>
              </w:rPr>
              <w:t>：</w:t>
            </w:r>
            <w:r>
              <w:rPr>
                <w:rFonts w:hint="eastAsia" w:ascii="Times New Roman" w:hAnsi="Times New Roman" w:eastAsia="宋体" w:cs="Calibri"/>
                <w:b/>
                <w:color w:val="C00000"/>
                <w:kern w:val="2"/>
                <w:sz w:val="21"/>
                <w:szCs w:val="21"/>
              </w:rPr>
              <w:t xml:space="preserve"> </w:t>
            </w:r>
          </w:p>
          <w:p w14:paraId="59F0A286">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一、评审内容</w:t>
            </w:r>
          </w:p>
          <w:p w14:paraId="7F97CCC9">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提供针对本项目的应急方案，方案内容包含：①突发事件、治安消防、</w:t>
            </w:r>
            <w:r>
              <w:rPr>
                <w:rFonts w:ascii="Times New Roman" w:hAnsi="Times New Roman" w:eastAsia="宋体" w:cs="宋体"/>
                <w:kern w:val="2"/>
                <w:sz w:val="21"/>
                <w:szCs w:val="21"/>
              </w:rPr>
              <w:t>车辆安全</w:t>
            </w:r>
            <w:r>
              <w:rPr>
                <w:rFonts w:hint="eastAsia" w:ascii="Times New Roman" w:hAnsi="Times New Roman" w:eastAsia="宋体" w:cs="宋体"/>
                <w:kern w:val="2"/>
                <w:sz w:val="21"/>
                <w:szCs w:val="21"/>
              </w:rPr>
              <w:t>管理预案②极端天气及灾害应急</w:t>
            </w:r>
            <w:r>
              <w:rPr>
                <w:rFonts w:ascii="Times New Roman" w:hAnsi="Times New Roman" w:eastAsia="宋体"/>
                <w:spacing w:val="8"/>
                <w:kern w:val="2"/>
                <w:sz w:val="21"/>
                <w:szCs w:val="21"/>
              </w:rPr>
              <w:t>预案</w:t>
            </w:r>
            <w:r>
              <w:rPr>
                <w:rFonts w:hint="eastAsia" w:ascii="Times New Roman" w:hAnsi="Times New Roman" w:eastAsia="宋体" w:cs="宋体"/>
                <w:kern w:val="2"/>
                <w:sz w:val="21"/>
                <w:szCs w:val="21"/>
              </w:rPr>
              <w:t>③</w:t>
            </w:r>
            <w:r>
              <w:rPr>
                <w:rFonts w:hint="eastAsia" w:ascii="Times New Roman" w:hAnsi="Times New Roman" w:eastAsia="宋体"/>
                <w:spacing w:val="8"/>
                <w:kern w:val="2"/>
                <w:sz w:val="21"/>
                <w:szCs w:val="21"/>
              </w:rPr>
              <w:t>节假日</w:t>
            </w:r>
            <w:r>
              <w:rPr>
                <w:rFonts w:ascii="Times New Roman" w:hAnsi="Times New Roman" w:eastAsia="宋体"/>
                <w:spacing w:val="8"/>
                <w:kern w:val="2"/>
                <w:sz w:val="21"/>
                <w:szCs w:val="21"/>
              </w:rPr>
              <w:t>及临时性活动</w:t>
            </w:r>
            <w:r>
              <w:rPr>
                <w:rFonts w:hint="eastAsia" w:ascii="Times New Roman" w:hAnsi="Times New Roman" w:eastAsia="宋体"/>
                <w:spacing w:val="8"/>
                <w:kern w:val="2"/>
                <w:sz w:val="21"/>
                <w:szCs w:val="21"/>
              </w:rPr>
              <w:t>保障</w:t>
            </w:r>
            <w:r>
              <w:rPr>
                <w:rFonts w:ascii="Times New Roman" w:hAnsi="Times New Roman" w:eastAsia="宋体"/>
                <w:spacing w:val="8"/>
                <w:kern w:val="2"/>
                <w:sz w:val="21"/>
                <w:szCs w:val="21"/>
              </w:rPr>
              <w:t>方案</w:t>
            </w:r>
            <w:r>
              <w:rPr>
                <w:rFonts w:ascii="Times New Roman" w:hAnsi="Times New Roman" w:eastAsia="宋体" w:cs="宋体"/>
                <w:kern w:val="2"/>
                <w:sz w:val="21"/>
                <w:szCs w:val="21"/>
              </w:rPr>
              <w:t>。</w:t>
            </w:r>
          </w:p>
          <w:p w14:paraId="7D98409D">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二、评审标准</w:t>
            </w:r>
          </w:p>
          <w:p w14:paraId="54F3C224">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1、完整性：方案须全面，对评审内容中的各项要求有详细描述及说明；</w:t>
            </w:r>
          </w:p>
          <w:p w14:paraId="266BC9B4">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2、可实施性：实施步骤清晰</w:t>
            </w:r>
            <w:r>
              <w:rPr>
                <w:rFonts w:ascii="Times New Roman" w:hAnsi="Times New Roman" w:eastAsia="宋体" w:cs="宋体"/>
                <w:kern w:val="2"/>
                <w:sz w:val="21"/>
                <w:szCs w:val="21"/>
              </w:rPr>
              <w:t>、</w:t>
            </w:r>
            <w:r>
              <w:rPr>
                <w:rFonts w:hint="eastAsia" w:ascii="Times New Roman" w:hAnsi="Times New Roman" w:eastAsia="宋体" w:cs="宋体"/>
                <w:kern w:val="2"/>
                <w:sz w:val="21"/>
                <w:szCs w:val="21"/>
              </w:rPr>
              <w:t>合理，可操作性强；</w:t>
            </w:r>
          </w:p>
          <w:p w14:paraId="1025C414">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3、针对性：方案能够紧扣项目实际情况，内容科学合理。</w:t>
            </w:r>
          </w:p>
          <w:p w14:paraId="13DFE3E6">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三、赋分标准（满分6分）</w:t>
            </w:r>
          </w:p>
          <w:p w14:paraId="0F369D9D">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①突发事件、治安消防、</w:t>
            </w:r>
            <w:r>
              <w:rPr>
                <w:rFonts w:ascii="Times New Roman" w:hAnsi="Times New Roman" w:eastAsia="宋体" w:cs="宋体"/>
                <w:kern w:val="2"/>
                <w:sz w:val="21"/>
                <w:szCs w:val="21"/>
              </w:rPr>
              <w:t>车辆安全</w:t>
            </w:r>
            <w:r>
              <w:rPr>
                <w:rFonts w:hint="eastAsia" w:ascii="Times New Roman" w:hAnsi="Times New Roman" w:eastAsia="宋体" w:cs="宋体"/>
                <w:kern w:val="2"/>
                <w:sz w:val="21"/>
                <w:szCs w:val="21"/>
              </w:rPr>
              <w:t>管理预案：每完全满足一项评审标准得1分，满分3分；</w:t>
            </w:r>
          </w:p>
          <w:p w14:paraId="3D494635">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②极端天气及灾害应急</w:t>
            </w:r>
            <w:r>
              <w:rPr>
                <w:rFonts w:ascii="Times New Roman" w:hAnsi="Times New Roman" w:eastAsia="宋体"/>
                <w:spacing w:val="8"/>
                <w:kern w:val="2"/>
                <w:sz w:val="21"/>
                <w:szCs w:val="21"/>
              </w:rPr>
              <w:t>预案</w:t>
            </w:r>
            <w:r>
              <w:rPr>
                <w:rFonts w:hint="eastAsia" w:ascii="Times New Roman" w:hAnsi="Times New Roman" w:eastAsia="宋体" w:cs="宋体"/>
                <w:kern w:val="2"/>
                <w:sz w:val="21"/>
                <w:szCs w:val="21"/>
              </w:rPr>
              <w:t>：每完全满足一项评审标准得0.5分，满分1.5分;</w:t>
            </w:r>
          </w:p>
          <w:p w14:paraId="3F17459B">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③</w:t>
            </w:r>
            <w:r>
              <w:rPr>
                <w:rFonts w:hint="eastAsia" w:ascii="Times New Roman" w:hAnsi="Times New Roman" w:eastAsia="宋体"/>
                <w:spacing w:val="8"/>
                <w:kern w:val="2"/>
                <w:sz w:val="21"/>
                <w:szCs w:val="21"/>
              </w:rPr>
              <w:t>节假日</w:t>
            </w:r>
            <w:r>
              <w:rPr>
                <w:rFonts w:ascii="Times New Roman" w:hAnsi="Times New Roman" w:eastAsia="宋体"/>
                <w:spacing w:val="8"/>
                <w:kern w:val="2"/>
                <w:sz w:val="21"/>
                <w:szCs w:val="21"/>
              </w:rPr>
              <w:t>及临时性活动</w:t>
            </w:r>
            <w:r>
              <w:rPr>
                <w:rFonts w:hint="eastAsia" w:ascii="Times New Roman" w:hAnsi="Times New Roman" w:eastAsia="宋体"/>
                <w:spacing w:val="8"/>
                <w:kern w:val="2"/>
                <w:sz w:val="21"/>
                <w:szCs w:val="21"/>
              </w:rPr>
              <w:t>保障</w:t>
            </w:r>
            <w:r>
              <w:rPr>
                <w:rFonts w:ascii="Times New Roman" w:hAnsi="Times New Roman" w:eastAsia="宋体"/>
                <w:spacing w:val="8"/>
                <w:kern w:val="2"/>
                <w:sz w:val="21"/>
                <w:szCs w:val="21"/>
              </w:rPr>
              <w:t>方案</w:t>
            </w:r>
            <w:r>
              <w:rPr>
                <w:rFonts w:hint="eastAsia" w:ascii="Times New Roman" w:hAnsi="Times New Roman" w:eastAsia="宋体" w:cs="宋体"/>
                <w:kern w:val="2"/>
                <w:sz w:val="21"/>
                <w:szCs w:val="21"/>
              </w:rPr>
              <w:t>：每完全满足一项评审标准得0.5分，满分1.5分。</w:t>
            </w:r>
          </w:p>
        </w:tc>
        <w:tc>
          <w:tcPr>
            <w:tcW w:w="1418" w:type="dxa"/>
            <w:vMerge w:val="continue"/>
            <w:shd w:val="clear" w:color="auto" w:fill="auto"/>
            <w:vAlign w:val="center"/>
          </w:tcPr>
          <w:p w14:paraId="7AD629CA">
            <w:pPr>
              <w:widowControl w:val="0"/>
              <w:spacing w:line="320" w:lineRule="exact"/>
              <w:jc w:val="both"/>
              <w:rPr>
                <w:rFonts w:ascii="Times New Roman" w:hAnsi="Times New Roman" w:eastAsia="宋体" w:cs="宋体"/>
                <w:bCs/>
                <w:color w:val="FF0000"/>
                <w:kern w:val="2"/>
                <w:sz w:val="21"/>
                <w:szCs w:val="21"/>
              </w:rPr>
            </w:pPr>
          </w:p>
        </w:tc>
      </w:tr>
      <w:tr w14:paraId="63444B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4" w:hRule="atLeast"/>
          <w:jc w:val="center"/>
        </w:trPr>
        <w:tc>
          <w:tcPr>
            <w:tcW w:w="756" w:type="dxa"/>
            <w:vMerge w:val="restart"/>
            <w:shd w:val="clear" w:color="auto" w:fill="auto"/>
            <w:vAlign w:val="center"/>
          </w:tcPr>
          <w:p w14:paraId="3ABBAE54">
            <w:pPr>
              <w:widowControl w:val="0"/>
              <w:spacing w:line="320" w:lineRule="exact"/>
              <w:jc w:val="both"/>
              <w:rPr>
                <w:rFonts w:ascii="Times New Roman" w:hAnsi="Times New Roman" w:eastAsia="宋体" w:cs="宋体"/>
                <w:bCs/>
                <w:kern w:val="2"/>
                <w:sz w:val="21"/>
                <w:szCs w:val="21"/>
              </w:rPr>
            </w:pPr>
            <w:r>
              <w:rPr>
                <w:rFonts w:ascii="Times New Roman" w:hAnsi="Times New Roman" w:eastAsia="宋体" w:cs="宋体"/>
                <w:bCs/>
                <w:kern w:val="2"/>
                <w:sz w:val="21"/>
                <w:szCs w:val="21"/>
              </w:rPr>
              <w:t>商务</w:t>
            </w:r>
          </w:p>
          <w:p w14:paraId="4D1B9280">
            <w:pPr>
              <w:widowControl w:val="0"/>
              <w:spacing w:line="320" w:lineRule="exact"/>
              <w:jc w:val="both"/>
              <w:rPr>
                <w:rFonts w:ascii="Times New Roman" w:hAnsi="Times New Roman" w:eastAsia="宋体" w:cs="宋体"/>
                <w:b/>
                <w:kern w:val="2"/>
                <w:sz w:val="21"/>
                <w:szCs w:val="21"/>
              </w:rPr>
            </w:pPr>
            <w:r>
              <w:rPr>
                <w:rFonts w:ascii="Times New Roman" w:hAnsi="Times New Roman" w:eastAsia="宋体" w:cs="宋体"/>
                <w:bCs/>
                <w:kern w:val="2"/>
                <w:sz w:val="21"/>
                <w:szCs w:val="21"/>
              </w:rPr>
              <w:t>部分</w:t>
            </w:r>
          </w:p>
        </w:tc>
        <w:tc>
          <w:tcPr>
            <w:tcW w:w="750" w:type="dxa"/>
            <w:vMerge w:val="restart"/>
            <w:shd w:val="clear" w:color="auto" w:fill="auto"/>
            <w:vAlign w:val="center"/>
          </w:tcPr>
          <w:p w14:paraId="35D00501">
            <w:pPr>
              <w:widowControl w:val="0"/>
              <w:spacing w:line="320" w:lineRule="exact"/>
              <w:jc w:val="both"/>
              <w:rPr>
                <w:rFonts w:ascii="Times New Roman" w:hAnsi="Times New Roman" w:eastAsia="宋体" w:cs="宋体"/>
                <w:bCs/>
                <w:kern w:val="2"/>
                <w:sz w:val="21"/>
                <w:szCs w:val="21"/>
              </w:rPr>
            </w:pPr>
            <w:r>
              <w:rPr>
                <w:rFonts w:ascii="Times New Roman" w:hAnsi="Times New Roman" w:eastAsia="宋体" w:cs="宋体"/>
                <w:bCs/>
                <w:kern w:val="2"/>
                <w:sz w:val="21"/>
                <w:szCs w:val="21"/>
              </w:rPr>
              <w:t>37</w:t>
            </w:r>
          </w:p>
        </w:tc>
        <w:tc>
          <w:tcPr>
            <w:tcW w:w="914" w:type="dxa"/>
            <w:shd w:val="clear" w:color="auto" w:fill="auto"/>
            <w:vAlign w:val="center"/>
          </w:tcPr>
          <w:p w14:paraId="085CBC4D">
            <w:pPr>
              <w:widowControl w:val="0"/>
              <w:spacing w:line="320" w:lineRule="exact"/>
              <w:jc w:val="center"/>
              <w:rPr>
                <w:rFonts w:ascii="Times New Roman" w:hAnsi="Times New Roman" w:eastAsia="宋体" w:cs="宋体"/>
                <w:bCs/>
                <w:kern w:val="2"/>
                <w:sz w:val="21"/>
                <w:szCs w:val="21"/>
              </w:rPr>
            </w:pPr>
            <w:r>
              <w:rPr>
                <w:rFonts w:ascii="Times New Roman" w:hAnsi="Times New Roman" w:eastAsia="宋体" w:cs="宋体"/>
                <w:bCs/>
                <w:kern w:val="2"/>
                <w:sz w:val="21"/>
                <w:szCs w:val="21"/>
              </w:rPr>
              <w:t>5</w:t>
            </w:r>
          </w:p>
        </w:tc>
        <w:tc>
          <w:tcPr>
            <w:tcW w:w="5645" w:type="dxa"/>
            <w:shd w:val="clear" w:color="auto" w:fill="auto"/>
            <w:vAlign w:val="center"/>
          </w:tcPr>
          <w:p w14:paraId="68B08DA4">
            <w:pPr>
              <w:widowControl w:val="0"/>
              <w:ind w:firstLine="420" w:firstLineChars="200"/>
              <w:jc w:val="both"/>
              <w:rPr>
                <w:rFonts w:ascii="Times New Roman" w:hAnsi="Times New Roman" w:eastAsia="宋体" w:cs="宋体"/>
                <w:b/>
                <w:bCs/>
                <w:color w:val="C00000"/>
                <w:kern w:val="2"/>
                <w:sz w:val="21"/>
                <w:szCs w:val="21"/>
                <w:lang w:bidi="ar"/>
              </w:rPr>
            </w:pPr>
            <w:r>
              <w:rPr>
                <w:rFonts w:hint="eastAsia" w:ascii="Times New Roman" w:hAnsi="Times New Roman" w:eastAsia="宋体" w:cs="宋体"/>
                <w:b/>
                <w:bCs/>
                <w:color w:val="C00000"/>
                <w:kern w:val="2"/>
                <w:sz w:val="21"/>
                <w:szCs w:val="21"/>
                <w:lang w:bidi="ar"/>
              </w:rPr>
              <w:t>管理体系</w:t>
            </w:r>
            <w:r>
              <w:rPr>
                <w:rFonts w:ascii="Times New Roman" w:hAnsi="Times New Roman" w:eastAsia="宋体" w:cs="宋体"/>
                <w:b/>
                <w:bCs/>
                <w:color w:val="C00000"/>
                <w:kern w:val="2"/>
                <w:sz w:val="21"/>
                <w:szCs w:val="21"/>
                <w:lang w:bidi="ar"/>
              </w:rPr>
              <w:t>：</w:t>
            </w:r>
          </w:p>
          <w:p w14:paraId="491E890B">
            <w:pPr>
              <w:widowControl w:val="0"/>
              <w:spacing w:line="320" w:lineRule="exact"/>
              <w:ind w:firstLine="420" w:firstLineChars="200"/>
              <w:jc w:val="both"/>
              <w:rPr>
                <w:rFonts w:ascii="Times New Roman" w:hAnsi="Times New Roman" w:eastAsia="宋体" w:cs="宋体"/>
                <w:kern w:val="2"/>
                <w:sz w:val="21"/>
                <w:szCs w:val="21"/>
              </w:rPr>
            </w:pPr>
            <w:r>
              <w:rPr>
                <w:rFonts w:hint="eastAsia" w:ascii="宋体" w:hAnsi="宋体" w:eastAsia="宋体" w:cs="Cambria"/>
                <w:kern w:val="2"/>
                <w:sz w:val="21"/>
                <w:szCs w:val="21"/>
              </w:rPr>
              <w:t>供应商具有有效的质量管理体系认证证书、环境管理体系认证证书、职业健康安全管理体系认证证书。</w:t>
            </w:r>
            <w:r>
              <w:rPr>
                <w:rFonts w:hint="eastAsia" w:ascii="Times New Roman" w:hAnsi="Times New Roman" w:eastAsia="宋体" w:cs="宋体"/>
                <w:kern w:val="2"/>
                <w:sz w:val="21"/>
                <w:szCs w:val="21"/>
              </w:rPr>
              <w:t>全部提供计</w:t>
            </w:r>
            <w:r>
              <w:rPr>
                <w:rFonts w:ascii="Times New Roman" w:hAnsi="Times New Roman" w:eastAsia="宋体" w:cs="宋体"/>
                <w:kern w:val="2"/>
                <w:sz w:val="21"/>
                <w:szCs w:val="21"/>
              </w:rPr>
              <w:t>5</w:t>
            </w:r>
            <w:r>
              <w:rPr>
                <w:rFonts w:hint="eastAsia" w:ascii="Times New Roman" w:hAnsi="Times New Roman" w:eastAsia="宋体" w:cs="宋体"/>
                <w:kern w:val="2"/>
                <w:sz w:val="21"/>
                <w:szCs w:val="21"/>
              </w:rPr>
              <w:t>分，不提供或者提供不全计0分。</w:t>
            </w:r>
          </w:p>
        </w:tc>
        <w:tc>
          <w:tcPr>
            <w:tcW w:w="1418" w:type="dxa"/>
            <w:vMerge w:val="restart"/>
            <w:shd w:val="clear" w:color="auto" w:fill="auto"/>
            <w:vAlign w:val="center"/>
          </w:tcPr>
          <w:p w14:paraId="337C4E34">
            <w:pPr>
              <w:widowControl w:val="0"/>
              <w:spacing w:line="320" w:lineRule="exact"/>
              <w:jc w:val="both"/>
              <w:rPr>
                <w:rFonts w:ascii="Times New Roman" w:hAnsi="Times New Roman" w:eastAsia="宋体" w:cs="宋体"/>
                <w:bCs/>
                <w:color w:val="FF0000"/>
                <w:kern w:val="2"/>
                <w:sz w:val="21"/>
                <w:szCs w:val="21"/>
              </w:rPr>
            </w:pPr>
          </w:p>
          <w:p w14:paraId="42D0E740">
            <w:pPr>
              <w:widowControl w:val="0"/>
              <w:spacing w:line="320" w:lineRule="exact"/>
              <w:jc w:val="both"/>
              <w:rPr>
                <w:rFonts w:ascii="Times New Roman" w:hAnsi="Times New Roman" w:eastAsia="宋体" w:cs="宋体"/>
                <w:bCs/>
                <w:color w:val="FF0000"/>
                <w:kern w:val="2"/>
                <w:sz w:val="21"/>
                <w:szCs w:val="21"/>
              </w:rPr>
            </w:pPr>
          </w:p>
        </w:tc>
      </w:tr>
      <w:tr w14:paraId="31A952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4" w:hRule="atLeast"/>
          <w:jc w:val="center"/>
        </w:trPr>
        <w:tc>
          <w:tcPr>
            <w:tcW w:w="756" w:type="dxa"/>
            <w:vMerge w:val="continue"/>
            <w:shd w:val="clear" w:color="auto" w:fill="auto"/>
            <w:vAlign w:val="center"/>
          </w:tcPr>
          <w:p w14:paraId="3DB2722E">
            <w:pPr>
              <w:widowControl w:val="0"/>
              <w:spacing w:line="320" w:lineRule="exact"/>
              <w:jc w:val="both"/>
              <w:rPr>
                <w:rFonts w:ascii="Times New Roman" w:hAnsi="Times New Roman" w:eastAsia="宋体" w:cs="宋体"/>
                <w:bCs/>
                <w:kern w:val="2"/>
                <w:sz w:val="21"/>
                <w:szCs w:val="21"/>
              </w:rPr>
            </w:pPr>
          </w:p>
        </w:tc>
        <w:tc>
          <w:tcPr>
            <w:tcW w:w="750" w:type="dxa"/>
            <w:vMerge w:val="continue"/>
            <w:shd w:val="clear" w:color="auto" w:fill="auto"/>
            <w:vAlign w:val="center"/>
          </w:tcPr>
          <w:p w14:paraId="01D312FA">
            <w:pPr>
              <w:widowControl w:val="0"/>
              <w:spacing w:line="320" w:lineRule="exact"/>
              <w:jc w:val="both"/>
              <w:rPr>
                <w:rFonts w:ascii="Times New Roman" w:hAnsi="Times New Roman" w:eastAsia="宋体" w:cs="宋体"/>
                <w:bCs/>
                <w:kern w:val="2"/>
                <w:sz w:val="21"/>
                <w:szCs w:val="21"/>
              </w:rPr>
            </w:pPr>
          </w:p>
        </w:tc>
        <w:tc>
          <w:tcPr>
            <w:tcW w:w="914" w:type="dxa"/>
            <w:shd w:val="clear" w:color="auto" w:fill="auto"/>
            <w:vAlign w:val="center"/>
          </w:tcPr>
          <w:p w14:paraId="198BA025">
            <w:pPr>
              <w:widowControl w:val="0"/>
              <w:spacing w:line="320" w:lineRule="exact"/>
              <w:jc w:val="center"/>
              <w:rPr>
                <w:rFonts w:ascii="Times New Roman" w:hAnsi="Times New Roman" w:eastAsia="宋体" w:cs="宋体"/>
                <w:bCs/>
                <w:kern w:val="2"/>
                <w:sz w:val="21"/>
                <w:szCs w:val="21"/>
              </w:rPr>
            </w:pPr>
            <w:r>
              <w:rPr>
                <w:rFonts w:hint="eastAsia" w:ascii="Times New Roman" w:hAnsi="Times New Roman" w:eastAsia="宋体" w:cs="宋体"/>
                <w:bCs/>
                <w:kern w:val="2"/>
                <w:sz w:val="21"/>
                <w:szCs w:val="21"/>
              </w:rPr>
              <w:t>9</w:t>
            </w:r>
          </w:p>
        </w:tc>
        <w:tc>
          <w:tcPr>
            <w:tcW w:w="5645" w:type="dxa"/>
            <w:shd w:val="clear" w:color="auto" w:fill="auto"/>
            <w:vAlign w:val="center"/>
          </w:tcPr>
          <w:p w14:paraId="60B8F791">
            <w:pPr>
              <w:widowControl w:val="0"/>
              <w:ind w:firstLine="420" w:firstLineChars="200"/>
              <w:jc w:val="both"/>
              <w:rPr>
                <w:rFonts w:ascii="Times New Roman" w:hAnsi="Times New Roman" w:eastAsia="宋体" w:cs="宋体"/>
                <w:b/>
                <w:color w:val="C00000"/>
                <w:kern w:val="2"/>
                <w:sz w:val="21"/>
                <w:szCs w:val="21"/>
              </w:rPr>
            </w:pPr>
            <w:r>
              <w:rPr>
                <w:rFonts w:hint="eastAsia" w:ascii="Times New Roman" w:hAnsi="Times New Roman" w:eastAsia="宋体" w:cs="宋体"/>
                <w:b/>
                <w:color w:val="C00000"/>
                <w:kern w:val="2"/>
                <w:sz w:val="21"/>
                <w:szCs w:val="21"/>
              </w:rPr>
              <w:t>物资装备及</w:t>
            </w:r>
            <w:r>
              <w:rPr>
                <w:rFonts w:ascii="Times New Roman" w:hAnsi="Times New Roman" w:eastAsia="宋体" w:cs="宋体"/>
                <w:b/>
                <w:color w:val="C00000"/>
                <w:kern w:val="2"/>
                <w:sz w:val="21"/>
                <w:szCs w:val="21"/>
              </w:rPr>
              <w:t>耗材配置：</w:t>
            </w:r>
          </w:p>
          <w:p w14:paraId="32FE5014">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一、评审内容</w:t>
            </w:r>
          </w:p>
          <w:p w14:paraId="4CEF77A5">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供应商拟投入的详细的物资装备及耗材配置，包括：①</w:t>
            </w:r>
            <w:r>
              <w:rPr>
                <w:rFonts w:ascii="Times New Roman" w:hAnsi="Times New Roman" w:eastAsia="宋体" w:cs="宋体"/>
                <w:kern w:val="2"/>
                <w:sz w:val="21"/>
                <w:szCs w:val="21"/>
              </w:rPr>
              <w:t>保洁绿化设施</w:t>
            </w:r>
            <w:r>
              <w:rPr>
                <w:rFonts w:hint="eastAsia" w:ascii="Times New Roman" w:hAnsi="Times New Roman" w:eastAsia="宋体" w:cs="宋体"/>
                <w:kern w:val="2"/>
                <w:sz w:val="21"/>
                <w:szCs w:val="21"/>
              </w:rPr>
              <w:t>工具</w:t>
            </w:r>
            <w:r>
              <w:rPr>
                <w:rFonts w:ascii="Times New Roman" w:hAnsi="Times New Roman" w:eastAsia="宋体" w:cs="宋体"/>
                <w:kern w:val="2"/>
                <w:sz w:val="21"/>
                <w:szCs w:val="21"/>
              </w:rPr>
              <w:t>、耗材</w:t>
            </w:r>
            <w:r>
              <w:rPr>
                <w:rFonts w:hint="eastAsia" w:ascii="Times New Roman" w:hAnsi="Times New Roman" w:eastAsia="宋体" w:cs="宋体"/>
                <w:kern w:val="2"/>
                <w:sz w:val="21"/>
                <w:szCs w:val="21"/>
              </w:rPr>
              <w:t>②安防用具、</w:t>
            </w:r>
            <w:r>
              <w:rPr>
                <w:rFonts w:ascii="Times New Roman" w:hAnsi="Times New Roman" w:eastAsia="宋体" w:cs="宋体"/>
                <w:kern w:val="2"/>
                <w:sz w:val="21"/>
                <w:szCs w:val="21"/>
              </w:rPr>
              <w:t>装备</w:t>
            </w:r>
            <w:r>
              <w:rPr>
                <w:rFonts w:hint="eastAsia" w:ascii="Times New Roman" w:hAnsi="Times New Roman" w:eastAsia="宋体" w:cs="宋体"/>
                <w:kern w:val="2"/>
                <w:sz w:val="21"/>
                <w:szCs w:val="21"/>
              </w:rPr>
              <w:t>③维修用具。（以投标方案中的物资装备表格为依据）</w:t>
            </w:r>
            <w:r>
              <w:rPr>
                <w:rFonts w:hint="eastAsia" w:ascii="Times New Roman" w:hAnsi="Times New Roman" w:eastAsia="宋体" w:cs="宋体"/>
                <w:kern w:val="2"/>
                <w:sz w:val="21"/>
                <w:szCs w:val="21"/>
              </w:rPr>
              <w:cr/>
            </w:r>
            <w:r>
              <w:rPr>
                <w:rFonts w:ascii="Times New Roman" w:hAnsi="Times New Roman" w:eastAsia="宋体" w:cs="宋体"/>
                <w:kern w:val="2"/>
                <w:sz w:val="21"/>
                <w:szCs w:val="21"/>
              </w:rPr>
              <w:t xml:space="preserve">    </w:t>
            </w:r>
            <w:r>
              <w:rPr>
                <w:rFonts w:hint="eastAsia" w:ascii="Times New Roman" w:hAnsi="Times New Roman" w:eastAsia="宋体" w:cs="宋体"/>
                <w:kern w:val="2"/>
                <w:sz w:val="21"/>
                <w:szCs w:val="21"/>
              </w:rPr>
              <w:t>注：1、内容分列详细满足本项目的使用要求；</w:t>
            </w:r>
            <w:r>
              <w:rPr>
                <w:rFonts w:hint="eastAsia" w:ascii="Times New Roman" w:hAnsi="Times New Roman" w:eastAsia="宋体" w:cs="宋体"/>
                <w:kern w:val="2"/>
                <w:sz w:val="21"/>
                <w:szCs w:val="21"/>
              </w:rPr>
              <w:cr/>
            </w:r>
            <w:r>
              <w:rPr>
                <w:rFonts w:ascii="Times New Roman" w:hAnsi="Times New Roman" w:eastAsia="宋体" w:cs="宋体"/>
                <w:kern w:val="2"/>
                <w:sz w:val="21"/>
                <w:szCs w:val="21"/>
              </w:rPr>
              <w:t xml:space="preserve">    </w:t>
            </w:r>
            <w:r>
              <w:rPr>
                <w:rFonts w:hint="eastAsia" w:ascii="Times New Roman" w:hAnsi="Times New Roman" w:eastAsia="宋体" w:cs="宋体"/>
                <w:kern w:val="2"/>
                <w:sz w:val="21"/>
                <w:szCs w:val="21"/>
              </w:rPr>
              <w:t>2、须提供购买发票或租赁合同。</w:t>
            </w:r>
            <w:r>
              <w:rPr>
                <w:rFonts w:ascii="Times New Roman" w:hAnsi="Times New Roman" w:eastAsia="宋体" w:cs="宋体"/>
                <w:kern w:val="2"/>
                <w:sz w:val="21"/>
                <w:szCs w:val="21"/>
              </w:rPr>
              <w:cr/>
            </w:r>
            <w:r>
              <w:rPr>
                <w:rFonts w:ascii="Times New Roman" w:hAnsi="Times New Roman" w:eastAsia="宋体" w:cs="宋体"/>
                <w:kern w:val="2"/>
                <w:sz w:val="21"/>
                <w:szCs w:val="21"/>
              </w:rPr>
              <w:t xml:space="preserve">    </w:t>
            </w:r>
            <w:r>
              <w:rPr>
                <w:rFonts w:hint="eastAsia" w:ascii="Times New Roman" w:hAnsi="Times New Roman" w:eastAsia="宋体" w:cs="宋体"/>
                <w:kern w:val="2"/>
                <w:sz w:val="21"/>
                <w:szCs w:val="21"/>
              </w:rPr>
              <w:t>二、评审标准</w:t>
            </w:r>
          </w:p>
          <w:p w14:paraId="19CDCCD6">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、完整性</w:t>
            </w:r>
            <w:r>
              <w:rPr>
                <w:rFonts w:ascii="Times New Roman" w:hAnsi="Times New Roman" w:eastAsia="宋体" w:cs="宋体"/>
                <w:kern w:val="2"/>
                <w:sz w:val="21"/>
                <w:szCs w:val="21"/>
              </w:rPr>
              <w:t>：物资配备合理、齐全，物资投入计划合理，能够满足服务期内物业服务需要</w:t>
            </w:r>
            <w:r>
              <w:rPr>
                <w:rFonts w:hint="eastAsia" w:ascii="Times New Roman" w:hAnsi="Times New Roman" w:eastAsia="宋体" w:cs="宋体"/>
                <w:kern w:val="2"/>
                <w:sz w:val="21"/>
                <w:szCs w:val="21"/>
              </w:rPr>
              <w:t>；</w:t>
            </w:r>
          </w:p>
          <w:p w14:paraId="0737E3B2">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ascii="Times New Roman" w:hAnsi="Times New Roman" w:eastAsia="宋体" w:cs="宋体"/>
                <w:kern w:val="2"/>
                <w:sz w:val="21"/>
                <w:szCs w:val="21"/>
              </w:rPr>
              <w:t>2</w:t>
            </w:r>
            <w:r>
              <w:rPr>
                <w:rFonts w:hint="eastAsia" w:ascii="Times New Roman" w:hAnsi="Times New Roman" w:eastAsia="宋体" w:cs="宋体"/>
                <w:kern w:val="2"/>
                <w:sz w:val="21"/>
                <w:szCs w:val="21"/>
              </w:rPr>
              <w:t>、实用性：设备工具、耗材质量有保障、使用率高、安全性能强、环保性强；</w:t>
            </w:r>
          </w:p>
          <w:p w14:paraId="0626CEC0">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ascii="Times New Roman" w:hAnsi="Times New Roman" w:eastAsia="宋体" w:cs="宋体"/>
                <w:kern w:val="2"/>
                <w:sz w:val="21"/>
                <w:szCs w:val="21"/>
              </w:rPr>
              <w:t>3</w:t>
            </w:r>
            <w:r>
              <w:rPr>
                <w:rFonts w:hint="eastAsia" w:ascii="Times New Roman" w:hAnsi="Times New Roman" w:eastAsia="宋体" w:cs="宋体"/>
                <w:kern w:val="2"/>
                <w:sz w:val="21"/>
                <w:szCs w:val="21"/>
              </w:rPr>
              <w:t>、针对性：设备工具、耗材能紧扣项目实际情况，配置合理科学。</w:t>
            </w:r>
          </w:p>
          <w:p w14:paraId="19D6603D">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三、赋分标准（满分</w:t>
            </w:r>
            <w:r>
              <w:rPr>
                <w:rFonts w:ascii="Times New Roman" w:hAnsi="Times New Roman" w:eastAsia="宋体" w:cs="宋体"/>
                <w:kern w:val="2"/>
                <w:sz w:val="21"/>
                <w:szCs w:val="21"/>
              </w:rPr>
              <w:t>9</w:t>
            </w:r>
            <w:r>
              <w:rPr>
                <w:rFonts w:hint="eastAsia" w:ascii="Times New Roman" w:hAnsi="Times New Roman" w:eastAsia="宋体" w:cs="宋体"/>
                <w:kern w:val="2"/>
                <w:sz w:val="21"/>
                <w:szCs w:val="21"/>
              </w:rPr>
              <w:t>分）</w:t>
            </w:r>
          </w:p>
          <w:p w14:paraId="5036B862">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①</w:t>
            </w:r>
            <w:r>
              <w:rPr>
                <w:rFonts w:ascii="Times New Roman" w:hAnsi="Times New Roman" w:eastAsia="宋体" w:cs="宋体"/>
                <w:kern w:val="2"/>
                <w:sz w:val="21"/>
                <w:szCs w:val="21"/>
              </w:rPr>
              <w:t>保洁绿化设施</w:t>
            </w:r>
            <w:r>
              <w:rPr>
                <w:rFonts w:hint="eastAsia" w:ascii="Times New Roman" w:hAnsi="Times New Roman" w:eastAsia="宋体" w:cs="宋体"/>
                <w:kern w:val="2"/>
                <w:sz w:val="21"/>
                <w:szCs w:val="21"/>
              </w:rPr>
              <w:t>工具</w:t>
            </w:r>
            <w:r>
              <w:rPr>
                <w:rFonts w:ascii="Times New Roman" w:hAnsi="Times New Roman" w:eastAsia="宋体" w:cs="宋体"/>
                <w:kern w:val="2"/>
                <w:sz w:val="21"/>
                <w:szCs w:val="21"/>
              </w:rPr>
              <w:t>、耗材</w:t>
            </w:r>
            <w:r>
              <w:rPr>
                <w:rFonts w:hint="eastAsia" w:ascii="Times New Roman" w:hAnsi="Times New Roman" w:eastAsia="宋体" w:cs="宋体"/>
                <w:kern w:val="2"/>
                <w:sz w:val="21"/>
                <w:szCs w:val="21"/>
              </w:rPr>
              <w:t>：每完全满足一项评审标准得</w:t>
            </w: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分，满分3分；</w:t>
            </w:r>
          </w:p>
          <w:p w14:paraId="5E4C7898">
            <w:pPr>
              <w:widowControl w:val="0"/>
              <w:tabs>
                <w:tab w:val="left" w:pos="547"/>
              </w:tabs>
              <w:spacing w:line="32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②安防用具、</w:t>
            </w:r>
            <w:r>
              <w:rPr>
                <w:rFonts w:ascii="Times New Roman" w:hAnsi="Times New Roman" w:eastAsia="宋体" w:cs="宋体"/>
                <w:kern w:val="2"/>
                <w:sz w:val="21"/>
                <w:szCs w:val="21"/>
              </w:rPr>
              <w:t>装备</w:t>
            </w:r>
            <w:r>
              <w:rPr>
                <w:rFonts w:hint="eastAsia" w:ascii="Times New Roman" w:hAnsi="Times New Roman" w:eastAsia="宋体" w:cs="宋体"/>
                <w:kern w:val="2"/>
                <w:sz w:val="21"/>
                <w:szCs w:val="21"/>
              </w:rPr>
              <w:t>：每完全满足一项评审标准得</w:t>
            </w: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分，满分3分；</w:t>
            </w:r>
          </w:p>
          <w:p w14:paraId="1C8B5C13">
            <w:pPr>
              <w:widowControl w:val="0"/>
              <w:ind w:firstLine="420" w:firstLineChars="200"/>
              <w:jc w:val="both"/>
              <w:rPr>
                <w:rFonts w:ascii="Times New Roman" w:hAnsi="Times New Roman" w:eastAsia="宋体" w:cs="宋体"/>
                <w:b/>
                <w:bCs/>
                <w:color w:val="C00000"/>
                <w:kern w:val="2"/>
                <w:sz w:val="21"/>
                <w:szCs w:val="21"/>
                <w:lang w:bidi="ar"/>
              </w:rPr>
            </w:pPr>
            <w:r>
              <w:rPr>
                <w:rFonts w:hint="eastAsia" w:ascii="Times New Roman" w:hAnsi="Times New Roman" w:eastAsia="宋体" w:cs="宋体"/>
                <w:kern w:val="2"/>
                <w:sz w:val="21"/>
                <w:szCs w:val="21"/>
              </w:rPr>
              <w:t>③维修用具：每完全满足一项评审标准得</w:t>
            </w:r>
            <w:r>
              <w:rPr>
                <w:rFonts w:ascii="Times New Roman" w:hAnsi="Times New Roman" w:eastAsia="宋体" w:cs="宋体"/>
                <w:kern w:val="2"/>
                <w:sz w:val="21"/>
                <w:szCs w:val="21"/>
              </w:rPr>
              <w:t>1</w:t>
            </w:r>
            <w:r>
              <w:rPr>
                <w:rFonts w:hint="eastAsia" w:ascii="Times New Roman" w:hAnsi="Times New Roman" w:eastAsia="宋体" w:cs="宋体"/>
                <w:kern w:val="2"/>
                <w:sz w:val="21"/>
                <w:szCs w:val="21"/>
              </w:rPr>
              <w:t>分，满分3分。</w:t>
            </w:r>
          </w:p>
        </w:tc>
        <w:tc>
          <w:tcPr>
            <w:tcW w:w="1418" w:type="dxa"/>
            <w:vMerge w:val="continue"/>
            <w:shd w:val="clear" w:color="auto" w:fill="auto"/>
            <w:vAlign w:val="center"/>
          </w:tcPr>
          <w:p w14:paraId="29580AF6">
            <w:pPr>
              <w:widowControl w:val="0"/>
              <w:spacing w:line="320" w:lineRule="exact"/>
              <w:jc w:val="both"/>
              <w:rPr>
                <w:rFonts w:ascii="Times New Roman" w:hAnsi="Times New Roman" w:eastAsia="宋体" w:cs="宋体"/>
                <w:bCs/>
                <w:color w:val="FF0000"/>
                <w:kern w:val="2"/>
                <w:sz w:val="21"/>
                <w:szCs w:val="21"/>
              </w:rPr>
            </w:pPr>
          </w:p>
        </w:tc>
      </w:tr>
      <w:tr w14:paraId="5CBD89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756" w:type="dxa"/>
            <w:vMerge w:val="continue"/>
            <w:shd w:val="clear" w:color="auto" w:fill="auto"/>
            <w:vAlign w:val="center"/>
          </w:tcPr>
          <w:p w14:paraId="5BFC28CC">
            <w:pPr>
              <w:widowControl w:val="0"/>
              <w:spacing w:line="320" w:lineRule="exact"/>
              <w:jc w:val="both"/>
              <w:rPr>
                <w:rFonts w:ascii="Times New Roman" w:hAnsi="Times New Roman" w:eastAsia="宋体" w:cs="宋体"/>
                <w:bCs/>
                <w:kern w:val="2"/>
                <w:sz w:val="21"/>
                <w:szCs w:val="21"/>
              </w:rPr>
            </w:pPr>
          </w:p>
        </w:tc>
        <w:tc>
          <w:tcPr>
            <w:tcW w:w="750" w:type="dxa"/>
            <w:vMerge w:val="continue"/>
            <w:shd w:val="clear" w:color="auto" w:fill="auto"/>
            <w:vAlign w:val="center"/>
          </w:tcPr>
          <w:p w14:paraId="73B5F5BE">
            <w:pPr>
              <w:widowControl w:val="0"/>
              <w:spacing w:line="320" w:lineRule="exact"/>
              <w:jc w:val="both"/>
              <w:rPr>
                <w:rFonts w:ascii="Times New Roman" w:hAnsi="Times New Roman" w:eastAsia="宋体" w:cs="宋体"/>
                <w:bCs/>
                <w:kern w:val="2"/>
                <w:sz w:val="21"/>
                <w:szCs w:val="21"/>
              </w:rPr>
            </w:pPr>
          </w:p>
        </w:tc>
        <w:tc>
          <w:tcPr>
            <w:tcW w:w="914" w:type="dxa"/>
            <w:shd w:val="clear" w:color="auto" w:fill="auto"/>
            <w:vAlign w:val="center"/>
          </w:tcPr>
          <w:p w14:paraId="26A17FD9">
            <w:pPr>
              <w:widowControl w:val="0"/>
              <w:spacing w:line="320" w:lineRule="exact"/>
              <w:jc w:val="center"/>
              <w:rPr>
                <w:rFonts w:ascii="Times New Roman" w:hAnsi="Times New Roman" w:eastAsia="宋体" w:cs="宋体"/>
                <w:bCs/>
                <w:kern w:val="2"/>
                <w:sz w:val="21"/>
                <w:szCs w:val="21"/>
              </w:rPr>
            </w:pPr>
            <w:r>
              <w:rPr>
                <w:rFonts w:hint="eastAsia" w:ascii="Times New Roman" w:hAnsi="Times New Roman" w:eastAsia="宋体" w:cs="宋体"/>
                <w:bCs/>
                <w:kern w:val="2"/>
                <w:sz w:val="21"/>
                <w:szCs w:val="21"/>
              </w:rPr>
              <w:t>15</w:t>
            </w:r>
          </w:p>
        </w:tc>
        <w:tc>
          <w:tcPr>
            <w:tcW w:w="5645" w:type="dxa"/>
            <w:shd w:val="clear" w:color="auto" w:fill="auto"/>
            <w:vAlign w:val="center"/>
          </w:tcPr>
          <w:p w14:paraId="1CB26B32">
            <w:pPr>
              <w:widowControl w:val="0"/>
              <w:spacing w:line="320" w:lineRule="exact"/>
              <w:ind w:firstLine="422"/>
              <w:jc w:val="both"/>
              <w:rPr>
                <w:rFonts w:ascii="Times New Roman" w:hAnsi="Times New Roman" w:eastAsia="宋体" w:cs="Calibri"/>
                <w:b/>
                <w:color w:val="C00000"/>
                <w:kern w:val="2"/>
                <w:sz w:val="21"/>
                <w:szCs w:val="21"/>
              </w:rPr>
            </w:pPr>
            <w:r>
              <w:rPr>
                <w:rFonts w:hint="eastAsia" w:ascii="Times New Roman" w:hAnsi="Times New Roman" w:eastAsia="宋体" w:cs="Calibri"/>
                <w:b/>
                <w:color w:val="C00000"/>
                <w:kern w:val="2"/>
                <w:sz w:val="21"/>
                <w:szCs w:val="21"/>
              </w:rPr>
              <w:t>服务管理人员配备</w:t>
            </w:r>
            <w:r>
              <w:rPr>
                <w:rFonts w:ascii="Times New Roman" w:hAnsi="Times New Roman" w:eastAsia="宋体" w:cs="Calibri"/>
                <w:b/>
                <w:color w:val="C00000"/>
                <w:kern w:val="2"/>
                <w:sz w:val="21"/>
                <w:szCs w:val="21"/>
              </w:rPr>
              <w:t>：</w:t>
            </w:r>
            <w:r>
              <w:rPr>
                <w:rFonts w:hint="eastAsia" w:ascii="Times New Roman" w:hAnsi="Times New Roman" w:eastAsia="宋体" w:cs="Calibri"/>
                <w:b/>
                <w:color w:val="C00000"/>
                <w:kern w:val="2"/>
                <w:sz w:val="21"/>
                <w:szCs w:val="21"/>
              </w:rPr>
              <w:t xml:space="preserve"> </w:t>
            </w:r>
          </w:p>
          <w:p w14:paraId="03C71BF5">
            <w:pPr>
              <w:widowControl w:val="0"/>
              <w:spacing w:line="300" w:lineRule="exact"/>
              <w:ind w:firstLine="420" w:firstLineChars="200"/>
              <w:jc w:val="both"/>
              <w:rPr>
                <w:rFonts w:ascii="宋体" w:hAnsi="宋体" w:eastAsia="宋体" w:cs="Cambria"/>
                <w:b/>
                <w:kern w:val="2"/>
                <w:sz w:val="21"/>
                <w:szCs w:val="21"/>
              </w:rPr>
            </w:pPr>
            <w:r>
              <w:rPr>
                <w:rFonts w:hint="eastAsia" w:ascii="宋体" w:hAnsi="宋体" w:eastAsia="宋体" w:cs="Cambria"/>
                <w:b/>
                <w:kern w:val="2"/>
                <w:sz w:val="21"/>
                <w:szCs w:val="21"/>
              </w:rPr>
              <w:t>一、</w:t>
            </w:r>
            <w:r>
              <w:rPr>
                <w:rFonts w:hint="eastAsia" w:ascii="宋体" w:hAnsi="宋体" w:eastAsia="宋体" w:cs="Cambria"/>
                <w:b/>
                <w:bCs/>
                <w:kern w:val="2"/>
                <w:sz w:val="21"/>
                <w:szCs w:val="21"/>
              </w:rPr>
              <w:t>项目经理（满分6分）</w:t>
            </w:r>
          </w:p>
          <w:p w14:paraId="088841BA">
            <w:pPr>
              <w:widowControl w:val="0"/>
              <w:spacing w:line="300" w:lineRule="exact"/>
              <w:ind w:firstLine="420" w:firstLineChars="200"/>
              <w:jc w:val="both"/>
              <w:rPr>
                <w:rFonts w:ascii="Times New Roman" w:hAnsi="Times New Roman" w:eastAsia="宋体"/>
                <w:spacing w:val="7"/>
                <w:kern w:val="2"/>
                <w:sz w:val="21"/>
                <w:szCs w:val="21"/>
              </w:rPr>
            </w:pPr>
            <w:r>
              <w:rPr>
                <w:rFonts w:hint="eastAsia" w:ascii="Times New Roman" w:hAnsi="Times New Roman" w:eastAsia="宋体" w:cs="宋体"/>
                <w:kern w:val="2"/>
                <w:sz w:val="21"/>
                <w:szCs w:val="21"/>
              </w:rPr>
              <w:t>拟派</w:t>
            </w:r>
            <w:r>
              <w:rPr>
                <w:rFonts w:ascii="Times New Roman" w:hAnsi="Times New Roman" w:eastAsia="宋体" w:cs="宋体"/>
                <w:kern w:val="2"/>
                <w:sz w:val="21"/>
                <w:szCs w:val="21"/>
              </w:rPr>
              <w:t>项目经理</w:t>
            </w:r>
            <w:r>
              <w:rPr>
                <w:rFonts w:hint="eastAsia" w:ascii="Times New Roman" w:hAnsi="Times New Roman" w:eastAsia="宋体"/>
                <w:spacing w:val="7"/>
                <w:kern w:val="2"/>
                <w:sz w:val="21"/>
                <w:szCs w:val="21"/>
              </w:rPr>
              <w:t>年龄37周岁及以下，</w:t>
            </w:r>
            <w:r>
              <w:rPr>
                <w:rFonts w:ascii="Times New Roman" w:hAnsi="Times New Roman" w:eastAsia="宋体"/>
                <w:spacing w:val="7"/>
                <w:kern w:val="2"/>
                <w:sz w:val="21"/>
                <w:szCs w:val="21"/>
              </w:rPr>
              <w:t>具有</w:t>
            </w:r>
            <w:r>
              <w:rPr>
                <w:rFonts w:hint="eastAsia" w:ascii="Times New Roman" w:hAnsi="Times New Roman" w:eastAsia="宋体"/>
                <w:spacing w:val="7"/>
                <w:kern w:val="2"/>
                <w:sz w:val="21"/>
                <w:szCs w:val="21"/>
              </w:rPr>
              <w:t>全日制</w:t>
            </w:r>
            <w:r>
              <w:rPr>
                <w:rFonts w:ascii="Times New Roman" w:hAnsi="Times New Roman" w:eastAsia="宋体"/>
                <w:spacing w:val="7"/>
                <w:kern w:val="2"/>
                <w:sz w:val="21"/>
                <w:szCs w:val="21"/>
              </w:rPr>
              <w:t>本科及以上学历</w:t>
            </w:r>
            <w:r>
              <w:rPr>
                <w:rFonts w:hint="eastAsia" w:ascii="Times New Roman" w:hAnsi="Times New Roman" w:eastAsia="宋体"/>
                <w:spacing w:val="7"/>
                <w:kern w:val="2"/>
                <w:sz w:val="21"/>
                <w:szCs w:val="21"/>
              </w:rPr>
              <w:t>，具备物业类相关证书（物业项目经理证或物业管理师证书）。以上评审内容</w:t>
            </w:r>
            <w:r>
              <w:rPr>
                <w:rFonts w:ascii="Times New Roman" w:hAnsi="Times New Roman" w:eastAsia="宋体"/>
                <w:spacing w:val="7"/>
                <w:kern w:val="2"/>
                <w:sz w:val="21"/>
                <w:szCs w:val="21"/>
              </w:rPr>
              <w:t>须提供</w:t>
            </w:r>
            <w:r>
              <w:rPr>
                <w:rFonts w:hint="eastAsia" w:ascii="Times New Roman" w:hAnsi="Times New Roman" w:eastAsia="宋体"/>
                <w:spacing w:val="7"/>
                <w:kern w:val="2"/>
                <w:sz w:val="21"/>
                <w:szCs w:val="21"/>
              </w:rPr>
              <w:t>身份证扫描件</w:t>
            </w:r>
            <w:r>
              <w:rPr>
                <w:rFonts w:ascii="Times New Roman" w:hAnsi="Times New Roman" w:eastAsia="宋体"/>
                <w:spacing w:val="7"/>
                <w:kern w:val="2"/>
                <w:sz w:val="21"/>
                <w:szCs w:val="21"/>
              </w:rPr>
              <w:t>、学历</w:t>
            </w:r>
            <w:r>
              <w:rPr>
                <w:rFonts w:hint="eastAsia" w:ascii="Times New Roman" w:hAnsi="Times New Roman" w:eastAsia="宋体"/>
                <w:spacing w:val="7"/>
                <w:kern w:val="2"/>
                <w:sz w:val="21"/>
                <w:szCs w:val="21"/>
              </w:rPr>
              <w:t>证书扫描件及学信网查询报告、物业类相关证书（物业项目经理证或物业管理师证书）扫描件、所就职单位出具的</w:t>
            </w:r>
            <w:r>
              <w:rPr>
                <w:rFonts w:ascii="Times New Roman" w:hAnsi="Times New Roman" w:eastAsia="宋体"/>
                <w:spacing w:val="7"/>
                <w:kern w:val="2"/>
                <w:sz w:val="21"/>
                <w:szCs w:val="21"/>
              </w:rPr>
              <w:t>劳动合同</w:t>
            </w:r>
            <w:r>
              <w:rPr>
                <w:rFonts w:hint="eastAsia" w:ascii="Times New Roman" w:hAnsi="Times New Roman" w:eastAsia="宋体"/>
                <w:spacing w:val="7"/>
                <w:kern w:val="2"/>
                <w:sz w:val="21"/>
                <w:szCs w:val="21"/>
              </w:rPr>
              <w:t>扫描件</w:t>
            </w:r>
            <w:r>
              <w:rPr>
                <w:rFonts w:ascii="Times New Roman" w:hAnsi="Times New Roman" w:eastAsia="宋体"/>
                <w:spacing w:val="7"/>
                <w:kern w:val="2"/>
                <w:sz w:val="21"/>
                <w:szCs w:val="21"/>
              </w:rPr>
              <w:t>以及</w:t>
            </w:r>
            <w:r>
              <w:rPr>
                <w:rFonts w:hint="eastAsia" w:ascii="宋体" w:hAnsi="宋体" w:eastAsia="宋体" w:cs="Cambria"/>
                <w:kern w:val="2"/>
                <w:sz w:val="21"/>
                <w:szCs w:val="21"/>
              </w:rPr>
              <w:t>2025年1月1日起供应商为其连续缴纳的不少于</w:t>
            </w:r>
            <w:r>
              <w:rPr>
                <w:rFonts w:ascii="宋体" w:hAnsi="宋体" w:eastAsia="宋体" w:cs="Cambria"/>
                <w:kern w:val="2"/>
                <w:sz w:val="21"/>
                <w:szCs w:val="21"/>
              </w:rPr>
              <w:t>3</w:t>
            </w:r>
            <w:r>
              <w:rPr>
                <w:rFonts w:hint="eastAsia" w:ascii="宋体" w:hAnsi="宋体" w:eastAsia="宋体" w:cs="Cambria"/>
                <w:kern w:val="2"/>
                <w:sz w:val="21"/>
                <w:szCs w:val="21"/>
              </w:rPr>
              <w:t>个月的社保缴纳证明。资料完整且</w:t>
            </w:r>
            <w:r>
              <w:rPr>
                <w:rFonts w:hint="eastAsia" w:ascii="Times New Roman" w:hAnsi="Times New Roman" w:eastAsia="宋体"/>
                <w:spacing w:val="7"/>
                <w:kern w:val="2"/>
                <w:sz w:val="21"/>
                <w:szCs w:val="21"/>
              </w:rPr>
              <w:t>全部满足</w:t>
            </w:r>
            <w:r>
              <w:rPr>
                <w:rFonts w:ascii="Times New Roman" w:hAnsi="Times New Roman" w:eastAsia="宋体"/>
                <w:spacing w:val="7"/>
                <w:kern w:val="2"/>
                <w:sz w:val="21"/>
                <w:szCs w:val="21"/>
              </w:rPr>
              <w:t>得6</w:t>
            </w:r>
            <w:r>
              <w:rPr>
                <w:rFonts w:hint="eastAsia" w:ascii="Times New Roman" w:hAnsi="Times New Roman" w:eastAsia="宋体"/>
                <w:spacing w:val="7"/>
                <w:kern w:val="2"/>
                <w:sz w:val="21"/>
                <w:szCs w:val="21"/>
              </w:rPr>
              <w:t>分</w:t>
            </w:r>
            <w:r>
              <w:rPr>
                <w:rFonts w:ascii="Times New Roman" w:hAnsi="Times New Roman" w:eastAsia="宋体"/>
                <w:spacing w:val="7"/>
                <w:kern w:val="2"/>
                <w:sz w:val="21"/>
                <w:szCs w:val="21"/>
              </w:rPr>
              <w:t>，缺一项不得分。</w:t>
            </w:r>
          </w:p>
          <w:p w14:paraId="6E4E2721">
            <w:pPr>
              <w:widowControl w:val="0"/>
              <w:spacing w:line="320" w:lineRule="exact"/>
              <w:ind w:firstLine="420" w:firstLineChars="200"/>
              <w:jc w:val="both"/>
              <w:rPr>
                <w:rFonts w:ascii="宋体" w:hAnsi="宋体" w:eastAsia="宋体" w:cs="Cambria"/>
                <w:b/>
                <w:kern w:val="2"/>
                <w:sz w:val="21"/>
                <w:szCs w:val="21"/>
              </w:rPr>
            </w:pPr>
            <w:r>
              <w:rPr>
                <w:rFonts w:hint="eastAsia" w:ascii="宋体" w:hAnsi="宋体" w:eastAsia="宋体" w:cs="Cambria"/>
                <w:b/>
                <w:kern w:val="2"/>
                <w:sz w:val="21"/>
                <w:szCs w:val="21"/>
              </w:rPr>
              <w:t>二</w:t>
            </w:r>
            <w:r>
              <w:rPr>
                <w:rFonts w:ascii="宋体" w:hAnsi="宋体" w:eastAsia="宋体" w:cs="Cambria"/>
                <w:b/>
                <w:kern w:val="2"/>
                <w:sz w:val="21"/>
                <w:szCs w:val="21"/>
              </w:rPr>
              <w:t>、</w:t>
            </w:r>
            <w:r>
              <w:rPr>
                <w:rFonts w:hint="eastAsia" w:ascii="宋体" w:hAnsi="宋体" w:eastAsia="宋体" w:cs="Cambria"/>
                <w:b/>
                <w:kern w:val="2"/>
                <w:sz w:val="21"/>
                <w:szCs w:val="21"/>
              </w:rPr>
              <w:t>人员配备方案</w:t>
            </w:r>
            <w:r>
              <w:rPr>
                <w:rFonts w:hint="eastAsia" w:ascii="宋体" w:hAnsi="宋体" w:eastAsia="宋体" w:cs="Cambria"/>
                <w:b/>
                <w:bCs/>
                <w:kern w:val="2"/>
                <w:sz w:val="21"/>
                <w:szCs w:val="21"/>
              </w:rPr>
              <w:t>（满分9分）</w:t>
            </w:r>
          </w:p>
          <w:p w14:paraId="473FFD6C">
            <w:pPr>
              <w:widowControl w:val="0"/>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提供拟派人员配备的</w:t>
            </w:r>
            <w:r>
              <w:rPr>
                <w:rFonts w:ascii="Times New Roman" w:hAnsi="Times New Roman" w:eastAsia="宋体" w:cs="宋体"/>
                <w:kern w:val="2"/>
                <w:sz w:val="21"/>
                <w:szCs w:val="21"/>
              </w:rPr>
              <w:t>具体</w:t>
            </w:r>
            <w:r>
              <w:rPr>
                <w:rFonts w:hint="eastAsia" w:ascii="Times New Roman" w:hAnsi="Times New Roman" w:eastAsia="宋体" w:cs="宋体"/>
                <w:kern w:val="2"/>
                <w:sz w:val="21"/>
                <w:szCs w:val="21"/>
              </w:rPr>
              <w:t>情况，包括但不限于服务人员的专业资格/职称，相关工作经验和所获荣誉等。</w:t>
            </w:r>
          </w:p>
          <w:p w14:paraId="7CE9E961">
            <w:pPr>
              <w:widowControl w:val="0"/>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1、评审内容</w:t>
            </w:r>
          </w:p>
          <w:p w14:paraId="34AB2394">
            <w:pPr>
              <w:widowControl w:val="0"/>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①维修、秩序维护人员、</w:t>
            </w:r>
            <w:r>
              <w:rPr>
                <w:rFonts w:hint="eastAsia" w:ascii="宋体" w:hAnsi="Times New Roman" w:eastAsia="宋体"/>
                <w:sz w:val="21"/>
                <w:szCs w:val="21"/>
              </w:rPr>
              <w:t>仓管保管员</w:t>
            </w:r>
          </w:p>
          <w:p w14:paraId="2480A9A0">
            <w:pPr>
              <w:widowControl w:val="0"/>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②保洁、</w:t>
            </w:r>
            <w:r>
              <w:rPr>
                <w:rFonts w:hint="eastAsia" w:ascii="Times New Roman" w:hAnsi="Times New Roman" w:eastAsia="宋体"/>
                <w:spacing w:val="8"/>
                <w:kern w:val="2"/>
                <w:sz w:val="21"/>
                <w:szCs w:val="21"/>
              </w:rPr>
              <w:t>绿化、会议服务人员</w:t>
            </w:r>
          </w:p>
          <w:p w14:paraId="76F83630">
            <w:pPr>
              <w:widowControl w:val="0"/>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2、评审标准</w:t>
            </w:r>
          </w:p>
          <w:p w14:paraId="2B43D230">
            <w:pPr>
              <w:widowControl w:val="0"/>
              <w:tabs>
                <w:tab w:val="left" w:pos="547"/>
              </w:tabs>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①完整性：各岗位人员数量充足，分工明确合理。</w:t>
            </w:r>
          </w:p>
          <w:p w14:paraId="63E353ED">
            <w:pPr>
              <w:widowControl w:val="0"/>
              <w:tabs>
                <w:tab w:val="left" w:pos="547"/>
              </w:tabs>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②针对性：人员资格等各项素质符合采购需求；</w:t>
            </w:r>
          </w:p>
          <w:p w14:paraId="231798CB">
            <w:pPr>
              <w:widowControl w:val="0"/>
              <w:tabs>
                <w:tab w:val="left" w:pos="547"/>
              </w:tabs>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③专业性：人员相关岗位经验符合本项目实际情况。</w:t>
            </w:r>
          </w:p>
          <w:p w14:paraId="5B4D7A96">
            <w:pPr>
              <w:widowControl w:val="0"/>
              <w:spacing w:line="300" w:lineRule="exact"/>
              <w:ind w:firstLine="420" w:firstLineChars="200"/>
              <w:jc w:val="both"/>
              <w:rPr>
                <w:rFonts w:ascii="宋体" w:hAnsi="宋体" w:eastAsia="宋体" w:cs="Cambria"/>
                <w:kern w:val="2"/>
                <w:sz w:val="21"/>
                <w:szCs w:val="21"/>
              </w:rPr>
            </w:pPr>
            <w:r>
              <w:rPr>
                <w:rFonts w:ascii="宋体" w:hAnsi="宋体" w:eastAsia="宋体" w:cs="Cambria"/>
                <w:kern w:val="2"/>
                <w:sz w:val="21"/>
                <w:szCs w:val="21"/>
              </w:rPr>
              <w:t>3</w:t>
            </w:r>
            <w:r>
              <w:rPr>
                <w:rFonts w:hint="eastAsia" w:ascii="宋体" w:hAnsi="宋体" w:eastAsia="宋体" w:cs="Cambria"/>
                <w:kern w:val="2"/>
                <w:sz w:val="21"/>
                <w:szCs w:val="21"/>
              </w:rPr>
              <w:t>、赋分标准</w:t>
            </w:r>
          </w:p>
          <w:p w14:paraId="4664BA56">
            <w:pPr>
              <w:widowControl w:val="0"/>
              <w:spacing w:line="300" w:lineRule="exact"/>
              <w:ind w:firstLine="420" w:firstLineChars="200"/>
              <w:jc w:val="both"/>
              <w:rPr>
                <w:rFonts w:ascii="Times New Roman" w:hAnsi="Times New Roman" w:eastAsia="宋体" w:cs="宋体"/>
                <w:kern w:val="2"/>
                <w:sz w:val="21"/>
                <w:szCs w:val="21"/>
              </w:rPr>
            </w:pPr>
            <w:r>
              <w:rPr>
                <w:rFonts w:hint="eastAsia" w:ascii="Times New Roman" w:hAnsi="Times New Roman" w:eastAsia="宋体" w:cs="宋体"/>
                <w:kern w:val="2"/>
                <w:sz w:val="21"/>
                <w:szCs w:val="21"/>
              </w:rPr>
              <w:t>①维修、秩序维护人员、</w:t>
            </w:r>
            <w:r>
              <w:rPr>
                <w:rFonts w:hint="eastAsia" w:ascii="宋体" w:hAnsi="Times New Roman" w:eastAsia="宋体"/>
                <w:sz w:val="21"/>
                <w:szCs w:val="21"/>
              </w:rPr>
              <w:t>仓管保管员</w:t>
            </w:r>
            <w:r>
              <w:rPr>
                <w:rFonts w:hint="eastAsia" w:ascii="Times New Roman" w:hAnsi="Times New Roman" w:eastAsia="宋体" w:cs="宋体"/>
                <w:kern w:val="2"/>
                <w:sz w:val="21"/>
                <w:szCs w:val="21"/>
              </w:rPr>
              <w:t>：每完全满足一项评审标准得1.5分，满分4.5分；</w:t>
            </w:r>
          </w:p>
          <w:p w14:paraId="214D5A06">
            <w:pPr>
              <w:widowControl w:val="0"/>
              <w:ind w:firstLine="420" w:firstLineChars="200"/>
              <w:jc w:val="both"/>
              <w:rPr>
                <w:rFonts w:ascii="Times New Roman" w:hAnsi="Times New Roman" w:eastAsia="宋体" w:cs="宋体"/>
                <w:b/>
                <w:bCs/>
                <w:color w:val="C00000"/>
                <w:kern w:val="2"/>
                <w:sz w:val="21"/>
                <w:szCs w:val="21"/>
                <w:lang w:bidi="ar"/>
              </w:rPr>
            </w:pPr>
            <w:r>
              <w:rPr>
                <w:rFonts w:hint="eastAsia" w:ascii="Times New Roman" w:hAnsi="Times New Roman" w:eastAsia="宋体" w:cs="宋体"/>
                <w:kern w:val="2"/>
                <w:sz w:val="21"/>
                <w:szCs w:val="21"/>
              </w:rPr>
              <w:t>②保洁、</w:t>
            </w:r>
            <w:r>
              <w:rPr>
                <w:rFonts w:hint="eastAsia" w:ascii="Times New Roman" w:hAnsi="Times New Roman" w:eastAsia="宋体"/>
                <w:spacing w:val="8"/>
                <w:kern w:val="2"/>
                <w:sz w:val="21"/>
                <w:szCs w:val="21"/>
              </w:rPr>
              <w:t>绿化、会议服务人员：</w:t>
            </w:r>
            <w:r>
              <w:rPr>
                <w:rFonts w:hint="eastAsia" w:ascii="Times New Roman" w:hAnsi="Times New Roman" w:eastAsia="宋体" w:cs="宋体"/>
                <w:kern w:val="2"/>
                <w:sz w:val="21"/>
                <w:szCs w:val="21"/>
              </w:rPr>
              <w:t>每完全满足一项评审标准得1.5分，满分4.5分。</w:t>
            </w:r>
          </w:p>
        </w:tc>
        <w:tc>
          <w:tcPr>
            <w:tcW w:w="1418" w:type="dxa"/>
            <w:vMerge w:val="continue"/>
            <w:shd w:val="clear" w:color="auto" w:fill="auto"/>
            <w:vAlign w:val="center"/>
          </w:tcPr>
          <w:p w14:paraId="2F83576C">
            <w:pPr>
              <w:widowControl w:val="0"/>
              <w:spacing w:line="320" w:lineRule="exact"/>
              <w:jc w:val="both"/>
              <w:rPr>
                <w:rFonts w:ascii="Times New Roman" w:hAnsi="Times New Roman" w:eastAsia="宋体" w:cs="宋体"/>
                <w:bCs/>
                <w:color w:val="FF0000"/>
                <w:kern w:val="2"/>
                <w:sz w:val="21"/>
                <w:szCs w:val="21"/>
              </w:rPr>
            </w:pPr>
          </w:p>
        </w:tc>
      </w:tr>
      <w:tr w14:paraId="5F1EAE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756" w:type="dxa"/>
            <w:vMerge w:val="continue"/>
            <w:shd w:val="clear" w:color="auto" w:fill="auto"/>
            <w:vAlign w:val="center"/>
          </w:tcPr>
          <w:p w14:paraId="4F675C7F">
            <w:pPr>
              <w:widowControl w:val="0"/>
              <w:spacing w:line="320" w:lineRule="exact"/>
              <w:jc w:val="both"/>
              <w:rPr>
                <w:rFonts w:ascii="Times New Roman" w:hAnsi="Times New Roman" w:eastAsia="宋体" w:cs="宋体"/>
                <w:bCs/>
                <w:kern w:val="2"/>
                <w:sz w:val="21"/>
                <w:szCs w:val="21"/>
              </w:rPr>
            </w:pPr>
          </w:p>
        </w:tc>
        <w:tc>
          <w:tcPr>
            <w:tcW w:w="750" w:type="dxa"/>
            <w:vMerge w:val="continue"/>
            <w:shd w:val="clear" w:color="auto" w:fill="auto"/>
            <w:vAlign w:val="center"/>
          </w:tcPr>
          <w:p w14:paraId="4B544A14">
            <w:pPr>
              <w:widowControl w:val="0"/>
              <w:spacing w:line="320" w:lineRule="exact"/>
              <w:jc w:val="both"/>
              <w:rPr>
                <w:rFonts w:ascii="Times New Roman" w:hAnsi="Times New Roman" w:eastAsia="宋体" w:cs="宋体"/>
                <w:bCs/>
                <w:kern w:val="2"/>
                <w:sz w:val="21"/>
                <w:szCs w:val="21"/>
              </w:rPr>
            </w:pPr>
          </w:p>
        </w:tc>
        <w:tc>
          <w:tcPr>
            <w:tcW w:w="914" w:type="dxa"/>
            <w:shd w:val="clear" w:color="auto" w:fill="auto"/>
            <w:vAlign w:val="center"/>
          </w:tcPr>
          <w:p w14:paraId="7BAAC837">
            <w:pPr>
              <w:widowControl w:val="0"/>
              <w:spacing w:line="320" w:lineRule="exact"/>
              <w:jc w:val="center"/>
              <w:rPr>
                <w:rFonts w:ascii="Times New Roman" w:hAnsi="Times New Roman" w:eastAsia="宋体" w:cs="宋体"/>
                <w:bCs/>
                <w:kern w:val="2"/>
                <w:sz w:val="21"/>
                <w:szCs w:val="21"/>
              </w:rPr>
            </w:pPr>
            <w:r>
              <w:rPr>
                <w:rFonts w:hint="eastAsia" w:ascii="Times New Roman" w:hAnsi="Times New Roman" w:eastAsia="宋体" w:cs="宋体"/>
                <w:bCs/>
                <w:kern w:val="2"/>
                <w:sz w:val="21"/>
                <w:szCs w:val="21"/>
              </w:rPr>
              <w:t>3</w:t>
            </w:r>
          </w:p>
        </w:tc>
        <w:tc>
          <w:tcPr>
            <w:tcW w:w="5645" w:type="dxa"/>
            <w:shd w:val="clear" w:color="auto" w:fill="auto"/>
            <w:vAlign w:val="center"/>
          </w:tcPr>
          <w:p w14:paraId="42AE6F66">
            <w:pPr>
              <w:widowControl w:val="0"/>
              <w:ind w:firstLine="420" w:firstLineChars="200"/>
              <w:jc w:val="both"/>
              <w:rPr>
                <w:rFonts w:ascii="Times New Roman" w:hAnsi="Times New Roman" w:eastAsia="宋体" w:cs="宋体"/>
                <w:b/>
                <w:bCs/>
                <w:color w:val="C00000"/>
                <w:kern w:val="2"/>
                <w:sz w:val="21"/>
                <w:szCs w:val="21"/>
                <w:lang w:bidi="ar"/>
              </w:rPr>
            </w:pPr>
            <w:r>
              <w:rPr>
                <w:rFonts w:hint="eastAsia" w:ascii="Times New Roman" w:hAnsi="Times New Roman" w:eastAsia="宋体" w:cs="宋体"/>
                <w:b/>
                <w:bCs/>
                <w:color w:val="C00000"/>
                <w:kern w:val="2"/>
                <w:sz w:val="21"/>
                <w:szCs w:val="21"/>
                <w:lang w:bidi="ar"/>
              </w:rPr>
              <w:t>服务承诺</w:t>
            </w:r>
            <w:r>
              <w:rPr>
                <w:rFonts w:ascii="Times New Roman" w:hAnsi="Times New Roman" w:eastAsia="宋体" w:cs="宋体"/>
                <w:b/>
                <w:bCs/>
                <w:color w:val="C00000"/>
                <w:kern w:val="2"/>
                <w:sz w:val="21"/>
                <w:szCs w:val="21"/>
                <w:lang w:bidi="ar"/>
              </w:rPr>
              <w:t>：</w:t>
            </w:r>
          </w:p>
          <w:p w14:paraId="38F46556">
            <w:pPr>
              <w:widowControl w:val="0"/>
              <w:tabs>
                <w:tab w:val="left" w:pos="547"/>
              </w:tabs>
              <w:spacing w:line="320" w:lineRule="exact"/>
              <w:ind w:firstLine="448" w:firstLineChars="200"/>
              <w:jc w:val="both"/>
              <w:rPr>
                <w:rFonts w:ascii="Times New Roman" w:hAnsi="Times New Roman" w:eastAsia="宋体"/>
                <w:spacing w:val="7"/>
                <w:kern w:val="2"/>
                <w:sz w:val="21"/>
                <w:szCs w:val="21"/>
              </w:rPr>
            </w:pPr>
            <w:r>
              <w:rPr>
                <w:rFonts w:ascii="Times New Roman" w:hAnsi="Times New Roman" w:eastAsia="宋体"/>
                <w:spacing w:val="7"/>
                <w:kern w:val="2"/>
                <w:sz w:val="21"/>
                <w:szCs w:val="21"/>
              </w:rPr>
              <w:t>针对本项目特点提供</w:t>
            </w:r>
            <w:r>
              <w:rPr>
                <w:rFonts w:hint="eastAsia" w:ascii="Times New Roman" w:hAnsi="Times New Roman" w:eastAsia="宋体"/>
                <w:spacing w:val="7"/>
                <w:kern w:val="2"/>
                <w:sz w:val="21"/>
                <w:szCs w:val="21"/>
              </w:rPr>
              <w:t>服务承诺</w:t>
            </w:r>
            <w:r>
              <w:rPr>
                <w:rFonts w:ascii="Times New Roman" w:hAnsi="Times New Roman" w:eastAsia="宋体"/>
                <w:spacing w:val="7"/>
                <w:kern w:val="2"/>
                <w:sz w:val="21"/>
                <w:szCs w:val="21"/>
              </w:rPr>
              <w:t>。</w:t>
            </w:r>
          </w:p>
          <w:p w14:paraId="12E06073">
            <w:pPr>
              <w:widowControl w:val="0"/>
              <w:tabs>
                <w:tab w:val="left" w:pos="547"/>
              </w:tabs>
              <w:spacing w:line="320" w:lineRule="exact"/>
              <w:ind w:firstLine="448" w:firstLineChars="200"/>
              <w:jc w:val="both"/>
              <w:rPr>
                <w:rFonts w:ascii="Times New Roman" w:hAnsi="Times New Roman" w:eastAsia="宋体"/>
                <w:spacing w:val="7"/>
                <w:kern w:val="2"/>
                <w:sz w:val="21"/>
                <w:szCs w:val="21"/>
              </w:rPr>
            </w:pPr>
            <w:r>
              <w:rPr>
                <w:rFonts w:ascii="Times New Roman" w:hAnsi="Times New Roman" w:eastAsia="宋体"/>
                <w:spacing w:val="7"/>
                <w:kern w:val="2"/>
                <w:sz w:val="21"/>
                <w:szCs w:val="21"/>
              </w:rPr>
              <w:t>1</w:t>
            </w:r>
            <w:r>
              <w:rPr>
                <w:rFonts w:hint="eastAsia" w:ascii="Times New Roman" w:hAnsi="Times New Roman" w:eastAsia="宋体"/>
                <w:spacing w:val="7"/>
                <w:kern w:val="2"/>
                <w:sz w:val="21"/>
                <w:szCs w:val="21"/>
              </w:rPr>
              <w:t>、</w:t>
            </w:r>
            <w:r>
              <w:rPr>
                <w:rFonts w:ascii="Times New Roman" w:hAnsi="Times New Roman" w:eastAsia="宋体"/>
                <w:spacing w:val="-5"/>
                <w:kern w:val="2"/>
                <w:sz w:val="21"/>
                <w:szCs w:val="21"/>
              </w:rPr>
              <w:t>上岗人员固定，不随意更换，若出现人员因事、病等</w:t>
            </w:r>
            <w:r>
              <w:rPr>
                <w:rFonts w:ascii="Times New Roman" w:hAnsi="Times New Roman" w:eastAsia="宋体"/>
                <w:spacing w:val="9"/>
                <w:kern w:val="2"/>
                <w:sz w:val="21"/>
                <w:szCs w:val="21"/>
              </w:rPr>
              <w:t xml:space="preserve"> </w:t>
            </w:r>
            <w:r>
              <w:rPr>
                <w:rFonts w:ascii="Times New Roman" w:hAnsi="Times New Roman" w:eastAsia="宋体"/>
                <w:kern w:val="2"/>
                <w:sz w:val="21"/>
                <w:szCs w:val="21"/>
              </w:rPr>
              <w:t>不能工作的，及时调整其他人员补充，确保服务工作的正常进</w:t>
            </w:r>
            <w:r>
              <w:rPr>
                <w:rFonts w:ascii="Times New Roman" w:hAnsi="Times New Roman" w:eastAsia="宋体"/>
                <w:spacing w:val="-4"/>
                <w:kern w:val="2"/>
                <w:sz w:val="21"/>
                <w:szCs w:val="21"/>
              </w:rPr>
              <w:t>行</w:t>
            </w:r>
            <w:r>
              <w:rPr>
                <w:rFonts w:hint="eastAsia" w:ascii="Times New Roman" w:hAnsi="Times New Roman" w:eastAsia="宋体" w:cs="宋体"/>
                <w:kern w:val="2"/>
                <w:sz w:val="21"/>
                <w:szCs w:val="21"/>
              </w:rPr>
              <w:t>；</w:t>
            </w:r>
          </w:p>
          <w:p w14:paraId="44E0C4D7">
            <w:pPr>
              <w:widowControl w:val="0"/>
              <w:tabs>
                <w:tab w:val="left" w:pos="547"/>
              </w:tabs>
              <w:spacing w:line="320" w:lineRule="exact"/>
              <w:ind w:firstLine="448" w:firstLineChars="200"/>
              <w:jc w:val="both"/>
              <w:rPr>
                <w:rFonts w:ascii="Times New Roman" w:hAnsi="Times New Roman" w:eastAsia="宋体" w:cs="宋体"/>
                <w:kern w:val="2"/>
                <w:sz w:val="21"/>
                <w:szCs w:val="21"/>
              </w:rPr>
            </w:pPr>
            <w:r>
              <w:rPr>
                <w:rFonts w:hint="eastAsia" w:ascii="Times New Roman" w:hAnsi="Times New Roman" w:eastAsia="宋体"/>
                <w:spacing w:val="7"/>
                <w:kern w:val="2"/>
                <w:sz w:val="21"/>
                <w:szCs w:val="21"/>
              </w:rPr>
              <w:t>2、</w:t>
            </w:r>
            <w:r>
              <w:rPr>
                <w:rFonts w:ascii="宋体" w:hAnsi="宋体" w:eastAsia="宋体" w:cs="宋体"/>
                <w:spacing w:val="-4"/>
                <w:kern w:val="2"/>
                <w:sz w:val="21"/>
                <w:szCs w:val="21"/>
              </w:rPr>
              <w:t>接受采购人对服务的考核、监督及管理，并定期回访征询采购人对服务质量的满意度并加以改进，确保服务工作的正常进行。</w:t>
            </w:r>
          </w:p>
          <w:p w14:paraId="61CFD5D9">
            <w:pPr>
              <w:widowControl w:val="0"/>
              <w:spacing w:line="320" w:lineRule="exact"/>
              <w:ind w:firstLine="422"/>
              <w:jc w:val="both"/>
              <w:rPr>
                <w:rFonts w:ascii="Times New Roman" w:hAnsi="Times New Roman" w:eastAsia="宋体" w:cs="Calibri"/>
                <w:b/>
                <w:color w:val="C00000"/>
                <w:kern w:val="2"/>
                <w:sz w:val="21"/>
                <w:szCs w:val="21"/>
              </w:rPr>
            </w:pPr>
            <w:r>
              <w:rPr>
                <w:rFonts w:hint="eastAsia" w:ascii="Times New Roman" w:hAnsi="Times New Roman" w:eastAsia="宋体" w:cs="宋体"/>
                <w:kern w:val="2"/>
                <w:sz w:val="21"/>
                <w:szCs w:val="21"/>
              </w:rPr>
              <w:t>全部提供计</w:t>
            </w:r>
            <w:r>
              <w:rPr>
                <w:rFonts w:ascii="Times New Roman" w:hAnsi="Times New Roman" w:eastAsia="宋体" w:cs="宋体"/>
                <w:kern w:val="2"/>
                <w:sz w:val="21"/>
                <w:szCs w:val="21"/>
              </w:rPr>
              <w:t>3</w:t>
            </w:r>
            <w:r>
              <w:rPr>
                <w:rFonts w:hint="eastAsia" w:ascii="Times New Roman" w:hAnsi="Times New Roman" w:eastAsia="宋体" w:cs="宋体"/>
                <w:kern w:val="2"/>
                <w:sz w:val="21"/>
                <w:szCs w:val="21"/>
              </w:rPr>
              <w:t>分，不提供或者提供不全计0分。</w:t>
            </w:r>
          </w:p>
        </w:tc>
        <w:tc>
          <w:tcPr>
            <w:tcW w:w="1418" w:type="dxa"/>
            <w:vMerge w:val="continue"/>
            <w:shd w:val="clear" w:color="auto" w:fill="auto"/>
            <w:vAlign w:val="center"/>
          </w:tcPr>
          <w:p w14:paraId="7D4BC703">
            <w:pPr>
              <w:widowControl w:val="0"/>
              <w:spacing w:line="320" w:lineRule="exact"/>
              <w:jc w:val="both"/>
              <w:rPr>
                <w:rFonts w:ascii="Times New Roman" w:hAnsi="Times New Roman" w:eastAsia="宋体" w:cs="宋体"/>
                <w:bCs/>
                <w:color w:val="FF0000"/>
                <w:kern w:val="2"/>
                <w:sz w:val="21"/>
                <w:szCs w:val="21"/>
              </w:rPr>
            </w:pPr>
          </w:p>
        </w:tc>
      </w:tr>
      <w:tr w14:paraId="311986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5" w:hRule="atLeast"/>
          <w:jc w:val="center"/>
        </w:trPr>
        <w:tc>
          <w:tcPr>
            <w:tcW w:w="756" w:type="dxa"/>
            <w:vMerge w:val="continue"/>
            <w:shd w:val="clear" w:color="auto" w:fill="auto"/>
            <w:vAlign w:val="center"/>
          </w:tcPr>
          <w:p w14:paraId="6E4CEC9D">
            <w:pPr>
              <w:widowControl w:val="0"/>
              <w:spacing w:line="320" w:lineRule="exact"/>
              <w:jc w:val="both"/>
              <w:rPr>
                <w:rFonts w:ascii="Times New Roman" w:hAnsi="Times New Roman" w:eastAsia="宋体" w:cs="宋体"/>
                <w:bCs/>
                <w:kern w:val="2"/>
                <w:sz w:val="21"/>
                <w:szCs w:val="21"/>
              </w:rPr>
            </w:pPr>
          </w:p>
        </w:tc>
        <w:tc>
          <w:tcPr>
            <w:tcW w:w="750" w:type="dxa"/>
            <w:vMerge w:val="continue"/>
            <w:shd w:val="clear" w:color="auto" w:fill="auto"/>
            <w:vAlign w:val="center"/>
          </w:tcPr>
          <w:p w14:paraId="181E25B8">
            <w:pPr>
              <w:widowControl w:val="0"/>
              <w:spacing w:line="320" w:lineRule="exact"/>
              <w:jc w:val="both"/>
              <w:rPr>
                <w:rFonts w:ascii="Times New Roman" w:hAnsi="Times New Roman" w:eastAsia="宋体" w:cs="宋体"/>
                <w:bCs/>
                <w:kern w:val="2"/>
                <w:sz w:val="21"/>
                <w:szCs w:val="21"/>
              </w:rPr>
            </w:pPr>
          </w:p>
        </w:tc>
        <w:tc>
          <w:tcPr>
            <w:tcW w:w="914" w:type="dxa"/>
            <w:shd w:val="clear" w:color="auto" w:fill="auto"/>
            <w:vAlign w:val="center"/>
          </w:tcPr>
          <w:p w14:paraId="5799BFDC">
            <w:pPr>
              <w:widowControl w:val="0"/>
              <w:spacing w:line="320" w:lineRule="exact"/>
              <w:jc w:val="center"/>
              <w:rPr>
                <w:rFonts w:ascii="Times New Roman" w:hAnsi="Times New Roman" w:eastAsia="宋体" w:cs="宋体"/>
                <w:bCs/>
                <w:kern w:val="2"/>
                <w:sz w:val="21"/>
                <w:szCs w:val="21"/>
              </w:rPr>
            </w:pPr>
            <w:r>
              <w:rPr>
                <w:rFonts w:ascii="Times New Roman" w:hAnsi="Times New Roman" w:eastAsia="宋体" w:cs="宋体"/>
                <w:bCs/>
                <w:kern w:val="2"/>
                <w:sz w:val="21"/>
                <w:szCs w:val="21"/>
              </w:rPr>
              <w:t>5</w:t>
            </w:r>
          </w:p>
        </w:tc>
        <w:tc>
          <w:tcPr>
            <w:tcW w:w="5645" w:type="dxa"/>
            <w:shd w:val="clear" w:color="auto" w:fill="auto"/>
            <w:vAlign w:val="center"/>
          </w:tcPr>
          <w:p w14:paraId="371A9119">
            <w:pPr>
              <w:widowControl w:val="0"/>
              <w:tabs>
                <w:tab w:val="left" w:pos="547"/>
              </w:tabs>
              <w:spacing w:line="320" w:lineRule="exact"/>
              <w:ind w:firstLine="420" w:firstLineChars="200"/>
              <w:jc w:val="both"/>
              <w:rPr>
                <w:rFonts w:ascii="宋体" w:hAnsi="宋体" w:eastAsia="宋体" w:cs="Cambria"/>
                <w:b/>
                <w:color w:val="C00000"/>
                <w:kern w:val="2"/>
                <w:sz w:val="21"/>
                <w:szCs w:val="21"/>
              </w:rPr>
            </w:pPr>
            <w:r>
              <w:rPr>
                <w:rFonts w:hint="eastAsia" w:ascii="宋体" w:hAnsi="宋体" w:eastAsia="宋体" w:cs="Cambria"/>
                <w:b/>
                <w:color w:val="C00000"/>
                <w:kern w:val="2"/>
                <w:sz w:val="21"/>
                <w:szCs w:val="21"/>
              </w:rPr>
              <w:t>业绩：</w:t>
            </w:r>
          </w:p>
          <w:p w14:paraId="113D37FD">
            <w:pPr>
              <w:widowControl w:val="0"/>
              <w:tabs>
                <w:tab w:val="left" w:pos="547"/>
              </w:tabs>
              <w:spacing w:line="320" w:lineRule="exact"/>
              <w:ind w:firstLine="420" w:firstLineChars="200"/>
              <w:jc w:val="both"/>
              <w:rPr>
                <w:rFonts w:ascii="宋体" w:hAnsi="宋体" w:eastAsia="宋体" w:cs="Cambria"/>
                <w:kern w:val="2"/>
                <w:sz w:val="21"/>
                <w:szCs w:val="21"/>
              </w:rPr>
            </w:pPr>
            <w:r>
              <w:rPr>
                <w:rFonts w:hint="eastAsia" w:ascii="宋体" w:hAnsi="宋体" w:eastAsia="宋体" w:cs="Cambria"/>
                <w:kern w:val="2"/>
                <w:sz w:val="21"/>
                <w:szCs w:val="21"/>
              </w:rPr>
              <w:t>提供2023年1月1日（以合同签订时间为准）起类似项目业绩证明文件（包括合同、履约验收文件，二者同时出具方为有效，履约验收文件需加盖被服务单位公章）。评审时以投标文件中的扫描件（加盖公章）为计分依据，每提供一份完整的业绩证明文件得2.5分，满分5分。</w:t>
            </w:r>
          </w:p>
          <w:p w14:paraId="0290AF42">
            <w:pPr>
              <w:widowControl w:val="0"/>
              <w:tabs>
                <w:tab w:val="left" w:pos="547"/>
              </w:tabs>
              <w:spacing w:line="320" w:lineRule="exact"/>
              <w:ind w:firstLine="420" w:firstLineChars="200"/>
              <w:jc w:val="both"/>
              <w:rPr>
                <w:rFonts w:ascii="宋体" w:hAnsi="宋体" w:eastAsia="宋体" w:cs="Cambria"/>
                <w:kern w:val="2"/>
                <w:sz w:val="21"/>
                <w:szCs w:val="21"/>
              </w:rPr>
            </w:pPr>
            <w:r>
              <w:rPr>
                <w:rFonts w:hint="eastAsia" w:ascii="宋体" w:hAnsi="宋体" w:eastAsia="宋体" w:cs="Cambria"/>
                <w:kern w:val="2"/>
                <w:sz w:val="21"/>
                <w:szCs w:val="21"/>
              </w:rPr>
              <w:t>注：供应商需提供合同关键页扫描件（至少应包含合同首页、合同金额所在页、签字盖章页），并加盖公章。</w:t>
            </w:r>
          </w:p>
        </w:tc>
        <w:tc>
          <w:tcPr>
            <w:tcW w:w="1418" w:type="dxa"/>
            <w:vMerge w:val="continue"/>
            <w:shd w:val="clear" w:color="auto" w:fill="auto"/>
            <w:vAlign w:val="center"/>
          </w:tcPr>
          <w:p w14:paraId="03A020DE">
            <w:pPr>
              <w:widowControl w:val="0"/>
              <w:spacing w:line="320" w:lineRule="exact"/>
              <w:jc w:val="both"/>
              <w:rPr>
                <w:rFonts w:ascii="Times New Roman" w:hAnsi="Times New Roman" w:eastAsia="宋体" w:cs="宋体"/>
                <w:bCs/>
                <w:color w:val="FF0000"/>
                <w:kern w:val="2"/>
                <w:sz w:val="21"/>
                <w:szCs w:val="21"/>
              </w:rPr>
            </w:pPr>
          </w:p>
        </w:tc>
      </w:tr>
      <w:tr w14:paraId="589533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5" w:hRule="atLeast"/>
          <w:jc w:val="center"/>
        </w:trPr>
        <w:tc>
          <w:tcPr>
            <w:tcW w:w="756" w:type="dxa"/>
            <w:shd w:val="clear" w:color="auto" w:fill="auto"/>
            <w:vAlign w:val="center"/>
          </w:tcPr>
          <w:p w14:paraId="1627BD1D">
            <w:pPr>
              <w:widowControl w:val="0"/>
              <w:spacing w:line="320" w:lineRule="exact"/>
              <w:jc w:val="both"/>
              <w:rPr>
                <w:rFonts w:ascii="Times New Roman" w:hAnsi="Times New Roman" w:eastAsia="宋体" w:cs="宋体"/>
                <w:bCs/>
                <w:kern w:val="2"/>
                <w:sz w:val="21"/>
                <w:szCs w:val="21"/>
              </w:rPr>
            </w:pPr>
            <w:r>
              <w:rPr>
                <w:rFonts w:ascii="Times New Roman" w:hAnsi="Times New Roman" w:eastAsia="宋体" w:cs="宋体"/>
                <w:bCs/>
                <w:kern w:val="2"/>
                <w:sz w:val="21"/>
                <w:szCs w:val="21"/>
              </w:rPr>
              <w:t>说明</w:t>
            </w:r>
          </w:p>
        </w:tc>
        <w:tc>
          <w:tcPr>
            <w:tcW w:w="8727" w:type="dxa"/>
            <w:gridSpan w:val="4"/>
            <w:shd w:val="clear" w:color="auto" w:fill="auto"/>
            <w:vAlign w:val="center"/>
          </w:tcPr>
          <w:p w14:paraId="150E1701">
            <w:pPr>
              <w:widowControl w:val="0"/>
              <w:spacing w:line="320" w:lineRule="exact"/>
              <w:ind w:firstLine="420" w:firstLineChars="200"/>
              <w:jc w:val="both"/>
              <w:rPr>
                <w:rFonts w:ascii="Times New Roman" w:hAnsi="Times New Roman" w:eastAsia="宋体" w:cs="宋体"/>
                <w:bCs/>
                <w:color w:val="FF0000"/>
                <w:kern w:val="2"/>
                <w:sz w:val="21"/>
                <w:szCs w:val="21"/>
              </w:rPr>
            </w:pPr>
            <w:r>
              <w:rPr>
                <w:rFonts w:hint="eastAsia" w:ascii="Times New Roman" w:hAnsi="Times New Roman" w:eastAsia="宋体" w:cs="宋体"/>
                <w:bCs/>
                <w:color w:val="FF0000"/>
                <w:kern w:val="2"/>
                <w:sz w:val="21"/>
                <w:szCs w:val="21"/>
              </w:rPr>
              <w:t>评标委员会成员必须按照本评审要素据实打分，各类数字计算均按“四舍五入”保留小数点后两位。</w:t>
            </w:r>
          </w:p>
        </w:tc>
      </w:tr>
    </w:tbl>
    <w:p w14:paraId="5E16FD7D">
      <w:pPr>
        <w:pStyle w:val="81"/>
        <w:ind w:firstLine="482"/>
        <w:rPr>
          <w:b/>
        </w:rPr>
      </w:pPr>
      <w:r>
        <w:rPr>
          <w:b/>
        </w:rPr>
        <w:t>6</w:t>
      </w:r>
      <w:r>
        <w:rPr>
          <w:rFonts w:hint="eastAsia"/>
          <w:b/>
          <w:color w:val="auto"/>
        </w:rPr>
        <w:t>．</w:t>
      </w:r>
      <w:r>
        <w:rPr>
          <w:b/>
        </w:rPr>
        <w:t>推荐中标候选人</w:t>
      </w:r>
    </w:p>
    <w:p w14:paraId="33078F8F">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pPr>
        <w:pStyle w:val="81"/>
        <w:ind w:firstLine="482"/>
        <w:rPr>
          <w:b/>
        </w:rPr>
      </w:pPr>
      <w:r>
        <w:rPr>
          <w:b/>
        </w:rPr>
        <w:t>7</w:t>
      </w:r>
      <w:r>
        <w:rPr>
          <w:rFonts w:hint="eastAsia"/>
          <w:b/>
          <w:color w:val="auto"/>
        </w:rPr>
        <w:t>．</w:t>
      </w:r>
      <w:r>
        <w:rPr>
          <w:b/>
        </w:rPr>
        <w:t>编写评审报告</w:t>
      </w:r>
    </w:p>
    <w:p w14:paraId="43D27BE5">
      <w:pPr>
        <w:pStyle w:val="81"/>
        <w:ind w:firstLine="480"/>
        <w:rPr>
          <w:rFonts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ind w:firstLine="480"/>
      </w:pPr>
      <w:r>
        <w:rPr>
          <w:rFonts w:hint="eastAsia"/>
        </w:rPr>
        <w:t>1</w:t>
      </w:r>
      <w:r>
        <w:rPr>
          <w:rFonts w:hint="eastAsia"/>
          <w:color w:val="auto"/>
        </w:rPr>
        <w:t>．</w:t>
      </w:r>
      <w:r>
        <w:t>采购代理机构在评标工作结束后2个工作日内将评审报告送采购人。</w:t>
      </w:r>
    </w:p>
    <w:p w14:paraId="4224D80C">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1"/>
        <w:ind w:firstLine="480"/>
      </w:pPr>
      <w:r>
        <w:rPr>
          <w:rFonts w:hint="eastAsia"/>
        </w:rPr>
        <w:t>1</w:t>
      </w:r>
      <w:r>
        <w:rPr>
          <w:rFonts w:hint="eastAsia"/>
          <w:color w:val="auto"/>
        </w:rPr>
        <w:t>．</w:t>
      </w:r>
      <w:r>
        <w:rPr>
          <w:rFonts w:hint="eastAsia"/>
        </w:rPr>
        <w:t>合同一经签订，双方应严格履行合同规定的义务。</w:t>
      </w:r>
    </w:p>
    <w:p w14:paraId="7846AF21">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ind w:firstLine="480"/>
      </w:pPr>
      <w:r>
        <w:t>（</w:t>
      </w:r>
      <w:r>
        <w:rPr>
          <w:rFonts w:hint="eastAsia"/>
        </w:rPr>
        <w:t>3</w:t>
      </w:r>
      <w:r>
        <w:t>）因重大变故，采购任务取消的。</w:t>
      </w:r>
    </w:p>
    <w:p w14:paraId="1126BD68">
      <w:pPr>
        <w:pStyle w:val="81"/>
        <w:ind w:firstLine="480"/>
      </w:pPr>
      <w:r>
        <w:t>废标后，除采购任务取消外，本项目将重新组织招标。</w:t>
      </w:r>
    </w:p>
    <w:p w14:paraId="163D00B9">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10" w:name="_Toc211437468"/>
      <w:r>
        <w:rPr>
          <w:rFonts w:hint="eastAsia"/>
        </w:rPr>
        <w:t>第三章　招标内容及要求</w:t>
      </w:r>
      <w:bookmarkEnd w:id="10"/>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西安市秦岭生态环境保护管理局位于长安区关中环线子午段2345号，单位办公场所占地面积21.82亩，总建筑面积约4361平方米，室外面积（含绿化面积）12385.54平方米。物业管理服务项目主要负责员工食堂、车位、锅炉房、配电房、自备井房、下水管网、化粪池、道路、草坪等附属设施的维护、保洁、服务；供电、供暖、供气设备巡检;承担会务保障、生活垃圾清运、仓储管理、院区安保、院区绿植管护等的服务。</w:t>
      </w:r>
      <w:r>
        <w:cr/>
      </w:r>
    </w:p>
    <w:p w14:paraId="7307D21B">
      <w:pPr>
        <w:pStyle w:val="3"/>
        <w:jc w:val="both"/>
      </w:pPr>
      <w:r>
        <w:rPr>
          <w:rFonts w:hint="eastAsia"/>
        </w:rPr>
        <w:t>二、采购内容</w:t>
      </w:r>
    </w:p>
    <w:p w14:paraId="5870855E">
      <w:pPr>
        <w:ind w:firstLine="480" w:firstLineChars="200"/>
      </w:pPr>
      <w:r>
        <w:rPr>
          <w:rFonts w:hint="eastAsia"/>
        </w:rPr>
        <w:t>（一）服务类别：设备设施服务、保洁及绿化服务、安保服务、其他服务。</w:t>
      </w:r>
    </w:p>
    <w:p w14:paraId="60242618">
      <w:pPr>
        <w:ind w:firstLine="480" w:firstLineChars="200"/>
      </w:pPr>
      <w:r>
        <w:rPr>
          <w:rFonts w:hint="eastAsia"/>
        </w:rPr>
        <w:t>（二）服务区域</w:t>
      </w:r>
    </w:p>
    <w:p w14:paraId="66A43863">
      <w:pPr>
        <w:ind w:firstLine="480" w:firstLineChars="200"/>
      </w:pPr>
      <w:r>
        <w:rPr>
          <w:rFonts w:hint="eastAsia"/>
        </w:rPr>
        <w:t>1、公共区域：红线以内的各种建筑物、构筑物公共区域以及相关配套的设施设备、卫生间、道路及停车场。</w:t>
      </w:r>
      <w:r>
        <w:rPr>
          <w:rFonts w:hint="eastAsia"/>
        </w:rPr>
        <w:cr/>
      </w:r>
      <w:r>
        <w:t xml:space="preserve">    </w:t>
      </w:r>
      <w:r>
        <w:rPr>
          <w:rFonts w:hint="eastAsia"/>
        </w:rPr>
        <w:t>2、共用部位：红线以内的各种建筑物承重结构部位（包括基础、柱、梁、楼板、 屋顶等）、户外墙面、门厅、楼梯间、走廊通道等。</w:t>
      </w:r>
      <w:r>
        <w:rPr>
          <w:rFonts w:hint="eastAsia"/>
        </w:rPr>
        <w:cr/>
      </w:r>
      <w:r>
        <w:t xml:space="preserve">    </w:t>
      </w:r>
      <w:r>
        <w:rPr>
          <w:rFonts w:hint="eastAsia"/>
        </w:rPr>
        <w:t>3、共用设施设备：本物业服务区域内，物业使用人共同使用的供配电、弱电系统、给排水系统、空调系统、消防系统、监控系统、供暖系统、建筑物防雷设施及其他公用设施设备。</w:t>
      </w:r>
      <w:r>
        <w:cr/>
      </w:r>
      <w:r>
        <w:rPr>
          <w:rFonts w:hint="eastAsia" w:ascii="仿宋" w:hAnsi="仿宋" w:eastAsia="仿宋" w:cs="仿宋"/>
        </w:rPr>
        <w:t xml:space="preserve">                 </w:t>
      </w:r>
    </w:p>
    <w:p w14:paraId="26042384">
      <w:pPr>
        <w:pStyle w:val="3"/>
        <w:jc w:val="both"/>
      </w:pPr>
      <w:r>
        <w:t>三、</w:t>
      </w:r>
      <w:r>
        <w:rPr>
          <w:rFonts w:hint="eastAsia"/>
        </w:rPr>
        <w:t>技术（服务）要求</w:t>
      </w:r>
    </w:p>
    <w:p w14:paraId="2C43236F">
      <w:pPr>
        <w:ind w:firstLine="480" w:firstLineChars="200"/>
      </w:pPr>
      <w:r>
        <w:rPr>
          <w:rFonts w:hint="eastAsia"/>
        </w:rPr>
        <w:t>（一）总体服务要求</w:t>
      </w:r>
    </w:p>
    <w:p w14:paraId="26B32AB3">
      <w:pPr>
        <w:ind w:firstLine="480" w:firstLineChars="200"/>
      </w:pPr>
      <w:r>
        <w:rPr>
          <w:rFonts w:hint="eastAsia"/>
        </w:rPr>
        <w:t>1、总体服务人数为35人。</w:t>
      </w:r>
    </w:p>
    <w:p w14:paraId="568EFD34">
      <w:pPr>
        <w:ind w:firstLine="480" w:firstLineChars="200"/>
      </w:pPr>
      <w:r>
        <w:rPr>
          <w:rFonts w:hint="eastAsia"/>
        </w:rPr>
        <w:t>2、保密性：要求物业工作人员必须具备良好的政法素质，定期开展思想政治教育 和保密教育工作的培训。</w:t>
      </w:r>
    </w:p>
    <w:p w14:paraId="4694A482">
      <w:pPr>
        <w:ind w:firstLine="480" w:firstLineChars="200"/>
      </w:pPr>
      <w:r>
        <w:rPr>
          <w:rFonts w:hint="eastAsia"/>
        </w:rPr>
        <w:t>3、安全性：物业公司工作人员（包括人员调整和更换）主动接受采购人安全管理部门的审查、检查。做好防火、防盗、防爆、防破坏、防事故工作，确保服务区域人员及设施安全。</w:t>
      </w:r>
    </w:p>
    <w:p w14:paraId="4F77E94A">
      <w:pPr>
        <w:ind w:firstLine="480" w:firstLineChars="200"/>
      </w:pPr>
      <w:r>
        <w:rPr>
          <w:rFonts w:hint="eastAsia"/>
        </w:rPr>
        <w:t>4、规范化和标准化服务：按照 ISO9001 国际质量标准进行规范服务。配备的工程、保洁、会议相关服务人员要求身体健康、气质好、形象佳，统一着装，普通话标准，做到举止大方，谈吐文雅，服务标准规范。配备的秩序维护员要求均为男性；配备的各岗位专业人员均须持有相关专业的从业资格证书或操作证书。</w:t>
      </w:r>
    </w:p>
    <w:p w14:paraId="463DA276">
      <w:pPr>
        <w:ind w:firstLine="480" w:firstLineChars="200"/>
      </w:pPr>
      <w:r>
        <w:rPr>
          <w:rFonts w:hint="eastAsia"/>
        </w:rPr>
        <w:t>5、建立质量管理体系，健全各项管理制度，明确岗位职责、岗位工作标准，落实奖罚措施及考核办法。</w:t>
      </w:r>
    </w:p>
    <w:p w14:paraId="458E55E5">
      <w:pPr>
        <w:ind w:firstLine="480" w:firstLineChars="200"/>
      </w:pPr>
      <w:r>
        <w:rPr>
          <w:rFonts w:hint="eastAsia"/>
        </w:rPr>
        <w:t>6、所有员工遵守仪容仪表规范，统一着装，佩带标志，规范服务用语，持证上岗，微笑服务、礼貌待客。</w:t>
      </w:r>
    </w:p>
    <w:p w14:paraId="0082018B">
      <w:pPr>
        <w:ind w:firstLine="480" w:firstLineChars="200"/>
      </w:pPr>
      <w:r>
        <w:rPr>
          <w:rFonts w:hint="eastAsia"/>
        </w:rPr>
        <w:t>7、公开服务标准、公示服务、监督联系电话。</w:t>
      </w:r>
    </w:p>
    <w:p w14:paraId="1681F2B0">
      <w:pPr>
        <w:ind w:firstLine="480" w:firstLineChars="200"/>
      </w:pPr>
      <w:r>
        <w:rPr>
          <w:rFonts w:hint="eastAsia"/>
        </w:rPr>
        <w:t>8、有效运用现代化管理手段，应用新技术进行日常管理。</w:t>
      </w:r>
    </w:p>
    <w:p w14:paraId="1247FE77">
      <w:pPr>
        <w:ind w:firstLine="480" w:firstLineChars="200"/>
      </w:pPr>
      <w:r>
        <w:rPr>
          <w:rFonts w:hint="eastAsia"/>
        </w:rPr>
        <w:t>9、实行24小时值班制度，建立每日接待服务制度，受理使用人报修、投诉、求助，并建立回访制度，有回访记录。</w:t>
      </w:r>
    </w:p>
    <w:p w14:paraId="6EF9E6DE">
      <w:pPr>
        <w:ind w:firstLine="480" w:firstLineChars="200"/>
      </w:pPr>
      <w:r>
        <w:rPr>
          <w:rFonts w:hint="eastAsia"/>
        </w:rPr>
        <w:t>10、项目运行严格按照规程执行，无重大管理责任事故，建立突发事件应急处理 机制，每年进行不少于两次的综合应急预案演练或者专项应急预案演练，确保突发事 件能够有效处理。</w:t>
      </w:r>
    </w:p>
    <w:p w14:paraId="041ACDB9">
      <w:pPr>
        <w:ind w:firstLine="480" w:firstLineChars="200"/>
      </w:pPr>
      <w:r>
        <w:rPr>
          <w:rFonts w:hint="eastAsia"/>
        </w:rPr>
        <w:t>11、每半年进行一次意见征询，改进物业管理，提高服务质量，确保采购人满意。</w:t>
      </w:r>
    </w:p>
    <w:p w14:paraId="1352DFD7">
      <w:pPr>
        <w:ind w:firstLine="480" w:firstLineChars="200"/>
      </w:pPr>
      <w:r>
        <w:rPr>
          <w:rFonts w:hint="eastAsia"/>
        </w:rPr>
        <w:t>12、设立投诉电话，所有投诉24小时内予以回复。</w:t>
      </w:r>
    </w:p>
    <w:p w14:paraId="6D620655">
      <w:pPr>
        <w:ind w:firstLine="480" w:firstLineChars="200"/>
      </w:pPr>
      <w:r>
        <w:rPr>
          <w:rFonts w:hint="eastAsia"/>
        </w:rPr>
        <w:t>（二）设施设备服务要求</w:t>
      </w:r>
    </w:p>
    <w:p w14:paraId="6499D2CD">
      <w:pPr>
        <w:ind w:firstLine="480" w:firstLineChars="200"/>
      </w:pPr>
      <w:r>
        <w:rPr>
          <w:rFonts w:hint="eastAsia"/>
        </w:rPr>
        <w:t>1、设施设备管理服务：</w:t>
      </w:r>
    </w:p>
    <w:p w14:paraId="7C390046">
      <w:pPr>
        <w:ind w:firstLine="480" w:firstLineChars="200"/>
      </w:pPr>
      <w:r>
        <w:rPr>
          <w:rFonts w:hint="eastAsia"/>
        </w:rPr>
        <w:t>（1）房屋共用部位的养护和日常管理：包括房屋周界部分、楼顶、外墙、楼内门厅、楼梯间、走廊通道、地下室以及相关的行人道、行车道、公共卫生间、共用设施设备使用的房屋及其他公共部位的维修、养护和管理。</w:t>
      </w:r>
    </w:p>
    <w:p w14:paraId="31CC7CA9">
      <w:pPr>
        <w:ind w:firstLine="480" w:firstLineChars="200"/>
      </w:pPr>
      <w:r>
        <w:rPr>
          <w:rFonts w:hint="eastAsia"/>
        </w:rPr>
        <w:t>（2）共用设施设备的日常运行、维修、养护和管理：对公共区域内的上下水管道、落水管、照明、消防设施、供配电系统、给排水系统、空调系统、锅炉系统、道路、路灯、沟渠、井、停车场等的日常运行、维修、养护管理。</w:t>
      </w:r>
    </w:p>
    <w:p w14:paraId="0CD7235C">
      <w:pPr>
        <w:ind w:firstLine="480" w:firstLineChars="200"/>
      </w:pPr>
      <w:r>
        <w:rPr>
          <w:rFonts w:hint="eastAsia"/>
        </w:rPr>
        <w:t>（3）会议室音响、话筒、投影等多媒体设备的日常维护、调试、软故障处理及网线安装，对突发 故障应急处理，确保正常运行。</w:t>
      </w:r>
    </w:p>
    <w:p w14:paraId="41BA0D6C">
      <w:pPr>
        <w:ind w:firstLine="480" w:firstLineChars="200"/>
      </w:pPr>
      <w:r>
        <w:rPr>
          <w:rFonts w:hint="eastAsia"/>
        </w:rPr>
        <w:t>2、具体内容及要求</w:t>
      </w:r>
    </w:p>
    <w:tbl>
      <w:tblPr>
        <w:tblStyle w:val="100"/>
        <w:tblW w:w="91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2693"/>
        <w:gridCol w:w="5749"/>
      </w:tblGrid>
      <w:tr w14:paraId="233C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96" w:type="dxa"/>
            <w:tcBorders>
              <w:top w:val="single" w:color="000000" w:sz="10" w:space="0"/>
              <w:left w:val="single" w:color="000000" w:sz="10" w:space="0"/>
            </w:tcBorders>
            <w:shd w:val="clear" w:color="auto" w:fill="F1F1F1"/>
          </w:tcPr>
          <w:p w14:paraId="19A1D110">
            <w:pPr>
              <w:widowControl w:val="0"/>
              <w:kinsoku w:val="0"/>
              <w:autoSpaceDE w:val="0"/>
              <w:autoSpaceDN w:val="0"/>
              <w:adjustRightInd w:val="0"/>
              <w:snapToGrid w:val="0"/>
              <w:spacing w:before="122" w:line="187" w:lineRule="auto"/>
              <w:ind w:left="101"/>
              <w:jc w:val="center"/>
              <w:textAlignment w:val="baseline"/>
              <w:rPr>
                <w:rFonts w:ascii="微软雅黑" w:hAnsi="微软雅黑" w:eastAsia="微软雅黑" w:cs="微软雅黑"/>
                <w:snapToGrid w:val="0"/>
                <w:color w:val="000000"/>
                <w:kern w:val="2"/>
                <w:sz w:val="20"/>
                <w:szCs w:val="20"/>
                <w:lang w:eastAsia="en-US"/>
              </w:rPr>
            </w:pPr>
            <w:r>
              <w:rPr>
                <w:rFonts w:ascii="微软雅黑" w:hAnsi="微软雅黑" w:eastAsia="微软雅黑" w:cs="微软雅黑"/>
                <w:b/>
                <w:bCs/>
                <w:snapToGrid w:val="0"/>
                <w:color w:val="000000"/>
                <w:spacing w:val="7"/>
                <w:kern w:val="2"/>
                <w:sz w:val="20"/>
                <w:szCs w:val="20"/>
                <w:lang w:eastAsia="en-US"/>
              </w:rPr>
              <w:t>序号</w:t>
            </w:r>
          </w:p>
        </w:tc>
        <w:tc>
          <w:tcPr>
            <w:tcW w:w="2693" w:type="dxa"/>
            <w:tcBorders>
              <w:top w:val="single" w:color="000000" w:sz="10" w:space="0"/>
            </w:tcBorders>
            <w:shd w:val="clear" w:color="auto" w:fill="F1F1F1"/>
          </w:tcPr>
          <w:p w14:paraId="6FDE0AB5">
            <w:pPr>
              <w:widowControl w:val="0"/>
              <w:kinsoku w:val="0"/>
              <w:autoSpaceDE w:val="0"/>
              <w:autoSpaceDN w:val="0"/>
              <w:adjustRightInd w:val="0"/>
              <w:snapToGrid w:val="0"/>
              <w:spacing w:before="122" w:line="187" w:lineRule="auto"/>
              <w:ind w:left="97"/>
              <w:jc w:val="center"/>
              <w:textAlignment w:val="baseline"/>
              <w:rPr>
                <w:rFonts w:ascii="微软雅黑" w:hAnsi="微软雅黑" w:eastAsia="微软雅黑" w:cs="微软雅黑"/>
                <w:snapToGrid w:val="0"/>
                <w:color w:val="000000"/>
                <w:kern w:val="2"/>
                <w:sz w:val="20"/>
                <w:szCs w:val="20"/>
                <w:lang w:eastAsia="en-US"/>
              </w:rPr>
            </w:pPr>
            <w:r>
              <w:rPr>
                <w:rFonts w:ascii="微软雅黑" w:hAnsi="微软雅黑" w:eastAsia="微软雅黑" w:cs="微软雅黑"/>
                <w:b/>
                <w:bCs/>
                <w:snapToGrid w:val="0"/>
                <w:color w:val="000000"/>
                <w:spacing w:val="8"/>
                <w:kern w:val="2"/>
                <w:sz w:val="20"/>
                <w:szCs w:val="20"/>
                <w:lang w:eastAsia="en-US"/>
              </w:rPr>
              <w:t>服务内容</w:t>
            </w:r>
          </w:p>
        </w:tc>
        <w:tc>
          <w:tcPr>
            <w:tcW w:w="5749" w:type="dxa"/>
            <w:tcBorders>
              <w:top w:val="single" w:color="000000" w:sz="10" w:space="0"/>
              <w:right w:val="single" w:color="000000" w:sz="10" w:space="0"/>
            </w:tcBorders>
            <w:shd w:val="clear" w:color="auto" w:fill="F1F1F1"/>
          </w:tcPr>
          <w:p w14:paraId="344DAEED">
            <w:pPr>
              <w:widowControl w:val="0"/>
              <w:kinsoku w:val="0"/>
              <w:autoSpaceDE w:val="0"/>
              <w:autoSpaceDN w:val="0"/>
              <w:adjustRightInd w:val="0"/>
              <w:snapToGrid w:val="0"/>
              <w:spacing w:before="122" w:line="187" w:lineRule="auto"/>
              <w:ind w:left="105"/>
              <w:jc w:val="center"/>
              <w:textAlignment w:val="baseline"/>
              <w:rPr>
                <w:rFonts w:ascii="微软雅黑" w:hAnsi="微软雅黑" w:eastAsia="微软雅黑" w:cs="微软雅黑"/>
                <w:snapToGrid w:val="0"/>
                <w:color w:val="000000"/>
                <w:kern w:val="2"/>
                <w:sz w:val="20"/>
                <w:szCs w:val="20"/>
                <w:lang w:eastAsia="en-US"/>
              </w:rPr>
            </w:pPr>
            <w:r>
              <w:rPr>
                <w:rFonts w:ascii="微软雅黑" w:hAnsi="微软雅黑" w:eastAsia="微软雅黑" w:cs="微软雅黑"/>
                <w:b/>
                <w:bCs/>
                <w:snapToGrid w:val="0"/>
                <w:color w:val="000000"/>
                <w:spacing w:val="8"/>
                <w:kern w:val="2"/>
                <w:sz w:val="20"/>
                <w:szCs w:val="20"/>
                <w:lang w:eastAsia="en-US"/>
              </w:rPr>
              <w:t>服务要求</w:t>
            </w:r>
          </w:p>
        </w:tc>
      </w:tr>
      <w:tr w14:paraId="75B4E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jc w:val="center"/>
        </w:trPr>
        <w:tc>
          <w:tcPr>
            <w:tcW w:w="696" w:type="dxa"/>
            <w:tcBorders>
              <w:left w:val="single" w:color="000000" w:sz="10" w:space="0"/>
            </w:tcBorders>
          </w:tcPr>
          <w:p w14:paraId="640486E1">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1CB743C7">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3DAFDB32">
            <w:pPr>
              <w:widowControl w:val="0"/>
              <w:kinsoku w:val="0"/>
              <w:autoSpaceDE w:val="0"/>
              <w:autoSpaceDN w:val="0"/>
              <w:adjustRightInd w:val="0"/>
              <w:snapToGrid w:val="0"/>
              <w:spacing w:before="85" w:line="260" w:lineRule="exact"/>
              <w:ind w:left="101"/>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5"/>
                <w:kern w:val="2"/>
                <w:position w:val="-2"/>
                <w:sz w:val="21"/>
                <w:szCs w:val="21"/>
                <w:lang w:eastAsia="en-US"/>
              </w:rPr>
              <w:t>一</w:t>
            </w:r>
          </w:p>
        </w:tc>
        <w:tc>
          <w:tcPr>
            <w:tcW w:w="2693" w:type="dxa"/>
          </w:tcPr>
          <w:p w14:paraId="1E78E5F5">
            <w:pPr>
              <w:widowControl w:val="0"/>
              <w:kinsoku w:val="0"/>
              <w:autoSpaceDE w:val="0"/>
              <w:autoSpaceDN w:val="0"/>
              <w:adjustRightInd w:val="0"/>
              <w:snapToGrid w:val="0"/>
              <w:spacing w:line="260" w:lineRule="exact"/>
              <w:jc w:val="both"/>
              <w:textAlignment w:val="baseline"/>
              <w:rPr>
                <w:rFonts w:ascii="Calibri" w:hAnsi="Calibri" w:eastAsia="宋体" w:cs="Arial"/>
                <w:snapToGrid w:val="0"/>
                <w:color w:val="000000"/>
                <w:kern w:val="2"/>
                <w:sz w:val="21"/>
                <w:szCs w:val="21"/>
              </w:rPr>
            </w:pPr>
          </w:p>
          <w:p w14:paraId="1F1AA4D9">
            <w:pPr>
              <w:widowControl w:val="0"/>
              <w:kinsoku w:val="0"/>
              <w:autoSpaceDE w:val="0"/>
              <w:autoSpaceDN w:val="0"/>
              <w:adjustRightInd w:val="0"/>
              <w:snapToGrid w:val="0"/>
              <w:spacing w:line="260" w:lineRule="exact"/>
              <w:jc w:val="both"/>
              <w:textAlignment w:val="baseline"/>
              <w:rPr>
                <w:rFonts w:ascii="Calibri" w:hAnsi="Calibri" w:eastAsia="宋体" w:cs="Arial"/>
                <w:snapToGrid w:val="0"/>
                <w:color w:val="000000"/>
                <w:kern w:val="2"/>
                <w:sz w:val="21"/>
                <w:szCs w:val="21"/>
              </w:rPr>
            </w:pPr>
          </w:p>
          <w:p w14:paraId="5C32DF30">
            <w:pPr>
              <w:widowControl w:val="0"/>
              <w:kinsoku w:val="0"/>
              <w:autoSpaceDE w:val="0"/>
              <w:autoSpaceDN w:val="0"/>
              <w:adjustRightInd w:val="0"/>
              <w:snapToGrid w:val="0"/>
              <w:spacing w:before="86" w:line="260" w:lineRule="exact"/>
              <w:ind w:left="96"/>
              <w:jc w:val="both"/>
              <w:textAlignment w:val="baseline"/>
              <w:rPr>
                <w:rFonts w:ascii="Calibri" w:hAnsi="Calibri" w:eastAsia="宋体" w:cs="微软雅黑"/>
                <w:snapToGrid w:val="0"/>
                <w:color w:val="000000"/>
                <w:kern w:val="2"/>
                <w:sz w:val="21"/>
                <w:szCs w:val="21"/>
              </w:rPr>
            </w:pPr>
            <w:r>
              <w:rPr>
                <w:rFonts w:ascii="Calibri" w:hAnsi="Calibri" w:eastAsia="宋体" w:cs="微软雅黑"/>
                <w:snapToGrid w:val="0"/>
                <w:color w:val="000000"/>
                <w:spacing w:val="9"/>
                <w:kern w:val="2"/>
                <w:sz w:val="21"/>
                <w:szCs w:val="21"/>
              </w:rPr>
              <w:t>房屋及设施设备维修管理</w:t>
            </w:r>
          </w:p>
        </w:tc>
        <w:tc>
          <w:tcPr>
            <w:tcW w:w="5749" w:type="dxa"/>
            <w:tcBorders>
              <w:right w:val="single" w:color="000000" w:sz="10" w:space="0"/>
            </w:tcBorders>
          </w:tcPr>
          <w:p w14:paraId="26A923C8">
            <w:pPr>
              <w:widowControl w:val="0"/>
              <w:kinsoku w:val="0"/>
              <w:autoSpaceDE w:val="0"/>
              <w:autoSpaceDN w:val="0"/>
              <w:adjustRightInd w:val="0"/>
              <w:snapToGrid w:val="0"/>
              <w:spacing w:before="82" w:line="260" w:lineRule="exact"/>
              <w:ind w:left="103" w:right="39" w:firstLine="16"/>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2"/>
                <w:kern w:val="2"/>
                <w:sz w:val="21"/>
                <w:szCs w:val="21"/>
              </w:rPr>
              <w:t>1.</w:t>
            </w:r>
            <w:r>
              <w:rPr>
                <w:rFonts w:ascii="Calibri" w:hAnsi="Calibri" w:eastAsia="宋体" w:cs="微软雅黑"/>
                <w:snapToGrid w:val="0"/>
                <w:color w:val="000000"/>
                <w:spacing w:val="2"/>
                <w:kern w:val="2"/>
                <w:sz w:val="21"/>
                <w:szCs w:val="21"/>
              </w:rPr>
              <w:t>确保所管辖区域房屋的完好和正常使用，房屋外观完好、</w:t>
            </w:r>
            <w:r>
              <w:rPr>
                <w:rFonts w:ascii="Calibri" w:hAnsi="Calibri" w:eastAsia="宋体" w:cs="微软雅黑"/>
                <w:snapToGrid w:val="0"/>
                <w:color w:val="000000"/>
                <w:spacing w:val="14"/>
                <w:w w:val="101"/>
                <w:kern w:val="2"/>
                <w:sz w:val="21"/>
                <w:szCs w:val="21"/>
              </w:rPr>
              <w:t xml:space="preserve"> </w:t>
            </w:r>
            <w:r>
              <w:rPr>
                <w:rFonts w:ascii="Calibri" w:hAnsi="Calibri" w:eastAsia="宋体" w:cs="微软雅黑"/>
                <w:snapToGrid w:val="0"/>
                <w:color w:val="000000"/>
                <w:spacing w:val="8"/>
                <w:kern w:val="2"/>
                <w:sz w:val="21"/>
                <w:szCs w:val="21"/>
              </w:rPr>
              <w:t>整洁、无污迹、无缺损现象。</w:t>
            </w:r>
          </w:p>
          <w:p w14:paraId="41CE8659">
            <w:pPr>
              <w:widowControl w:val="0"/>
              <w:kinsoku w:val="0"/>
              <w:autoSpaceDE w:val="0"/>
              <w:autoSpaceDN w:val="0"/>
              <w:adjustRightInd w:val="0"/>
              <w:snapToGrid w:val="0"/>
              <w:spacing w:before="47" w:line="260" w:lineRule="exact"/>
              <w:ind w:left="113"/>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4"/>
                <w:kern w:val="2"/>
                <w:sz w:val="21"/>
                <w:szCs w:val="21"/>
              </w:rPr>
              <w:t>2.</w:t>
            </w:r>
            <w:r>
              <w:rPr>
                <w:rFonts w:ascii="Calibri" w:hAnsi="Calibri" w:eastAsia="宋体" w:cs="微软雅黑"/>
                <w:snapToGrid w:val="0"/>
                <w:color w:val="000000"/>
                <w:spacing w:val="4"/>
                <w:kern w:val="2"/>
                <w:sz w:val="21"/>
                <w:szCs w:val="21"/>
              </w:rPr>
              <w:t>及时完成各项</w:t>
            </w:r>
            <w:r>
              <w:rPr>
                <w:rFonts w:ascii="Calibri" w:hAnsi="Calibri" w:eastAsia="宋体" w:cs="微软雅黑"/>
                <w:snapToGrid w:val="0"/>
                <w:color w:val="000000"/>
                <w:spacing w:val="1"/>
                <w:kern w:val="2"/>
                <w:sz w:val="21"/>
                <w:szCs w:val="21"/>
              </w:rPr>
              <w:t>零星维修</w:t>
            </w:r>
            <w:r>
              <w:rPr>
                <w:rFonts w:hint="eastAsia" w:ascii="Calibri" w:hAnsi="Calibri" w:eastAsia="宋体" w:cs="微软雅黑"/>
                <w:snapToGrid w:val="0"/>
                <w:color w:val="000000"/>
                <w:spacing w:val="1"/>
                <w:kern w:val="2"/>
                <w:sz w:val="21"/>
                <w:szCs w:val="21"/>
              </w:rPr>
              <w:t>任务</w:t>
            </w:r>
            <w:r>
              <w:rPr>
                <w:rFonts w:ascii="Calibri" w:hAnsi="Calibri" w:eastAsia="宋体" w:cs="微软雅黑"/>
                <w:snapToGrid w:val="0"/>
                <w:color w:val="000000"/>
                <w:spacing w:val="4"/>
                <w:kern w:val="2"/>
                <w:sz w:val="21"/>
                <w:szCs w:val="21"/>
              </w:rPr>
              <w:t>，</w:t>
            </w:r>
            <w:r>
              <w:rPr>
                <w:rFonts w:ascii="Calibri" w:hAnsi="Calibri" w:eastAsia="宋体" w:cs="微软雅黑"/>
                <w:snapToGrid w:val="0"/>
                <w:color w:val="000000"/>
                <w:spacing w:val="1"/>
                <w:kern w:val="2"/>
                <w:sz w:val="21"/>
                <w:szCs w:val="21"/>
              </w:rPr>
              <w:t>零星维修</w:t>
            </w:r>
            <w:r>
              <w:rPr>
                <w:rFonts w:ascii="Calibri" w:hAnsi="Calibri" w:eastAsia="宋体" w:cs="微软雅黑"/>
                <w:snapToGrid w:val="0"/>
                <w:color w:val="000000"/>
                <w:spacing w:val="4"/>
                <w:kern w:val="2"/>
                <w:sz w:val="21"/>
                <w:szCs w:val="21"/>
              </w:rPr>
              <w:t>合格率</w:t>
            </w:r>
            <w:r>
              <w:rPr>
                <w:rFonts w:ascii="Calibri" w:hAnsi="Calibri" w:eastAsia="宋体" w:cs="Calibri"/>
                <w:snapToGrid w:val="0"/>
                <w:color w:val="000000"/>
                <w:spacing w:val="4"/>
                <w:kern w:val="2"/>
                <w:sz w:val="21"/>
                <w:szCs w:val="21"/>
              </w:rPr>
              <w:t>100%</w:t>
            </w:r>
            <w:r>
              <w:rPr>
                <w:rFonts w:ascii="Calibri" w:hAnsi="Calibri" w:eastAsia="宋体" w:cs="微软雅黑"/>
                <w:snapToGrid w:val="0"/>
                <w:color w:val="000000"/>
                <w:spacing w:val="4"/>
                <w:kern w:val="2"/>
                <w:sz w:val="21"/>
                <w:szCs w:val="21"/>
              </w:rPr>
              <w:t>。</w:t>
            </w:r>
          </w:p>
          <w:p w14:paraId="2B04E43E">
            <w:pPr>
              <w:widowControl w:val="0"/>
              <w:kinsoku w:val="0"/>
              <w:autoSpaceDE w:val="0"/>
              <w:autoSpaceDN w:val="0"/>
              <w:adjustRightInd w:val="0"/>
              <w:snapToGrid w:val="0"/>
              <w:spacing w:before="49" w:line="260" w:lineRule="exact"/>
              <w:ind w:left="104" w:right="99" w:firstLine="7"/>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3.</w:t>
            </w:r>
            <w:r>
              <w:rPr>
                <w:rFonts w:ascii="Calibri" w:hAnsi="Calibri" w:eastAsia="宋体" w:cs="微软雅黑"/>
                <w:snapToGrid w:val="0"/>
                <w:color w:val="000000"/>
                <w:spacing w:val="7"/>
                <w:kern w:val="2"/>
                <w:sz w:val="21"/>
                <w:szCs w:val="21"/>
              </w:rPr>
              <w:t>制定完善的突发事件应急预案并组织实施演练，确保突</w:t>
            </w:r>
            <w:r>
              <w:rPr>
                <w:rFonts w:ascii="Calibri" w:hAnsi="Calibri" w:eastAsia="宋体" w:cs="微软雅黑"/>
                <w:snapToGrid w:val="0"/>
                <w:color w:val="000000"/>
                <w:spacing w:val="8"/>
                <w:kern w:val="2"/>
                <w:sz w:val="21"/>
                <w:szCs w:val="21"/>
              </w:rPr>
              <w:t>发事件有效处置。</w:t>
            </w:r>
          </w:p>
        </w:tc>
      </w:tr>
      <w:tr w14:paraId="511D6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jc w:val="center"/>
        </w:trPr>
        <w:tc>
          <w:tcPr>
            <w:tcW w:w="696" w:type="dxa"/>
            <w:tcBorders>
              <w:left w:val="single" w:color="000000" w:sz="10" w:space="0"/>
            </w:tcBorders>
            <w:vAlign w:val="center"/>
          </w:tcPr>
          <w:p w14:paraId="37C8FA91">
            <w:pPr>
              <w:widowControl w:val="0"/>
              <w:kinsoku w:val="0"/>
              <w:autoSpaceDE w:val="0"/>
              <w:autoSpaceDN w:val="0"/>
              <w:adjustRightInd w:val="0"/>
              <w:snapToGrid w:val="0"/>
              <w:spacing w:before="283" w:line="260" w:lineRule="exact"/>
              <w:ind w:left="104"/>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2"/>
                <w:kern w:val="2"/>
                <w:sz w:val="21"/>
                <w:szCs w:val="21"/>
                <w:lang w:eastAsia="en-US"/>
              </w:rPr>
              <w:t>二</w:t>
            </w:r>
          </w:p>
        </w:tc>
        <w:tc>
          <w:tcPr>
            <w:tcW w:w="2693" w:type="dxa"/>
            <w:vAlign w:val="center"/>
          </w:tcPr>
          <w:p w14:paraId="34415309">
            <w:pPr>
              <w:widowControl w:val="0"/>
              <w:kinsoku w:val="0"/>
              <w:autoSpaceDE w:val="0"/>
              <w:autoSpaceDN w:val="0"/>
              <w:adjustRightInd w:val="0"/>
              <w:snapToGrid w:val="0"/>
              <w:spacing w:before="254" w:line="260" w:lineRule="exact"/>
              <w:ind w:left="97"/>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9"/>
                <w:kern w:val="2"/>
                <w:sz w:val="21"/>
                <w:szCs w:val="21"/>
                <w:lang w:eastAsia="en-US"/>
              </w:rPr>
              <w:t>给排水系统运行维护</w:t>
            </w:r>
          </w:p>
        </w:tc>
        <w:tc>
          <w:tcPr>
            <w:tcW w:w="5749" w:type="dxa"/>
            <w:tcBorders>
              <w:right w:val="single" w:color="000000" w:sz="10" w:space="0"/>
            </w:tcBorders>
            <w:vAlign w:val="center"/>
          </w:tcPr>
          <w:p w14:paraId="491B4940">
            <w:pPr>
              <w:widowControl w:val="0"/>
              <w:kinsoku w:val="0"/>
              <w:autoSpaceDE w:val="0"/>
              <w:autoSpaceDN w:val="0"/>
              <w:adjustRightInd w:val="0"/>
              <w:snapToGrid w:val="0"/>
              <w:spacing w:before="96" w:line="260" w:lineRule="exact"/>
              <w:ind w:left="119" w:right="144"/>
              <w:jc w:val="both"/>
              <w:textAlignment w:val="baseline"/>
              <w:rPr>
                <w:rFonts w:ascii="Calibri" w:hAnsi="Calibri" w:eastAsia="宋体" w:cs="Calibri"/>
                <w:snapToGrid w:val="0"/>
                <w:color w:val="000000"/>
                <w:spacing w:val="5"/>
                <w:kern w:val="2"/>
                <w:sz w:val="21"/>
                <w:szCs w:val="21"/>
              </w:rPr>
            </w:pPr>
            <w:r>
              <w:rPr>
                <w:rFonts w:ascii="Calibri" w:hAnsi="Calibri" w:eastAsia="宋体" w:cs="Calibri"/>
                <w:snapToGrid w:val="0"/>
                <w:color w:val="000000"/>
                <w:spacing w:val="5"/>
                <w:kern w:val="2"/>
                <w:sz w:val="21"/>
                <w:szCs w:val="21"/>
              </w:rPr>
              <w:t>1.</w:t>
            </w:r>
            <w:r>
              <w:rPr>
                <w:rFonts w:ascii="Calibri" w:hAnsi="Calibri" w:eastAsia="宋体" w:cs="微软雅黑"/>
                <w:snapToGrid w:val="0"/>
                <w:color w:val="000000"/>
                <w:spacing w:val="5"/>
                <w:kern w:val="2"/>
                <w:sz w:val="21"/>
                <w:szCs w:val="21"/>
              </w:rPr>
              <w:t>建立供水管理制度，保障水质符合国家</w:t>
            </w:r>
            <w:r>
              <w:rPr>
                <w:rFonts w:ascii="Calibri" w:hAnsi="Calibri" w:eastAsia="宋体" w:cs="微软雅黑"/>
                <w:snapToGrid w:val="0"/>
                <w:color w:val="000000"/>
                <w:spacing w:val="4"/>
                <w:kern w:val="2"/>
                <w:sz w:val="21"/>
                <w:szCs w:val="21"/>
              </w:rPr>
              <w:t>标准、</w:t>
            </w:r>
            <w:r>
              <w:rPr>
                <w:rFonts w:ascii="Calibri" w:hAnsi="Calibri" w:eastAsia="宋体" w:cs="微软雅黑"/>
                <w:snapToGrid w:val="0"/>
                <w:color w:val="000000"/>
                <w:spacing w:val="-38"/>
                <w:kern w:val="2"/>
                <w:sz w:val="21"/>
                <w:szCs w:val="21"/>
              </w:rPr>
              <w:t xml:space="preserve"> </w:t>
            </w:r>
            <w:r>
              <w:rPr>
                <w:rFonts w:ascii="Calibri" w:hAnsi="Calibri" w:eastAsia="宋体" w:cs="微软雅黑"/>
                <w:snapToGrid w:val="0"/>
                <w:color w:val="000000"/>
                <w:spacing w:val="4"/>
                <w:kern w:val="2"/>
                <w:sz w:val="21"/>
                <w:szCs w:val="21"/>
              </w:rPr>
              <w:t>防止跑、</w:t>
            </w:r>
            <w:r>
              <w:rPr>
                <w:rFonts w:ascii="Calibri" w:hAnsi="Calibri" w:eastAsia="宋体" w:cs="微软雅黑"/>
                <w:snapToGrid w:val="0"/>
                <w:color w:val="000000"/>
                <w:spacing w:val="5"/>
                <w:kern w:val="2"/>
                <w:sz w:val="21"/>
                <w:szCs w:val="21"/>
              </w:rPr>
              <w:t>冒、滴、漏。</w:t>
            </w:r>
          </w:p>
          <w:p w14:paraId="36D5F2F1">
            <w:pPr>
              <w:widowControl w:val="0"/>
              <w:kinsoku w:val="0"/>
              <w:autoSpaceDE w:val="0"/>
              <w:autoSpaceDN w:val="0"/>
              <w:adjustRightInd w:val="0"/>
              <w:snapToGrid w:val="0"/>
              <w:spacing w:before="58" w:line="260" w:lineRule="exact"/>
              <w:ind w:left="104" w:right="99" w:firstLine="9"/>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2.</w:t>
            </w:r>
            <w:r>
              <w:rPr>
                <w:rFonts w:ascii="Calibri" w:hAnsi="Calibri" w:eastAsia="宋体" w:cs="微软雅黑"/>
                <w:snapToGrid w:val="0"/>
                <w:color w:val="000000"/>
                <w:spacing w:val="7"/>
                <w:kern w:val="2"/>
                <w:sz w:val="21"/>
                <w:szCs w:val="21"/>
              </w:rPr>
              <w:t>定期对排水管进行清通、养护及清除污垢，保证室内外排水系统通畅。</w:t>
            </w:r>
          </w:p>
          <w:p w14:paraId="48D5E775">
            <w:pPr>
              <w:widowControl w:val="0"/>
              <w:kinsoku w:val="0"/>
              <w:autoSpaceDE w:val="0"/>
              <w:autoSpaceDN w:val="0"/>
              <w:adjustRightInd w:val="0"/>
              <w:snapToGrid w:val="0"/>
              <w:spacing w:before="47" w:line="260" w:lineRule="exact"/>
              <w:ind w:left="112"/>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5"/>
                <w:kern w:val="2"/>
                <w:sz w:val="21"/>
                <w:szCs w:val="21"/>
              </w:rPr>
              <w:t>3.</w:t>
            </w:r>
            <w:r>
              <w:rPr>
                <w:rFonts w:ascii="Calibri" w:hAnsi="Calibri" w:eastAsia="宋体" w:cs="微软雅黑"/>
                <w:snapToGrid w:val="0"/>
                <w:color w:val="000000"/>
                <w:spacing w:val="5"/>
                <w:kern w:val="2"/>
                <w:sz w:val="21"/>
                <w:szCs w:val="21"/>
              </w:rPr>
              <w:t>及时发现并解决故障，维</w:t>
            </w:r>
            <w:r>
              <w:rPr>
                <w:rFonts w:ascii="Calibri" w:hAnsi="Calibri" w:eastAsia="宋体" w:cs="微软雅黑"/>
                <w:snapToGrid w:val="0"/>
                <w:color w:val="000000"/>
                <w:spacing w:val="4"/>
                <w:kern w:val="2"/>
                <w:sz w:val="21"/>
                <w:szCs w:val="21"/>
              </w:rPr>
              <w:t xml:space="preserve">修合格率 </w:t>
            </w:r>
            <w:r>
              <w:rPr>
                <w:rFonts w:ascii="Calibri" w:hAnsi="Calibri" w:eastAsia="宋体" w:cs="Calibri"/>
                <w:snapToGrid w:val="0"/>
                <w:color w:val="000000"/>
                <w:spacing w:val="4"/>
                <w:kern w:val="2"/>
                <w:sz w:val="21"/>
                <w:szCs w:val="21"/>
              </w:rPr>
              <w:t>100%</w:t>
            </w:r>
            <w:r>
              <w:rPr>
                <w:rFonts w:ascii="Calibri" w:hAnsi="Calibri" w:eastAsia="宋体" w:cs="微软雅黑"/>
                <w:snapToGrid w:val="0"/>
                <w:color w:val="000000"/>
                <w:spacing w:val="4"/>
                <w:kern w:val="2"/>
                <w:sz w:val="21"/>
                <w:szCs w:val="21"/>
              </w:rPr>
              <w:t>。</w:t>
            </w:r>
          </w:p>
        </w:tc>
      </w:tr>
      <w:tr w14:paraId="6683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6" w:hRule="atLeast"/>
          <w:jc w:val="center"/>
        </w:trPr>
        <w:tc>
          <w:tcPr>
            <w:tcW w:w="696" w:type="dxa"/>
            <w:tcBorders>
              <w:left w:val="single" w:color="000000" w:sz="10" w:space="0"/>
            </w:tcBorders>
            <w:vAlign w:val="center"/>
          </w:tcPr>
          <w:p w14:paraId="6F0CD988">
            <w:pPr>
              <w:widowControl w:val="0"/>
              <w:kinsoku w:val="0"/>
              <w:autoSpaceDE w:val="0"/>
              <w:autoSpaceDN w:val="0"/>
              <w:adjustRightInd w:val="0"/>
              <w:snapToGrid w:val="0"/>
              <w:spacing w:before="86" w:line="260" w:lineRule="exact"/>
              <w:ind w:left="104"/>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2"/>
                <w:kern w:val="2"/>
                <w:sz w:val="21"/>
                <w:szCs w:val="21"/>
                <w:lang w:eastAsia="en-US"/>
              </w:rPr>
              <w:t>三</w:t>
            </w:r>
          </w:p>
        </w:tc>
        <w:tc>
          <w:tcPr>
            <w:tcW w:w="2693" w:type="dxa"/>
            <w:vAlign w:val="center"/>
          </w:tcPr>
          <w:p w14:paraId="5B0222FA">
            <w:pPr>
              <w:widowControl w:val="0"/>
              <w:kinsoku w:val="0"/>
              <w:autoSpaceDE w:val="0"/>
              <w:autoSpaceDN w:val="0"/>
              <w:adjustRightInd w:val="0"/>
              <w:snapToGrid w:val="0"/>
              <w:spacing w:before="86" w:line="260" w:lineRule="exact"/>
              <w:ind w:left="95"/>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9"/>
                <w:kern w:val="2"/>
                <w:sz w:val="21"/>
                <w:szCs w:val="21"/>
                <w:lang w:eastAsia="en-US"/>
              </w:rPr>
              <w:t>供配电系统运行维护</w:t>
            </w:r>
          </w:p>
        </w:tc>
        <w:tc>
          <w:tcPr>
            <w:tcW w:w="5749" w:type="dxa"/>
            <w:tcBorders>
              <w:right w:val="single" w:color="000000" w:sz="10" w:space="0"/>
            </w:tcBorders>
          </w:tcPr>
          <w:p w14:paraId="7C04B24C">
            <w:pPr>
              <w:widowControl w:val="0"/>
              <w:kinsoku w:val="0"/>
              <w:autoSpaceDE w:val="0"/>
              <w:autoSpaceDN w:val="0"/>
              <w:adjustRightInd w:val="0"/>
              <w:snapToGrid w:val="0"/>
              <w:spacing w:before="77" w:line="260" w:lineRule="exact"/>
              <w:ind w:left="103" w:right="99" w:firstLine="16"/>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8"/>
                <w:kern w:val="2"/>
                <w:sz w:val="21"/>
                <w:szCs w:val="21"/>
              </w:rPr>
              <w:t>1.</w:t>
            </w:r>
            <w:r>
              <w:rPr>
                <w:rFonts w:ascii="Calibri" w:hAnsi="Calibri" w:eastAsia="宋体" w:cs="微软雅黑"/>
                <w:snapToGrid w:val="0"/>
                <w:color w:val="000000"/>
                <w:spacing w:val="8"/>
                <w:kern w:val="2"/>
                <w:sz w:val="21"/>
                <w:szCs w:val="21"/>
              </w:rPr>
              <w:t>建立严格的配送电运行制度、电气维修制度和配电房管</w:t>
            </w:r>
            <w:r>
              <w:rPr>
                <w:rFonts w:ascii="Calibri" w:hAnsi="Calibri" w:eastAsia="宋体" w:cs="微软雅黑"/>
                <w:snapToGrid w:val="0"/>
                <w:color w:val="000000"/>
                <w:kern w:val="2"/>
                <w:sz w:val="21"/>
                <w:szCs w:val="21"/>
              </w:rPr>
              <w:t xml:space="preserve"> </w:t>
            </w:r>
            <w:r>
              <w:rPr>
                <w:rFonts w:ascii="Calibri" w:hAnsi="Calibri" w:eastAsia="宋体" w:cs="微软雅黑"/>
                <w:snapToGrid w:val="0"/>
                <w:color w:val="000000"/>
                <w:spacing w:val="5"/>
                <w:kern w:val="2"/>
                <w:sz w:val="21"/>
                <w:szCs w:val="21"/>
              </w:rPr>
              <w:t>理制度，供电和维修人员必须持证上岗。</w:t>
            </w:r>
          </w:p>
          <w:p w14:paraId="5B3919E0">
            <w:pPr>
              <w:widowControl w:val="0"/>
              <w:kinsoku w:val="0"/>
              <w:autoSpaceDE w:val="0"/>
              <w:autoSpaceDN w:val="0"/>
              <w:adjustRightInd w:val="0"/>
              <w:snapToGrid w:val="0"/>
              <w:spacing w:before="45" w:line="260" w:lineRule="exact"/>
              <w:ind w:left="105" w:right="96" w:firstLine="8"/>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1"/>
                <w:kern w:val="2"/>
                <w:sz w:val="21"/>
                <w:szCs w:val="21"/>
              </w:rPr>
              <w:t>2.</w:t>
            </w:r>
            <w:r>
              <w:rPr>
                <w:rFonts w:ascii="Calibri" w:hAnsi="Calibri" w:eastAsia="宋体" w:cs="微软雅黑"/>
                <w:snapToGrid w:val="0"/>
                <w:color w:val="000000"/>
                <w:spacing w:val="1"/>
                <w:kern w:val="2"/>
                <w:sz w:val="21"/>
                <w:szCs w:val="21"/>
              </w:rPr>
              <w:t>建立</w:t>
            </w:r>
            <w:r>
              <w:rPr>
                <w:rFonts w:ascii="Calibri" w:hAnsi="Calibri" w:eastAsia="宋体" w:cs="Calibri"/>
                <w:snapToGrid w:val="0"/>
                <w:color w:val="000000"/>
                <w:spacing w:val="1"/>
                <w:kern w:val="2"/>
                <w:sz w:val="21"/>
                <w:szCs w:val="21"/>
              </w:rPr>
              <w:t>24</w:t>
            </w:r>
            <w:r>
              <w:rPr>
                <w:rFonts w:ascii="Calibri" w:hAnsi="Calibri" w:eastAsia="宋体" w:cs="微软雅黑"/>
                <w:snapToGrid w:val="0"/>
                <w:color w:val="000000"/>
                <w:spacing w:val="1"/>
                <w:kern w:val="2"/>
                <w:sz w:val="21"/>
                <w:szCs w:val="21"/>
              </w:rPr>
              <w:t>小时运行值班制度，及时排除故障，零星维修合</w:t>
            </w:r>
            <w:r>
              <w:rPr>
                <w:rFonts w:ascii="Calibri" w:hAnsi="Calibri" w:eastAsia="宋体" w:cs="微软雅黑"/>
                <w:snapToGrid w:val="0"/>
                <w:color w:val="000000"/>
                <w:spacing w:val="2"/>
                <w:kern w:val="2"/>
                <w:sz w:val="21"/>
                <w:szCs w:val="21"/>
              </w:rPr>
              <w:t>格率</w:t>
            </w:r>
            <w:r>
              <w:rPr>
                <w:rFonts w:ascii="Calibri" w:hAnsi="Calibri" w:eastAsia="宋体" w:cs="Calibri"/>
                <w:snapToGrid w:val="0"/>
                <w:color w:val="000000"/>
                <w:spacing w:val="2"/>
                <w:kern w:val="2"/>
                <w:sz w:val="21"/>
                <w:szCs w:val="21"/>
              </w:rPr>
              <w:t>100%</w:t>
            </w:r>
            <w:r>
              <w:rPr>
                <w:rFonts w:ascii="Calibri" w:hAnsi="Calibri" w:eastAsia="宋体" w:cs="微软雅黑"/>
                <w:snapToGrid w:val="0"/>
                <w:color w:val="000000"/>
                <w:spacing w:val="2"/>
                <w:kern w:val="2"/>
                <w:sz w:val="21"/>
                <w:szCs w:val="21"/>
              </w:rPr>
              <w:t>。</w:t>
            </w:r>
          </w:p>
          <w:p w14:paraId="38A2816A">
            <w:pPr>
              <w:widowControl w:val="0"/>
              <w:kinsoku w:val="0"/>
              <w:autoSpaceDE w:val="0"/>
              <w:autoSpaceDN w:val="0"/>
              <w:adjustRightInd w:val="0"/>
              <w:snapToGrid w:val="0"/>
              <w:spacing w:before="49" w:line="260" w:lineRule="exact"/>
              <w:ind w:left="104" w:right="99" w:firstLine="8"/>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3.</w:t>
            </w:r>
            <w:r>
              <w:rPr>
                <w:rFonts w:ascii="Calibri" w:hAnsi="Calibri" w:eastAsia="宋体" w:cs="微软雅黑"/>
                <w:snapToGrid w:val="0"/>
                <w:color w:val="000000"/>
                <w:spacing w:val="7"/>
                <w:kern w:val="2"/>
                <w:sz w:val="21"/>
                <w:szCs w:val="21"/>
              </w:rPr>
              <w:t>加强日常维护检修，公共照明、指示灯具线路、开关要</w:t>
            </w:r>
            <w:r>
              <w:rPr>
                <w:rFonts w:ascii="Calibri" w:hAnsi="Calibri" w:eastAsia="宋体" w:cs="微软雅黑"/>
                <w:snapToGrid w:val="0"/>
                <w:color w:val="000000"/>
                <w:spacing w:val="3"/>
                <w:kern w:val="2"/>
                <w:sz w:val="21"/>
                <w:szCs w:val="21"/>
              </w:rPr>
              <w:t>保证完好，确保用电安全。</w:t>
            </w:r>
          </w:p>
          <w:p w14:paraId="4D4B8D95">
            <w:pPr>
              <w:widowControl w:val="0"/>
              <w:kinsoku w:val="0"/>
              <w:autoSpaceDE w:val="0"/>
              <w:autoSpaceDN w:val="0"/>
              <w:adjustRightInd w:val="0"/>
              <w:snapToGrid w:val="0"/>
              <w:spacing w:before="50" w:line="260" w:lineRule="exact"/>
              <w:ind w:left="107"/>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8"/>
                <w:kern w:val="2"/>
                <w:sz w:val="21"/>
                <w:szCs w:val="21"/>
              </w:rPr>
              <w:t>4.</w:t>
            </w:r>
            <w:r>
              <w:rPr>
                <w:rFonts w:ascii="Calibri" w:hAnsi="Calibri" w:eastAsia="宋体" w:cs="微软雅黑"/>
                <w:snapToGrid w:val="0"/>
                <w:color w:val="000000"/>
                <w:spacing w:val="8"/>
                <w:kern w:val="2"/>
                <w:sz w:val="21"/>
                <w:szCs w:val="21"/>
              </w:rPr>
              <w:t>管理和维护好办公楼避雷设施和泛光照明设施。</w:t>
            </w:r>
          </w:p>
        </w:tc>
      </w:tr>
      <w:tr w14:paraId="46E5F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696" w:type="dxa"/>
            <w:tcBorders>
              <w:left w:val="single" w:color="000000" w:sz="10" w:space="0"/>
            </w:tcBorders>
            <w:vAlign w:val="center"/>
          </w:tcPr>
          <w:p w14:paraId="5B9EB7EB">
            <w:pPr>
              <w:widowControl w:val="0"/>
              <w:kinsoku w:val="0"/>
              <w:autoSpaceDE w:val="0"/>
              <w:autoSpaceDN w:val="0"/>
              <w:adjustRightInd w:val="0"/>
              <w:snapToGrid w:val="0"/>
              <w:spacing w:before="86" w:line="260" w:lineRule="exact"/>
              <w:ind w:left="102"/>
              <w:jc w:val="center"/>
              <w:textAlignment w:val="baseline"/>
              <w:rPr>
                <w:rFonts w:ascii="Calibri" w:hAnsi="Calibri" w:eastAsia="宋体" w:cs="微软雅黑"/>
                <w:snapToGrid w:val="0"/>
                <w:color w:val="000000"/>
                <w:kern w:val="2"/>
                <w:sz w:val="21"/>
                <w:szCs w:val="21"/>
              </w:rPr>
            </w:pPr>
            <w:r>
              <w:rPr>
                <w:rFonts w:hint="eastAsia" w:ascii="Calibri" w:hAnsi="Calibri" w:eastAsia="宋体" w:cs="微软雅黑"/>
                <w:snapToGrid w:val="0"/>
                <w:color w:val="000000"/>
                <w:kern w:val="2"/>
                <w:sz w:val="21"/>
                <w:szCs w:val="21"/>
              </w:rPr>
              <w:t>四</w:t>
            </w:r>
          </w:p>
        </w:tc>
        <w:tc>
          <w:tcPr>
            <w:tcW w:w="2693" w:type="dxa"/>
            <w:vAlign w:val="center"/>
          </w:tcPr>
          <w:p w14:paraId="73029280">
            <w:pPr>
              <w:widowControl w:val="0"/>
              <w:kinsoku w:val="0"/>
              <w:autoSpaceDE w:val="0"/>
              <w:autoSpaceDN w:val="0"/>
              <w:adjustRightInd w:val="0"/>
              <w:snapToGrid w:val="0"/>
              <w:spacing w:before="85" w:line="260" w:lineRule="exact"/>
              <w:ind w:left="97"/>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9"/>
                <w:kern w:val="2"/>
                <w:sz w:val="21"/>
                <w:szCs w:val="21"/>
                <w:lang w:eastAsia="en-US"/>
              </w:rPr>
              <w:t>空调系统运行维护</w:t>
            </w:r>
          </w:p>
        </w:tc>
        <w:tc>
          <w:tcPr>
            <w:tcW w:w="5749" w:type="dxa"/>
            <w:tcBorders>
              <w:right w:val="single" w:color="000000" w:sz="10" w:space="0"/>
            </w:tcBorders>
          </w:tcPr>
          <w:p w14:paraId="44BB3A6D">
            <w:pPr>
              <w:widowControl w:val="0"/>
              <w:kinsoku w:val="0"/>
              <w:autoSpaceDE w:val="0"/>
              <w:autoSpaceDN w:val="0"/>
              <w:adjustRightInd w:val="0"/>
              <w:snapToGrid w:val="0"/>
              <w:spacing w:before="80" w:line="260" w:lineRule="exact"/>
              <w:ind w:right="37" w:firstLine="224" w:firstLineChars="100"/>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1.</w:t>
            </w:r>
            <w:r>
              <w:rPr>
                <w:rFonts w:ascii="Calibri" w:hAnsi="Calibri" w:eastAsia="宋体" w:cs="微软雅黑"/>
                <w:snapToGrid w:val="0"/>
                <w:color w:val="000000"/>
                <w:spacing w:val="7"/>
                <w:kern w:val="2"/>
                <w:sz w:val="21"/>
                <w:szCs w:val="21"/>
              </w:rPr>
              <w:t>建立空调运行管理制度和安全操作规程</w:t>
            </w:r>
            <w:r>
              <w:rPr>
                <w:rFonts w:hint="eastAsia" w:ascii="Calibri" w:hAnsi="Calibri" w:eastAsia="宋体" w:cs="微软雅黑"/>
                <w:snapToGrid w:val="0"/>
                <w:color w:val="000000"/>
                <w:spacing w:val="7"/>
                <w:kern w:val="2"/>
                <w:sz w:val="21"/>
                <w:szCs w:val="21"/>
              </w:rPr>
              <w:t>，</w:t>
            </w:r>
            <w:r>
              <w:rPr>
                <w:rFonts w:ascii="Calibri" w:hAnsi="Calibri" w:eastAsia="宋体" w:cs="微软雅黑"/>
                <w:snapToGrid w:val="0"/>
                <w:color w:val="000000"/>
                <w:spacing w:val="7"/>
                <w:kern w:val="2"/>
                <w:sz w:val="21"/>
                <w:szCs w:val="21"/>
              </w:rPr>
              <w:t>保证</w:t>
            </w:r>
            <w:r>
              <w:rPr>
                <w:rFonts w:ascii="Calibri" w:hAnsi="Calibri" w:eastAsia="宋体" w:cs="微软雅黑"/>
                <w:snapToGrid w:val="0"/>
                <w:color w:val="000000"/>
                <w:spacing w:val="6"/>
                <w:kern w:val="2"/>
                <w:sz w:val="21"/>
                <w:szCs w:val="21"/>
              </w:rPr>
              <w:t>空调系统</w:t>
            </w:r>
            <w:r>
              <w:rPr>
                <w:rFonts w:ascii="Calibri" w:hAnsi="Calibri" w:eastAsia="宋体" w:cs="微软雅黑"/>
                <w:snapToGrid w:val="0"/>
                <w:color w:val="000000"/>
                <w:spacing w:val="2"/>
                <w:kern w:val="2"/>
                <w:sz w:val="21"/>
                <w:szCs w:val="21"/>
              </w:rPr>
              <w:t>安全运行和正常使用</w:t>
            </w:r>
            <w:r>
              <w:rPr>
                <w:rFonts w:hint="eastAsia" w:ascii="Calibri" w:hAnsi="Calibri" w:eastAsia="宋体" w:cs="微软雅黑"/>
                <w:snapToGrid w:val="0"/>
                <w:color w:val="000000"/>
                <w:spacing w:val="2"/>
                <w:kern w:val="2"/>
                <w:sz w:val="21"/>
                <w:szCs w:val="21"/>
              </w:rPr>
              <w:t>，</w:t>
            </w:r>
            <w:r>
              <w:rPr>
                <w:rFonts w:ascii="Calibri" w:hAnsi="Calibri" w:eastAsia="宋体" w:cs="微软雅黑"/>
                <w:snapToGrid w:val="0"/>
                <w:color w:val="000000"/>
                <w:spacing w:val="2"/>
                <w:kern w:val="2"/>
                <w:sz w:val="21"/>
                <w:szCs w:val="21"/>
              </w:rPr>
              <w:t>运行中无超标噪音和严重漏滴水现象。</w:t>
            </w:r>
          </w:p>
          <w:p w14:paraId="5DBD403D">
            <w:pPr>
              <w:widowControl w:val="0"/>
              <w:kinsoku w:val="0"/>
              <w:autoSpaceDE w:val="0"/>
              <w:autoSpaceDN w:val="0"/>
              <w:adjustRightInd w:val="0"/>
              <w:snapToGrid w:val="0"/>
              <w:spacing w:before="46" w:line="260" w:lineRule="exact"/>
              <w:ind w:left="119" w:right="99" w:hanging="6"/>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2.</w:t>
            </w:r>
            <w:r>
              <w:rPr>
                <w:rFonts w:ascii="Calibri" w:hAnsi="Calibri" w:eastAsia="宋体" w:cs="微软雅黑"/>
                <w:snapToGrid w:val="0"/>
                <w:color w:val="000000"/>
                <w:spacing w:val="7"/>
                <w:kern w:val="2"/>
                <w:sz w:val="21"/>
                <w:szCs w:val="21"/>
              </w:rPr>
              <w:t>定期检修养护空调设备，保证空调通风设备、设施处于</w:t>
            </w:r>
            <w:r>
              <w:rPr>
                <w:rFonts w:ascii="Calibri" w:hAnsi="Calibri" w:eastAsia="宋体" w:cs="微软雅黑"/>
                <w:snapToGrid w:val="0"/>
                <w:color w:val="000000"/>
                <w:spacing w:val="2"/>
                <w:kern w:val="2"/>
                <w:sz w:val="21"/>
                <w:szCs w:val="21"/>
              </w:rPr>
              <w:t xml:space="preserve"> </w:t>
            </w:r>
            <w:r>
              <w:rPr>
                <w:rFonts w:ascii="Calibri" w:hAnsi="Calibri" w:eastAsia="宋体" w:cs="微软雅黑"/>
                <w:snapToGrid w:val="0"/>
                <w:color w:val="000000"/>
                <w:spacing w:val="3"/>
                <w:kern w:val="2"/>
                <w:sz w:val="21"/>
                <w:szCs w:val="21"/>
              </w:rPr>
              <w:t>良好状态。</w:t>
            </w:r>
          </w:p>
          <w:p w14:paraId="4056396E">
            <w:pPr>
              <w:widowControl w:val="0"/>
              <w:kinsoku w:val="0"/>
              <w:autoSpaceDE w:val="0"/>
              <w:autoSpaceDN w:val="0"/>
              <w:adjustRightInd w:val="0"/>
              <w:snapToGrid w:val="0"/>
              <w:spacing w:before="48" w:line="260" w:lineRule="exact"/>
              <w:ind w:left="104" w:right="99" w:firstLine="7"/>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3.</w:t>
            </w:r>
            <w:r>
              <w:rPr>
                <w:rFonts w:ascii="Calibri" w:hAnsi="Calibri" w:eastAsia="宋体" w:cs="微软雅黑"/>
                <w:snapToGrid w:val="0"/>
                <w:color w:val="000000"/>
                <w:spacing w:val="7"/>
                <w:kern w:val="2"/>
                <w:sz w:val="21"/>
                <w:szCs w:val="21"/>
              </w:rPr>
              <w:t>空调系统出现运行故障后，维修人员应及时到达现场维</w:t>
            </w:r>
            <w:r>
              <w:rPr>
                <w:rFonts w:ascii="Calibri" w:hAnsi="Calibri" w:eastAsia="宋体" w:cs="微软雅黑"/>
                <w:snapToGrid w:val="0"/>
                <w:color w:val="000000"/>
                <w:spacing w:val="1"/>
                <w:kern w:val="2"/>
                <w:sz w:val="21"/>
                <w:szCs w:val="21"/>
              </w:rPr>
              <w:t xml:space="preserve">修 ，并做好记录，零修合格率 </w:t>
            </w:r>
            <w:r>
              <w:rPr>
                <w:rFonts w:ascii="Calibri" w:hAnsi="Calibri" w:eastAsia="宋体" w:cs="Calibri"/>
                <w:snapToGrid w:val="0"/>
                <w:color w:val="000000"/>
                <w:spacing w:val="1"/>
                <w:kern w:val="2"/>
                <w:sz w:val="21"/>
                <w:szCs w:val="21"/>
              </w:rPr>
              <w:t>100%</w:t>
            </w:r>
            <w:r>
              <w:rPr>
                <w:rFonts w:ascii="Calibri" w:hAnsi="Calibri" w:eastAsia="宋体" w:cs="微软雅黑"/>
                <w:snapToGrid w:val="0"/>
                <w:color w:val="000000"/>
                <w:spacing w:val="1"/>
                <w:kern w:val="2"/>
                <w:sz w:val="21"/>
                <w:szCs w:val="21"/>
              </w:rPr>
              <w:t>。</w:t>
            </w:r>
          </w:p>
        </w:tc>
      </w:tr>
      <w:tr w14:paraId="78E1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696" w:type="dxa"/>
            <w:tcBorders>
              <w:left w:val="single" w:color="000000" w:sz="10" w:space="0"/>
            </w:tcBorders>
          </w:tcPr>
          <w:p w14:paraId="0089FF8C">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491D553B">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055B9B32">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265D752D">
            <w:pPr>
              <w:widowControl w:val="0"/>
              <w:kinsoku w:val="0"/>
              <w:autoSpaceDE w:val="0"/>
              <w:autoSpaceDN w:val="0"/>
              <w:adjustRightInd w:val="0"/>
              <w:snapToGrid w:val="0"/>
              <w:spacing w:before="86" w:line="260" w:lineRule="exact"/>
              <w:ind w:left="103"/>
              <w:jc w:val="center"/>
              <w:textAlignment w:val="baseline"/>
              <w:rPr>
                <w:rFonts w:ascii="Calibri" w:hAnsi="Calibri" w:eastAsia="宋体" w:cs="微软雅黑"/>
                <w:snapToGrid w:val="0"/>
                <w:color w:val="000000"/>
                <w:kern w:val="2"/>
                <w:sz w:val="21"/>
                <w:szCs w:val="21"/>
              </w:rPr>
            </w:pPr>
            <w:r>
              <w:rPr>
                <w:rFonts w:hint="eastAsia" w:ascii="Calibri" w:hAnsi="Calibri" w:eastAsia="宋体" w:cs="微软雅黑"/>
                <w:snapToGrid w:val="0"/>
                <w:color w:val="000000"/>
                <w:kern w:val="2"/>
                <w:sz w:val="21"/>
                <w:szCs w:val="21"/>
              </w:rPr>
              <w:t>五</w:t>
            </w:r>
          </w:p>
        </w:tc>
        <w:tc>
          <w:tcPr>
            <w:tcW w:w="2693" w:type="dxa"/>
          </w:tcPr>
          <w:p w14:paraId="6A651909">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437E585E">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6110EFC7">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61CB9921">
            <w:pPr>
              <w:widowControl w:val="0"/>
              <w:kinsoku w:val="0"/>
              <w:autoSpaceDE w:val="0"/>
              <w:autoSpaceDN w:val="0"/>
              <w:adjustRightInd w:val="0"/>
              <w:snapToGrid w:val="0"/>
              <w:spacing w:before="86" w:line="260" w:lineRule="exact"/>
              <w:ind w:left="95"/>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9"/>
                <w:kern w:val="2"/>
                <w:sz w:val="21"/>
                <w:szCs w:val="21"/>
                <w:lang w:eastAsia="en-US"/>
              </w:rPr>
              <w:t>供暖系统运行维护</w:t>
            </w:r>
          </w:p>
        </w:tc>
        <w:tc>
          <w:tcPr>
            <w:tcW w:w="5749" w:type="dxa"/>
            <w:tcBorders>
              <w:right w:val="single" w:color="000000" w:sz="10" w:space="0"/>
            </w:tcBorders>
          </w:tcPr>
          <w:p w14:paraId="5ABE8025">
            <w:pPr>
              <w:widowControl w:val="0"/>
              <w:kinsoku w:val="0"/>
              <w:autoSpaceDE w:val="0"/>
              <w:autoSpaceDN w:val="0"/>
              <w:adjustRightInd w:val="0"/>
              <w:snapToGrid w:val="0"/>
              <w:spacing w:before="87" w:line="260" w:lineRule="exact"/>
              <w:ind w:left="106" w:right="99" w:firstLine="13"/>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1.</w:t>
            </w:r>
            <w:r>
              <w:rPr>
                <w:rFonts w:ascii="Calibri" w:hAnsi="Calibri" w:eastAsia="宋体" w:cs="微软雅黑"/>
                <w:snapToGrid w:val="0"/>
                <w:color w:val="000000"/>
                <w:spacing w:val="7"/>
                <w:kern w:val="2"/>
                <w:sz w:val="21"/>
                <w:szCs w:val="21"/>
              </w:rPr>
              <w:t>建立供暖设备运行管理制度和安全操作规程，</w:t>
            </w:r>
            <w:r>
              <w:rPr>
                <w:rFonts w:ascii="Calibri" w:hAnsi="Calibri" w:eastAsia="宋体" w:cs="微软雅黑"/>
                <w:snapToGrid w:val="0"/>
                <w:color w:val="000000"/>
                <w:spacing w:val="6"/>
                <w:kern w:val="2"/>
                <w:sz w:val="21"/>
                <w:szCs w:val="21"/>
              </w:rPr>
              <w:t>保证系统</w:t>
            </w:r>
            <w:r>
              <w:rPr>
                <w:rFonts w:ascii="Calibri" w:hAnsi="Calibri" w:eastAsia="宋体" w:cs="微软雅黑"/>
                <w:snapToGrid w:val="0"/>
                <w:color w:val="000000"/>
                <w:kern w:val="2"/>
                <w:sz w:val="21"/>
                <w:szCs w:val="21"/>
              </w:rPr>
              <w:t xml:space="preserve"> </w:t>
            </w:r>
            <w:r>
              <w:rPr>
                <w:rFonts w:ascii="Calibri" w:hAnsi="Calibri" w:eastAsia="宋体" w:cs="微软雅黑"/>
                <w:snapToGrid w:val="0"/>
                <w:color w:val="000000"/>
                <w:spacing w:val="8"/>
                <w:kern w:val="2"/>
                <w:sz w:val="21"/>
                <w:szCs w:val="21"/>
              </w:rPr>
              <w:t>设备安全运行和正常使用。</w:t>
            </w:r>
          </w:p>
          <w:p w14:paraId="594700A1">
            <w:pPr>
              <w:widowControl w:val="0"/>
              <w:kinsoku w:val="0"/>
              <w:autoSpaceDE w:val="0"/>
              <w:autoSpaceDN w:val="0"/>
              <w:adjustRightInd w:val="0"/>
              <w:snapToGrid w:val="0"/>
              <w:spacing w:before="45" w:line="260" w:lineRule="exact"/>
              <w:ind w:left="105" w:right="99" w:firstLine="7"/>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9"/>
                <w:kern w:val="2"/>
                <w:sz w:val="21"/>
                <w:szCs w:val="21"/>
              </w:rPr>
              <w:t>2.</w:t>
            </w:r>
            <w:r>
              <w:rPr>
                <w:rFonts w:ascii="Calibri" w:hAnsi="Calibri" w:eastAsia="宋体" w:cs="微软雅黑"/>
                <w:snapToGrid w:val="0"/>
                <w:color w:val="000000"/>
                <w:spacing w:val="9"/>
                <w:kern w:val="2"/>
                <w:sz w:val="21"/>
                <w:szCs w:val="21"/>
              </w:rPr>
              <w:t>定期检修保养板式换热器和配套设备、设施处于良好状</w:t>
            </w:r>
            <w:r>
              <w:rPr>
                <w:rFonts w:ascii="Calibri" w:hAnsi="Calibri" w:eastAsia="宋体" w:cs="微软雅黑"/>
                <w:snapToGrid w:val="0"/>
                <w:color w:val="000000"/>
                <w:spacing w:val="2"/>
                <w:kern w:val="2"/>
                <w:sz w:val="21"/>
                <w:szCs w:val="21"/>
              </w:rPr>
              <w:t>态。</w:t>
            </w:r>
          </w:p>
          <w:p w14:paraId="13EFFDA1">
            <w:pPr>
              <w:widowControl w:val="0"/>
              <w:kinsoku w:val="0"/>
              <w:autoSpaceDE w:val="0"/>
              <w:autoSpaceDN w:val="0"/>
              <w:adjustRightInd w:val="0"/>
              <w:snapToGrid w:val="0"/>
              <w:spacing w:before="48" w:line="260" w:lineRule="exact"/>
              <w:ind w:left="104" w:right="99" w:firstLine="7"/>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3.</w:t>
            </w:r>
            <w:r>
              <w:rPr>
                <w:rFonts w:ascii="Calibri" w:hAnsi="Calibri" w:eastAsia="宋体" w:cs="微软雅黑"/>
                <w:snapToGrid w:val="0"/>
                <w:color w:val="000000"/>
                <w:spacing w:val="7"/>
                <w:kern w:val="2"/>
                <w:sz w:val="21"/>
                <w:szCs w:val="21"/>
              </w:rPr>
              <w:t>供暖系统出现运行故障后，维修人员应及时到达现场维</w:t>
            </w:r>
            <w:r>
              <w:rPr>
                <w:rFonts w:ascii="Calibri" w:hAnsi="Calibri" w:eastAsia="宋体" w:cs="微软雅黑"/>
                <w:snapToGrid w:val="0"/>
                <w:color w:val="000000"/>
                <w:spacing w:val="1"/>
                <w:kern w:val="2"/>
                <w:sz w:val="21"/>
                <w:szCs w:val="21"/>
              </w:rPr>
              <w:t xml:space="preserve">修，并做好记录，零修合格率 </w:t>
            </w:r>
            <w:r>
              <w:rPr>
                <w:rFonts w:ascii="Calibri" w:hAnsi="Calibri" w:eastAsia="宋体" w:cs="Calibri"/>
                <w:snapToGrid w:val="0"/>
                <w:color w:val="000000"/>
                <w:spacing w:val="1"/>
                <w:kern w:val="2"/>
                <w:sz w:val="21"/>
                <w:szCs w:val="21"/>
              </w:rPr>
              <w:t>100%</w:t>
            </w:r>
            <w:r>
              <w:rPr>
                <w:rFonts w:ascii="Calibri" w:hAnsi="Calibri" w:eastAsia="宋体" w:cs="微软雅黑"/>
                <w:snapToGrid w:val="0"/>
                <w:color w:val="000000"/>
                <w:spacing w:val="1"/>
                <w:kern w:val="2"/>
                <w:sz w:val="21"/>
                <w:szCs w:val="21"/>
              </w:rPr>
              <w:t>。</w:t>
            </w:r>
          </w:p>
        </w:tc>
      </w:tr>
      <w:tr w14:paraId="0E592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jc w:val="center"/>
        </w:trPr>
        <w:tc>
          <w:tcPr>
            <w:tcW w:w="696" w:type="dxa"/>
            <w:tcBorders>
              <w:left w:val="single" w:color="000000" w:sz="10" w:space="0"/>
            </w:tcBorders>
          </w:tcPr>
          <w:p w14:paraId="05D65005">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09C8883E">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6D1F5D61">
            <w:pPr>
              <w:widowControl w:val="0"/>
              <w:kinsoku w:val="0"/>
              <w:autoSpaceDE w:val="0"/>
              <w:autoSpaceDN w:val="0"/>
              <w:adjustRightInd w:val="0"/>
              <w:snapToGrid w:val="0"/>
              <w:spacing w:before="86" w:line="260" w:lineRule="exact"/>
              <w:ind w:left="103"/>
              <w:jc w:val="center"/>
              <w:textAlignment w:val="baseline"/>
              <w:rPr>
                <w:rFonts w:ascii="Calibri" w:hAnsi="Calibri" w:eastAsia="宋体" w:cs="微软雅黑"/>
                <w:snapToGrid w:val="0"/>
                <w:color w:val="000000"/>
                <w:kern w:val="2"/>
                <w:sz w:val="21"/>
                <w:szCs w:val="21"/>
              </w:rPr>
            </w:pPr>
            <w:r>
              <w:rPr>
                <w:rFonts w:hint="eastAsia" w:ascii="Calibri" w:hAnsi="Calibri" w:eastAsia="宋体" w:cs="微软雅黑"/>
                <w:snapToGrid w:val="0"/>
                <w:color w:val="000000"/>
                <w:kern w:val="2"/>
                <w:sz w:val="21"/>
                <w:szCs w:val="21"/>
              </w:rPr>
              <w:t>六</w:t>
            </w:r>
          </w:p>
        </w:tc>
        <w:tc>
          <w:tcPr>
            <w:tcW w:w="2693" w:type="dxa"/>
          </w:tcPr>
          <w:p w14:paraId="674E4E8B">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42281186">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16351228">
            <w:pPr>
              <w:widowControl w:val="0"/>
              <w:kinsoku w:val="0"/>
              <w:autoSpaceDE w:val="0"/>
              <w:autoSpaceDN w:val="0"/>
              <w:adjustRightInd w:val="0"/>
              <w:snapToGrid w:val="0"/>
              <w:spacing w:before="85" w:line="260" w:lineRule="exact"/>
              <w:ind w:left="97"/>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9"/>
                <w:kern w:val="2"/>
                <w:sz w:val="21"/>
                <w:szCs w:val="21"/>
                <w:lang w:eastAsia="en-US"/>
              </w:rPr>
              <w:t>燃气锅炉运行维护</w:t>
            </w:r>
          </w:p>
        </w:tc>
        <w:tc>
          <w:tcPr>
            <w:tcW w:w="5749" w:type="dxa"/>
            <w:tcBorders>
              <w:right w:val="single" w:color="000000" w:sz="10" w:space="0"/>
            </w:tcBorders>
          </w:tcPr>
          <w:p w14:paraId="0D063F28">
            <w:pPr>
              <w:widowControl w:val="0"/>
              <w:kinsoku w:val="0"/>
              <w:autoSpaceDE w:val="0"/>
              <w:autoSpaceDN w:val="0"/>
              <w:adjustRightInd w:val="0"/>
              <w:snapToGrid w:val="0"/>
              <w:spacing w:before="90" w:line="260" w:lineRule="exact"/>
              <w:ind w:left="105" w:right="99" w:firstLine="14"/>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1.</w:t>
            </w:r>
            <w:r>
              <w:rPr>
                <w:rFonts w:ascii="Calibri" w:hAnsi="Calibri" w:eastAsia="宋体" w:cs="微软雅黑"/>
                <w:snapToGrid w:val="0"/>
                <w:color w:val="000000"/>
                <w:spacing w:val="7"/>
                <w:kern w:val="2"/>
                <w:sz w:val="21"/>
                <w:szCs w:val="21"/>
              </w:rPr>
              <w:t>建立锅炉运行管理制度和安全操作规程，保证</w:t>
            </w:r>
            <w:r>
              <w:rPr>
                <w:rFonts w:ascii="Calibri" w:hAnsi="Calibri" w:eastAsia="宋体" w:cs="微软雅黑"/>
                <w:snapToGrid w:val="0"/>
                <w:color w:val="000000"/>
                <w:spacing w:val="6"/>
                <w:kern w:val="2"/>
                <w:sz w:val="21"/>
                <w:szCs w:val="21"/>
              </w:rPr>
              <w:t>系统设备</w:t>
            </w:r>
            <w:r>
              <w:rPr>
                <w:rFonts w:ascii="Calibri" w:hAnsi="Calibri" w:eastAsia="宋体" w:cs="微软雅黑"/>
                <w:snapToGrid w:val="0"/>
                <w:color w:val="000000"/>
                <w:spacing w:val="7"/>
                <w:kern w:val="2"/>
                <w:sz w:val="21"/>
                <w:szCs w:val="21"/>
              </w:rPr>
              <w:t>安全运行和卫生热水</w:t>
            </w:r>
            <w:r>
              <w:rPr>
                <w:rFonts w:ascii="Calibri" w:hAnsi="Calibri" w:eastAsia="宋体" w:cs="Calibri"/>
                <w:snapToGrid w:val="0"/>
                <w:color w:val="000000"/>
                <w:spacing w:val="7"/>
                <w:kern w:val="2"/>
                <w:sz w:val="21"/>
                <w:szCs w:val="21"/>
              </w:rPr>
              <w:t>24</w:t>
            </w:r>
            <w:r>
              <w:rPr>
                <w:rFonts w:ascii="Calibri" w:hAnsi="Calibri" w:eastAsia="宋体" w:cs="微软雅黑"/>
                <w:snapToGrid w:val="0"/>
                <w:color w:val="000000"/>
                <w:spacing w:val="7"/>
                <w:kern w:val="2"/>
                <w:sz w:val="21"/>
                <w:szCs w:val="21"/>
              </w:rPr>
              <w:t>小时供应。</w:t>
            </w:r>
          </w:p>
          <w:p w14:paraId="43B1A4F8">
            <w:pPr>
              <w:widowControl w:val="0"/>
              <w:kinsoku w:val="0"/>
              <w:autoSpaceDE w:val="0"/>
              <w:autoSpaceDN w:val="0"/>
              <w:adjustRightInd w:val="0"/>
              <w:snapToGrid w:val="0"/>
              <w:spacing w:before="47" w:line="260" w:lineRule="exact"/>
              <w:ind w:left="113"/>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8"/>
                <w:kern w:val="2"/>
                <w:sz w:val="21"/>
                <w:szCs w:val="21"/>
              </w:rPr>
              <w:t>2.</w:t>
            </w:r>
            <w:r>
              <w:rPr>
                <w:rFonts w:ascii="Calibri" w:hAnsi="Calibri" w:eastAsia="宋体" w:cs="微软雅黑"/>
                <w:snapToGrid w:val="0"/>
                <w:color w:val="000000"/>
                <w:spacing w:val="8"/>
                <w:kern w:val="2"/>
                <w:sz w:val="21"/>
                <w:szCs w:val="21"/>
              </w:rPr>
              <w:t>按要求对锅炉进行维护保养使设备处于良好状态。</w:t>
            </w:r>
          </w:p>
          <w:p w14:paraId="111283DB">
            <w:pPr>
              <w:widowControl w:val="0"/>
              <w:kinsoku w:val="0"/>
              <w:autoSpaceDE w:val="0"/>
              <w:autoSpaceDN w:val="0"/>
              <w:adjustRightInd w:val="0"/>
              <w:snapToGrid w:val="0"/>
              <w:spacing w:before="50" w:line="260" w:lineRule="exact"/>
              <w:ind w:left="106" w:firstLine="6"/>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2"/>
                <w:kern w:val="2"/>
                <w:sz w:val="21"/>
                <w:szCs w:val="21"/>
              </w:rPr>
              <w:t>3.</w:t>
            </w:r>
            <w:r>
              <w:rPr>
                <w:rFonts w:ascii="Calibri" w:hAnsi="Calibri" w:eastAsia="宋体" w:cs="微软雅黑"/>
                <w:snapToGrid w:val="0"/>
                <w:color w:val="000000"/>
                <w:spacing w:val="2"/>
                <w:kern w:val="2"/>
                <w:sz w:val="21"/>
                <w:szCs w:val="21"/>
              </w:rPr>
              <w:t>锅炉出现运行故障后，及时通知维保人员到达现场维修 ，</w:t>
            </w:r>
            <w:r>
              <w:rPr>
                <w:rFonts w:ascii="Calibri" w:hAnsi="Calibri" w:eastAsia="宋体" w:cs="微软雅黑"/>
                <w:snapToGrid w:val="0"/>
                <w:color w:val="000000"/>
                <w:kern w:val="2"/>
                <w:sz w:val="21"/>
                <w:szCs w:val="21"/>
              </w:rPr>
              <w:t xml:space="preserve"> </w:t>
            </w:r>
            <w:r>
              <w:rPr>
                <w:rFonts w:ascii="Calibri" w:hAnsi="Calibri" w:eastAsia="宋体" w:cs="微软雅黑"/>
                <w:snapToGrid w:val="0"/>
                <w:color w:val="000000"/>
                <w:spacing w:val="2"/>
                <w:kern w:val="2"/>
                <w:sz w:val="21"/>
                <w:szCs w:val="21"/>
              </w:rPr>
              <w:t>并做好记录，零修合格率</w:t>
            </w:r>
            <w:r>
              <w:rPr>
                <w:rFonts w:ascii="Calibri" w:hAnsi="Calibri" w:eastAsia="宋体" w:cs="Calibri"/>
                <w:snapToGrid w:val="0"/>
                <w:color w:val="000000"/>
                <w:spacing w:val="2"/>
                <w:kern w:val="2"/>
                <w:sz w:val="21"/>
                <w:szCs w:val="21"/>
              </w:rPr>
              <w:t>100%</w:t>
            </w:r>
            <w:r>
              <w:rPr>
                <w:rFonts w:ascii="Calibri" w:hAnsi="Calibri" w:eastAsia="宋体" w:cs="微软雅黑"/>
                <w:snapToGrid w:val="0"/>
                <w:color w:val="000000"/>
                <w:spacing w:val="2"/>
                <w:kern w:val="2"/>
                <w:sz w:val="21"/>
                <w:szCs w:val="21"/>
              </w:rPr>
              <w:t>。</w:t>
            </w:r>
          </w:p>
        </w:tc>
      </w:tr>
      <w:tr w14:paraId="6EEA9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696" w:type="dxa"/>
            <w:tcBorders>
              <w:left w:val="single" w:color="000000" w:sz="10" w:space="0"/>
            </w:tcBorders>
          </w:tcPr>
          <w:p w14:paraId="0C336FD5">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2C55F4EE">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78A20AED">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7B8A1656">
            <w:pPr>
              <w:widowControl w:val="0"/>
              <w:kinsoku w:val="0"/>
              <w:autoSpaceDE w:val="0"/>
              <w:autoSpaceDN w:val="0"/>
              <w:adjustRightInd w:val="0"/>
              <w:snapToGrid w:val="0"/>
              <w:spacing w:before="86" w:line="260" w:lineRule="exact"/>
              <w:ind w:left="99"/>
              <w:jc w:val="center"/>
              <w:textAlignment w:val="baseline"/>
              <w:rPr>
                <w:rFonts w:ascii="Calibri" w:hAnsi="Calibri" w:eastAsia="宋体" w:cs="微软雅黑"/>
                <w:snapToGrid w:val="0"/>
                <w:color w:val="000000"/>
                <w:kern w:val="2"/>
                <w:sz w:val="21"/>
                <w:szCs w:val="21"/>
              </w:rPr>
            </w:pPr>
            <w:r>
              <w:rPr>
                <w:rFonts w:hint="eastAsia" w:ascii="Calibri" w:hAnsi="Calibri" w:eastAsia="宋体" w:cs="微软雅黑"/>
                <w:snapToGrid w:val="0"/>
                <w:color w:val="000000"/>
                <w:kern w:val="2"/>
                <w:sz w:val="21"/>
                <w:szCs w:val="21"/>
              </w:rPr>
              <w:t>七</w:t>
            </w:r>
          </w:p>
        </w:tc>
        <w:tc>
          <w:tcPr>
            <w:tcW w:w="2693" w:type="dxa"/>
          </w:tcPr>
          <w:p w14:paraId="7B87E556">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27761D70">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79541BA3">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2AB54722">
            <w:pPr>
              <w:widowControl w:val="0"/>
              <w:kinsoku w:val="0"/>
              <w:autoSpaceDE w:val="0"/>
              <w:autoSpaceDN w:val="0"/>
              <w:adjustRightInd w:val="0"/>
              <w:snapToGrid w:val="0"/>
              <w:spacing w:before="85" w:line="260" w:lineRule="exact"/>
              <w:ind w:left="97"/>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9"/>
                <w:kern w:val="2"/>
                <w:sz w:val="21"/>
                <w:szCs w:val="21"/>
                <w:lang w:eastAsia="en-US"/>
              </w:rPr>
              <w:t>消防系统运行维护</w:t>
            </w:r>
          </w:p>
        </w:tc>
        <w:tc>
          <w:tcPr>
            <w:tcW w:w="5749" w:type="dxa"/>
            <w:tcBorders>
              <w:right w:val="single" w:color="000000" w:sz="10" w:space="0"/>
            </w:tcBorders>
          </w:tcPr>
          <w:p w14:paraId="0776B434">
            <w:pPr>
              <w:widowControl w:val="0"/>
              <w:kinsoku w:val="0"/>
              <w:autoSpaceDE w:val="0"/>
              <w:autoSpaceDN w:val="0"/>
              <w:adjustRightInd w:val="0"/>
              <w:snapToGrid w:val="0"/>
              <w:spacing w:before="94" w:line="260" w:lineRule="exact"/>
              <w:ind w:left="105" w:right="99" w:firstLine="14"/>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1.</w:t>
            </w:r>
            <w:r>
              <w:rPr>
                <w:rFonts w:ascii="Calibri" w:hAnsi="Calibri" w:eastAsia="宋体" w:cs="微软雅黑"/>
                <w:snapToGrid w:val="0"/>
                <w:color w:val="000000"/>
                <w:spacing w:val="7"/>
                <w:kern w:val="2"/>
                <w:sz w:val="21"/>
                <w:szCs w:val="21"/>
              </w:rPr>
              <w:t>定期对灭火器、消火栓等进行检查保养，消防</w:t>
            </w:r>
            <w:r>
              <w:rPr>
                <w:rFonts w:ascii="Calibri" w:hAnsi="Calibri" w:eastAsia="宋体" w:cs="微软雅黑"/>
                <w:snapToGrid w:val="0"/>
                <w:color w:val="000000"/>
                <w:spacing w:val="6"/>
                <w:kern w:val="2"/>
                <w:sz w:val="21"/>
                <w:szCs w:val="21"/>
              </w:rPr>
              <w:t>栓箱内各</w:t>
            </w:r>
            <w:r>
              <w:rPr>
                <w:rFonts w:ascii="Calibri" w:hAnsi="Calibri" w:eastAsia="宋体" w:cs="微软雅黑"/>
                <w:snapToGrid w:val="0"/>
                <w:color w:val="000000"/>
                <w:spacing w:val="7"/>
                <w:kern w:val="2"/>
                <w:sz w:val="21"/>
                <w:szCs w:val="21"/>
              </w:rPr>
              <w:t>种配件完好。</w:t>
            </w:r>
          </w:p>
          <w:p w14:paraId="6FEBE1FD">
            <w:pPr>
              <w:widowControl w:val="0"/>
              <w:kinsoku w:val="0"/>
              <w:autoSpaceDE w:val="0"/>
              <w:autoSpaceDN w:val="0"/>
              <w:adjustRightInd w:val="0"/>
              <w:snapToGrid w:val="0"/>
              <w:spacing w:before="46" w:line="260" w:lineRule="exact"/>
              <w:ind w:left="113" w:right="142"/>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5"/>
                <w:kern w:val="2"/>
                <w:sz w:val="21"/>
                <w:szCs w:val="21"/>
              </w:rPr>
              <w:t>2.</w:t>
            </w:r>
            <w:r>
              <w:rPr>
                <w:rFonts w:ascii="Calibri" w:hAnsi="Calibri" w:eastAsia="宋体" w:cs="微软雅黑"/>
                <w:snapToGrid w:val="0"/>
                <w:color w:val="000000"/>
                <w:spacing w:val="5"/>
                <w:kern w:val="2"/>
                <w:sz w:val="21"/>
                <w:szCs w:val="21"/>
              </w:rPr>
              <w:t>定期对消防报警系统进行</w:t>
            </w:r>
            <w:r>
              <w:rPr>
                <w:rFonts w:ascii="Calibri" w:hAnsi="Calibri" w:eastAsia="宋体" w:cs="Calibri"/>
                <w:snapToGrid w:val="0"/>
                <w:color w:val="000000"/>
                <w:spacing w:val="5"/>
                <w:kern w:val="2"/>
                <w:sz w:val="21"/>
                <w:szCs w:val="21"/>
              </w:rPr>
              <w:t>1</w:t>
            </w:r>
            <w:r>
              <w:rPr>
                <w:rFonts w:ascii="Calibri" w:hAnsi="Calibri" w:eastAsia="宋体" w:cs="微软雅黑"/>
                <w:snapToGrid w:val="0"/>
                <w:color w:val="000000"/>
                <w:spacing w:val="5"/>
                <w:kern w:val="2"/>
                <w:sz w:val="21"/>
                <w:szCs w:val="21"/>
              </w:rPr>
              <w:t>次抽检及维护，对消防泵、</w:t>
            </w:r>
            <w:r>
              <w:rPr>
                <w:rFonts w:ascii="Calibri" w:hAnsi="Calibri" w:eastAsia="宋体" w:cs="微软雅黑"/>
                <w:snapToGrid w:val="0"/>
                <w:color w:val="000000"/>
                <w:spacing w:val="8"/>
                <w:kern w:val="2"/>
                <w:sz w:val="21"/>
                <w:szCs w:val="21"/>
              </w:rPr>
              <w:t>喷淋泵等附属设施进行一次保养。</w:t>
            </w:r>
          </w:p>
          <w:p w14:paraId="4749A277">
            <w:pPr>
              <w:widowControl w:val="0"/>
              <w:kinsoku w:val="0"/>
              <w:autoSpaceDE w:val="0"/>
              <w:autoSpaceDN w:val="0"/>
              <w:adjustRightInd w:val="0"/>
              <w:snapToGrid w:val="0"/>
              <w:spacing w:before="49" w:line="260" w:lineRule="exact"/>
              <w:ind w:left="105" w:right="99" w:firstLine="7"/>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9"/>
                <w:kern w:val="2"/>
                <w:sz w:val="21"/>
                <w:szCs w:val="21"/>
              </w:rPr>
              <w:t>3.</w:t>
            </w:r>
            <w:r>
              <w:rPr>
                <w:rFonts w:ascii="Calibri" w:hAnsi="Calibri" w:eastAsia="宋体" w:cs="微软雅黑"/>
                <w:snapToGrid w:val="0"/>
                <w:color w:val="000000"/>
                <w:spacing w:val="9"/>
                <w:kern w:val="2"/>
                <w:sz w:val="21"/>
                <w:szCs w:val="21"/>
              </w:rPr>
              <w:t>定期对消防应急照明灯和应急疏散指示灯进行充、放电</w:t>
            </w:r>
            <w:r>
              <w:rPr>
                <w:rFonts w:ascii="Calibri" w:hAnsi="Calibri" w:eastAsia="宋体" w:cs="微软雅黑"/>
                <w:snapToGrid w:val="0"/>
                <w:color w:val="000000"/>
                <w:spacing w:val="7"/>
                <w:kern w:val="2"/>
                <w:sz w:val="21"/>
                <w:szCs w:val="21"/>
              </w:rPr>
              <w:t>试验及保养。</w:t>
            </w:r>
          </w:p>
        </w:tc>
      </w:tr>
      <w:tr w14:paraId="09BD5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jc w:val="center"/>
        </w:trPr>
        <w:tc>
          <w:tcPr>
            <w:tcW w:w="696" w:type="dxa"/>
            <w:tcBorders>
              <w:left w:val="single" w:color="000000" w:sz="10" w:space="0"/>
              <w:bottom w:val="single" w:color="000000" w:sz="10" w:space="0"/>
            </w:tcBorders>
          </w:tcPr>
          <w:p w14:paraId="39A1664B">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7FDE247B">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082A8FB4">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rPr>
            </w:pPr>
          </w:p>
          <w:p w14:paraId="63D79A2C">
            <w:pPr>
              <w:widowControl w:val="0"/>
              <w:kinsoku w:val="0"/>
              <w:autoSpaceDE w:val="0"/>
              <w:autoSpaceDN w:val="0"/>
              <w:adjustRightInd w:val="0"/>
              <w:snapToGrid w:val="0"/>
              <w:spacing w:before="86" w:line="260" w:lineRule="exact"/>
              <w:ind w:left="101"/>
              <w:jc w:val="center"/>
              <w:textAlignment w:val="baseline"/>
              <w:rPr>
                <w:rFonts w:ascii="Calibri" w:hAnsi="Calibri" w:eastAsia="宋体" w:cs="微软雅黑"/>
                <w:snapToGrid w:val="0"/>
                <w:color w:val="000000"/>
                <w:kern w:val="2"/>
                <w:sz w:val="21"/>
                <w:szCs w:val="21"/>
              </w:rPr>
            </w:pPr>
            <w:r>
              <w:rPr>
                <w:rFonts w:hint="eastAsia" w:ascii="Calibri" w:hAnsi="Calibri" w:eastAsia="宋体" w:cs="微软雅黑"/>
                <w:snapToGrid w:val="0"/>
                <w:color w:val="000000"/>
                <w:kern w:val="2"/>
                <w:sz w:val="21"/>
                <w:szCs w:val="21"/>
              </w:rPr>
              <w:t>八</w:t>
            </w:r>
          </w:p>
        </w:tc>
        <w:tc>
          <w:tcPr>
            <w:tcW w:w="2693" w:type="dxa"/>
            <w:tcBorders>
              <w:bottom w:val="single" w:color="000000" w:sz="10" w:space="0"/>
            </w:tcBorders>
          </w:tcPr>
          <w:p w14:paraId="61426326">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4AE2887D">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6F9AFB86">
            <w:pPr>
              <w:widowControl w:val="0"/>
              <w:kinsoku w:val="0"/>
              <w:autoSpaceDE w:val="0"/>
              <w:autoSpaceDN w:val="0"/>
              <w:adjustRightInd w:val="0"/>
              <w:snapToGrid w:val="0"/>
              <w:spacing w:line="260" w:lineRule="exact"/>
              <w:jc w:val="center"/>
              <w:textAlignment w:val="baseline"/>
              <w:rPr>
                <w:rFonts w:ascii="Calibri" w:hAnsi="Calibri" w:eastAsia="宋体" w:cs="Arial"/>
                <w:snapToGrid w:val="0"/>
                <w:color w:val="000000"/>
                <w:kern w:val="2"/>
                <w:sz w:val="21"/>
                <w:szCs w:val="21"/>
                <w:lang w:eastAsia="en-US"/>
              </w:rPr>
            </w:pPr>
          </w:p>
          <w:p w14:paraId="27B034E6">
            <w:pPr>
              <w:widowControl w:val="0"/>
              <w:kinsoku w:val="0"/>
              <w:autoSpaceDE w:val="0"/>
              <w:autoSpaceDN w:val="0"/>
              <w:adjustRightInd w:val="0"/>
              <w:snapToGrid w:val="0"/>
              <w:spacing w:before="86" w:line="260" w:lineRule="exact"/>
              <w:ind w:left="99"/>
              <w:jc w:val="center"/>
              <w:textAlignment w:val="baseline"/>
              <w:rPr>
                <w:rFonts w:ascii="Calibri" w:hAnsi="Calibri" w:eastAsia="宋体" w:cs="微软雅黑"/>
                <w:snapToGrid w:val="0"/>
                <w:color w:val="000000"/>
                <w:kern w:val="2"/>
                <w:sz w:val="21"/>
                <w:szCs w:val="21"/>
                <w:lang w:eastAsia="en-US"/>
              </w:rPr>
            </w:pPr>
            <w:r>
              <w:rPr>
                <w:rFonts w:ascii="Calibri" w:hAnsi="Calibri" w:eastAsia="宋体" w:cs="微软雅黑"/>
                <w:snapToGrid w:val="0"/>
                <w:color w:val="000000"/>
                <w:spacing w:val="8"/>
                <w:kern w:val="2"/>
                <w:sz w:val="21"/>
                <w:szCs w:val="21"/>
                <w:lang w:eastAsia="en-US"/>
              </w:rPr>
              <w:t>弱电系统维护</w:t>
            </w:r>
          </w:p>
        </w:tc>
        <w:tc>
          <w:tcPr>
            <w:tcW w:w="5749" w:type="dxa"/>
            <w:tcBorders>
              <w:bottom w:val="single" w:color="000000" w:sz="10" w:space="0"/>
              <w:right w:val="single" w:color="000000" w:sz="10" w:space="0"/>
            </w:tcBorders>
          </w:tcPr>
          <w:p w14:paraId="2DEA20B7">
            <w:pPr>
              <w:widowControl w:val="0"/>
              <w:kinsoku w:val="0"/>
              <w:autoSpaceDE w:val="0"/>
              <w:autoSpaceDN w:val="0"/>
              <w:adjustRightInd w:val="0"/>
              <w:snapToGrid w:val="0"/>
              <w:spacing w:before="95" w:line="260" w:lineRule="exact"/>
              <w:ind w:left="105" w:right="99" w:firstLine="14"/>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1.</w:t>
            </w:r>
            <w:r>
              <w:rPr>
                <w:rFonts w:ascii="Calibri" w:hAnsi="Calibri" w:eastAsia="宋体" w:cs="微软雅黑"/>
                <w:snapToGrid w:val="0"/>
                <w:color w:val="000000"/>
                <w:spacing w:val="7"/>
                <w:kern w:val="2"/>
                <w:sz w:val="21"/>
                <w:szCs w:val="21"/>
              </w:rPr>
              <w:t>建立弱电系统维护保养规程，按规程对弱电系</w:t>
            </w:r>
            <w:r>
              <w:rPr>
                <w:rFonts w:ascii="Calibri" w:hAnsi="Calibri" w:eastAsia="宋体" w:cs="微软雅黑"/>
                <w:snapToGrid w:val="0"/>
                <w:color w:val="000000"/>
                <w:spacing w:val="6"/>
                <w:kern w:val="2"/>
                <w:sz w:val="21"/>
                <w:szCs w:val="21"/>
              </w:rPr>
              <w:t>统维护保</w:t>
            </w:r>
            <w:r>
              <w:rPr>
                <w:rFonts w:ascii="Calibri" w:hAnsi="Calibri" w:eastAsia="宋体" w:cs="微软雅黑"/>
                <w:snapToGrid w:val="0"/>
                <w:color w:val="000000"/>
                <w:spacing w:val="2"/>
                <w:kern w:val="2"/>
                <w:sz w:val="21"/>
                <w:szCs w:val="21"/>
              </w:rPr>
              <w:t>养，保证系统正常使用。</w:t>
            </w:r>
          </w:p>
          <w:p w14:paraId="09F5D910">
            <w:pPr>
              <w:widowControl w:val="0"/>
              <w:kinsoku w:val="0"/>
              <w:autoSpaceDE w:val="0"/>
              <w:autoSpaceDN w:val="0"/>
              <w:adjustRightInd w:val="0"/>
              <w:snapToGrid w:val="0"/>
              <w:spacing w:before="47" w:line="260" w:lineRule="exact"/>
              <w:ind w:left="113"/>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8"/>
                <w:kern w:val="2"/>
                <w:sz w:val="21"/>
                <w:szCs w:val="21"/>
              </w:rPr>
              <w:t>2.</w:t>
            </w:r>
            <w:r>
              <w:rPr>
                <w:rFonts w:ascii="Calibri" w:hAnsi="Calibri" w:eastAsia="宋体" w:cs="微软雅黑"/>
                <w:snapToGrid w:val="0"/>
                <w:color w:val="000000"/>
                <w:spacing w:val="8"/>
                <w:kern w:val="2"/>
                <w:sz w:val="21"/>
                <w:szCs w:val="21"/>
              </w:rPr>
              <w:t>做好多媒体设备使用过程中的保障和应急处理。</w:t>
            </w:r>
          </w:p>
          <w:p w14:paraId="3794E05A">
            <w:pPr>
              <w:widowControl w:val="0"/>
              <w:kinsoku w:val="0"/>
              <w:autoSpaceDE w:val="0"/>
              <w:autoSpaceDN w:val="0"/>
              <w:adjustRightInd w:val="0"/>
              <w:snapToGrid w:val="0"/>
              <w:spacing w:before="47" w:line="260" w:lineRule="exact"/>
              <w:ind w:left="112"/>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7"/>
                <w:kern w:val="2"/>
                <w:sz w:val="21"/>
                <w:szCs w:val="21"/>
              </w:rPr>
              <w:t>3.</w:t>
            </w:r>
            <w:r>
              <w:rPr>
                <w:rFonts w:ascii="Calibri" w:hAnsi="Calibri" w:eastAsia="宋体" w:cs="微软雅黑"/>
                <w:snapToGrid w:val="0"/>
                <w:color w:val="000000"/>
                <w:spacing w:val="7"/>
                <w:kern w:val="2"/>
                <w:sz w:val="21"/>
                <w:szCs w:val="21"/>
              </w:rPr>
              <w:t>对校内网线及时安装、连接或更换。</w:t>
            </w:r>
          </w:p>
          <w:p w14:paraId="656FB69B">
            <w:pPr>
              <w:widowControl w:val="0"/>
              <w:kinsoku w:val="0"/>
              <w:autoSpaceDE w:val="0"/>
              <w:autoSpaceDN w:val="0"/>
              <w:adjustRightInd w:val="0"/>
              <w:snapToGrid w:val="0"/>
              <w:spacing w:before="48" w:line="260" w:lineRule="exact"/>
              <w:ind w:left="105" w:right="99" w:firstLine="1"/>
              <w:jc w:val="both"/>
              <w:textAlignment w:val="baseline"/>
              <w:rPr>
                <w:rFonts w:ascii="Calibri" w:hAnsi="Calibri" w:eastAsia="宋体" w:cs="微软雅黑"/>
                <w:snapToGrid w:val="0"/>
                <w:color w:val="000000"/>
                <w:kern w:val="2"/>
                <w:sz w:val="21"/>
                <w:szCs w:val="21"/>
              </w:rPr>
            </w:pPr>
            <w:r>
              <w:rPr>
                <w:rFonts w:ascii="Calibri" w:hAnsi="Calibri" w:eastAsia="宋体" w:cs="Calibri"/>
                <w:snapToGrid w:val="0"/>
                <w:color w:val="000000"/>
                <w:spacing w:val="4"/>
                <w:kern w:val="2"/>
                <w:sz w:val="21"/>
                <w:szCs w:val="21"/>
              </w:rPr>
              <w:t>4.</w:t>
            </w:r>
            <w:r>
              <w:rPr>
                <w:rFonts w:ascii="Calibri" w:hAnsi="Calibri" w:eastAsia="宋体" w:cs="微软雅黑"/>
                <w:snapToGrid w:val="0"/>
                <w:color w:val="000000"/>
                <w:spacing w:val="4"/>
                <w:kern w:val="2"/>
                <w:sz w:val="21"/>
                <w:szCs w:val="21"/>
              </w:rPr>
              <w:t>出现软故障后，维修人员应及时到达现场</w:t>
            </w:r>
            <w:r>
              <w:rPr>
                <w:rFonts w:ascii="Calibri" w:hAnsi="Calibri" w:eastAsia="宋体" w:cs="微软雅黑"/>
                <w:snapToGrid w:val="0"/>
                <w:color w:val="000000"/>
                <w:spacing w:val="3"/>
                <w:kern w:val="2"/>
                <w:sz w:val="21"/>
                <w:szCs w:val="21"/>
              </w:rPr>
              <w:t>处理，并做好</w:t>
            </w:r>
            <w:r>
              <w:rPr>
                <w:rFonts w:ascii="Calibri" w:hAnsi="Calibri" w:eastAsia="宋体" w:cs="微软雅黑"/>
                <w:snapToGrid w:val="0"/>
                <w:color w:val="000000"/>
                <w:kern w:val="2"/>
                <w:sz w:val="21"/>
                <w:szCs w:val="21"/>
              </w:rPr>
              <w:t xml:space="preserve"> </w:t>
            </w:r>
            <w:r>
              <w:rPr>
                <w:rFonts w:ascii="Calibri" w:hAnsi="Calibri" w:eastAsia="宋体" w:cs="微软雅黑"/>
                <w:snapToGrid w:val="0"/>
                <w:color w:val="000000"/>
                <w:spacing w:val="4"/>
                <w:kern w:val="2"/>
                <w:sz w:val="21"/>
                <w:szCs w:val="21"/>
              </w:rPr>
              <w:t>记录。</w:t>
            </w:r>
          </w:p>
        </w:tc>
      </w:tr>
    </w:tbl>
    <w:p w14:paraId="4A176DD4">
      <w:pPr>
        <w:widowControl w:val="0"/>
        <w:ind w:firstLine="480" w:firstLineChars="200"/>
        <w:jc w:val="both"/>
        <w:rPr>
          <w:rFonts w:asciiTheme="minorEastAsia" w:hAnsiTheme="minorEastAsia"/>
          <w:b/>
          <w:bCs/>
          <w:iCs/>
          <w:kern w:val="2"/>
        </w:rPr>
      </w:pPr>
      <w:r>
        <w:rPr>
          <w:rFonts w:asciiTheme="minorEastAsia" w:hAnsiTheme="minorEastAsia"/>
          <w:b/>
          <w:bCs/>
          <w:iCs/>
          <w:kern w:val="2"/>
        </w:rPr>
        <w:t>（</w:t>
      </w:r>
      <w:r>
        <w:rPr>
          <w:rFonts w:hint="eastAsia" w:asciiTheme="minorEastAsia" w:hAnsiTheme="minorEastAsia"/>
          <w:b/>
          <w:bCs/>
          <w:iCs/>
          <w:kern w:val="2"/>
        </w:rPr>
        <w:t>三</w:t>
      </w:r>
      <w:r>
        <w:rPr>
          <w:rFonts w:asciiTheme="minorEastAsia" w:hAnsiTheme="minorEastAsia"/>
          <w:b/>
          <w:bCs/>
          <w:iCs/>
          <w:kern w:val="2"/>
        </w:rPr>
        <w:t>）保洁服务要求</w:t>
      </w:r>
    </w:p>
    <w:p w14:paraId="7FDD2D70">
      <w:pPr>
        <w:widowControl w:val="0"/>
        <w:ind w:firstLine="480" w:firstLineChars="200"/>
        <w:jc w:val="both"/>
        <w:rPr>
          <w:rFonts w:asciiTheme="minorEastAsia" w:hAnsiTheme="minorEastAsia"/>
          <w:kern w:val="2"/>
        </w:rPr>
      </w:pPr>
      <w:r>
        <w:rPr>
          <w:rFonts w:asciiTheme="minorEastAsia" w:hAnsiTheme="minorEastAsia"/>
          <w:kern w:val="2"/>
        </w:rPr>
        <w:t>1、</w:t>
      </w:r>
      <w:r>
        <w:rPr>
          <w:rFonts w:hint="eastAsia" w:asciiTheme="minorEastAsia" w:hAnsiTheme="minorEastAsia"/>
          <w:kern w:val="2"/>
        </w:rPr>
        <w:t>服务内容</w:t>
      </w:r>
    </w:p>
    <w:p w14:paraId="63251034">
      <w:pPr>
        <w:widowControl w:val="0"/>
        <w:ind w:firstLine="480" w:firstLineChars="200"/>
        <w:jc w:val="both"/>
        <w:rPr>
          <w:rFonts w:asciiTheme="minorEastAsia" w:hAnsiTheme="minorEastAsia"/>
          <w:kern w:val="2"/>
        </w:rPr>
      </w:pPr>
      <w:r>
        <w:rPr>
          <w:rFonts w:hint="eastAsia" w:asciiTheme="minorEastAsia" w:hAnsiTheme="minorEastAsia"/>
          <w:kern w:val="2"/>
        </w:rPr>
        <w:t>（1）</w:t>
      </w:r>
      <w:r>
        <w:rPr>
          <w:rFonts w:asciiTheme="minorEastAsia" w:hAnsiTheme="minorEastAsia"/>
          <w:kern w:val="2"/>
        </w:rPr>
        <w:t>负责红线以内楼宇所有部位、包括楼外周界、楼宇楼顶、楼内门厅、楼梯间、电梯间、走廊通道、卫生间、会议室、以及相关的行人道、行车道等其他公共部位的清洁保洁以及生活垃圾清理处置。</w:t>
      </w:r>
    </w:p>
    <w:p w14:paraId="1FEB9819">
      <w:pPr>
        <w:widowControl w:val="0"/>
        <w:ind w:firstLine="480" w:firstLineChars="200"/>
        <w:jc w:val="both"/>
        <w:rPr>
          <w:rFonts w:asciiTheme="minorEastAsia" w:hAnsiTheme="minorEastAsia"/>
          <w:kern w:val="2"/>
        </w:rPr>
      </w:pPr>
      <w:r>
        <w:rPr>
          <w:rFonts w:hint="eastAsia" w:asciiTheme="minorEastAsia" w:hAnsiTheme="minorEastAsia"/>
          <w:kern w:val="2"/>
        </w:rPr>
        <w:t>（2）</w:t>
      </w:r>
      <w:r>
        <w:rPr>
          <w:rFonts w:asciiTheme="minorEastAsia" w:hAnsiTheme="minorEastAsia"/>
          <w:kern w:val="2"/>
        </w:rPr>
        <w:t>楼宇外所有部位的草坪、绿篱、花卉、树木等绿化植物及高大乔木（六米以下）部分的浇灌、修剪、病虫害防治、施肥和补栽及室内外盆栽花卉的养护、更换。</w:t>
      </w:r>
    </w:p>
    <w:p w14:paraId="2C36BE91">
      <w:pPr>
        <w:widowControl w:val="0"/>
        <w:ind w:firstLine="480" w:firstLineChars="200"/>
        <w:jc w:val="both"/>
        <w:rPr>
          <w:rFonts w:asciiTheme="minorEastAsia" w:hAnsiTheme="minorEastAsia"/>
          <w:kern w:val="2"/>
        </w:rPr>
      </w:pPr>
      <w:r>
        <w:rPr>
          <w:rFonts w:hint="eastAsia" w:asciiTheme="minorEastAsia" w:hAnsiTheme="minorEastAsia"/>
          <w:kern w:val="2"/>
        </w:rPr>
        <w:t>2、日常管理服务要求</w:t>
      </w:r>
    </w:p>
    <w:tbl>
      <w:tblPr>
        <w:tblStyle w:val="24"/>
        <w:tblW w:w="4972"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2"/>
        <w:gridCol w:w="685"/>
        <w:gridCol w:w="1378"/>
        <w:gridCol w:w="1439"/>
        <w:gridCol w:w="5020"/>
      </w:tblGrid>
      <w:tr w14:paraId="45D7C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shd w:val="clear" w:color="auto" w:fill="EEECE1"/>
          </w:tcPr>
          <w:p w14:paraId="57214B83">
            <w:pPr>
              <w:widowControl w:val="0"/>
              <w:jc w:val="center"/>
              <w:rPr>
                <w:rFonts w:ascii="宋体" w:hAnsi="宋体" w:eastAsia="宋体" w:cs="宋体"/>
                <w:kern w:val="2"/>
                <w:sz w:val="21"/>
                <w:szCs w:val="21"/>
              </w:rPr>
            </w:pPr>
            <w:r>
              <w:rPr>
                <w:rFonts w:ascii="微软雅黑" w:hAnsi="微软雅黑" w:eastAsia="微软雅黑" w:cs="微软雅黑"/>
                <w:b/>
                <w:bCs/>
                <w:snapToGrid w:val="0"/>
                <w:color w:val="000000"/>
                <w:spacing w:val="7"/>
                <w:kern w:val="2"/>
                <w:sz w:val="20"/>
                <w:szCs w:val="20"/>
                <w:lang w:eastAsia="en-US"/>
              </w:rPr>
              <w:t>序号</w:t>
            </w:r>
          </w:p>
        </w:tc>
        <w:tc>
          <w:tcPr>
            <w:tcW w:w="371" w:type="pct"/>
            <w:shd w:val="clear" w:color="auto" w:fill="EEECE1"/>
            <w:vAlign w:val="center"/>
          </w:tcPr>
          <w:p w14:paraId="335ACA04">
            <w:pPr>
              <w:widowControl w:val="0"/>
              <w:jc w:val="center"/>
              <w:rPr>
                <w:rFonts w:ascii="宋体" w:hAnsi="宋体" w:eastAsia="宋体" w:cs="宋体"/>
                <w:kern w:val="2"/>
                <w:sz w:val="21"/>
                <w:szCs w:val="21"/>
              </w:rPr>
            </w:pPr>
            <w:r>
              <w:rPr>
                <w:rFonts w:hint="eastAsia" w:ascii="微软雅黑" w:hAnsi="微软雅黑" w:eastAsia="微软雅黑" w:cs="微软雅黑"/>
                <w:b/>
                <w:bCs/>
                <w:snapToGrid w:val="0"/>
                <w:color w:val="000000"/>
                <w:spacing w:val="7"/>
                <w:kern w:val="2"/>
                <w:sz w:val="20"/>
                <w:szCs w:val="20"/>
                <w:lang w:eastAsia="en-US"/>
              </w:rPr>
              <w:t>类别</w:t>
            </w:r>
          </w:p>
        </w:tc>
        <w:tc>
          <w:tcPr>
            <w:tcW w:w="746" w:type="pct"/>
            <w:shd w:val="clear" w:color="auto" w:fill="EEECE1"/>
            <w:vAlign w:val="center"/>
          </w:tcPr>
          <w:p w14:paraId="3D04C4BC">
            <w:pPr>
              <w:widowControl w:val="0"/>
              <w:jc w:val="center"/>
              <w:rPr>
                <w:rFonts w:ascii="宋体" w:hAnsi="宋体" w:eastAsia="宋体" w:cs="宋体"/>
                <w:kern w:val="2"/>
                <w:sz w:val="21"/>
                <w:szCs w:val="21"/>
              </w:rPr>
            </w:pPr>
            <w:r>
              <w:rPr>
                <w:rFonts w:hint="eastAsia" w:ascii="微软雅黑" w:hAnsi="微软雅黑" w:eastAsia="微软雅黑" w:cs="微软雅黑"/>
                <w:b/>
                <w:bCs/>
                <w:snapToGrid w:val="0"/>
                <w:color w:val="000000"/>
                <w:spacing w:val="7"/>
                <w:kern w:val="2"/>
                <w:sz w:val="20"/>
                <w:szCs w:val="20"/>
                <w:lang w:eastAsia="en-US"/>
              </w:rPr>
              <w:t>服务内容</w:t>
            </w:r>
          </w:p>
        </w:tc>
        <w:tc>
          <w:tcPr>
            <w:tcW w:w="779" w:type="pct"/>
            <w:shd w:val="clear" w:color="auto" w:fill="EEECE1"/>
            <w:vAlign w:val="center"/>
          </w:tcPr>
          <w:p w14:paraId="7AFC2C7F">
            <w:pPr>
              <w:widowControl w:val="0"/>
              <w:jc w:val="center"/>
              <w:rPr>
                <w:rFonts w:ascii="宋体" w:hAnsi="宋体" w:eastAsia="宋体" w:cs="宋体"/>
                <w:kern w:val="2"/>
                <w:sz w:val="21"/>
                <w:szCs w:val="21"/>
              </w:rPr>
            </w:pPr>
            <w:r>
              <w:rPr>
                <w:rFonts w:hint="eastAsia" w:ascii="微软雅黑" w:hAnsi="微软雅黑" w:eastAsia="微软雅黑" w:cs="微软雅黑"/>
                <w:b/>
                <w:bCs/>
                <w:snapToGrid w:val="0"/>
                <w:color w:val="000000"/>
                <w:spacing w:val="7"/>
                <w:kern w:val="2"/>
                <w:sz w:val="20"/>
                <w:szCs w:val="20"/>
                <w:lang w:eastAsia="en-US"/>
              </w:rPr>
              <w:t>服务频次</w:t>
            </w:r>
          </w:p>
        </w:tc>
        <w:tc>
          <w:tcPr>
            <w:tcW w:w="2718" w:type="pct"/>
            <w:shd w:val="clear" w:color="auto" w:fill="EEECE1"/>
            <w:vAlign w:val="center"/>
          </w:tcPr>
          <w:p w14:paraId="3743F9ED">
            <w:pPr>
              <w:widowControl w:val="0"/>
              <w:ind w:firstLine="428" w:firstLineChars="200"/>
              <w:jc w:val="center"/>
              <w:rPr>
                <w:rFonts w:ascii="宋体" w:hAnsi="宋体" w:eastAsia="宋体" w:cs="宋体"/>
                <w:kern w:val="2"/>
                <w:sz w:val="21"/>
                <w:szCs w:val="21"/>
              </w:rPr>
            </w:pPr>
            <w:r>
              <w:rPr>
                <w:rFonts w:hint="eastAsia" w:ascii="微软雅黑" w:hAnsi="微软雅黑" w:eastAsia="微软雅黑" w:cs="微软雅黑"/>
                <w:b/>
                <w:bCs/>
                <w:snapToGrid w:val="0"/>
                <w:color w:val="000000"/>
                <w:spacing w:val="7"/>
                <w:kern w:val="2"/>
                <w:sz w:val="20"/>
                <w:szCs w:val="20"/>
                <w:lang w:eastAsia="en-US"/>
              </w:rPr>
              <w:t>服务标准</w:t>
            </w:r>
          </w:p>
        </w:tc>
      </w:tr>
      <w:tr w14:paraId="0F3430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restart"/>
            <w:vAlign w:val="center"/>
          </w:tcPr>
          <w:p w14:paraId="011DB162">
            <w:pPr>
              <w:widowControl w:val="0"/>
              <w:jc w:val="center"/>
              <w:rPr>
                <w:rFonts w:ascii="宋体" w:hAnsi="宋体" w:eastAsia="宋体" w:cs="宋体"/>
                <w:kern w:val="2"/>
                <w:sz w:val="21"/>
                <w:szCs w:val="21"/>
              </w:rPr>
            </w:pPr>
            <w:r>
              <w:rPr>
                <w:rFonts w:hint="eastAsia" w:ascii="宋体" w:hAnsi="宋体" w:eastAsia="宋体" w:cs="宋体"/>
                <w:kern w:val="2"/>
                <w:sz w:val="21"/>
                <w:szCs w:val="21"/>
              </w:rPr>
              <w:t>1</w:t>
            </w:r>
          </w:p>
        </w:tc>
        <w:tc>
          <w:tcPr>
            <w:tcW w:w="371" w:type="pct"/>
            <w:vMerge w:val="restart"/>
            <w:vAlign w:val="center"/>
          </w:tcPr>
          <w:p w14:paraId="6B2ABD1D">
            <w:pPr>
              <w:widowControl w:val="0"/>
              <w:jc w:val="both"/>
              <w:rPr>
                <w:rFonts w:ascii="宋体" w:hAnsi="宋体" w:eastAsia="宋体" w:cs="宋体"/>
                <w:kern w:val="2"/>
                <w:sz w:val="21"/>
                <w:szCs w:val="21"/>
              </w:rPr>
            </w:pPr>
            <w:r>
              <w:rPr>
                <w:rFonts w:hint="eastAsia" w:ascii="宋体" w:hAnsi="宋体" w:eastAsia="宋体" w:cs="宋体"/>
                <w:kern w:val="2"/>
                <w:sz w:val="21"/>
                <w:szCs w:val="21"/>
              </w:rPr>
              <w:t>室内公区域</w:t>
            </w:r>
          </w:p>
        </w:tc>
        <w:tc>
          <w:tcPr>
            <w:tcW w:w="746" w:type="pct"/>
            <w:vMerge w:val="restart"/>
            <w:vAlign w:val="center"/>
          </w:tcPr>
          <w:p w14:paraId="61A5EA6F">
            <w:pPr>
              <w:widowControl w:val="0"/>
              <w:jc w:val="both"/>
              <w:rPr>
                <w:rFonts w:ascii="宋体" w:hAnsi="宋体" w:eastAsia="宋体" w:cs="宋体"/>
                <w:kern w:val="2"/>
                <w:sz w:val="21"/>
                <w:szCs w:val="21"/>
              </w:rPr>
            </w:pPr>
            <w:r>
              <w:rPr>
                <w:rFonts w:hint="eastAsia" w:ascii="宋体" w:hAnsi="宋体" w:eastAsia="宋体" w:cs="宋体"/>
                <w:kern w:val="2"/>
                <w:sz w:val="21"/>
                <w:szCs w:val="21"/>
              </w:rPr>
              <w:t>大堂/通道/楼梯</w:t>
            </w:r>
          </w:p>
        </w:tc>
        <w:tc>
          <w:tcPr>
            <w:tcW w:w="779" w:type="pct"/>
            <w:vMerge w:val="restart"/>
            <w:vAlign w:val="center"/>
          </w:tcPr>
          <w:p w14:paraId="351F9518">
            <w:pPr>
              <w:widowControl w:val="0"/>
              <w:jc w:val="both"/>
              <w:rPr>
                <w:rFonts w:ascii="宋体" w:hAnsi="宋体" w:eastAsia="宋体" w:cs="宋体"/>
                <w:kern w:val="2"/>
                <w:sz w:val="21"/>
                <w:szCs w:val="21"/>
              </w:rPr>
            </w:pPr>
            <w:r>
              <w:rPr>
                <w:rFonts w:hint="eastAsia" w:ascii="宋体" w:hAnsi="宋体" w:eastAsia="宋体" w:cs="宋体"/>
                <w:kern w:val="2"/>
                <w:sz w:val="21"/>
                <w:szCs w:val="21"/>
              </w:rPr>
              <w:t>每日牵尘、墩扫、擦拭</w:t>
            </w:r>
          </w:p>
        </w:tc>
        <w:tc>
          <w:tcPr>
            <w:tcW w:w="2718" w:type="pct"/>
            <w:vAlign w:val="center"/>
          </w:tcPr>
          <w:p w14:paraId="17A77B5C">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1.配备专业清洁工具进行清洁，操作规范。</w:t>
            </w:r>
          </w:p>
        </w:tc>
      </w:tr>
      <w:tr w14:paraId="7AF13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60316077">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614EA3E6">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20F29343">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1508299D">
            <w:pPr>
              <w:widowControl w:val="0"/>
              <w:ind w:firstLine="420" w:firstLineChars="200"/>
              <w:jc w:val="both"/>
              <w:rPr>
                <w:rFonts w:ascii="宋体" w:hAnsi="宋体" w:eastAsia="宋体" w:cs="宋体"/>
                <w:kern w:val="2"/>
                <w:sz w:val="21"/>
                <w:szCs w:val="21"/>
              </w:rPr>
            </w:pPr>
          </w:p>
        </w:tc>
        <w:tc>
          <w:tcPr>
            <w:tcW w:w="2718" w:type="pct"/>
            <w:vAlign w:val="center"/>
          </w:tcPr>
          <w:p w14:paraId="75312F51">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2.确保区域无尘、整洁、光亮，蜡面均匀，无垃圾、无水迹。</w:t>
            </w:r>
          </w:p>
        </w:tc>
      </w:tr>
      <w:tr w14:paraId="0926B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137048BD">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55A32BE3">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6FD78A44">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3AE034A3">
            <w:pPr>
              <w:widowControl w:val="0"/>
              <w:ind w:firstLine="420" w:firstLineChars="200"/>
              <w:jc w:val="both"/>
              <w:rPr>
                <w:rFonts w:ascii="宋体" w:hAnsi="宋体" w:eastAsia="宋体" w:cs="宋体"/>
                <w:kern w:val="2"/>
                <w:sz w:val="21"/>
                <w:szCs w:val="21"/>
              </w:rPr>
            </w:pPr>
          </w:p>
        </w:tc>
        <w:tc>
          <w:tcPr>
            <w:tcW w:w="2718" w:type="pct"/>
            <w:vAlign w:val="center"/>
          </w:tcPr>
          <w:p w14:paraId="46501447">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3.清洁耗材为不含磷成分的中性清洁剂，对设施无损害。</w:t>
            </w:r>
          </w:p>
        </w:tc>
      </w:tr>
      <w:tr w14:paraId="7E2FAE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2C63F21B">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114BC53C">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22DA56F4">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2D46A569">
            <w:pPr>
              <w:widowControl w:val="0"/>
              <w:ind w:firstLine="420" w:firstLineChars="200"/>
              <w:jc w:val="both"/>
              <w:rPr>
                <w:rFonts w:ascii="宋体" w:hAnsi="宋体" w:eastAsia="宋体" w:cs="宋体"/>
                <w:kern w:val="2"/>
                <w:sz w:val="21"/>
                <w:szCs w:val="21"/>
              </w:rPr>
            </w:pPr>
          </w:p>
        </w:tc>
        <w:tc>
          <w:tcPr>
            <w:tcW w:w="2718" w:type="pct"/>
            <w:vAlign w:val="center"/>
          </w:tcPr>
          <w:p w14:paraId="0A446DA9">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4.区域内所有墙面表面完整、无破损、无尘垢、无污迹；天花板、灯口、风口表面无破损、无尘垢、无检修遗留手印；踢角线完整、表面无污迹。</w:t>
            </w:r>
          </w:p>
        </w:tc>
      </w:tr>
      <w:tr w14:paraId="1D258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0656C5B1">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49EADA10">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51BC6B95">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44780FD1">
            <w:pPr>
              <w:widowControl w:val="0"/>
              <w:ind w:firstLine="420" w:firstLineChars="200"/>
              <w:jc w:val="both"/>
              <w:rPr>
                <w:rFonts w:ascii="宋体" w:hAnsi="宋体" w:eastAsia="宋体" w:cs="宋体"/>
                <w:kern w:val="2"/>
                <w:sz w:val="21"/>
                <w:szCs w:val="21"/>
              </w:rPr>
            </w:pPr>
          </w:p>
        </w:tc>
        <w:tc>
          <w:tcPr>
            <w:tcW w:w="2718" w:type="pct"/>
            <w:vAlign w:val="center"/>
          </w:tcPr>
          <w:p w14:paraId="4D0392DA">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5.垃圾桶表面干净、无磕碰痕迹、无残留污迹、内部有衬袋。</w:t>
            </w:r>
          </w:p>
        </w:tc>
      </w:tr>
      <w:tr w14:paraId="70812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44632426">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2A6EA531">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71C4050A">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08025256">
            <w:pPr>
              <w:widowControl w:val="0"/>
              <w:ind w:firstLine="420" w:firstLineChars="200"/>
              <w:jc w:val="both"/>
              <w:rPr>
                <w:rFonts w:ascii="宋体" w:hAnsi="宋体" w:eastAsia="宋体" w:cs="宋体"/>
                <w:kern w:val="2"/>
                <w:sz w:val="21"/>
                <w:szCs w:val="21"/>
              </w:rPr>
            </w:pPr>
          </w:p>
        </w:tc>
        <w:tc>
          <w:tcPr>
            <w:tcW w:w="2718" w:type="pct"/>
            <w:vAlign w:val="center"/>
          </w:tcPr>
          <w:p w14:paraId="5C1D70E7">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6.及时报修异常照明设备。</w:t>
            </w:r>
          </w:p>
        </w:tc>
      </w:tr>
      <w:tr w14:paraId="290F8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25FEADBA">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365B8B11">
            <w:pPr>
              <w:widowControl w:val="0"/>
              <w:ind w:firstLine="420" w:firstLineChars="200"/>
              <w:jc w:val="both"/>
              <w:rPr>
                <w:rFonts w:ascii="宋体" w:hAnsi="宋体" w:eastAsia="宋体" w:cs="宋体"/>
                <w:kern w:val="2"/>
                <w:sz w:val="21"/>
                <w:szCs w:val="21"/>
              </w:rPr>
            </w:pPr>
          </w:p>
        </w:tc>
        <w:tc>
          <w:tcPr>
            <w:tcW w:w="746" w:type="pct"/>
            <w:vMerge w:val="restart"/>
            <w:vAlign w:val="center"/>
          </w:tcPr>
          <w:p w14:paraId="70F2E47D">
            <w:pPr>
              <w:widowControl w:val="0"/>
              <w:jc w:val="both"/>
              <w:rPr>
                <w:rFonts w:ascii="宋体" w:hAnsi="宋体" w:eastAsia="宋体" w:cs="宋体"/>
                <w:kern w:val="2"/>
                <w:sz w:val="21"/>
                <w:szCs w:val="21"/>
              </w:rPr>
            </w:pPr>
            <w:r>
              <w:rPr>
                <w:rFonts w:hint="eastAsia" w:ascii="宋体" w:hAnsi="宋体" w:eastAsia="宋体" w:cs="宋体"/>
                <w:kern w:val="2"/>
                <w:sz w:val="21"/>
                <w:szCs w:val="21"/>
              </w:rPr>
              <w:t>卫生间</w:t>
            </w:r>
          </w:p>
        </w:tc>
        <w:tc>
          <w:tcPr>
            <w:tcW w:w="779" w:type="pct"/>
            <w:vMerge w:val="restart"/>
            <w:vAlign w:val="center"/>
          </w:tcPr>
          <w:p w14:paraId="31347D08">
            <w:pPr>
              <w:widowControl w:val="0"/>
              <w:jc w:val="both"/>
              <w:rPr>
                <w:rFonts w:ascii="宋体" w:hAnsi="宋体" w:eastAsia="宋体" w:cs="宋体"/>
                <w:kern w:val="2"/>
                <w:sz w:val="21"/>
                <w:szCs w:val="21"/>
              </w:rPr>
            </w:pPr>
            <w:r>
              <w:rPr>
                <w:rFonts w:hint="eastAsia" w:ascii="宋体" w:hAnsi="宋体" w:eastAsia="宋体" w:cs="宋体"/>
                <w:kern w:val="2"/>
                <w:sz w:val="21"/>
                <w:szCs w:val="21"/>
              </w:rPr>
              <w:t>每日巡回，擦拭墩扫、不少于二次</w:t>
            </w:r>
          </w:p>
        </w:tc>
        <w:tc>
          <w:tcPr>
            <w:tcW w:w="2718" w:type="pct"/>
            <w:vAlign w:val="center"/>
          </w:tcPr>
          <w:p w14:paraId="45AD6BDB">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1. 卫生间内无异味。</w:t>
            </w:r>
          </w:p>
        </w:tc>
      </w:tr>
      <w:tr w14:paraId="5AEB9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53266945">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03A16592">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61C23BEC">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7381BB2D">
            <w:pPr>
              <w:widowControl w:val="0"/>
              <w:ind w:firstLine="420" w:firstLineChars="200"/>
              <w:jc w:val="both"/>
              <w:rPr>
                <w:rFonts w:ascii="宋体" w:hAnsi="宋体" w:eastAsia="宋体" w:cs="宋体"/>
                <w:kern w:val="2"/>
                <w:sz w:val="21"/>
                <w:szCs w:val="21"/>
              </w:rPr>
            </w:pPr>
          </w:p>
        </w:tc>
        <w:tc>
          <w:tcPr>
            <w:tcW w:w="2718" w:type="pct"/>
            <w:vAlign w:val="center"/>
          </w:tcPr>
          <w:p w14:paraId="52F6A382">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2. 及时冲洗便池、不留脏物，洗手池、便池和洗物池无污迹、无堵塞。</w:t>
            </w:r>
          </w:p>
        </w:tc>
      </w:tr>
      <w:tr w14:paraId="541B2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1BFE5C1B">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08203614">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56C74E91">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371DFE72">
            <w:pPr>
              <w:widowControl w:val="0"/>
              <w:ind w:firstLine="420" w:firstLineChars="200"/>
              <w:jc w:val="both"/>
              <w:rPr>
                <w:rFonts w:ascii="宋体" w:hAnsi="宋体" w:eastAsia="宋体" w:cs="宋体"/>
                <w:kern w:val="2"/>
                <w:sz w:val="21"/>
                <w:szCs w:val="21"/>
              </w:rPr>
            </w:pPr>
          </w:p>
        </w:tc>
        <w:tc>
          <w:tcPr>
            <w:tcW w:w="2718" w:type="pct"/>
            <w:vAlign w:val="center"/>
          </w:tcPr>
          <w:p w14:paraId="14B7393A">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3. 及时清倒手纸篓、篓内手纸不得多于三分之二。</w:t>
            </w:r>
          </w:p>
        </w:tc>
      </w:tr>
      <w:tr w14:paraId="2A2576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3111461E">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7EBBA89D">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00408653">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466DD839">
            <w:pPr>
              <w:widowControl w:val="0"/>
              <w:ind w:firstLine="420" w:firstLineChars="200"/>
              <w:jc w:val="both"/>
              <w:rPr>
                <w:rFonts w:ascii="宋体" w:hAnsi="宋体" w:eastAsia="宋体" w:cs="宋体"/>
                <w:kern w:val="2"/>
                <w:sz w:val="21"/>
                <w:szCs w:val="21"/>
              </w:rPr>
            </w:pPr>
          </w:p>
        </w:tc>
        <w:tc>
          <w:tcPr>
            <w:tcW w:w="2718" w:type="pct"/>
            <w:vAlign w:val="center"/>
          </w:tcPr>
          <w:p w14:paraId="7F0CD3C7">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4. 地面保持无水迹、无垃圾、无尘土、无污垢。</w:t>
            </w:r>
          </w:p>
        </w:tc>
      </w:tr>
      <w:tr w14:paraId="39D9D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7A2E94D4">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68108D7D">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5E10D3A4">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4694359C">
            <w:pPr>
              <w:widowControl w:val="0"/>
              <w:ind w:firstLine="420" w:firstLineChars="200"/>
              <w:jc w:val="both"/>
              <w:rPr>
                <w:rFonts w:ascii="宋体" w:hAnsi="宋体" w:eastAsia="宋体" w:cs="宋体"/>
                <w:kern w:val="2"/>
                <w:sz w:val="21"/>
                <w:szCs w:val="21"/>
              </w:rPr>
            </w:pPr>
          </w:p>
        </w:tc>
        <w:tc>
          <w:tcPr>
            <w:tcW w:w="2718" w:type="pct"/>
            <w:vAlign w:val="center"/>
          </w:tcPr>
          <w:p w14:paraId="3ED98541">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5. 定时擦洗手台、便盆、大小便池、门窗、隔断板、墙壁、窗台等；无污渍、金属物件表面光亮、无污迹和水迹、玻璃镜面无破损、无尘垢、无检修遗留手印。</w:t>
            </w:r>
          </w:p>
        </w:tc>
      </w:tr>
      <w:tr w14:paraId="7FF32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74450383">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16A4B785">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482137C4">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3D653ADC">
            <w:pPr>
              <w:widowControl w:val="0"/>
              <w:ind w:firstLine="420" w:firstLineChars="200"/>
              <w:jc w:val="both"/>
              <w:rPr>
                <w:rFonts w:ascii="宋体" w:hAnsi="宋体" w:eastAsia="宋体" w:cs="宋体"/>
                <w:kern w:val="2"/>
                <w:sz w:val="21"/>
                <w:szCs w:val="21"/>
              </w:rPr>
            </w:pPr>
          </w:p>
        </w:tc>
        <w:tc>
          <w:tcPr>
            <w:tcW w:w="2718" w:type="pct"/>
            <w:vAlign w:val="center"/>
          </w:tcPr>
          <w:p w14:paraId="6F8FEFE6">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6. 定时消毒，喷洒除臭剂、清香剂；</w:t>
            </w:r>
          </w:p>
        </w:tc>
      </w:tr>
      <w:tr w14:paraId="0B162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2F015A45">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61F0C754">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6D1BDF8B">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615BC544">
            <w:pPr>
              <w:widowControl w:val="0"/>
              <w:ind w:firstLine="420" w:firstLineChars="200"/>
              <w:jc w:val="both"/>
              <w:rPr>
                <w:rFonts w:ascii="宋体" w:hAnsi="宋体" w:eastAsia="宋体" w:cs="宋体"/>
                <w:kern w:val="2"/>
                <w:sz w:val="21"/>
                <w:szCs w:val="21"/>
              </w:rPr>
            </w:pPr>
          </w:p>
        </w:tc>
        <w:tc>
          <w:tcPr>
            <w:tcW w:w="2718" w:type="pct"/>
            <w:vAlign w:val="center"/>
          </w:tcPr>
          <w:p w14:paraId="18AB9F97">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7. 及时补充洗手液、香球、卫生纸、擦手纸；</w:t>
            </w:r>
          </w:p>
        </w:tc>
      </w:tr>
      <w:tr w14:paraId="3970A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6CF6A21B">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4CB5C844">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74D0A640">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0386E562">
            <w:pPr>
              <w:widowControl w:val="0"/>
              <w:ind w:firstLine="420" w:firstLineChars="200"/>
              <w:jc w:val="both"/>
              <w:rPr>
                <w:rFonts w:ascii="宋体" w:hAnsi="宋体" w:eastAsia="宋体" w:cs="宋体"/>
                <w:kern w:val="2"/>
                <w:sz w:val="21"/>
                <w:szCs w:val="21"/>
              </w:rPr>
            </w:pPr>
          </w:p>
        </w:tc>
        <w:tc>
          <w:tcPr>
            <w:tcW w:w="2718" w:type="pct"/>
            <w:vAlign w:val="center"/>
          </w:tcPr>
          <w:p w14:paraId="691A8517">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8. 清洁工具固定摆放、干净、有序。</w:t>
            </w:r>
          </w:p>
        </w:tc>
      </w:tr>
      <w:tr w14:paraId="46916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32EEDA72">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103F1771">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5F72FD3A">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5969763B">
            <w:pPr>
              <w:widowControl w:val="0"/>
              <w:ind w:firstLine="420" w:firstLineChars="200"/>
              <w:jc w:val="both"/>
              <w:rPr>
                <w:rFonts w:ascii="宋体" w:hAnsi="宋体" w:eastAsia="宋体" w:cs="宋体"/>
                <w:kern w:val="2"/>
                <w:sz w:val="21"/>
                <w:szCs w:val="21"/>
              </w:rPr>
            </w:pPr>
          </w:p>
        </w:tc>
        <w:tc>
          <w:tcPr>
            <w:tcW w:w="2718" w:type="pct"/>
            <w:vAlign w:val="center"/>
          </w:tcPr>
          <w:p w14:paraId="3DE99F4F">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9.天花板、灯口、风口表面无破损。</w:t>
            </w:r>
          </w:p>
        </w:tc>
      </w:tr>
      <w:tr w14:paraId="196A1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53133D70">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2428C35D">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4ADB79D0">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60DCEEC9">
            <w:pPr>
              <w:widowControl w:val="0"/>
              <w:ind w:firstLine="420" w:firstLineChars="200"/>
              <w:jc w:val="both"/>
              <w:rPr>
                <w:rFonts w:ascii="宋体" w:hAnsi="宋体" w:eastAsia="宋体" w:cs="宋体"/>
                <w:kern w:val="2"/>
                <w:sz w:val="21"/>
                <w:szCs w:val="21"/>
              </w:rPr>
            </w:pPr>
          </w:p>
        </w:tc>
        <w:tc>
          <w:tcPr>
            <w:tcW w:w="2718" w:type="pct"/>
            <w:vAlign w:val="center"/>
          </w:tcPr>
          <w:p w14:paraId="16C18723">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10.清洁记录和检查记录准确记载。</w:t>
            </w:r>
          </w:p>
        </w:tc>
      </w:tr>
      <w:tr w14:paraId="12DB0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15CF0830">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4279C798">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54EAE7DC">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52CDD45D">
            <w:pPr>
              <w:widowControl w:val="0"/>
              <w:ind w:firstLine="420" w:firstLineChars="200"/>
              <w:jc w:val="both"/>
              <w:rPr>
                <w:rFonts w:ascii="宋体" w:hAnsi="宋体" w:eastAsia="宋体" w:cs="宋体"/>
                <w:kern w:val="2"/>
                <w:sz w:val="21"/>
                <w:szCs w:val="21"/>
              </w:rPr>
            </w:pPr>
          </w:p>
        </w:tc>
        <w:tc>
          <w:tcPr>
            <w:tcW w:w="2718" w:type="pct"/>
            <w:vAlign w:val="center"/>
          </w:tcPr>
          <w:p w14:paraId="3D58CDC6">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11.及时向相关人员交送遗失物。</w:t>
            </w:r>
          </w:p>
        </w:tc>
      </w:tr>
      <w:tr w14:paraId="44ABE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7749F347">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6B06E021">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01D13D37">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532617C2">
            <w:pPr>
              <w:widowControl w:val="0"/>
              <w:ind w:firstLine="420" w:firstLineChars="200"/>
              <w:jc w:val="both"/>
              <w:rPr>
                <w:rFonts w:ascii="宋体" w:hAnsi="宋体" w:eastAsia="宋体" w:cs="宋体"/>
                <w:kern w:val="2"/>
                <w:sz w:val="21"/>
                <w:szCs w:val="21"/>
              </w:rPr>
            </w:pPr>
          </w:p>
        </w:tc>
        <w:tc>
          <w:tcPr>
            <w:tcW w:w="2718" w:type="pct"/>
            <w:vAlign w:val="center"/>
          </w:tcPr>
          <w:p w14:paraId="776A50D5">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12.及时报修异常照明设备。</w:t>
            </w:r>
          </w:p>
        </w:tc>
      </w:tr>
      <w:tr w14:paraId="69D33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11BD58E3">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2807AE5E">
            <w:pPr>
              <w:widowControl w:val="0"/>
              <w:ind w:firstLine="420" w:firstLineChars="200"/>
              <w:jc w:val="both"/>
              <w:rPr>
                <w:rFonts w:ascii="宋体" w:hAnsi="宋体" w:eastAsia="宋体" w:cs="宋体"/>
                <w:kern w:val="2"/>
                <w:sz w:val="21"/>
                <w:szCs w:val="21"/>
              </w:rPr>
            </w:pPr>
          </w:p>
        </w:tc>
        <w:tc>
          <w:tcPr>
            <w:tcW w:w="746" w:type="pct"/>
            <w:tcBorders>
              <w:top w:val="single" w:color="auto" w:sz="4" w:space="0"/>
            </w:tcBorders>
            <w:vAlign w:val="center"/>
          </w:tcPr>
          <w:p w14:paraId="49B924F0">
            <w:pPr>
              <w:widowControl w:val="0"/>
              <w:jc w:val="both"/>
              <w:rPr>
                <w:rFonts w:ascii="宋体" w:hAnsi="宋体" w:eastAsia="宋体" w:cs="宋体"/>
                <w:kern w:val="2"/>
                <w:sz w:val="21"/>
                <w:szCs w:val="21"/>
              </w:rPr>
            </w:pPr>
            <w:r>
              <w:rPr>
                <w:rFonts w:hint="eastAsia" w:ascii="宋体" w:hAnsi="宋体" w:eastAsia="宋体" w:cs="宋体"/>
                <w:kern w:val="2"/>
                <w:sz w:val="21"/>
                <w:szCs w:val="21"/>
              </w:rPr>
              <w:t>公用设施</w:t>
            </w:r>
          </w:p>
        </w:tc>
        <w:tc>
          <w:tcPr>
            <w:tcW w:w="779" w:type="pct"/>
            <w:vMerge w:val="continue"/>
            <w:tcBorders>
              <w:top w:val="single" w:color="auto" w:sz="4" w:space="0"/>
            </w:tcBorders>
            <w:vAlign w:val="center"/>
          </w:tcPr>
          <w:p w14:paraId="5ECAEE64">
            <w:pPr>
              <w:widowControl w:val="0"/>
              <w:ind w:firstLine="420" w:firstLineChars="200"/>
              <w:jc w:val="both"/>
              <w:rPr>
                <w:rFonts w:ascii="宋体" w:hAnsi="宋体" w:eastAsia="宋体" w:cs="宋体"/>
                <w:kern w:val="2"/>
                <w:sz w:val="21"/>
                <w:szCs w:val="21"/>
              </w:rPr>
            </w:pPr>
          </w:p>
        </w:tc>
        <w:tc>
          <w:tcPr>
            <w:tcW w:w="2718" w:type="pct"/>
            <w:tcBorders>
              <w:top w:val="single" w:color="auto" w:sz="4" w:space="0"/>
            </w:tcBorders>
            <w:vAlign w:val="center"/>
          </w:tcPr>
          <w:p w14:paraId="2A285F0D">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地面干净无积水；垃圾桶整洁；附属设施无灰尘；及时报修异常照明设备。</w:t>
            </w:r>
          </w:p>
        </w:tc>
      </w:tr>
      <w:tr w14:paraId="1AB3A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restart"/>
            <w:vAlign w:val="center"/>
          </w:tcPr>
          <w:p w14:paraId="68195615">
            <w:pPr>
              <w:widowControl w:val="0"/>
              <w:jc w:val="center"/>
              <w:rPr>
                <w:rFonts w:ascii="宋体" w:hAnsi="宋体" w:eastAsia="宋体" w:cs="宋体"/>
                <w:kern w:val="2"/>
                <w:sz w:val="21"/>
                <w:szCs w:val="21"/>
              </w:rPr>
            </w:pPr>
            <w:r>
              <w:rPr>
                <w:rFonts w:hint="eastAsia" w:ascii="宋体" w:hAnsi="宋体" w:eastAsia="宋体" w:cs="宋体"/>
                <w:kern w:val="2"/>
                <w:sz w:val="21"/>
                <w:szCs w:val="21"/>
              </w:rPr>
              <w:t>2</w:t>
            </w:r>
          </w:p>
        </w:tc>
        <w:tc>
          <w:tcPr>
            <w:tcW w:w="371" w:type="pct"/>
            <w:vMerge w:val="restart"/>
            <w:vAlign w:val="center"/>
          </w:tcPr>
          <w:p w14:paraId="2F08438A">
            <w:pPr>
              <w:widowControl w:val="0"/>
              <w:jc w:val="both"/>
              <w:rPr>
                <w:rFonts w:ascii="宋体" w:hAnsi="宋体" w:eastAsia="宋体" w:cs="宋体"/>
                <w:kern w:val="2"/>
                <w:sz w:val="21"/>
                <w:szCs w:val="21"/>
              </w:rPr>
            </w:pPr>
            <w:r>
              <w:rPr>
                <w:rFonts w:hint="eastAsia" w:ascii="宋体" w:hAnsi="宋体" w:eastAsia="宋体" w:cs="宋体"/>
                <w:kern w:val="2"/>
                <w:sz w:val="21"/>
                <w:szCs w:val="21"/>
              </w:rPr>
              <w:t>室内办公会议区域</w:t>
            </w:r>
          </w:p>
        </w:tc>
        <w:tc>
          <w:tcPr>
            <w:tcW w:w="746" w:type="pct"/>
            <w:vMerge w:val="restart"/>
            <w:vAlign w:val="center"/>
          </w:tcPr>
          <w:p w14:paraId="6B13CBCA">
            <w:pPr>
              <w:widowControl w:val="0"/>
              <w:jc w:val="both"/>
              <w:rPr>
                <w:rFonts w:ascii="宋体" w:hAnsi="宋体" w:eastAsia="宋体" w:cs="宋体"/>
                <w:kern w:val="2"/>
                <w:sz w:val="21"/>
                <w:szCs w:val="21"/>
              </w:rPr>
            </w:pPr>
            <w:r>
              <w:rPr>
                <w:rFonts w:hint="eastAsia" w:ascii="宋体" w:hAnsi="宋体" w:eastAsia="宋体" w:cs="宋体"/>
                <w:kern w:val="2"/>
                <w:sz w:val="21"/>
                <w:szCs w:val="21"/>
              </w:rPr>
              <w:t>办公室等室内功能区域</w:t>
            </w:r>
          </w:p>
        </w:tc>
        <w:tc>
          <w:tcPr>
            <w:tcW w:w="779" w:type="pct"/>
            <w:vMerge w:val="restart"/>
            <w:vAlign w:val="center"/>
          </w:tcPr>
          <w:p w14:paraId="717DE93C">
            <w:pPr>
              <w:widowControl w:val="0"/>
              <w:jc w:val="both"/>
              <w:rPr>
                <w:rFonts w:ascii="宋体" w:hAnsi="宋体" w:eastAsia="宋体" w:cs="宋体"/>
                <w:kern w:val="2"/>
                <w:sz w:val="21"/>
                <w:szCs w:val="21"/>
              </w:rPr>
            </w:pPr>
            <w:r>
              <w:rPr>
                <w:rFonts w:hint="eastAsia" w:ascii="宋体" w:hAnsi="宋体" w:eastAsia="宋体" w:cs="宋体"/>
                <w:kern w:val="2"/>
                <w:sz w:val="21"/>
                <w:szCs w:val="21"/>
              </w:rPr>
              <w:t>每日墩扫一次。地毯吸尘每周一次。</w:t>
            </w:r>
          </w:p>
        </w:tc>
        <w:tc>
          <w:tcPr>
            <w:tcW w:w="2718" w:type="pct"/>
            <w:vAlign w:val="center"/>
          </w:tcPr>
          <w:p w14:paraId="06698F86">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1.地面干净、无杂物。</w:t>
            </w:r>
          </w:p>
        </w:tc>
      </w:tr>
      <w:tr w14:paraId="2AA36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799BDC2B">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6B5A5FC5">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0518F60A">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29A39FA5">
            <w:pPr>
              <w:widowControl w:val="0"/>
              <w:ind w:firstLine="420" w:firstLineChars="200"/>
              <w:jc w:val="both"/>
              <w:rPr>
                <w:rFonts w:ascii="宋体" w:hAnsi="宋体" w:eastAsia="宋体" w:cs="宋体"/>
                <w:kern w:val="2"/>
                <w:sz w:val="21"/>
                <w:szCs w:val="21"/>
              </w:rPr>
            </w:pPr>
          </w:p>
        </w:tc>
        <w:tc>
          <w:tcPr>
            <w:tcW w:w="2718" w:type="pct"/>
            <w:vAlign w:val="center"/>
          </w:tcPr>
          <w:p w14:paraId="053057C2">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2.不动用桌上任何物件，椅子摆放整齐。</w:t>
            </w:r>
          </w:p>
        </w:tc>
      </w:tr>
      <w:tr w14:paraId="6D7AC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59A5B87C">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45A34024">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22E08FC7">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1BF891F2">
            <w:pPr>
              <w:widowControl w:val="0"/>
              <w:ind w:firstLine="420" w:firstLineChars="200"/>
              <w:jc w:val="both"/>
              <w:rPr>
                <w:rFonts w:ascii="宋体" w:hAnsi="宋体" w:eastAsia="宋体" w:cs="宋体"/>
                <w:kern w:val="2"/>
                <w:sz w:val="21"/>
                <w:szCs w:val="21"/>
              </w:rPr>
            </w:pPr>
          </w:p>
        </w:tc>
        <w:tc>
          <w:tcPr>
            <w:tcW w:w="2718" w:type="pct"/>
            <w:vAlign w:val="center"/>
          </w:tcPr>
          <w:p w14:paraId="2A03C3C9">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3.垃圾日清，垃圾袋套装规范，垃圾袋有污渍及时更换。</w:t>
            </w:r>
          </w:p>
        </w:tc>
      </w:tr>
      <w:tr w14:paraId="7C9F8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1AE9C394">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1500D684">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5C323FF2">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0ECC1762">
            <w:pPr>
              <w:widowControl w:val="0"/>
              <w:ind w:firstLine="420" w:firstLineChars="200"/>
              <w:jc w:val="both"/>
              <w:rPr>
                <w:rFonts w:ascii="宋体" w:hAnsi="宋体" w:eastAsia="宋体" w:cs="宋体"/>
                <w:kern w:val="2"/>
                <w:sz w:val="21"/>
                <w:szCs w:val="21"/>
              </w:rPr>
            </w:pPr>
          </w:p>
        </w:tc>
        <w:tc>
          <w:tcPr>
            <w:tcW w:w="2718" w:type="pct"/>
            <w:vAlign w:val="center"/>
          </w:tcPr>
          <w:p w14:paraId="46A9D6BB">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4.室内绿植每周擦拭除尘，定期浇水。</w:t>
            </w:r>
          </w:p>
        </w:tc>
      </w:tr>
      <w:tr w14:paraId="49EBD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restart"/>
            <w:vAlign w:val="center"/>
          </w:tcPr>
          <w:p w14:paraId="0FD9A49C">
            <w:pPr>
              <w:widowControl w:val="0"/>
              <w:jc w:val="center"/>
              <w:rPr>
                <w:rFonts w:ascii="宋体" w:hAnsi="宋体" w:eastAsia="宋体" w:cs="宋体"/>
                <w:kern w:val="2"/>
                <w:sz w:val="21"/>
                <w:szCs w:val="21"/>
              </w:rPr>
            </w:pPr>
            <w:r>
              <w:rPr>
                <w:rFonts w:hint="eastAsia" w:ascii="宋体" w:hAnsi="宋体" w:eastAsia="宋体" w:cs="宋体"/>
                <w:kern w:val="2"/>
                <w:sz w:val="21"/>
                <w:szCs w:val="21"/>
              </w:rPr>
              <w:t>3</w:t>
            </w:r>
          </w:p>
        </w:tc>
        <w:tc>
          <w:tcPr>
            <w:tcW w:w="371" w:type="pct"/>
            <w:vMerge w:val="restart"/>
            <w:vAlign w:val="center"/>
          </w:tcPr>
          <w:p w14:paraId="2B8CA4DA">
            <w:pPr>
              <w:widowControl w:val="0"/>
              <w:jc w:val="both"/>
              <w:rPr>
                <w:rFonts w:ascii="宋体" w:hAnsi="宋体" w:eastAsia="宋体" w:cs="宋体"/>
                <w:kern w:val="2"/>
                <w:sz w:val="21"/>
                <w:szCs w:val="21"/>
              </w:rPr>
            </w:pPr>
            <w:r>
              <w:rPr>
                <w:rFonts w:hint="eastAsia" w:ascii="宋体" w:hAnsi="宋体" w:eastAsia="宋体" w:cs="宋体"/>
                <w:kern w:val="2"/>
                <w:sz w:val="21"/>
                <w:szCs w:val="21"/>
              </w:rPr>
              <w:t>机房区域</w:t>
            </w:r>
          </w:p>
        </w:tc>
        <w:tc>
          <w:tcPr>
            <w:tcW w:w="746" w:type="pct"/>
            <w:vMerge w:val="restart"/>
            <w:vAlign w:val="center"/>
          </w:tcPr>
          <w:p w14:paraId="4D9D112B">
            <w:pPr>
              <w:widowControl w:val="0"/>
              <w:jc w:val="both"/>
              <w:rPr>
                <w:rFonts w:ascii="宋体" w:hAnsi="宋体" w:eastAsia="宋体" w:cs="宋体"/>
                <w:kern w:val="2"/>
                <w:sz w:val="21"/>
                <w:szCs w:val="21"/>
              </w:rPr>
            </w:pPr>
            <w:r>
              <w:rPr>
                <w:rFonts w:hint="eastAsia" w:ascii="宋体" w:hAnsi="宋体" w:eastAsia="宋体" w:cs="宋体"/>
                <w:kern w:val="2"/>
                <w:sz w:val="21"/>
                <w:szCs w:val="21"/>
              </w:rPr>
              <w:t>地面、墙面、天花板</w:t>
            </w:r>
          </w:p>
        </w:tc>
        <w:tc>
          <w:tcPr>
            <w:tcW w:w="779" w:type="pct"/>
            <w:vMerge w:val="restart"/>
            <w:vAlign w:val="center"/>
          </w:tcPr>
          <w:p w14:paraId="1DA86D86">
            <w:pPr>
              <w:widowControl w:val="0"/>
              <w:jc w:val="both"/>
              <w:rPr>
                <w:rFonts w:ascii="宋体" w:hAnsi="宋体" w:eastAsia="宋体" w:cs="宋体"/>
                <w:kern w:val="2"/>
                <w:sz w:val="21"/>
                <w:szCs w:val="21"/>
              </w:rPr>
            </w:pPr>
            <w:r>
              <w:rPr>
                <w:rFonts w:hint="eastAsia" w:ascii="宋体" w:hAnsi="宋体" w:eastAsia="宋体" w:cs="宋体"/>
                <w:kern w:val="2"/>
                <w:sz w:val="21"/>
                <w:szCs w:val="21"/>
              </w:rPr>
              <w:t>每周清扫一次、巡视</w:t>
            </w:r>
          </w:p>
        </w:tc>
        <w:tc>
          <w:tcPr>
            <w:tcW w:w="2718" w:type="pct"/>
            <w:vAlign w:val="center"/>
          </w:tcPr>
          <w:p w14:paraId="617E6B6B">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1.保洁员应在机房管理人员的监管下进行，避免因清洁工作影响设备的正常运行。</w:t>
            </w:r>
          </w:p>
        </w:tc>
      </w:tr>
      <w:tr w14:paraId="03F95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7850084C">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315B4D29">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16ABF9FC">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5EA1F516">
            <w:pPr>
              <w:widowControl w:val="0"/>
              <w:ind w:firstLine="420" w:firstLineChars="200"/>
              <w:jc w:val="both"/>
              <w:rPr>
                <w:rFonts w:ascii="宋体" w:hAnsi="宋体" w:eastAsia="宋体" w:cs="宋体"/>
                <w:kern w:val="2"/>
                <w:sz w:val="21"/>
                <w:szCs w:val="21"/>
              </w:rPr>
            </w:pPr>
          </w:p>
        </w:tc>
        <w:tc>
          <w:tcPr>
            <w:tcW w:w="2718" w:type="pct"/>
            <w:vAlign w:val="center"/>
          </w:tcPr>
          <w:p w14:paraId="06444435">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2.不得对设备表面及内部进行任何清洁工作，不得变动任何线路。</w:t>
            </w:r>
          </w:p>
        </w:tc>
      </w:tr>
      <w:tr w14:paraId="5D03E1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0FBF7041">
            <w:pPr>
              <w:widowControl w:val="0"/>
              <w:ind w:firstLine="420" w:firstLineChars="200"/>
              <w:jc w:val="center"/>
              <w:rPr>
                <w:rFonts w:ascii="宋体" w:hAnsi="宋体" w:eastAsia="宋体" w:cs="宋体"/>
                <w:kern w:val="2"/>
                <w:sz w:val="21"/>
                <w:szCs w:val="21"/>
              </w:rPr>
            </w:pPr>
          </w:p>
        </w:tc>
        <w:tc>
          <w:tcPr>
            <w:tcW w:w="371" w:type="pct"/>
            <w:vMerge w:val="continue"/>
            <w:vAlign w:val="center"/>
          </w:tcPr>
          <w:p w14:paraId="3E42353F">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0D017E3E">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0D54C786">
            <w:pPr>
              <w:widowControl w:val="0"/>
              <w:ind w:firstLine="420" w:firstLineChars="200"/>
              <w:jc w:val="both"/>
              <w:rPr>
                <w:rFonts w:ascii="宋体" w:hAnsi="宋体" w:eastAsia="宋体" w:cs="宋体"/>
                <w:kern w:val="2"/>
                <w:sz w:val="21"/>
                <w:szCs w:val="21"/>
              </w:rPr>
            </w:pPr>
          </w:p>
        </w:tc>
        <w:tc>
          <w:tcPr>
            <w:tcW w:w="2718" w:type="pct"/>
            <w:vAlign w:val="center"/>
          </w:tcPr>
          <w:p w14:paraId="08771F99">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3.机房内张贴本机房清洁表，清洁完成登记清洁时间、工作内容、陪同人员等。</w:t>
            </w:r>
          </w:p>
        </w:tc>
      </w:tr>
      <w:tr w14:paraId="79669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Align w:val="center"/>
          </w:tcPr>
          <w:p w14:paraId="78F7C921">
            <w:pPr>
              <w:widowControl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371" w:type="pct"/>
            <w:vAlign w:val="center"/>
          </w:tcPr>
          <w:p w14:paraId="54EBDD0A">
            <w:pPr>
              <w:widowControl w:val="0"/>
              <w:jc w:val="both"/>
              <w:rPr>
                <w:rFonts w:ascii="宋体" w:hAnsi="宋体" w:eastAsia="宋体" w:cs="宋体"/>
                <w:kern w:val="2"/>
                <w:sz w:val="21"/>
                <w:szCs w:val="21"/>
              </w:rPr>
            </w:pPr>
            <w:r>
              <w:rPr>
                <w:rFonts w:hint="eastAsia" w:ascii="宋体" w:hAnsi="宋体" w:eastAsia="宋体" w:cs="宋体"/>
                <w:kern w:val="2"/>
                <w:sz w:val="21"/>
                <w:szCs w:val="21"/>
              </w:rPr>
              <w:t>消杀灭鼠</w:t>
            </w:r>
          </w:p>
        </w:tc>
        <w:tc>
          <w:tcPr>
            <w:tcW w:w="746" w:type="pct"/>
            <w:vAlign w:val="center"/>
          </w:tcPr>
          <w:p w14:paraId="778BB1C1">
            <w:pPr>
              <w:widowControl w:val="0"/>
              <w:jc w:val="both"/>
              <w:rPr>
                <w:rFonts w:ascii="宋体" w:hAnsi="宋体" w:eastAsia="宋体" w:cs="宋体"/>
                <w:kern w:val="2"/>
                <w:sz w:val="21"/>
                <w:szCs w:val="21"/>
              </w:rPr>
            </w:pPr>
            <w:r>
              <w:rPr>
                <w:rFonts w:hint="eastAsia" w:ascii="宋体" w:hAnsi="宋体" w:eastAsia="宋体" w:cs="宋体"/>
                <w:kern w:val="2"/>
                <w:sz w:val="21"/>
                <w:szCs w:val="21"/>
              </w:rPr>
              <w:t xml:space="preserve">鼠害、蚊虫 苍蝇、蟑螂蚂蚁 </w:t>
            </w:r>
          </w:p>
        </w:tc>
        <w:tc>
          <w:tcPr>
            <w:tcW w:w="779" w:type="pct"/>
            <w:vAlign w:val="center"/>
          </w:tcPr>
          <w:p w14:paraId="452F333F">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每日巡回记录，根据情况实施。每月进行一次情况汇总。</w:t>
            </w:r>
          </w:p>
        </w:tc>
        <w:tc>
          <w:tcPr>
            <w:tcW w:w="2718" w:type="pct"/>
            <w:vAlign w:val="center"/>
          </w:tcPr>
          <w:p w14:paraId="3ECDD4B9">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根据国家和本地卫生工作的规定要求，对有害生物（含鼠、蚊、蟑螂、蚂蚁、白蚁等）进行有效防治，发现隐患，立即局部或全部再消杀，1个工作日内清除。</w:t>
            </w:r>
          </w:p>
        </w:tc>
      </w:tr>
      <w:tr w14:paraId="5E315E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restart"/>
            <w:vAlign w:val="center"/>
          </w:tcPr>
          <w:p w14:paraId="700B1589">
            <w:pPr>
              <w:widowControl w:val="0"/>
              <w:jc w:val="center"/>
              <w:rPr>
                <w:rFonts w:ascii="宋体" w:hAnsi="宋体" w:eastAsia="宋体" w:cs="宋体"/>
                <w:kern w:val="2"/>
                <w:sz w:val="21"/>
                <w:szCs w:val="21"/>
              </w:rPr>
            </w:pPr>
            <w:r>
              <w:rPr>
                <w:rFonts w:hint="eastAsia" w:ascii="宋体" w:hAnsi="宋体" w:eastAsia="宋体" w:cs="宋体"/>
                <w:kern w:val="2"/>
                <w:sz w:val="21"/>
                <w:szCs w:val="21"/>
              </w:rPr>
              <w:t>5</w:t>
            </w:r>
          </w:p>
        </w:tc>
        <w:tc>
          <w:tcPr>
            <w:tcW w:w="371" w:type="pct"/>
            <w:vMerge w:val="restart"/>
            <w:vAlign w:val="center"/>
          </w:tcPr>
          <w:p w14:paraId="74462C6A">
            <w:pPr>
              <w:widowControl w:val="0"/>
              <w:jc w:val="both"/>
              <w:rPr>
                <w:rFonts w:ascii="宋体" w:hAnsi="宋体" w:eastAsia="宋体" w:cs="宋体"/>
                <w:kern w:val="2"/>
                <w:sz w:val="21"/>
                <w:szCs w:val="21"/>
              </w:rPr>
            </w:pPr>
            <w:r>
              <w:rPr>
                <w:rFonts w:hint="eastAsia" w:ascii="宋体" w:hAnsi="宋体" w:eastAsia="宋体" w:cs="宋体"/>
                <w:kern w:val="2"/>
                <w:sz w:val="21"/>
                <w:szCs w:val="21"/>
              </w:rPr>
              <w:t>废弃物处理</w:t>
            </w:r>
          </w:p>
        </w:tc>
        <w:tc>
          <w:tcPr>
            <w:tcW w:w="746" w:type="pct"/>
            <w:vMerge w:val="restart"/>
            <w:vAlign w:val="center"/>
          </w:tcPr>
          <w:p w14:paraId="4322E441">
            <w:pPr>
              <w:widowControl w:val="0"/>
              <w:jc w:val="both"/>
              <w:rPr>
                <w:rFonts w:ascii="宋体" w:hAnsi="宋体" w:eastAsia="宋体" w:cs="宋体"/>
                <w:kern w:val="2"/>
                <w:sz w:val="21"/>
                <w:szCs w:val="21"/>
              </w:rPr>
            </w:pPr>
            <w:r>
              <w:rPr>
                <w:rFonts w:hint="eastAsia" w:ascii="宋体" w:hAnsi="宋体" w:eastAsia="宋体" w:cs="宋体"/>
                <w:kern w:val="2"/>
                <w:sz w:val="21"/>
                <w:szCs w:val="21"/>
              </w:rPr>
              <w:t>日常垃圾现场管理及垃圾清运处置管理</w:t>
            </w:r>
          </w:p>
        </w:tc>
        <w:tc>
          <w:tcPr>
            <w:tcW w:w="779" w:type="pct"/>
            <w:vMerge w:val="restart"/>
            <w:vAlign w:val="center"/>
          </w:tcPr>
          <w:p w14:paraId="2C9B744C">
            <w:pPr>
              <w:widowControl w:val="0"/>
              <w:jc w:val="both"/>
              <w:rPr>
                <w:rFonts w:ascii="宋体" w:hAnsi="宋体" w:eastAsia="宋体" w:cs="宋体"/>
                <w:kern w:val="2"/>
                <w:sz w:val="21"/>
                <w:szCs w:val="21"/>
              </w:rPr>
            </w:pPr>
            <w:r>
              <w:rPr>
                <w:rFonts w:hint="eastAsia" w:ascii="宋体" w:hAnsi="宋体" w:eastAsia="宋体" w:cs="宋体"/>
                <w:kern w:val="2"/>
                <w:sz w:val="21"/>
                <w:szCs w:val="21"/>
              </w:rPr>
              <w:t>日产日清</w:t>
            </w:r>
          </w:p>
        </w:tc>
        <w:tc>
          <w:tcPr>
            <w:tcW w:w="2718" w:type="pct"/>
            <w:vAlign w:val="center"/>
          </w:tcPr>
          <w:p w14:paraId="62C9438D">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1.建立垃圾分类管理制度，按照《西安市垃圾分类管理办法》进行分类管理和处置。</w:t>
            </w:r>
          </w:p>
        </w:tc>
      </w:tr>
      <w:tr w14:paraId="40992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26F1ECCB">
            <w:pPr>
              <w:widowControl w:val="0"/>
              <w:ind w:firstLine="420" w:firstLineChars="200"/>
              <w:jc w:val="both"/>
              <w:rPr>
                <w:rFonts w:ascii="宋体" w:hAnsi="宋体" w:eastAsia="宋体" w:cs="宋体"/>
                <w:kern w:val="2"/>
                <w:sz w:val="21"/>
                <w:szCs w:val="21"/>
              </w:rPr>
            </w:pPr>
          </w:p>
        </w:tc>
        <w:tc>
          <w:tcPr>
            <w:tcW w:w="371" w:type="pct"/>
            <w:vMerge w:val="continue"/>
            <w:vAlign w:val="center"/>
          </w:tcPr>
          <w:p w14:paraId="2A15F9F2">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2822765B">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4D2358CD">
            <w:pPr>
              <w:widowControl w:val="0"/>
              <w:ind w:firstLine="420" w:firstLineChars="200"/>
              <w:jc w:val="both"/>
              <w:rPr>
                <w:rFonts w:ascii="宋体" w:hAnsi="宋体" w:eastAsia="宋体" w:cs="宋体"/>
                <w:kern w:val="2"/>
                <w:sz w:val="21"/>
                <w:szCs w:val="21"/>
              </w:rPr>
            </w:pPr>
          </w:p>
        </w:tc>
        <w:tc>
          <w:tcPr>
            <w:tcW w:w="2718" w:type="pct"/>
            <w:vAlign w:val="center"/>
          </w:tcPr>
          <w:p w14:paraId="60127ED9">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2.垃圾及时清理至指定垃圾区并清运处置；办公废弃纸张等实施留置管理，48小时后清运并处置。</w:t>
            </w:r>
          </w:p>
        </w:tc>
      </w:tr>
      <w:tr w14:paraId="6C52BC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4E1AEC6A">
            <w:pPr>
              <w:widowControl w:val="0"/>
              <w:ind w:firstLine="420" w:firstLineChars="200"/>
              <w:jc w:val="both"/>
              <w:rPr>
                <w:rFonts w:ascii="宋体" w:hAnsi="宋体" w:eastAsia="宋体" w:cs="宋体"/>
                <w:kern w:val="2"/>
                <w:sz w:val="21"/>
                <w:szCs w:val="21"/>
              </w:rPr>
            </w:pPr>
          </w:p>
        </w:tc>
        <w:tc>
          <w:tcPr>
            <w:tcW w:w="371" w:type="pct"/>
            <w:vMerge w:val="continue"/>
            <w:vAlign w:val="center"/>
          </w:tcPr>
          <w:p w14:paraId="79EC8023">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00FCB28F">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795AC487">
            <w:pPr>
              <w:widowControl w:val="0"/>
              <w:ind w:firstLine="420" w:firstLineChars="200"/>
              <w:jc w:val="both"/>
              <w:rPr>
                <w:rFonts w:ascii="宋体" w:hAnsi="宋体" w:eastAsia="宋体" w:cs="宋体"/>
                <w:kern w:val="2"/>
                <w:sz w:val="21"/>
                <w:szCs w:val="21"/>
              </w:rPr>
            </w:pPr>
          </w:p>
        </w:tc>
        <w:tc>
          <w:tcPr>
            <w:tcW w:w="2718" w:type="pct"/>
            <w:vAlign w:val="center"/>
          </w:tcPr>
          <w:p w14:paraId="2A32722C">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3.规范垃圾清运时间及存放点。</w:t>
            </w:r>
          </w:p>
        </w:tc>
      </w:tr>
      <w:tr w14:paraId="1E085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386" w:type="pct"/>
            <w:vMerge w:val="continue"/>
            <w:vAlign w:val="center"/>
          </w:tcPr>
          <w:p w14:paraId="3D053629">
            <w:pPr>
              <w:widowControl w:val="0"/>
              <w:ind w:firstLine="420" w:firstLineChars="200"/>
              <w:jc w:val="both"/>
              <w:rPr>
                <w:rFonts w:ascii="宋体" w:hAnsi="宋体" w:eastAsia="宋体" w:cs="宋体"/>
                <w:kern w:val="2"/>
                <w:sz w:val="21"/>
                <w:szCs w:val="21"/>
              </w:rPr>
            </w:pPr>
          </w:p>
        </w:tc>
        <w:tc>
          <w:tcPr>
            <w:tcW w:w="371" w:type="pct"/>
            <w:vMerge w:val="continue"/>
            <w:vAlign w:val="center"/>
          </w:tcPr>
          <w:p w14:paraId="0BFB8B0E">
            <w:pPr>
              <w:widowControl w:val="0"/>
              <w:ind w:firstLine="420" w:firstLineChars="200"/>
              <w:jc w:val="both"/>
              <w:rPr>
                <w:rFonts w:ascii="宋体" w:hAnsi="宋体" w:eastAsia="宋体" w:cs="宋体"/>
                <w:kern w:val="2"/>
                <w:sz w:val="21"/>
                <w:szCs w:val="21"/>
              </w:rPr>
            </w:pPr>
          </w:p>
        </w:tc>
        <w:tc>
          <w:tcPr>
            <w:tcW w:w="746" w:type="pct"/>
            <w:vMerge w:val="continue"/>
            <w:vAlign w:val="center"/>
          </w:tcPr>
          <w:p w14:paraId="4C12487D">
            <w:pPr>
              <w:widowControl w:val="0"/>
              <w:ind w:firstLine="420" w:firstLineChars="200"/>
              <w:jc w:val="both"/>
              <w:rPr>
                <w:rFonts w:ascii="宋体" w:hAnsi="宋体" w:eastAsia="宋体" w:cs="宋体"/>
                <w:kern w:val="2"/>
                <w:sz w:val="21"/>
                <w:szCs w:val="21"/>
              </w:rPr>
            </w:pPr>
          </w:p>
        </w:tc>
        <w:tc>
          <w:tcPr>
            <w:tcW w:w="779" w:type="pct"/>
            <w:vMerge w:val="continue"/>
            <w:vAlign w:val="center"/>
          </w:tcPr>
          <w:p w14:paraId="7473CA49">
            <w:pPr>
              <w:widowControl w:val="0"/>
              <w:ind w:firstLine="420" w:firstLineChars="200"/>
              <w:jc w:val="both"/>
              <w:rPr>
                <w:rFonts w:ascii="宋体" w:hAnsi="宋体" w:eastAsia="宋体" w:cs="宋体"/>
                <w:kern w:val="2"/>
                <w:sz w:val="21"/>
                <w:szCs w:val="21"/>
              </w:rPr>
            </w:pPr>
          </w:p>
        </w:tc>
        <w:tc>
          <w:tcPr>
            <w:tcW w:w="2718" w:type="pct"/>
            <w:vAlign w:val="center"/>
          </w:tcPr>
          <w:p w14:paraId="19243B6C">
            <w:pPr>
              <w:widowControl w:val="0"/>
              <w:spacing w:line="360" w:lineRule="exact"/>
              <w:jc w:val="both"/>
              <w:rPr>
                <w:rFonts w:ascii="宋体" w:hAnsi="宋体" w:eastAsia="宋体" w:cs="宋体"/>
                <w:kern w:val="2"/>
                <w:sz w:val="21"/>
                <w:szCs w:val="21"/>
              </w:rPr>
            </w:pPr>
            <w:r>
              <w:rPr>
                <w:rFonts w:hint="eastAsia" w:ascii="宋体" w:hAnsi="宋体" w:eastAsia="宋体" w:cs="宋体"/>
                <w:kern w:val="2"/>
                <w:sz w:val="21"/>
                <w:szCs w:val="21"/>
              </w:rPr>
              <w:t>4.监控垃圾清理供应商服务质量、垃圾清理过程管理及人员行为，特殊情况及时协调。</w:t>
            </w:r>
          </w:p>
        </w:tc>
      </w:tr>
    </w:tbl>
    <w:p w14:paraId="42ECB5FF">
      <w:pPr>
        <w:kinsoku w:val="0"/>
        <w:autoSpaceDE w:val="0"/>
        <w:autoSpaceDN w:val="0"/>
        <w:adjustRightInd w:val="0"/>
        <w:snapToGrid w:val="0"/>
        <w:spacing w:before="235"/>
        <w:ind w:firstLine="460" w:firstLineChars="200"/>
        <w:textAlignment w:val="baseline"/>
        <w:outlineLvl w:val="2"/>
        <w:rPr>
          <w:rFonts w:ascii="宋体" w:hAnsi="宋体" w:cs="宋体"/>
          <w:snapToGrid w:val="0"/>
        </w:rPr>
      </w:pPr>
      <w:r>
        <w:rPr>
          <w:rFonts w:ascii="宋体" w:hAnsi="宋体" w:cs="宋体"/>
          <w:b/>
          <w:bCs/>
          <w:snapToGrid w:val="0"/>
          <w:spacing w:val="-5"/>
        </w:rPr>
        <w:t>（</w:t>
      </w:r>
      <w:r>
        <w:rPr>
          <w:rFonts w:hint="eastAsia" w:ascii="宋体" w:hAnsi="宋体" w:cs="宋体"/>
          <w:b/>
          <w:bCs/>
          <w:snapToGrid w:val="0"/>
          <w:spacing w:val="-5"/>
        </w:rPr>
        <w:t>四</w:t>
      </w:r>
      <w:r>
        <w:rPr>
          <w:rFonts w:ascii="宋体" w:hAnsi="宋体" w:cs="宋体"/>
          <w:b/>
          <w:bCs/>
          <w:snapToGrid w:val="0"/>
          <w:spacing w:val="-5"/>
        </w:rPr>
        <w:t>）安防服务要求</w:t>
      </w:r>
    </w:p>
    <w:p w14:paraId="0E0EC3B1">
      <w:pPr>
        <w:ind w:firstLine="480" w:firstLineChars="200"/>
      </w:pPr>
      <w:r>
        <w:t>1、</w:t>
      </w:r>
      <w:r>
        <w:rPr>
          <w:rFonts w:hint="eastAsia"/>
        </w:rPr>
        <w:t>服务内容及要求</w:t>
      </w:r>
    </w:p>
    <w:p w14:paraId="67761EC9">
      <w:pPr>
        <w:ind w:firstLine="480" w:firstLineChars="200"/>
      </w:pPr>
      <w:r>
        <w:rPr>
          <w:rFonts w:hint="eastAsia"/>
        </w:rPr>
        <w:t>（1）</w:t>
      </w:r>
      <w:r>
        <w:t>维护正常的秩序及重点要害部位的安全防范，确保治安、刑事案件责任事故零发案。</w:t>
      </w:r>
    </w:p>
    <w:p w14:paraId="3987FBC8">
      <w:pPr>
        <w:ind w:firstLine="480" w:firstLineChars="200"/>
      </w:pPr>
      <w:r>
        <w:rPr>
          <w:rFonts w:hint="eastAsia"/>
        </w:rPr>
        <w:t>（2）</w:t>
      </w:r>
      <w:r>
        <w:t>对进入的人员、车辆履行盘查登记。</w:t>
      </w:r>
    </w:p>
    <w:p w14:paraId="30D2FDAD">
      <w:pPr>
        <w:ind w:firstLine="480" w:firstLineChars="200"/>
      </w:pPr>
      <w:r>
        <w:rPr>
          <w:rFonts w:hint="eastAsia"/>
        </w:rPr>
        <w:t>（3）</w:t>
      </w:r>
      <w:r>
        <w:t>对车辆进出、调度、停放和通道的秩序维护。</w:t>
      </w:r>
    </w:p>
    <w:p w14:paraId="295A9D68">
      <w:pPr>
        <w:ind w:firstLine="480" w:firstLineChars="200"/>
      </w:pPr>
      <w:r>
        <w:rPr>
          <w:rFonts w:hint="eastAsia"/>
        </w:rPr>
        <w:t>（4）</w:t>
      </w:r>
      <w:r>
        <w:t>负责消防系统的日常检查、维护、保养，发现系统故障第一时间上报，保障消防设施的正常运转，消除隐患，杜绝火灾。</w:t>
      </w:r>
    </w:p>
    <w:p w14:paraId="1455642B">
      <w:pPr>
        <w:ind w:firstLine="480" w:firstLineChars="200"/>
      </w:pPr>
      <w:r>
        <w:rPr>
          <w:rFonts w:hint="eastAsia"/>
        </w:rPr>
        <w:t>（5）</w:t>
      </w:r>
      <w:r>
        <w:t>配合公安、消防等职能部门进行现场安全检查，并对发现的问题积极配合整改。</w:t>
      </w:r>
    </w:p>
    <w:p w14:paraId="2AF080BE">
      <w:pPr>
        <w:ind w:firstLine="480" w:firstLineChars="200"/>
      </w:pPr>
      <w:r>
        <w:rPr>
          <w:rFonts w:hint="eastAsia"/>
        </w:rPr>
        <w:t>2、日常管理服务要求</w:t>
      </w:r>
    </w:p>
    <w:tbl>
      <w:tblPr>
        <w:tblStyle w:val="24"/>
        <w:tblW w:w="5004" w:type="pct"/>
        <w:tblInd w:w="0" w:type="dxa"/>
        <w:tblLayout w:type="fixed"/>
        <w:tblCellMar>
          <w:top w:w="0" w:type="dxa"/>
          <w:left w:w="108" w:type="dxa"/>
          <w:bottom w:w="0" w:type="dxa"/>
          <w:right w:w="108" w:type="dxa"/>
        </w:tblCellMar>
      </w:tblPr>
      <w:tblGrid>
        <w:gridCol w:w="704"/>
        <w:gridCol w:w="827"/>
        <w:gridCol w:w="1513"/>
        <w:gridCol w:w="1513"/>
        <w:gridCol w:w="4736"/>
      </w:tblGrid>
      <w:tr w14:paraId="6DA5813A">
        <w:tblPrEx>
          <w:tblCellMar>
            <w:top w:w="0" w:type="dxa"/>
            <w:left w:w="108" w:type="dxa"/>
            <w:bottom w:w="0" w:type="dxa"/>
            <w:right w:w="108" w:type="dxa"/>
          </w:tblCellMar>
        </w:tblPrEx>
        <w:trPr>
          <w:trHeight w:val="254" w:hRule="atLeast"/>
        </w:trPr>
        <w:tc>
          <w:tcPr>
            <w:tcW w:w="379" w:type="pct"/>
            <w:tcBorders>
              <w:top w:val="single" w:color="auto" w:sz="4" w:space="0"/>
              <w:left w:val="single" w:color="auto" w:sz="4" w:space="0"/>
              <w:bottom w:val="single" w:color="auto" w:sz="4" w:space="0"/>
              <w:right w:val="single" w:color="auto" w:sz="4" w:space="0"/>
            </w:tcBorders>
            <w:shd w:val="clear" w:color="auto" w:fill="EEECE1"/>
            <w:vAlign w:val="center"/>
          </w:tcPr>
          <w:p w14:paraId="47299193">
            <w:pPr>
              <w:widowControl w:val="0"/>
              <w:jc w:val="center"/>
              <w:rPr>
                <w:rFonts w:ascii="微软雅黑" w:hAnsi="微软雅黑" w:eastAsia="微软雅黑" w:cs="微软雅黑"/>
                <w:b/>
                <w:bCs/>
                <w:snapToGrid w:val="0"/>
                <w:color w:val="000000"/>
                <w:spacing w:val="7"/>
                <w:kern w:val="2"/>
                <w:sz w:val="20"/>
                <w:szCs w:val="20"/>
                <w:lang w:eastAsia="en-US"/>
              </w:rPr>
            </w:pPr>
            <w:r>
              <w:rPr>
                <w:rFonts w:hint="eastAsia" w:ascii="微软雅黑" w:hAnsi="微软雅黑" w:eastAsia="微软雅黑" w:cs="微软雅黑"/>
                <w:b/>
                <w:bCs/>
                <w:snapToGrid w:val="0"/>
                <w:color w:val="000000"/>
                <w:spacing w:val="7"/>
                <w:kern w:val="2"/>
                <w:sz w:val="20"/>
                <w:szCs w:val="20"/>
                <w:lang w:eastAsia="en-US"/>
              </w:rPr>
              <w:t>序号</w:t>
            </w:r>
          </w:p>
        </w:tc>
        <w:tc>
          <w:tcPr>
            <w:tcW w:w="445" w:type="pct"/>
            <w:tcBorders>
              <w:top w:val="single" w:color="auto" w:sz="4" w:space="0"/>
              <w:left w:val="nil"/>
              <w:bottom w:val="single" w:color="auto" w:sz="4" w:space="0"/>
              <w:right w:val="single" w:color="auto" w:sz="4" w:space="0"/>
            </w:tcBorders>
            <w:shd w:val="clear" w:color="auto" w:fill="EEECE1"/>
            <w:vAlign w:val="center"/>
          </w:tcPr>
          <w:p w14:paraId="20C282DB">
            <w:pPr>
              <w:widowControl w:val="0"/>
              <w:jc w:val="center"/>
              <w:rPr>
                <w:rFonts w:ascii="微软雅黑" w:hAnsi="微软雅黑" w:eastAsia="微软雅黑" w:cs="微软雅黑"/>
                <w:b/>
                <w:bCs/>
                <w:snapToGrid w:val="0"/>
                <w:color w:val="000000"/>
                <w:spacing w:val="7"/>
                <w:kern w:val="2"/>
                <w:sz w:val="20"/>
                <w:szCs w:val="20"/>
                <w:lang w:eastAsia="en-US"/>
              </w:rPr>
            </w:pPr>
            <w:r>
              <w:rPr>
                <w:rFonts w:hint="eastAsia" w:ascii="微软雅黑" w:hAnsi="微软雅黑" w:eastAsia="微软雅黑" w:cs="微软雅黑"/>
                <w:b/>
                <w:bCs/>
                <w:snapToGrid w:val="0"/>
                <w:color w:val="000000"/>
                <w:spacing w:val="7"/>
                <w:kern w:val="2"/>
                <w:sz w:val="20"/>
                <w:szCs w:val="20"/>
                <w:lang w:eastAsia="en-US"/>
              </w:rPr>
              <w:t>类别</w:t>
            </w:r>
          </w:p>
        </w:tc>
        <w:tc>
          <w:tcPr>
            <w:tcW w:w="814" w:type="pct"/>
            <w:tcBorders>
              <w:top w:val="single" w:color="auto" w:sz="4" w:space="0"/>
              <w:left w:val="nil"/>
              <w:bottom w:val="single" w:color="auto" w:sz="4" w:space="0"/>
              <w:right w:val="single" w:color="auto" w:sz="4" w:space="0"/>
            </w:tcBorders>
            <w:shd w:val="clear" w:color="auto" w:fill="EEECE1"/>
            <w:vAlign w:val="center"/>
          </w:tcPr>
          <w:p w14:paraId="6122C5DA">
            <w:pPr>
              <w:widowControl w:val="0"/>
              <w:jc w:val="center"/>
              <w:rPr>
                <w:rFonts w:ascii="微软雅黑" w:hAnsi="微软雅黑" w:eastAsia="微软雅黑" w:cs="微软雅黑"/>
                <w:b/>
                <w:bCs/>
                <w:snapToGrid w:val="0"/>
                <w:color w:val="000000"/>
                <w:spacing w:val="7"/>
                <w:kern w:val="2"/>
                <w:sz w:val="20"/>
                <w:szCs w:val="20"/>
                <w:lang w:eastAsia="en-US"/>
              </w:rPr>
            </w:pPr>
            <w:r>
              <w:rPr>
                <w:rFonts w:hint="eastAsia" w:ascii="微软雅黑" w:hAnsi="微软雅黑" w:eastAsia="微软雅黑" w:cs="微软雅黑"/>
                <w:b/>
                <w:bCs/>
                <w:snapToGrid w:val="0"/>
                <w:color w:val="000000"/>
                <w:spacing w:val="7"/>
                <w:kern w:val="2"/>
                <w:sz w:val="20"/>
                <w:szCs w:val="20"/>
                <w:lang w:eastAsia="en-US"/>
              </w:rPr>
              <w:t>服务内容</w:t>
            </w:r>
          </w:p>
        </w:tc>
        <w:tc>
          <w:tcPr>
            <w:tcW w:w="814" w:type="pct"/>
            <w:tcBorders>
              <w:top w:val="single" w:color="auto" w:sz="4" w:space="0"/>
              <w:left w:val="nil"/>
              <w:bottom w:val="single" w:color="auto" w:sz="4" w:space="0"/>
              <w:right w:val="single" w:color="auto" w:sz="4" w:space="0"/>
            </w:tcBorders>
            <w:shd w:val="clear" w:color="auto" w:fill="EEECE1"/>
            <w:vAlign w:val="center"/>
          </w:tcPr>
          <w:p w14:paraId="0E0D222D">
            <w:pPr>
              <w:widowControl w:val="0"/>
              <w:jc w:val="center"/>
              <w:rPr>
                <w:rFonts w:ascii="微软雅黑" w:hAnsi="微软雅黑" w:eastAsia="微软雅黑" w:cs="微软雅黑"/>
                <w:b/>
                <w:bCs/>
                <w:snapToGrid w:val="0"/>
                <w:color w:val="000000"/>
                <w:spacing w:val="7"/>
                <w:kern w:val="2"/>
                <w:sz w:val="20"/>
                <w:szCs w:val="20"/>
                <w:lang w:eastAsia="en-US"/>
              </w:rPr>
            </w:pPr>
            <w:r>
              <w:rPr>
                <w:rFonts w:hint="eastAsia" w:ascii="微软雅黑" w:hAnsi="微软雅黑" w:eastAsia="微软雅黑" w:cs="微软雅黑"/>
                <w:b/>
                <w:bCs/>
                <w:snapToGrid w:val="0"/>
                <w:color w:val="000000"/>
                <w:spacing w:val="7"/>
                <w:kern w:val="2"/>
                <w:sz w:val="20"/>
                <w:szCs w:val="20"/>
                <w:lang w:eastAsia="en-US"/>
              </w:rPr>
              <w:t>服务频次</w:t>
            </w:r>
          </w:p>
        </w:tc>
        <w:tc>
          <w:tcPr>
            <w:tcW w:w="2548" w:type="pct"/>
            <w:tcBorders>
              <w:top w:val="single" w:color="auto" w:sz="4" w:space="0"/>
              <w:left w:val="nil"/>
              <w:bottom w:val="single" w:color="auto" w:sz="4" w:space="0"/>
              <w:right w:val="single" w:color="auto" w:sz="4" w:space="0"/>
            </w:tcBorders>
            <w:shd w:val="clear" w:color="auto" w:fill="EEECE1"/>
            <w:vAlign w:val="center"/>
          </w:tcPr>
          <w:p w14:paraId="28E4D3FE">
            <w:pPr>
              <w:widowControl w:val="0"/>
              <w:ind w:firstLine="428" w:firstLineChars="200"/>
              <w:jc w:val="center"/>
              <w:rPr>
                <w:rFonts w:ascii="微软雅黑" w:hAnsi="微软雅黑" w:eastAsia="微软雅黑" w:cs="微软雅黑"/>
                <w:b/>
                <w:bCs/>
                <w:snapToGrid w:val="0"/>
                <w:color w:val="000000"/>
                <w:spacing w:val="7"/>
                <w:kern w:val="2"/>
                <w:sz w:val="20"/>
                <w:szCs w:val="20"/>
                <w:lang w:eastAsia="en-US"/>
              </w:rPr>
            </w:pPr>
            <w:r>
              <w:rPr>
                <w:rFonts w:hint="eastAsia" w:ascii="微软雅黑" w:hAnsi="微软雅黑" w:eastAsia="微软雅黑" w:cs="微软雅黑"/>
                <w:b/>
                <w:bCs/>
                <w:snapToGrid w:val="0"/>
                <w:color w:val="000000"/>
                <w:spacing w:val="7"/>
                <w:kern w:val="2"/>
                <w:sz w:val="20"/>
                <w:szCs w:val="20"/>
                <w:lang w:eastAsia="en-US"/>
              </w:rPr>
              <w:t>服务标准</w:t>
            </w:r>
          </w:p>
        </w:tc>
      </w:tr>
      <w:tr w14:paraId="2641D04A">
        <w:tblPrEx>
          <w:tblCellMar>
            <w:top w:w="0" w:type="dxa"/>
            <w:left w:w="108" w:type="dxa"/>
            <w:bottom w:w="0" w:type="dxa"/>
            <w:right w:w="108" w:type="dxa"/>
          </w:tblCellMar>
        </w:tblPrEx>
        <w:trPr>
          <w:trHeight w:val="254" w:hRule="atLeast"/>
        </w:trPr>
        <w:tc>
          <w:tcPr>
            <w:tcW w:w="379" w:type="pct"/>
            <w:vMerge w:val="restart"/>
            <w:tcBorders>
              <w:top w:val="nil"/>
              <w:left w:val="single" w:color="auto" w:sz="4" w:space="0"/>
              <w:bottom w:val="single" w:color="auto" w:sz="4" w:space="0"/>
              <w:right w:val="single" w:color="auto" w:sz="4" w:space="0"/>
            </w:tcBorders>
            <w:vAlign w:val="center"/>
          </w:tcPr>
          <w:p w14:paraId="015B72A1">
            <w:pPr>
              <w:widowControl w:val="0"/>
              <w:jc w:val="center"/>
              <w:rPr>
                <w:rFonts w:ascii="宋体" w:hAnsi="宋体" w:eastAsia="宋体" w:cs="宋体"/>
                <w:kern w:val="2"/>
                <w:sz w:val="21"/>
                <w:szCs w:val="21"/>
              </w:rPr>
            </w:pPr>
            <w:r>
              <w:rPr>
                <w:rFonts w:hint="eastAsia" w:ascii="宋体" w:hAnsi="宋体" w:eastAsia="宋体" w:cs="宋体"/>
                <w:kern w:val="2"/>
                <w:sz w:val="21"/>
                <w:szCs w:val="21"/>
              </w:rPr>
              <w:t>1</w:t>
            </w:r>
          </w:p>
        </w:tc>
        <w:tc>
          <w:tcPr>
            <w:tcW w:w="445" w:type="pct"/>
            <w:vMerge w:val="restart"/>
            <w:tcBorders>
              <w:top w:val="nil"/>
              <w:left w:val="single" w:color="auto" w:sz="4" w:space="0"/>
              <w:right w:val="single" w:color="auto" w:sz="4" w:space="0"/>
            </w:tcBorders>
            <w:vAlign w:val="center"/>
          </w:tcPr>
          <w:p w14:paraId="2C4934F9">
            <w:pPr>
              <w:widowControl w:val="0"/>
              <w:jc w:val="center"/>
              <w:rPr>
                <w:rFonts w:ascii="宋体" w:hAnsi="宋体" w:eastAsia="宋体" w:cs="宋体"/>
                <w:kern w:val="2"/>
                <w:sz w:val="21"/>
                <w:szCs w:val="21"/>
              </w:rPr>
            </w:pPr>
            <w:r>
              <w:rPr>
                <w:rFonts w:hint="eastAsia" w:ascii="宋体" w:hAnsi="宋体" w:eastAsia="宋体" w:cs="宋体"/>
                <w:kern w:val="2"/>
                <w:sz w:val="21"/>
                <w:szCs w:val="21"/>
              </w:rPr>
              <w:t>门岗</w:t>
            </w:r>
          </w:p>
        </w:tc>
        <w:tc>
          <w:tcPr>
            <w:tcW w:w="814" w:type="pct"/>
            <w:vMerge w:val="restart"/>
            <w:tcBorders>
              <w:top w:val="nil"/>
              <w:left w:val="single" w:color="auto" w:sz="4" w:space="0"/>
              <w:bottom w:val="single" w:color="auto" w:sz="4" w:space="0"/>
              <w:right w:val="single" w:color="auto" w:sz="4" w:space="0"/>
            </w:tcBorders>
            <w:vAlign w:val="center"/>
          </w:tcPr>
          <w:p w14:paraId="0F820DED">
            <w:pPr>
              <w:widowControl w:val="0"/>
              <w:ind w:firstLine="420" w:firstLineChars="200"/>
              <w:rPr>
                <w:rFonts w:ascii="宋体" w:hAnsi="宋体" w:eastAsia="宋体" w:cs="宋体"/>
                <w:kern w:val="2"/>
                <w:sz w:val="21"/>
                <w:szCs w:val="21"/>
              </w:rPr>
            </w:pPr>
            <w:r>
              <w:rPr>
                <w:rFonts w:hint="eastAsia" w:ascii="宋体" w:hAnsi="宋体" w:eastAsia="宋体" w:cs="宋体"/>
                <w:kern w:val="2"/>
                <w:sz w:val="21"/>
                <w:szCs w:val="21"/>
              </w:rPr>
              <w:t>执勤</w:t>
            </w:r>
          </w:p>
        </w:tc>
        <w:tc>
          <w:tcPr>
            <w:tcW w:w="814" w:type="pct"/>
            <w:vMerge w:val="restart"/>
            <w:tcBorders>
              <w:top w:val="nil"/>
              <w:left w:val="single" w:color="auto" w:sz="4" w:space="0"/>
              <w:bottom w:val="single" w:color="auto" w:sz="4" w:space="0"/>
              <w:right w:val="single" w:color="auto" w:sz="4" w:space="0"/>
            </w:tcBorders>
            <w:vAlign w:val="center"/>
          </w:tcPr>
          <w:p w14:paraId="0B5CF76F">
            <w:pPr>
              <w:widowControl w:val="0"/>
              <w:jc w:val="center"/>
              <w:rPr>
                <w:rFonts w:ascii="宋体" w:hAnsi="宋体" w:eastAsia="宋体" w:cs="宋体"/>
                <w:kern w:val="2"/>
                <w:sz w:val="21"/>
                <w:szCs w:val="21"/>
              </w:rPr>
            </w:pPr>
            <w:r>
              <w:rPr>
                <w:rFonts w:hint="eastAsia" w:ascii="宋体" w:hAnsi="宋体" w:eastAsia="宋体" w:cs="宋体"/>
                <w:kern w:val="2"/>
                <w:sz w:val="21"/>
                <w:szCs w:val="21"/>
              </w:rPr>
              <w:t>24小时</w:t>
            </w:r>
          </w:p>
        </w:tc>
        <w:tc>
          <w:tcPr>
            <w:tcW w:w="2548" w:type="pct"/>
            <w:tcBorders>
              <w:top w:val="nil"/>
              <w:left w:val="nil"/>
              <w:bottom w:val="single" w:color="auto" w:sz="4" w:space="0"/>
              <w:right w:val="single" w:color="auto" w:sz="4" w:space="0"/>
            </w:tcBorders>
            <w:vAlign w:val="center"/>
          </w:tcPr>
          <w:p w14:paraId="088D0D3F">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1.着装标准，准时到位，精神饱满，无脱岗现象；</w:t>
            </w:r>
          </w:p>
        </w:tc>
      </w:tr>
      <w:tr w14:paraId="656F6379">
        <w:tblPrEx>
          <w:tblCellMar>
            <w:top w:w="0" w:type="dxa"/>
            <w:left w:w="108" w:type="dxa"/>
            <w:bottom w:w="0" w:type="dxa"/>
            <w:right w:w="108" w:type="dxa"/>
          </w:tblCellMar>
        </w:tblPrEx>
        <w:trPr>
          <w:trHeight w:val="508" w:hRule="atLeast"/>
        </w:trPr>
        <w:tc>
          <w:tcPr>
            <w:tcW w:w="379" w:type="pct"/>
            <w:vMerge w:val="continue"/>
            <w:tcBorders>
              <w:top w:val="nil"/>
              <w:left w:val="single" w:color="auto" w:sz="4" w:space="0"/>
              <w:bottom w:val="single" w:color="auto" w:sz="4" w:space="0"/>
              <w:right w:val="single" w:color="auto" w:sz="4" w:space="0"/>
            </w:tcBorders>
            <w:vAlign w:val="center"/>
          </w:tcPr>
          <w:p w14:paraId="45E07106">
            <w:pPr>
              <w:widowControl w:val="0"/>
              <w:ind w:firstLine="420" w:firstLineChars="200"/>
              <w:jc w:val="center"/>
              <w:rPr>
                <w:rFonts w:ascii="宋体" w:hAnsi="宋体" w:eastAsia="宋体" w:cs="宋体"/>
                <w:kern w:val="2"/>
                <w:sz w:val="21"/>
                <w:szCs w:val="21"/>
              </w:rPr>
            </w:pPr>
          </w:p>
        </w:tc>
        <w:tc>
          <w:tcPr>
            <w:tcW w:w="445" w:type="pct"/>
            <w:vMerge w:val="continue"/>
            <w:tcBorders>
              <w:left w:val="single" w:color="auto" w:sz="4" w:space="0"/>
              <w:right w:val="single" w:color="auto" w:sz="4" w:space="0"/>
            </w:tcBorders>
            <w:vAlign w:val="center"/>
          </w:tcPr>
          <w:p w14:paraId="4E5CD5F9">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5A898B12">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69A914AB">
            <w:pPr>
              <w:widowControl w:val="0"/>
              <w:ind w:firstLine="420" w:firstLineChars="200"/>
              <w:jc w:val="center"/>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168AC9E0">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2.规定检查出入人员证件及来访者入楼登记。</w:t>
            </w:r>
          </w:p>
        </w:tc>
      </w:tr>
      <w:tr w14:paraId="06F96391">
        <w:tblPrEx>
          <w:tblCellMar>
            <w:top w:w="0" w:type="dxa"/>
            <w:left w:w="108" w:type="dxa"/>
            <w:bottom w:w="0" w:type="dxa"/>
            <w:right w:w="108" w:type="dxa"/>
          </w:tblCellMar>
        </w:tblPrEx>
        <w:trPr>
          <w:trHeight w:val="763" w:hRule="atLeast"/>
        </w:trPr>
        <w:tc>
          <w:tcPr>
            <w:tcW w:w="379" w:type="pct"/>
            <w:vMerge w:val="continue"/>
            <w:tcBorders>
              <w:top w:val="nil"/>
              <w:left w:val="single" w:color="auto" w:sz="4" w:space="0"/>
              <w:bottom w:val="single" w:color="auto" w:sz="4" w:space="0"/>
              <w:right w:val="single" w:color="auto" w:sz="4" w:space="0"/>
            </w:tcBorders>
            <w:vAlign w:val="center"/>
          </w:tcPr>
          <w:p w14:paraId="7D4815A2">
            <w:pPr>
              <w:widowControl w:val="0"/>
              <w:ind w:firstLine="420" w:firstLineChars="200"/>
              <w:jc w:val="center"/>
              <w:rPr>
                <w:rFonts w:ascii="宋体" w:hAnsi="宋体" w:eastAsia="宋体" w:cs="宋体"/>
                <w:kern w:val="2"/>
                <w:sz w:val="21"/>
                <w:szCs w:val="21"/>
              </w:rPr>
            </w:pPr>
          </w:p>
        </w:tc>
        <w:tc>
          <w:tcPr>
            <w:tcW w:w="445" w:type="pct"/>
            <w:vMerge w:val="continue"/>
            <w:tcBorders>
              <w:left w:val="single" w:color="auto" w:sz="4" w:space="0"/>
              <w:bottom w:val="single" w:color="auto" w:sz="4" w:space="0"/>
              <w:right w:val="single" w:color="auto" w:sz="4" w:space="0"/>
            </w:tcBorders>
            <w:vAlign w:val="center"/>
          </w:tcPr>
          <w:p w14:paraId="5172F1A5">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41AD2247">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2A08E7BE">
            <w:pPr>
              <w:widowControl w:val="0"/>
              <w:ind w:firstLine="420" w:firstLineChars="200"/>
              <w:jc w:val="center"/>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32AF37B8">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3.公共场所无闲杂人员随意流动，制定并落实保密管理制度，未经采购人相关部门批准，不得在办公区照相、录音和录像，不得泄露采购人内部工作人员私人电话、车牌号等私人资料。</w:t>
            </w:r>
          </w:p>
        </w:tc>
      </w:tr>
      <w:tr w14:paraId="2F88AC7F">
        <w:tblPrEx>
          <w:tblCellMar>
            <w:top w:w="0" w:type="dxa"/>
            <w:left w:w="108" w:type="dxa"/>
            <w:bottom w:w="0" w:type="dxa"/>
            <w:right w:w="108" w:type="dxa"/>
          </w:tblCellMar>
        </w:tblPrEx>
        <w:trPr>
          <w:trHeight w:val="508" w:hRule="atLeast"/>
        </w:trPr>
        <w:tc>
          <w:tcPr>
            <w:tcW w:w="379" w:type="pct"/>
            <w:tcBorders>
              <w:top w:val="nil"/>
              <w:left w:val="single" w:color="auto" w:sz="4" w:space="0"/>
              <w:bottom w:val="single" w:color="auto" w:sz="4" w:space="0"/>
              <w:right w:val="single" w:color="auto" w:sz="4" w:space="0"/>
            </w:tcBorders>
            <w:vAlign w:val="center"/>
          </w:tcPr>
          <w:p w14:paraId="286D5D5C">
            <w:pPr>
              <w:widowControl w:val="0"/>
              <w:jc w:val="center"/>
              <w:rPr>
                <w:rFonts w:ascii="宋体" w:hAnsi="宋体" w:eastAsia="宋体" w:cs="宋体"/>
                <w:kern w:val="2"/>
                <w:sz w:val="21"/>
                <w:szCs w:val="21"/>
              </w:rPr>
            </w:pPr>
            <w:r>
              <w:rPr>
                <w:rFonts w:hint="eastAsia" w:ascii="宋体" w:hAnsi="宋体" w:eastAsia="宋体" w:cs="宋体"/>
                <w:kern w:val="2"/>
                <w:sz w:val="21"/>
                <w:szCs w:val="21"/>
              </w:rPr>
              <w:t>2</w:t>
            </w:r>
          </w:p>
        </w:tc>
        <w:tc>
          <w:tcPr>
            <w:tcW w:w="445" w:type="pct"/>
            <w:tcBorders>
              <w:top w:val="nil"/>
              <w:left w:val="nil"/>
              <w:bottom w:val="single" w:color="auto" w:sz="4" w:space="0"/>
              <w:right w:val="single" w:color="auto" w:sz="4" w:space="0"/>
            </w:tcBorders>
            <w:vAlign w:val="center"/>
          </w:tcPr>
          <w:p w14:paraId="06A3684B">
            <w:pPr>
              <w:widowControl w:val="0"/>
              <w:jc w:val="center"/>
              <w:rPr>
                <w:rFonts w:ascii="宋体" w:hAnsi="宋体" w:eastAsia="宋体" w:cs="宋体"/>
                <w:kern w:val="2"/>
                <w:sz w:val="21"/>
                <w:szCs w:val="21"/>
              </w:rPr>
            </w:pPr>
            <w:r>
              <w:rPr>
                <w:rFonts w:hint="eastAsia" w:ascii="宋体" w:hAnsi="宋体" w:eastAsia="宋体" w:cs="宋体"/>
                <w:kern w:val="2"/>
                <w:sz w:val="21"/>
                <w:szCs w:val="21"/>
              </w:rPr>
              <w:t>巡逻</w:t>
            </w:r>
          </w:p>
        </w:tc>
        <w:tc>
          <w:tcPr>
            <w:tcW w:w="814" w:type="pct"/>
            <w:tcBorders>
              <w:top w:val="nil"/>
              <w:left w:val="nil"/>
              <w:bottom w:val="single" w:color="auto" w:sz="4" w:space="0"/>
              <w:right w:val="single" w:color="auto" w:sz="4" w:space="0"/>
            </w:tcBorders>
            <w:vAlign w:val="center"/>
          </w:tcPr>
          <w:p w14:paraId="45E4BEDE">
            <w:pPr>
              <w:widowControl w:val="0"/>
              <w:jc w:val="center"/>
              <w:rPr>
                <w:rFonts w:ascii="宋体" w:hAnsi="宋体" w:eastAsia="宋体" w:cs="宋体"/>
                <w:kern w:val="2"/>
                <w:sz w:val="21"/>
                <w:szCs w:val="21"/>
              </w:rPr>
            </w:pPr>
            <w:r>
              <w:rPr>
                <w:rFonts w:hint="eastAsia" w:ascii="宋体" w:hAnsi="宋体" w:eastAsia="宋体" w:cs="宋体"/>
                <w:kern w:val="2"/>
                <w:sz w:val="21"/>
                <w:szCs w:val="21"/>
              </w:rPr>
              <w:t>巡查</w:t>
            </w:r>
          </w:p>
        </w:tc>
        <w:tc>
          <w:tcPr>
            <w:tcW w:w="814" w:type="pct"/>
            <w:tcBorders>
              <w:top w:val="nil"/>
              <w:left w:val="nil"/>
              <w:bottom w:val="single" w:color="auto" w:sz="4" w:space="0"/>
              <w:right w:val="single" w:color="auto" w:sz="4" w:space="0"/>
            </w:tcBorders>
            <w:vAlign w:val="center"/>
          </w:tcPr>
          <w:p w14:paraId="737B1845">
            <w:pPr>
              <w:widowControl w:val="0"/>
              <w:jc w:val="center"/>
              <w:rPr>
                <w:rFonts w:ascii="宋体" w:hAnsi="宋体" w:eastAsia="宋体" w:cs="宋体"/>
                <w:kern w:val="2"/>
                <w:sz w:val="21"/>
                <w:szCs w:val="21"/>
              </w:rPr>
            </w:pPr>
            <w:r>
              <w:rPr>
                <w:rFonts w:hint="eastAsia" w:ascii="宋体" w:hAnsi="宋体" w:eastAsia="宋体" w:cs="宋体"/>
                <w:kern w:val="2"/>
                <w:sz w:val="21"/>
                <w:szCs w:val="21"/>
              </w:rPr>
              <w:t>24小时</w:t>
            </w:r>
          </w:p>
        </w:tc>
        <w:tc>
          <w:tcPr>
            <w:tcW w:w="2548" w:type="pct"/>
            <w:tcBorders>
              <w:top w:val="nil"/>
              <w:left w:val="nil"/>
              <w:bottom w:val="single" w:color="auto" w:sz="4" w:space="0"/>
              <w:right w:val="single" w:color="auto" w:sz="4" w:space="0"/>
            </w:tcBorders>
            <w:vAlign w:val="center"/>
          </w:tcPr>
          <w:p w14:paraId="545F1629">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1.服务范围内重点部位、重要区域每小时巡查1次，做好记录。</w:t>
            </w:r>
          </w:p>
          <w:p w14:paraId="5EE20FEA">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2.其它区域每2小时巡查1次，做好记录。</w:t>
            </w:r>
          </w:p>
          <w:p w14:paraId="218968DD">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3.发现异常情况立即上报，并协助处理。</w:t>
            </w:r>
          </w:p>
        </w:tc>
      </w:tr>
      <w:tr w14:paraId="45AB22E7">
        <w:tblPrEx>
          <w:tblCellMar>
            <w:top w:w="0" w:type="dxa"/>
            <w:left w:w="108" w:type="dxa"/>
            <w:bottom w:w="0" w:type="dxa"/>
            <w:right w:w="108" w:type="dxa"/>
          </w:tblCellMar>
        </w:tblPrEx>
        <w:trPr>
          <w:trHeight w:val="269" w:hRule="atLeast"/>
        </w:trPr>
        <w:tc>
          <w:tcPr>
            <w:tcW w:w="379" w:type="pct"/>
            <w:vMerge w:val="restart"/>
            <w:tcBorders>
              <w:top w:val="nil"/>
              <w:left w:val="single" w:color="auto" w:sz="4" w:space="0"/>
              <w:bottom w:val="single" w:color="auto" w:sz="4" w:space="0"/>
              <w:right w:val="single" w:color="auto" w:sz="4" w:space="0"/>
            </w:tcBorders>
            <w:vAlign w:val="center"/>
          </w:tcPr>
          <w:p w14:paraId="294E3F2F">
            <w:pPr>
              <w:widowControl w:val="0"/>
              <w:jc w:val="center"/>
              <w:rPr>
                <w:rFonts w:ascii="宋体" w:hAnsi="宋体" w:eastAsia="宋体" w:cs="宋体"/>
                <w:kern w:val="2"/>
                <w:sz w:val="21"/>
                <w:szCs w:val="21"/>
              </w:rPr>
            </w:pPr>
            <w:r>
              <w:rPr>
                <w:rFonts w:hint="eastAsia" w:ascii="宋体" w:hAnsi="宋体" w:eastAsia="宋体" w:cs="宋体"/>
                <w:kern w:val="2"/>
                <w:sz w:val="21"/>
                <w:szCs w:val="21"/>
              </w:rPr>
              <w:t>3</w:t>
            </w:r>
          </w:p>
        </w:tc>
        <w:tc>
          <w:tcPr>
            <w:tcW w:w="445" w:type="pct"/>
            <w:vMerge w:val="restart"/>
            <w:tcBorders>
              <w:top w:val="nil"/>
              <w:left w:val="single" w:color="auto" w:sz="4" w:space="0"/>
              <w:bottom w:val="single" w:color="auto" w:sz="4" w:space="0"/>
              <w:right w:val="single" w:color="auto" w:sz="4" w:space="0"/>
            </w:tcBorders>
            <w:vAlign w:val="center"/>
          </w:tcPr>
          <w:p w14:paraId="39DAA6A5">
            <w:pPr>
              <w:widowControl w:val="0"/>
              <w:jc w:val="center"/>
              <w:rPr>
                <w:rFonts w:ascii="宋体" w:hAnsi="宋体" w:eastAsia="宋体" w:cs="宋体"/>
                <w:kern w:val="2"/>
                <w:sz w:val="21"/>
                <w:szCs w:val="21"/>
              </w:rPr>
            </w:pPr>
            <w:r>
              <w:rPr>
                <w:rFonts w:hint="eastAsia" w:ascii="宋体" w:hAnsi="宋体" w:eastAsia="宋体" w:cs="宋体"/>
                <w:kern w:val="2"/>
                <w:sz w:val="21"/>
                <w:szCs w:val="21"/>
              </w:rPr>
              <w:t>安防设施</w:t>
            </w:r>
          </w:p>
        </w:tc>
        <w:tc>
          <w:tcPr>
            <w:tcW w:w="814" w:type="pct"/>
            <w:vMerge w:val="restart"/>
            <w:tcBorders>
              <w:top w:val="nil"/>
              <w:left w:val="single" w:color="auto" w:sz="4" w:space="0"/>
              <w:bottom w:val="single" w:color="auto" w:sz="4" w:space="0"/>
              <w:right w:val="single" w:color="auto" w:sz="4" w:space="0"/>
            </w:tcBorders>
            <w:vAlign w:val="center"/>
          </w:tcPr>
          <w:p w14:paraId="1437E71A">
            <w:pPr>
              <w:widowControl w:val="0"/>
              <w:jc w:val="center"/>
              <w:rPr>
                <w:rFonts w:ascii="宋体" w:hAnsi="宋体" w:eastAsia="宋体" w:cs="宋体"/>
                <w:kern w:val="2"/>
                <w:sz w:val="21"/>
                <w:szCs w:val="21"/>
              </w:rPr>
            </w:pPr>
            <w:r>
              <w:rPr>
                <w:rFonts w:hint="eastAsia" w:ascii="宋体" w:hAnsi="宋体" w:eastAsia="宋体" w:cs="宋体"/>
                <w:kern w:val="2"/>
                <w:sz w:val="21"/>
                <w:szCs w:val="21"/>
              </w:rPr>
              <w:t>设施检查</w:t>
            </w:r>
          </w:p>
        </w:tc>
        <w:tc>
          <w:tcPr>
            <w:tcW w:w="814" w:type="pct"/>
            <w:vMerge w:val="restart"/>
            <w:tcBorders>
              <w:top w:val="nil"/>
              <w:left w:val="single" w:color="auto" w:sz="4" w:space="0"/>
              <w:bottom w:val="single" w:color="auto" w:sz="4" w:space="0"/>
              <w:right w:val="single" w:color="auto" w:sz="4" w:space="0"/>
            </w:tcBorders>
            <w:vAlign w:val="center"/>
          </w:tcPr>
          <w:p w14:paraId="3FA99E25">
            <w:pPr>
              <w:widowControl w:val="0"/>
              <w:spacing w:line="320" w:lineRule="exact"/>
              <w:jc w:val="center"/>
              <w:rPr>
                <w:rFonts w:ascii="宋体" w:hAnsi="宋体" w:eastAsia="宋体" w:cs="宋体"/>
                <w:kern w:val="2"/>
                <w:sz w:val="21"/>
                <w:szCs w:val="21"/>
              </w:rPr>
            </w:pPr>
            <w:r>
              <w:rPr>
                <w:rFonts w:hint="eastAsia" w:ascii="宋体" w:hAnsi="宋体" w:eastAsia="宋体" w:cs="宋体"/>
                <w:kern w:val="2"/>
                <w:sz w:val="21"/>
                <w:szCs w:val="21"/>
              </w:rPr>
              <w:t>日、月、季度、年度、节假日、重大活动的接待、重点区域检查年度例行安全检查</w:t>
            </w:r>
          </w:p>
        </w:tc>
        <w:tc>
          <w:tcPr>
            <w:tcW w:w="2548" w:type="pct"/>
            <w:tcBorders>
              <w:top w:val="nil"/>
              <w:left w:val="nil"/>
              <w:bottom w:val="single" w:color="auto" w:sz="4" w:space="0"/>
              <w:right w:val="single" w:color="auto" w:sz="4" w:space="0"/>
            </w:tcBorders>
            <w:vAlign w:val="center"/>
          </w:tcPr>
          <w:p w14:paraId="6924D924">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1.发现问题及异常，记录并跟踪整改，记录准确率100%；</w:t>
            </w:r>
          </w:p>
        </w:tc>
      </w:tr>
      <w:tr w14:paraId="3F04093D">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5166D62D">
            <w:pPr>
              <w:widowControl w:val="0"/>
              <w:ind w:firstLine="420" w:firstLineChars="200"/>
              <w:jc w:val="center"/>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71336984">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5C63DFBE">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7E8B6059">
            <w:pPr>
              <w:widowControl w:val="0"/>
              <w:ind w:firstLine="420" w:firstLineChars="200"/>
              <w:jc w:val="center"/>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43FC3EDA">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2.检查内容、覆盖范围（路线）、检查频次符合度100%</w:t>
            </w:r>
            <w:r>
              <w:rPr>
                <w:rFonts w:ascii="宋体" w:hAnsi="宋体" w:eastAsia="宋体" w:cs="宋体"/>
                <w:kern w:val="2"/>
                <w:sz w:val="21"/>
                <w:szCs w:val="21"/>
              </w:rPr>
              <w:t>。</w:t>
            </w:r>
          </w:p>
        </w:tc>
      </w:tr>
      <w:tr w14:paraId="79ED4849">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18E32D0C">
            <w:pPr>
              <w:widowControl w:val="0"/>
              <w:ind w:firstLine="420" w:firstLineChars="200"/>
              <w:jc w:val="center"/>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5E43EE90">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6F23F5E8">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519DBF30">
            <w:pPr>
              <w:widowControl w:val="0"/>
              <w:ind w:firstLine="420" w:firstLineChars="200"/>
              <w:jc w:val="center"/>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2BBC82A9">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3.风险隐患整改率100%，重大安全消防风险控制措施覆盖率100%</w:t>
            </w:r>
            <w:r>
              <w:rPr>
                <w:rFonts w:ascii="宋体" w:hAnsi="宋体" w:eastAsia="宋体" w:cs="宋体"/>
                <w:kern w:val="2"/>
                <w:sz w:val="21"/>
                <w:szCs w:val="21"/>
              </w:rPr>
              <w:t>。</w:t>
            </w:r>
          </w:p>
        </w:tc>
      </w:tr>
      <w:tr w14:paraId="6035B4AE">
        <w:tblPrEx>
          <w:tblCellMar>
            <w:top w:w="0" w:type="dxa"/>
            <w:left w:w="108" w:type="dxa"/>
            <w:bottom w:w="0" w:type="dxa"/>
            <w:right w:w="108" w:type="dxa"/>
          </w:tblCellMar>
        </w:tblPrEx>
        <w:trPr>
          <w:trHeight w:val="506" w:hRule="atLeast"/>
        </w:trPr>
        <w:tc>
          <w:tcPr>
            <w:tcW w:w="379" w:type="pct"/>
            <w:vMerge w:val="restart"/>
            <w:tcBorders>
              <w:top w:val="nil"/>
              <w:left w:val="single" w:color="auto" w:sz="4" w:space="0"/>
              <w:bottom w:val="single" w:color="auto" w:sz="4" w:space="0"/>
              <w:right w:val="single" w:color="auto" w:sz="4" w:space="0"/>
            </w:tcBorders>
            <w:vAlign w:val="center"/>
          </w:tcPr>
          <w:p w14:paraId="1EFB0FE2">
            <w:pPr>
              <w:widowControl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445" w:type="pct"/>
            <w:vMerge w:val="restart"/>
            <w:tcBorders>
              <w:top w:val="nil"/>
              <w:left w:val="single" w:color="auto" w:sz="4" w:space="0"/>
              <w:bottom w:val="single" w:color="auto" w:sz="4" w:space="0"/>
              <w:right w:val="single" w:color="auto" w:sz="4" w:space="0"/>
            </w:tcBorders>
            <w:vAlign w:val="center"/>
          </w:tcPr>
          <w:p w14:paraId="209D1237">
            <w:pPr>
              <w:widowControl w:val="0"/>
              <w:jc w:val="center"/>
              <w:rPr>
                <w:rFonts w:ascii="宋体" w:hAnsi="宋体" w:eastAsia="宋体" w:cs="宋体"/>
                <w:kern w:val="2"/>
                <w:sz w:val="21"/>
                <w:szCs w:val="21"/>
              </w:rPr>
            </w:pPr>
            <w:r>
              <w:rPr>
                <w:rFonts w:hint="eastAsia" w:ascii="宋体" w:hAnsi="宋体" w:eastAsia="宋体" w:cs="宋体"/>
                <w:kern w:val="2"/>
                <w:sz w:val="21"/>
                <w:szCs w:val="21"/>
              </w:rPr>
              <w:t>应急预案</w:t>
            </w:r>
          </w:p>
        </w:tc>
        <w:tc>
          <w:tcPr>
            <w:tcW w:w="814" w:type="pct"/>
            <w:vMerge w:val="restart"/>
            <w:tcBorders>
              <w:top w:val="nil"/>
              <w:left w:val="single" w:color="auto" w:sz="4" w:space="0"/>
              <w:bottom w:val="single" w:color="auto" w:sz="4" w:space="0"/>
              <w:right w:val="single" w:color="auto" w:sz="4" w:space="0"/>
            </w:tcBorders>
            <w:vAlign w:val="center"/>
          </w:tcPr>
          <w:p w14:paraId="44D09BE6">
            <w:pPr>
              <w:widowControl w:val="0"/>
              <w:jc w:val="center"/>
              <w:rPr>
                <w:rFonts w:ascii="宋体" w:hAnsi="宋体" w:eastAsia="宋体" w:cs="宋体"/>
                <w:kern w:val="2"/>
                <w:sz w:val="21"/>
                <w:szCs w:val="21"/>
              </w:rPr>
            </w:pPr>
            <w:r>
              <w:rPr>
                <w:rFonts w:hint="eastAsia" w:ascii="宋体" w:hAnsi="宋体" w:eastAsia="宋体" w:cs="宋体"/>
                <w:kern w:val="2"/>
                <w:sz w:val="21"/>
                <w:szCs w:val="21"/>
              </w:rPr>
              <w:t>制定及演习</w:t>
            </w:r>
          </w:p>
        </w:tc>
        <w:tc>
          <w:tcPr>
            <w:tcW w:w="814" w:type="pct"/>
            <w:vMerge w:val="restart"/>
            <w:tcBorders>
              <w:top w:val="nil"/>
              <w:left w:val="single" w:color="auto" w:sz="4" w:space="0"/>
              <w:bottom w:val="single" w:color="auto" w:sz="4" w:space="0"/>
              <w:right w:val="single" w:color="auto" w:sz="4" w:space="0"/>
            </w:tcBorders>
            <w:vAlign w:val="center"/>
          </w:tcPr>
          <w:p w14:paraId="11F9B12E">
            <w:pPr>
              <w:widowControl w:val="0"/>
              <w:jc w:val="center"/>
              <w:rPr>
                <w:rFonts w:ascii="宋体" w:hAnsi="宋体" w:eastAsia="宋体" w:cs="宋体"/>
                <w:kern w:val="2"/>
                <w:sz w:val="21"/>
                <w:szCs w:val="21"/>
              </w:rPr>
            </w:pPr>
            <w:r>
              <w:rPr>
                <w:rFonts w:hint="eastAsia" w:ascii="宋体" w:hAnsi="宋体" w:eastAsia="宋体" w:cs="宋体"/>
                <w:kern w:val="2"/>
                <w:sz w:val="21"/>
                <w:szCs w:val="21"/>
              </w:rPr>
              <w:t>每年二次</w:t>
            </w:r>
          </w:p>
        </w:tc>
        <w:tc>
          <w:tcPr>
            <w:tcW w:w="2548" w:type="pct"/>
            <w:tcBorders>
              <w:top w:val="nil"/>
              <w:left w:val="nil"/>
              <w:bottom w:val="single" w:color="auto" w:sz="4" w:space="0"/>
              <w:right w:val="single" w:color="auto" w:sz="4" w:space="0"/>
            </w:tcBorders>
            <w:vAlign w:val="center"/>
          </w:tcPr>
          <w:p w14:paraId="330EF765">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1.制定完备的应急预案报采购人备案；</w:t>
            </w:r>
          </w:p>
        </w:tc>
      </w:tr>
      <w:tr w14:paraId="2AC3EEA9">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076172FF">
            <w:pPr>
              <w:widowControl w:val="0"/>
              <w:ind w:firstLine="420" w:firstLineChars="200"/>
              <w:jc w:val="center"/>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408556CF">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5660298D">
            <w:pPr>
              <w:widowControl w:val="0"/>
              <w:ind w:firstLine="420" w:firstLineChars="200"/>
              <w:jc w:val="both"/>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4226E4B5">
            <w:pPr>
              <w:widowControl w:val="0"/>
              <w:ind w:firstLine="420" w:firstLineChars="200"/>
              <w:jc w:val="center"/>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6920CF77">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2.方案演习每年不少于2次，演习过程符合规范要求</w:t>
            </w:r>
            <w:r>
              <w:rPr>
                <w:rFonts w:ascii="宋体" w:hAnsi="宋体" w:eastAsia="宋体" w:cs="宋体"/>
                <w:kern w:val="2"/>
                <w:sz w:val="21"/>
                <w:szCs w:val="21"/>
              </w:rPr>
              <w:t>。</w:t>
            </w:r>
          </w:p>
        </w:tc>
      </w:tr>
      <w:tr w14:paraId="119AD5F5">
        <w:tblPrEx>
          <w:tblCellMar>
            <w:top w:w="0" w:type="dxa"/>
            <w:left w:w="108" w:type="dxa"/>
            <w:bottom w:w="0" w:type="dxa"/>
            <w:right w:w="108" w:type="dxa"/>
          </w:tblCellMar>
        </w:tblPrEx>
        <w:trPr>
          <w:trHeight w:val="254" w:hRule="atLeast"/>
        </w:trPr>
        <w:tc>
          <w:tcPr>
            <w:tcW w:w="379" w:type="pct"/>
            <w:tcBorders>
              <w:top w:val="nil"/>
              <w:left w:val="single" w:color="auto" w:sz="4" w:space="0"/>
              <w:bottom w:val="single" w:color="auto" w:sz="4" w:space="0"/>
              <w:right w:val="single" w:color="auto" w:sz="4" w:space="0"/>
            </w:tcBorders>
            <w:vAlign w:val="center"/>
          </w:tcPr>
          <w:p w14:paraId="39A7887C">
            <w:pPr>
              <w:widowControl w:val="0"/>
              <w:jc w:val="center"/>
              <w:rPr>
                <w:rFonts w:ascii="宋体" w:hAnsi="宋体" w:eastAsia="宋体" w:cs="宋体"/>
                <w:kern w:val="2"/>
                <w:sz w:val="21"/>
                <w:szCs w:val="21"/>
              </w:rPr>
            </w:pPr>
            <w:r>
              <w:rPr>
                <w:rFonts w:hint="eastAsia" w:ascii="宋体" w:hAnsi="宋体" w:eastAsia="宋体" w:cs="宋体"/>
                <w:kern w:val="2"/>
                <w:sz w:val="21"/>
                <w:szCs w:val="21"/>
              </w:rPr>
              <w:t>5</w:t>
            </w:r>
          </w:p>
        </w:tc>
        <w:tc>
          <w:tcPr>
            <w:tcW w:w="445" w:type="pct"/>
            <w:tcBorders>
              <w:top w:val="nil"/>
              <w:left w:val="nil"/>
              <w:bottom w:val="single" w:color="auto" w:sz="4" w:space="0"/>
              <w:right w:val="single" w:color="auto" w:sz="4" w:space="0"/>
            </w:tcBorders>
            <w:vAlign w:val="center"/>
          </w:tcPr>
          <w:p w14:paraId="6B2BD4A3">
            <w:pPr>
              <w:widowControl w:val="0"/>
              <w:jc w:val="center"/>
              <w:rPr>
                <w:rFonts w:ascii="宋体" w:hAnsi="宋体" w:eastAsia="宋体" w:cs="宋体"/>
                <w:kern w:val="2"/>
                <w:sz w:val="21"/>
                <w:szCs w:val="21"/>
              </w:rPr>
            </w:pPr>
            <w:r>
              <w:rPr>
                <w:rFonts w:hint="eastAsia" w:ascii="宋体" w:hAnsi="宋体" w:eastAsia="宋体" w:cs="宋体"/>
                <w:kern w:val="2"/>
                <w:sz w:val="21"/>
                <w:szCs w:val="21"/>
              </w:rPr>
              <w:t>安全培训</w:t>
            </w:r>
          </w:p>
        </w:tc>
        <w:tc>
          <w:tcPr>
            <w:tcW w:w="814" w:type="pct"/>
            <w:tcBorders>
              <w:top w:val="nil"/>
              <w:left w:val="nil"/>
              <w:bottom w:val="single" w:color="auto" w:sz="4" w:space="0"/>
              <w:right w:val="single" w:color="auto" w:sz="4" w:space="0"/>
            </w:tcBorders>
            <w:vAlign w:val="center"/>
          </w:tcPr>
          <w:p w14:paraId="0B895805">
            <w:pPr>
              <w:widowControl w:val="0"/>
              <w:jc w:val="center"/>
              <w:rPr>
                <w:rFonts w:ascii="宋体" w:hAnsi="宋体" w:eastAsia="宋体" w:cs="宋体"/>
                <w:kern w:val="2"/>
                <w:sz w:val="21"/>
                <w:szCs w:val="21"/>
              </w:rPr>
            </w:pPr>
            <w:r>
              <w:rPr>
                <w:rFonts w:hint="eastAsia" w:ascii="宋体" w:hAnsi="宋体" w:eastAsia="宋体" w:cs="宋体"/>
                <w:kern w:val="2"/>
                <w:sz w:val="21"/>
                <w:szCs w:val="21"/>
              </w:rPr>
              <w:t>秩序维护员</w:t>
            </w:r>
          </w:p>
        </w:tc>
        <w:tc>
          <w:tcPr>
            <w:tcW w:w="814" w:type="pct"/>
            <w:tcBorders>
              <w:top w:val="nil"/>
              <w:left w:val="nil"/>
              <w:bottom w:val="single" w:color="auto" w:sz="4" w:space="0"/>
              <w:right w:val="single" w:color="auto" w:sz="4" w:space="0"/>
            </w:tcBorders>
            <w:vAlign w:val="center"/>
          </w:tcPr>
          <w:p w14:paraId="2F027363">
            <w:pPr>
              <w:widowControl w:val="0"/>
              <w:spacing w:line="320" w:lineRule="exact"/>
              <w:jc w:val="center"/>
              <w:rPr>
                <w:rFonts w:ascii="宋体" w:hAnsi="宋体" w:eastAsia="宋体" w:cs="宋体"/>
                <w:kern w:val="2"/>
                <w:sz w:val="21"/>
                <w:szCs w:val="21"/>
              </w:rPr>
            </w:pPr>
            <w:r>
              <w:rPr>
                <w:rFonts w:hint="eastAsia" w:ascii="宋体" w:hAnsi="宋体" w:eastAsia="宋体" w:cs="宋体"/>
                <w:kern w:val="2"/>
                <w:sz w:val="21"/>
                <w:szCs w:val="21"/>
              </w:rPr>
              <w:t>每月、每季度、年度</w:t>
            </w:r>
          </w:p>
        </w:tc>
        <w:tc>
          <w:tcPr>
            <w:tcW w:w="2548" w:type="pct"/>
            <w:tcBorders>
              <w:top w:val="nil"/>
              <w:left w:val="nil"/>
              <w:bottom w:val="single" w:color="auto" w:sz="4" w:space="0"/>
              <w:right w:val="single" w:color="auto" w:sz="4" w:space="0"/>
            </w:tcBorders>
            <w:vAlign w:val="center"/>
          </w:tcPr>
          <w:p w14:paraId="0C115FF4">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秩序维护员进行经常性培训，并必须经过上岗前培训</w:t>
            </w:r>
            <w:r>
              <w:rPr>
                <w:rFonts w:ascii="宋体" w:hAnsi="宋体" w:eastAsia="宋体" w:cs="宋体"/>
                <w:kern w:val="2"/>
                <w:sz w:val="21"/>
                <w:szCs w:val="21"/>
              </w:rPr>
              <w:t>。</w:t>
            </w:r>
          </w:p>
        </w:tc>
      </w:tr>
    </w:tbl>
    <w:p w14:paraId="6233A0E9"/>
    <w:p w14:paraId="71B0F33E"/>
    <w:tbl>
      <w:tblPr>
        <w:tblStyle w:val="24"/>
        <w:tblW w:w="5004" w:type="pct"/>
        <w:tblInd w:w="0" w:type="dxa"/>
        <w:tblLayout w:type="fixed"/>
        <w:tblCellMar>
          <w:top w:w="0" w:type="dxa"/>
          <w:left w:w="108" w:type="dxa"/>
          <w:bottom w:w="0" w:type="dxa"/>
          <w:right w:w="108" w:type="dxa"/>
        </w:tblCellMar>
      </w:tblPr>
      <w:tblGrid>
        <w:gridCol w:w="704"/>
        <w:gridCol w:w="827"/>
        <w:gridCol w:w="1513"/>
        <w:gridCol w:w="1513"/>
        <w:gridCol w:w="4736"/>
      </w:tblGrid>
      <w:tr w14:paraId="35A7C8F6">
        <w:tblPrEx>
          <w:tblCellMar>
            <w:top w:w="0" w:type="dxa"/>
            <w:left w:w="108" w:type="dxa"/>
            <w:bottom w:w="0" w:type="dxa"/>
            <w:right w:w="108" w:type="dxa"/>
          </w:tblCellMar>
        </w:tblPrEx>
        <w:trPr>
          <w:trHeight w:val="269" w:hRule="atLeast"/>
        </w:trPr>
        <w:tc>
          <w:tcPr>
            <w:tcW w:w="379" w:type="pct"/>
            <w:vMerge w:val="restart"/>
            <w:tcBorders>
              <w:top w:val="single" w:color="auto" w:sz="4" w:space="0"/>
              <w:left w:val="single" w:color="auto" w:sz="4" w:space="0"/>
              <w:bottom w:val="single" w:color="auto" w:sz="4" w:space="0"/>
              <w:right w:val="single" w:color="auto" w:sz="4" w:space="0"/>
            </w:tcBorders>
            <w:vAlign w:val="center"/>
          </w:tcPr>
          <w:p w14:paraId="7C0EC1F6">
            <w:pPr>
              <w:widowControl w:val="0"/>
              <w:jc w:val="center"/>
              <w:rPr>
                <w:rFonts w:ascii="宋体" w:hAnsi="宋体" w:eastAsia="宋体" w:cs="宋体"/>
                <w:kern w:val="2"/>
                <w:sz w:val="21"/>
                <w:szCs w:val="21"/>
              </w:rPr>
            </w:pPr>
            <w:r>
              <w:rPr>
                <w:rFonts w:hint="eastAsia" w:ascii="宋体" w:hAnsi="宋体" w:eastAsia="宋体" w:cs="宋体"/>
                <w:kern w:val="2"/>
                <w:sz w:val="21"/>
                <w:szCs w:val="21"/>
              </w:rPr>
              <w:t>6</w:t>
            </w:r>
          </w:p>
        </w:tc>
        <w:tc>
          <w:tcPr>
            <w:tcW w:w="445" w:type="pct"/>
            <w:vMerge w:val="restart"/>
            <w:tcBorders>
              <w:top w:val="single" w:color="auto" w:sz="4" w:space="0"/>
              <w:left w:val="single" w:color="auto" w:sz="4" w:space="0"/>
              <w:bottom w:val="single" w:color="auto" w:sz="4" w:space="0"/>
              <w:right w:val="single" w:color="auto" w:sz="4" w:space="0"/>
            </w:tcBorders>
            <w:vAlign w:val="center"/>
          </w:tcPr>
          <w:p w14:paraId="5D33EFC7">
            <w:pPr>
              <w:widowControl w:val="0"/>
              <w:jc w:val="center"/>
              <w:rPr>
                <w:rFonts w:ascii="宋体" w:hAnsi="宋体" w:eastAsia="宋体" w:cs="宋体"/>
                <w:kern w:val="2"/>
                <w:sz w:val="21"/>
                <w:szCs w:val="21"/>
              </w:rPr>
            </w:pPr>
            <w:r>
              <w:rPr>
                <w:rFonts w:hint="eastAsia" w:ascii="宋体" w:hAnsi="宋体" w:eastAsia="宋体" w:cs="宋体"/>
                <w:kern w:val="2"/>
                <w:sz w:val="21"/>
                <w:szCs w:val="21"/>
              </w:rPr>
              <w:t>钥匙管理</w:t>
            </w:r>
          </w:p>
        </w:tc>
        <w:tc>
          <w:tcPr>
            <w:tcW w:w="814" w:type="pct"/>
            <w:vMerge w:val="restart"/>
            <w:tcBorders>
              <w:top w:val="single" w:color="auto" w:sz="4" w:space="0"/>
              <w:left w:val="single" w:color="auto" w:sz="4" w:space="0"/>
              <w:bottom w:val="single" w:color="auto" w:sz="4" w:space="0"/>
              <w:right w:val="single" w:color="auto" w:sz="4" w:space="0"/>
            </w:tcBorders>
            <w:vAlign w:val="center"/>
          </w:tcPr>
          <w:p w14:paraId="2C829769">
            <w:pPr>
              <w:widowControl w:val="0"/>
              <w:jc w:val="center"/>
              <w:rPr>
                <w:rFonts w:ascii="宋体" w:hAnsi="宋体" w:eastAsia="宋体" w:cs="宋体"/>
                <w:kern w:val="2"/>
                <w:sz w:val="21"/>
                <w:szCs w:val="21"/>
              </w:rPr>
            </w:pPr>
            <w:r>
              <w:rPr>
                <w:rFonts w:hint="eastAsia" w:ascii="宋体" w:hAnsi="宋体" w:eastAsia="宋体" w:cs="宋体"/>
                <w:kern w:val="2"/>
                <w:sz w:val="21"/>
                <w:szCs w:val="21"/>
              </w:rPr>
              <w:t>正确使用钥匙</w:t>
            </w:r>
          </w:p>
        </w:tc>
        <w:tc>
          <w:tcPr>
            <w:tcW w:w="814" w:type="pct"/>
            <w:vMerge w:val="restart"/>
            <w:tcBorders>
              <w:top w:val="single" w:color="auto" w:sz="4" w:space="0"/>
              <w:left w:val="single" w:color="auto" w:sz="4" w:space="0"/>
              <w:bottom w:val="single" w:color="auto" w:sz="4" w:space="0"/>
              <w:right w:val="single" w:color="auto" w:sz="4" w:space="0"/>
            </w:tcBorders>
            <w:vAlign w:val="center"/>
          </w:tcPr>
          <w:p w14:paraId="28F76320">
            <w:pPr>
              <w:widowControl w:val="0"/>
              <w:jc w:val="center"/>
              <w:rPr>
                <w:rFonts w:ascii="宋体" w:hAnsi="宋体" w:eastAsia="宋体" w:cs="宋体"/>
                <w:kern w:val="2"/>
                <w:sz w:val="21"/>
                <w:szCs w:val="21"/>
              </w:rPr>
            </w:pPr>
            <w:r>
              <w:rPr>
                <w:rFonts w:hint="eastAsia" w:ascii="宋体" w:hAnsi="宋体" w:eastAsia="宋体" w:cs="宋体"/>
                <w:kern w:val="2"/>
                <w:sz w:val="21"/>
                <w:szCs w:val="21"/>
              </w:rPr>
              <w:t>日常</w:t>
            </w:r>
          </w:p>
        </w:tc>
        <w:tc>
          <w:tcPr>
            <w:tcW w:w="2548" w:type="pct"/>
            <w:tcBorders>
              <w:top w:val="single" w:color="auto" w:sz="4" w:space="0"/>
              <w:left w:val="nil"/>
              <w:bottom w:val="single" w:color="auto" w:sz="4" w:space="0"/>
              <w:right w:val="single" w:color="auto" w:sz="4" w:space="0"/>
            </w:tcBorders>
            <w:vAlign w:val="center"/>
          </w:tcPr>
          <w:p w14:paraId="35A27D25">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1.建立台帐，按规定封存；</w:t>
            </w:r>
          </w:p>
        </w:tc>
      </w:tr>
      <w:tr w14:paraId="48B15076">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00D55B04">
            <w:pPr>
              <w:widowControl w:val="0"/>
              <w:ind w:firstLine="420" w:firstLineChars="200"/>
              <w:jc w:val="center"/>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14114D2C">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76CA449C">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48B6FFC8">
            <w:pPr>
              <w:widowControl w:val="0"/>
              <w:ind w:firstLine="420" w:firstLineChars="200"/>
              <w:jc w:val="center"/>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2F7F7B7E">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2.规定正确启用，正确率100%，并保存记录；</w:t>
            </w:r>
          </w:p>
        </w:tc>
      </w:tr>
      <w:tr w14:paraId="200D0BAD">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5568A7D7">
            <w:pPr>
              <w:widowControl w:val="0"/>
              <w:ind w:firstLine="420" w:firstLineChars="200"/>
              <w:jc w:val="center"/>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2AFBCF4E">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194CA1E7">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2BEBE818">
            <w:pPr>
              <w:widowControl w:val="0"/>
              <w:ind w:firstLine="420" w:firstLineChars="200"/>
              <w:jc w:val="center"/>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1433BE02">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3.钥匙齐备，使用正常；</w:t>
            </w:r>
          </w:p>
        </w:tc>
      </w:tr>
      <w:tr w14:paraId="2411AE9A">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2F85A11F">
            <w:pPr>
              <w:widowControl w:val="0"/>
              <w:ind w:firstLine="420" w:firstLineChars="200"/>
              <w:jc w:val="center"/>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348301B9">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20E5D96C">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2CD2B517">
            <w:pPr>
              <w:widowControl w:val="0"/>
              <w:ind w:firstLine="420" w:firstLineChars="200"/>
              <w:jc w:val="center"/>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2A79F751">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4.专人专用，不得借用</w:t>
            </w:r>
            <w:r>
              <w:rPr>
                <w:rFonts w:ascii="宋体" w:hAnsi="宋体" w:eastAsia="宋体" w:cs="宋体"/>
                <w:kern w:val="2"/>
                <w:sz w:val="21"/>
                <w:szCs w:val="21"/>
              </w:rPr>
              <w:t>。</w:t>
            </w:r>
          </w:p>
        </w:tc>
      </w:tr>
      <w:tr w14:paraId="6B6ADCD9">
        <w:tblPrEx>
          <w:tblCellMar>
            <w:top w:w="0" w:type="dxa"/>
            <w:left w:w="108" w:type="dxa"/>
            <w:bottom w:w="0" w:type="dxa"/>
            <w:right w:w="108" w:type="dxa"/>
          </w:tblCellMar>
        </w:tblPrEx>
        <w:trPr>
          <w:trHeight w:val="269" w:hRule="atLeast"/>
        </w:trPr>
        <w:tc>
          <w:tcPr>
            <w:tcW w:w="379" w:type="pct"/>
            <w:vMerge w:val="restart"/>
            <w:tcBorders>
              <w:top w:val="nil"/>
              <w:left w:val="single" w:color="auto" w:sz="4" w:space="0"/>
              <w:bottom w:val="single" w:color="auto" w:sz="4" w:space="0"/>
              <w:right w:val="single" w:color="auto" w:sz="4" w:space="0"/>
            </w:tcBorders>
            <w:vAlign w:val="center"/>
          </w:tcPr>
          <w:p w14:paraId="55640B0F">
            <w:pPr>
              <w:widowControl w:val="0"/>
              <w:jc w:val="center"/>
              <w:rPr>
                <w:rFonts w:ascii="宋体" w:hAnsi="宋体" w:eastAsia="宋体" w:cs="宋体"/>
                <w:kern w:val="2"/>
                <w:sz w:val="21"/>
                <w:szCs w:val="21"/>
              </w:rPr>
            </w:pPr>
            <w:r>
              <w:rPr>
                <w:rFonts w:hint="eastAsia" w:ascii="宋体" w:hAnsi="宋体" w:eastAsia="宋体" w:cs="宋体"/>
                <w:kern w:val="2"/>
                <w:sz w:val="21"/>
                <w:szCs w:val="21"/>
              </w:rPr>
              <w:t>7</w:t>
            </w:r>
          </w:p>
        </w:tc>
        <w:tc>
          <w:tcPr>
            <w:tcW w:w="445" w:type="pct"/>
            <w:vMerge w:val="restart"/>
            <w:tcBorders>
              <w:top w:val="nil"/>
              <w:left w:val="single" w:color="auto" w:sz="4" w:space="0"/>
              <w:bottom w:val="single" w:color="auto" w:sz="4" w:space="0"/>
              <w:right w:val="single" w:color="auto" w:sz="4" w:space="0"/>
            </w:tcBorders>
            <w:vAlign w:val="center"/>
          </w:tcPr>
          <w:p w14:paraId="7A09125E">
            <w:pPr>
              <w:widowControl w:val="0"/>
              <w:jc w:val="center"/>
              <w:rPr>
                <w:rFonts w:ascii="宋体" w:hAnsi="宋体" w:eastAsia="宋体" w:cs="宋体"/>
                <w:kern w:val="2"/>
                <w:sz w:val="21"/>
                <w:szCs w:val="21"/>
              </w:rPr>
            </w:pPr>
            <w:r>
              <w:rPr>
                <w:rFonts w:hint="eastAsia" w:ascii="宋体" w:hAnsi="宋体" w:eastAsia="宋体" w:cs="宋体"/>
                <w:kern w:val="2"/>
                <w:sz w:val="21"/>
                <w:szCs w:val="21"/>
              </w:rPr>
              <w:t>突发事件</w:t>
            </w:r>
          </w:p>
        </w:tc>
        <w:tc>
          <w:tcPr>
            <w:tcW w:w="814" w:type="pct"/>
            <w:vMerge w:val="restart"/>
            <w:tcBorders>
              <w:top w:val="nil"/>
              <w:left w:val="single" w:color="auto" w:sz="4" w:space="0"/>
              <w:bottom w:val="single" w:color="auto" w:sz="4" w:space="0"/>
              <w:right w:val="single" w:color="auto" w:sz="4" w:space="0"/>
            </w:tcBorders>
            <w:vAlign w:val="center"/>
          </w:tcPr>
          <w:p w14:paraId="49128AC5">
            <w:pPr>
              <w:widowControl w:val="0"/>
              <w:jc w:val="center"/>
              <w:rPr>
                <w:rFonts w:ascii="宋体" w:hAnsi="宋体" w:eastAsia="宋体" w:cs="宋体"/>
                <w:kern w:val="2"/>
                <w:sz w:val="21"/>
                <w:szCs w:val="21"/>
              </w:rPr>
            </w:pPr>
            <w:r>
              <w:rPr>
                <w:rFonts w:hint="eastAsia" w:ascii="宋体" w:hAnsi="宋体" w:eastAsia="宋体" w:cs="宋体"/>
                <w:kern w:val="2"/>
                <w:sz w:val="21"/>
                <w:szCs w:val="21"/>
              </w:rPr>
              <w:t>各类突发事件及时处理及善后工作</w:t>
            </w:r>
          </w:p>
        </w:tc>
        <w:tc>
          <w:tcPr>
            <w:tcW w:w="814" w:type="pct"/>
            <w:vMerge w:val="restart"/>
            <w:tcBorders>
              <w:top w:val="nil"/>
              <w:left w:val="single" w:color="auto" w:sz="4" w:space="0"/>
              <w:bottom w:val="single" w:color="auto" w:sz="4" w:space="0"/>
              <w:right w:val="single" w:color="auto" w:sz="4" w:space="0"/>
            </w:tcBorders>
            <w:vAlign w:val="center"/>
          </w:tcPr>
          <w:p w14:paraId="676293B0">
            <w:pPr>
              <w:widowControl w:val="0"/>
              <w:jc w:val="center"/>
              <w:rPr>
                <w:rFonts w:ascii="宋体" w:hAnsi="宋体" w:eastAsia="宋体" w:cs="宋体"/>
                <w:kern w:val="2"/>
                <w:sz w:val="21"/>
                <w:szCs w:val="21"/>
              </w:rPr>
            </w:pPr>
            <w:r>
              <w:rPr>
                <w:rFonts w:hint="eastAsia" w:ascii="宋体" w:hAnsi="宋体" w:eastAsia="宋体" w:cs="宋体"/>
                <w:kern w:val="2"/>
                <w:sz w:val="21"/>
                <w:szCs w:val="21"/>
              </w:rPr>
              <w:t>日常</w:t>
            </w:r>
          </w:p>
        </w:tc>
        <w:tc>
          <w:tcPr>
            <w:tcW w:w="2548" w:type="pct"/>
            <w:tcBorders>
              <w:top w:val="nil"/>
              <w:left w:val="nil"/>
              <w:bottom w:val="single" w:color="auto" w:sz="8" w:space="0"/>
              <w:right w:val="single" w:color="auto" w:sz="4" w:space="0"/>
            </w:tcBorders>
            <w:vAlign w:val="center"/>
          </w:tcPr>
          <w:p w14:paraId="4BC8A4E6">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1.自然灾害等可以预知的风险，提前24小时发布预警信号；</w:t>
            </w:r>
          </w:p>
        </w:tc>
      </w:tr>
      <w:tr w14:paraId="612D3DB4">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7DA7741A">
            <w:pPr>
              <w:widowControl w:val="0"/>
              <w:ind w:firstLine="420" w:firstLineChars="200"/>
              <w:jc w:val="both"/>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1C1E12A4">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48BDE788">
            <w:pPr>
              <w:widowControl w:val="0"/>
              <w:ind w:firstLine="420" w:firstLineChars="200"/>
              <w:jc w:val="both"/>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8" w:space="0"/>
            </w:tcBorders>
            <w:vAlign w:val="center"/>
          </w:tcPr>
          <w:p w14:paraId="386830F6">
            <w:pPr>
              <w:widowControl w:val="0"/>
              <w:ind w:firstLine="420" w:firstLineChars="200"/>
              <w:jc w:val="both"/>
              <w:rPr>
                <w:rFonts w:ascii="宋体" w:hAnsi="宋体" w:eastAsia="宋体" w:cs="宋体"/>
                <w:kern w:val="2"/>
                <w:sz w:val="21"/>
                <w:szCs w:val="21"/>
              </w:rPr>
            </w:pPr>
          </w:p>
        </w:tc>
        <w:tc>
          <w:tcPr>
            <w:tcW w:w="2548" w:type="pct"/>
            <w:tcBorders>
              <w:top w:val="single" w:color="auto" w:sz="8" w:space="0"/>
              <w:left w:val="single" w:color="auto" w:sz="8" w:space="0"/>
              <w:bottom w:val="single" w:color="auto" w:sz="8" w:space="0"/>
              <w:right w:val="single" w:color="auto" w:sz="8" w:space="0"/>
            </w:tcBorders>
            <w:vAlign w:val="center"/>
          </w:tcPr>
          <w:p w14:paraId="102B1E11">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2.100%按预案执行，未对采购人造成损失；</w:t>
            </w:r>
          </w:p>
        </w:tc>
      </w:tr>
      <w:tr w14:paraId="509B62A3">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1FA4FFD4">
            <w:pPr>
              <w:widowControl w:val="0"/>
              <w:ind w:firstLine="420" w:firstLineChars="200"/>
              <w:jc w:val="both"/>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17F72EE7">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00CF00F4">
            <w:pPr>
              <w:widowControl w:val="0"/>
              <w:ind w:firstLine="420" w:firstLineChars="200"/>
              <w:jc w:val="both"/>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8" w:space="0"/>
            </w:tcBorders>
            <w:vAlign w:val="center"/>
          </w:tcPr>
          <w:p w14:paraId="20644A7D">
            <w:pPr>
              <w:widowControl w:val="0"/>
              <w:ind w:firstLine="420" w:firstLineChars="200"/>
              <w:jc w:val="both"/>
              <w:rPr>
                <w:rFonts w:ascii="宋体" w:hAnsi="宋体" w:eastAsia="宋体" w:cs="宋体"/>
                <w:kern w:val="2"/>
                <w:sz w:val="21"/>
                <w:szCs w:val="21"/>
              </w:rPr>
            </w:pPr>
          </w:p>
        </w:tc>
        <w:tc>
          <w:tcPr>
            <w:tcW w:w="2548" w:type="pct"/>
            <w:tcBorders>
              <w:top w:val="single" w:color="auto" w:sz="8" w:space="0"/>
              <w:left w:val="single" w:color="auto" w:sz="8" w:space="0"/>
              <w:bottom w:val="single" w:color="auto" w:sz="8" w:space="0"/>
              <w:right w:val="single" w:color="auto" w:sz="8" w:space="0"/>
            </w:tcBorders>
            <w:vAlign w:val="center"/>
          </w:tcPr>
          <w:p w14:paraId="428A5994">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3.帮助采购人做好突发事件的处理；</w:t>
            </w:r>
          </w:p>
        </w:tc>
      </w:tr>
      <w:tr w14:paraId="79E95E4E">
        <w:tblPrEx>
          <w:tblCellMar>
            <w:top w:w="0" w:type="dxa"/>
            <w:left w:w="108" w:type="dxa"/>
            <w:bottom w:w="0" w:type="dxa"/>
            <w:right w:w="108" w:type="dxa"/>
          </w:tblCellMar>
        </w:tblPrEx>
        <w:trPr>
          <w:trHeight w:val="269" w:hRule="atLeast"/>
        </w:trPr>
        <w:tc>
          <w:tcPr>
            <w:tcW w:w="379" w:type="pct"/>
            <w:vMerge w:val="continue"/>
            <w:tcBorders>
              <w:top w:val="nil"/>
              <w:left w:val="single" w:color="auto" w:sz="4" w:space="0"/>
              <w:bottom w:val="single" w:color="auto" w:sz="4" w:space="0"/>
              <w:right w:val="single" w:color="auto" w:sz="4" w:space="0"/>
            </w:tcBorders>
            <w:vAlign w:val="center"/>
          </w:tcPr>
          <w:p w14:paraId="7423DD88">
            <w:pPr>
              <w:widowControl w:val="0"/>
              <w:ind w:firstLine="420" w:firstLineChars="200"/>
              <w:jc w:val="both"/>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1EF68DD7">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73AC2614">
            <w:pPr>
              <w:widowControl w:val="0"/>
              <w:ind w:firstLine="420" w:firstLineChars="200"/>
              <w:jc w:val="both"/>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2E3DB737">
            <w:pPr>
              <w:widowControl w:val="0"/>
              <w:ind w:firstLine="420" w:firstLineChars="200"/>
              <w:jc w:val="both"/>
              <w:rPr>
                <w:rFonts w:ascii="宋体" w:hAnsi="宋体" w:eastAsia="宋体" w:cs="宋体"/>
                <w:kern w:val="2"/>
                <w:sz w:val="21"/>
                <w:szCs w:val="21"/>
              </w:rPr>
            </w:pPr>
          </w:p>
        </w:tc>
        <w:tc>
          <w:tcPr>
            <w:tcW w:w="2548" w:type="pct"/>
            <w:tcBorders>
              <w:top w:val="single" w:color="auto" w:sz="8" w:space="0"/>
              <w:left w:val="nil"/>
              <w:bottom w:val="single" w:color="auto" w:sz="4" w:space="0"/>
              <w:right w:val="single" w:color="auto" w:sz="4" w:space="0"/>
            </w:tcBorders>
            <w:vAlign w:val="center"/>
          </w:tcPr>
          <w:p w14:paraId="10AA8CD4">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4.要情况及时报告采购人；</w:t>
            </w:r>
          </w:p>
        </w:tc>
      </w:tr>
      <w:tr w14:paraId="77F7D44D">
        <w:tblPrEx>
          <w:tblCellMar>
            <w:top w:w="0" w:type="dxa"/>
            <w:left w:w="108" w:type="dxa"/>
            <w:bottom w:w="0" w:type="dxa"/>
            <w:right w:w="108" w:type="dxa"/>
          </w:tblCellMar>
        </w:tblPrEx>
        <w:trPr>
          <w:trHeight w:val="524" w:hRule="atLeast"/>
        </w:trPr>
        <w:tc>
          <w:tcPr>
            <w:tcW w:w="379" w:type="pct"/>
            <w:vMerge w:val="continue"/>
            <w:tcBorders>
              <w:top w:val="nil"/>
              <w:left w:val="single" w:color="auto" w:sz="4" w:space="0"/>
              <w:bottom w:val="single" w:color="auto" w:sz="4" w:space="0"/>
              <w:right w:val="single" w:color="auto" w:sz="4" w:space="0"/>
            </w:tcBorders>
            <w:vAlign w:val="center"/>
          </w:tcPr>
          <w:p w14:paraId="08D3C682">
            <w:pPr>
              <w:widowControl w:val="0"/>
              <w:ind w:firstLine="420" w:firstLineChars="200"/>
              <w:jc w:val="both"/>
              <w:rPr>
                <w:rFonts w:ascii="宋体" w:hAnsi="宋体" w:eastAsia="宋体" w:cs="宋体"/>
                <w:kern w:val="2"/>
                <w:sz w:val="21"/>
                <w:szCs w:val="21"/>
              </w:rPr>
            </w:pPr>
          </w:p>
        </w:tc>
        <w:tc>
          <w:tcPr>
            <w:tcW w:w="445" w:type="pct"/>
            <w:vMerge w:val="continue"/>
            <w:tcBorders>
              <w:top w:val="nil"/>
              <w:left w:val="single" w:color="auto" w:sz="4" w:space="0"/>
              <w:bottom w:val="single" w:color="auto" w:sz="4" w:space="0"/>
              <w:right w:val="single" w:color="auto" w:sz="4" w:space="0"/>
            </w:tcBorders>
            <w:vAlign w:val="center"/>
          </w:tcPr>
          <w:p w14:paraId="3F73198E">
            <w:pPr>
              <w:widowControl w:val="0"/>
              <w:ind w:firstLine="420" w:firstLineChars="200"/>
              <w:jc w:val="center"/>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3DA83C7F">
            <w:pPr>
              <w:widowControl w:val="0"/>
              <w:ind w:firstLine="420" w:firstLineChars="200"/>
              <w:jc w:val="both"/>
              <w:rPr>
                <w:rFonts w:ascii="宋体" w:hAnsi="宋体" w:eastAsia="宋体" w:cs="宋体"/>
                <w:kern w:val="2"/>
                <w:sz w:val="21"/>
                <w:szCs w:val="21"/>
              </w:rPr>
            </w:pPr>
          </w:p>
        </w:tc>
        <w:tc>
          <w:tcPr>
            <w:tcW w:w="814" w:type="pct"/>
            <w:vMerge w:val="continue"/>
            <w:tcBorders>
              <w:top w:val="nil"/>
              <w:left w:val="single" w:color="auto" w:sz="4" w:space="0"/>
              <w:bottom w:val="single" w:color="auto" w:sz="4" w:space="0"/>
              <w:right w:val="single" w:color="auto" w:sz="4" w:space="0"/>
            </w:tcBorders>
            <w:vAlign w:val="center"/>
          </w:tcPr>
          <w:p w14:paraId="7A259ACA">
            <w:pPr>
              <w:widowControl w:val="0"/>
              <w:ind w:firstLine="420" w:firstLineChars="200"/>
              <w:jc w:val="both"/>
              <w:rPr>
                <w:rFonts w:ascii="宋体" w:hAnsi="宋体" w:eastAsia="宋体" w:cs="宋体"/>
                <w:kern w:val="2"/>
                <w:sz w:val="21"/>
                <w:szCs w:val="21"/>
              </w:rPr>
            </w:pPr>
          </w:p>
        </w:tc>
        <w:tc>
          <w:tcPr>
            <w:tcW w:w="2548" w:type="pct"/>
            <w:tcBorders>
              <w:top w:val="nil"/>
              <w:left w:val="nil"/>
              <w:bottom w:val="single" w:color="auto" w:sz="4" w:space="0"/>
              <w:right w:val="single" w:color="auto" w:sz="4" w:space="0"/>
            </w:tcBorders>
            <w:vAlign w:val="center"/>
          </w:tcPr>
          <w:p w14:paraId="0FB0429A">
            <w:pPr>
              <w:widowControl w:val="0"/>
              <w:spacing w:line="320" w:lineRule="exact"/>
              <w:jc w:val="both"/>
              <w:rPr>
                <w:rFonts w:ascii="宋体" w:hAnsi="宋体" w:eastAsia="宋体" w:cs="宋体"/>
                <w:kern w:val="2"/>
                <w:sz w:val="21"/>
                <w:szCs w:val="21"/>
              </w:rPr>
            </w:pPr>
            <w:r>
              <w:rPr>
                <w:rFonts w:hint="eastAsia" w:ascii="宋体" w:hAnsi="宋体" w:eastAsia="宋体" w:cs="宋体"/>
                <w:kern w:val="2"/>
                <w:sz w:val="21"/>
                <w:szCs w:val="21"/>
              </w:rPr>
              <w:t>5.及时处理突发事件，并在处理完毕后及时填写《突发事件登记表》交给采购人</w:t>
            </w:r>
            <w:r>
              <w:rPr>
                <w:rFonts w:ascii="宋体" w:hAnsi="宋体" w:eastAsia="宋体" w:cs="宋体"/>
                <w:kern w:val="2"/>
                <w:sz w:val="21"/>
                <w:szCs w:val="21"/>
              </w:rPr>
              <w:t>。</w:t>
            </w:r>
          </w:p>
        </w:tc>
      </w:tr>
    </w:tbl>
    <w:p w14:paraId="21C3F3A7">
      <w:pPr>
        <w:ind w:firstLine="480" w:firstLineChars="200"/>
      </w:pPr>
      <w:r>
        <w:rPr>
          <w:b/>
          <w:bCs/>
        </w:rPr>
        <w:t>（</w:t>
      </w:r>
      <w:r>
        <w:rPr>
          <w:rFonts w:hint="eastAsia"/>
          <w:b/>
          <w:bCs/>
        </w:rPr>
        <w:t>五</w:t>
      </w:r>
      <w:r>
        <w:rPr>
          <w:b/>
          <w:bCs/>
        </w:rPr>
        <w:t>）</w:t>
      </w:r>
      <w:r>
        <w:rPr>
          <w:rFonts w:hint="eastAsia"/>
          <w:b/>
          <w:bCs/>
        </w:rPr>
        <w:t>绿化</w:t>
      </w:r>
      <w:r>
        <w:rPr>
          <w:b/>
          <w:bCs/>
        </w:rPr>
        <w:t>服务要求</w:t>
      </w:r>
    </w:p>
    <w:p w14:paraId="75671453">
      <w:pPr>
        <w:ind w:firstLine="480" w:firstLineChars="200"/>
      </w:pPr>
      <w:r>
        <w:t>1、</w:t>
      </w:r>
      <w:r>
        <w:rPr>
          <w:rFonts w:hint="eastAsia"/>
        </w:rPr>
        <w:t>绿化比较充分，植物配置基本合理 ，基本达到黄土不露天</w:t>
      </w:r>
      <w:r>
        <w:t>。</w:t>
      </w:r>
    </w:p>
    <w:p w14:paraId="0E839902">
      <w:pPr>
        <w:ind w:firstLine="480" w:firstLineChars="200"/>
      </w:pPr>
      <w:r>
        <w:t>2、</w:t>
      </w:r>
      <w:r>
        <w:rPr>
          <w:rFonts w:hint="eastAsia"/>
        </w:rPr>
        <w:t>园林植物养护要求</w:t>
      </w:r>
    </w:p>
    <w:p w14:paraId="6991A815">
      <w:pPr>
        <w:ind w:firstLine="480" w:firstLineChars="200"/>
      </w:pPr>
      <w:r>
        <w:rPr>
          <w:rFonts w:hint="eastAsia"/>
        </w:rPr>
        <w:t>（1）生长势 ：正常。生长达到该树种该规格的平均生长量</w:t>
      </w:r>
      <w:r>
        <w:t>。</w:t>
      </w:r>
    </w:p>
    <w:p w14:paraId="13EA1CFA">
      <w:pPr>
        <w:ind w:firstLine="480" w:firstLineChars="200"/>
      </w:pPr>
      <w:r>
        <w:rPr>
          <w:rFonts w:hint="eastAsia"/>
        </w:rPr>
        <w:t>（2）叶子正常：①叶色、大小、薄厚正常；②较严重黄叶、焦叶、卷叶、带虫尿虫网灰尘的株数在2%以下；③被啃咬的叶片最严重的每株在10%以下</w:t>
      </w:r>
      <w:r>
        <w:t>。</w:t>
      </w:r>
    </w:p>
    <w:p w14:paraId="17665327">
      <w:pPr>
        <w:ind w:firstLine="480" w:firstLineChars="200"/>
      </w:pPr>
      <w:r>
        <w:rPr>
          <w:rFonts w:hint="eastAsia"/>
        </w:rPr>
        <w:t>（3）枝、干正常 ：①无明显枯枝、死杈;②有蛀干害虫的株数在2%以下(包括 2% ，以下同)；③介壳虫最严重处主枝主干100平方厘米2头活虫以下，较细枝条每尺长一段上在10头活虫以下，株数都在4%以下；④树冠基本完整：主侧枝分布均称，树冠通风透光。</w:t>
      </w:r>
    </w:p>
    <w:p w14:paraId="4B90B8B6">
      <w:pPr>
        <w:ind w:firstLine="480" w:firstLineChars="200"/>
      </w:pPr>
      <w:r>
        <w:rPr>
          <w:rFonts w:hint="eastAsia"/>
        </w:rPr>
        <w:t>（4）措施：按二级技术措施要求认真进行养护。</w:t>
      </w:r>
    </w:p>
    <w:p w14:paraId="0A0B0B24">
      <w:pPr>
        <w:ind w:firstLine="480" w:firstLineChars="200"/>
      </w:pPr>
      <w:r>
        <w:rPr>
          <w:rFonts w:hint="eastAsia"/>
        </w:rPr>
        <w:t>（5）行道树缺株在</w:t>
      </w:r>
      <w:r>
        <w:t>1</w:t>
      </w:r>
      <w:r>
        <w:rPr>
          <w:rFonts w:hint="eastAsia"/>
        </w:rPr>
        <w:t>%以下。</w:t>
      </w:r>
    </w:p>
    <w:p w14:paraId="64B72291">
      <w:pPr>
        <w:ind w:firstLine="480" w:firstLineChars="200"/>
      </w:pPr>
      <w:r>
        <w:rPr>
          <w:rFonts w:hint="eastAsia"/>
        </w:rPr>
        <w:t>（6）草坪覆盖率达95%以上；草坪内杂草控制在20%以内；生长和颜色正常，不枯黄；每年修剪暖地型草2次以上，冷地型草10次以上；基本无病虫害。</w:t>
      </w:r>
    </w:p>
    <w:p w14:paraId="60B6013F">
      <w:pPr>
        <w:ind w:firstLine="480" w:firstLineChars="200"/>
      </w:pPr>
      <w:r>
        <w:rPr>
          <w:rFonts w:hint="eastAsia"/>
        </w:rPr>
        <w:t>3、行道树和绿地内无死树 ，树木修剪基本合理，树形美观，能较好地解决树木与电线、建筑物、交通等之间的矛盾。</w:t>
      </w:r>
    </w:p>
    <w:p w14:paraId="415AAF4B">
      <w:pPr>
        <w:ind w:firstLine="480" w:firstLineChars="200"/>
      </w:pPr>
      <w:r>
        <w:rPr>
          <w:rFonts w:hint="eastAsia"/>
        </w:rPr>
        <w:t>4、绿化生产垃圾要做到日产日清，绿地内无明显的废弃物，能坚持在重大节日前进行突击清理。</w:t>
      </w:r>
    </w:p>
    <w:p w14:paraId="4F03AF2E">
      <w:pPr>
        <w:ind w:firstLine="480" w:firstLineChars="200"/>
      </w:pPr>
      <w:r>
        <w:rPr>
          <w:rFonts w:hint="eastAsia"/>
        </w:rPr>
        <w:t>5、栏杆、园路、桌椅、井盖和牌饰等园林设施基本完整，基本做到及时维护和油饰。</w:t>
      </w:r>
    </w:p>
    <w:p w14:paraId="5B6456DE">
      <w:pPr>
        <w:ind w:firstLine="480" w:firstLineChars="200"/>
      </w:pPr>
      <w:r>
        <w:rPr>
          <w:rFonts w:hint="eastAsia"/>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56880BD1">
      <w:pPr>
        <w:ind w:firstLine="480" w:firstLineChars="200"/>
      </w:pPr>
      <w:r>
        <w:rPr>
          <w:b/>
          <w:bCs/>
        </w:rPr>
        <w:t>（</w:t>
      </w:r>
      <w:r>
        <w:rPr>
          <w:rFonts w:hint="eastAsia"/>
          <w:b/>
          <w:bCs/>
        </w:rPr>
        <w:t>六</w:t>
      </w:r>
      <w:r>
        <w:rPr>
          <w:b/>
          <w:bCs/>
        </w:rPr>
        <w:t>）</w:t>
      </w:r>
      <w:r>
        <w:rPr>
          <w:rFonts w:hint="eastAsia"/>
          <w:b/>
          <w:bCs/>
        </w:rPr>
        <w:t>会务保障</w:t>
      </w:r>
    </w:p>
    <w:p w14:paraId="3C3A39C0">
      <w:pPr>
        <w:ind w:firstLine="480" w:firstLineChars="200"/>
      </w:pPr>
      <w:r>
        <w:t>1、在采购人的调配下，负责会议室及接待室的卫生清理、会场布置、设备调试以及会议茶水服务等；</w:t>
      </w:r>
    </w:p>
    <w:p w14:paraId="20C65903">
      <w:pPr>
        <w:ind w:firstLine="480" w:firstLineChars="200"/>
      </w:pPr>
      <w:r>
        <w:t>2、协助采购人完成各种迎送、接待、礼仪活动；</w:t>
      </w:r>
    </w:p>
    <w:p w14:paraId="74518EE5">
      <w:pPr>
        <w:ind w:firstLine="480" w:firstLineChars="200"/>
      </w:pPr>
      <w:r>
        <w:t>3、负责报纸杂志信件收发、通讯及打字复印服务；</w:t>
      </w:r>
    </w:p>
    <w:p w14:paraId="77E3D9FA">
      <w:pPr>
        <w:ind w:firstLine="480" w:firstLineChars="200"/>
      </w:pPr>
      <w:r>
        <w:t>4、配合采购人开展应急防控、节能降耗、垃圾分类、安全生产工作以及开展文化、体育等活动。</w:t>
      </w:r>
    </w:p>
    <w:p w14:paraId="7B2E5682">
      <w:pPr>
        <w:ind w:firstLine="480" w:firstLineChars="200"/>
        <w:rPr>
          <w:b/>
          <w:bCs/>
        </w:rPr>
      </w:pPr>
      <w:r>
        <w:rPr>
          <w:b/>
          <w:bCs/>
        </w:rPr>
        <w:t>（</w:t>
      </w:r>
      <w:r>
        <w:rPr>
          <w:rFonts w:hint="eastAsia"/>
          <w:b/>
          <w:bCs/>
        </w:rPr>
        <w:t>七</w:t>
      </w:r>
      <w:r>
        <w:rPr>
          <w:b/>
          <w:bCs/>
        </w:rPr>
        <w:t>）应急突发事件应对预案</w:t>
      </w:r>
    </w:p>
    <w:p w14:paraId="3BB9C1D2">
      <w:pPr>
        <w:ind w:firstLine="480" w:firstLineChars="200"/>
      </w:pPr>
      <w:r>
        <w:t>提供完整的、可实施的、针对本项目实际情况且符合国家应急管理要求的地震、雷电、车辆安全管理等方面的应急预案。</w:t>
      </w:r>
    </w:p>
    <w:p w14:paraId="3B4B11C1">
      <w:pPr>
        <w:ind w:firstLine="480" w:firstLineChars="200"/>
        <w:rPr>
          <w:b/>
        </w:rPr>
      </w:pPr>
      <w:r>
        <w:rPr>
          <w:b/>
        </w:rPr>
        <w:t>（八）人员要求</w:t>
      </w:r>
    </w:p>
    <w:p w14:paraId="50762C4A">
      <w:pPr>
        <w:widowControl w:val="0"/>
        <w:ind w:firstLine="480" w:firstLineChars="200"/>
        <w:jc w:val="both"/>
        <w:rPr>
          <w:rFonts w:cs="仿宋" w:asciiTheme="minorEastAsia" w:hAnsiTheme="minorEastAsia"/>
          <w:color w:val="000000"/>
          <w:kern w:val="2"/>
        </w:rPr>
      </w:pPr>
      <w:r>
        <w:rPr>
          <w:rFonts w:hint="eastAsia" w:cs="仿宋" w:asciiTheme="minorEastAsia" w:hAnsiTheme="minorEastAsia"/>
          <w:color w:val="000000"/>
          <w:kern w:val="2"/>
        </w:rPr>
        <w:t>服务人员数量及组成：</w:t>
      </w:r>
      <w:r>
        <w:rPr>
          <w:rFonts w:hint="eastAsia" w:asciiTheme="minorEastAsia" w:hAnsiTheme="minorEastAsia"/>
          <w:kern w:val="2"/>
        </w:rPr>
        <w:t>项目物业服务人员不得少于35人：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6513"/>
      </w:tblGrid>
      <w:tr w14:paraId="0F1F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08DF676">
            <w:pPr>
              <w:spacing w:line="400" w:lineRule="exact"/>
              <w:jc w:val="center"/>
              <w:rPr>
                <w:rFonts w:cs="Calibri Light" w:asciiTheme="minorEastAsia" w:hAnsiTheme="minorEastAsia"/>
                <w:b/>
                <w:kern w:val="2"/>
                <w:sz w:val="21"/>
                <w:szCs w:val="21"/>
              </w:rPr>
            </w:pPr>
            <w:r>
              <w:rPr>
                <w:rFonts w:cs="Calibri Light" w:asciiTheme="minorEastAsia" w:hAnsiTheme="minorEastAsia"/>
                <w:b/>
                <w:kern w:val="2"/>
                <w:sz w:val="21"/>
                <w:szCs w:val="21"/>
              </w:rPr>
              <w:t>序号</w:t>
            </w:r>
          </w:p>
        </w:tc>
        <w:tc>
          <w:tcPr>
            <w:tcW w:w="1843" w:type="dxa"/>
            <w:vAlign w:val="center"/>
          </w:tcPr>
          <w:p w14:paraId="4134F611">
            <w:pPr>
              <w:spacing w:line="400" w:lineRule="exact"/>
              <w:jc w:val="center"/>
              <w:rPr>
                <w:rFonts w:cs="Calibri Light" w:asciiTheme="minorEastAsia" w:hAnsiTheme="minorEastAsia"/>
                <w:b/>
                <w:kern w:val="2"/>
                <w:sz w:val="21"/>
                <w:szCs w:val="21"/>
              </w:rPr>
            </w:pPr>
            <w:r>
              <w:rPr>
                <w:rFonts w:cs="Calibri Light" w:asciiTheme="minorEastAsia" w:hAnsiTheme="minorEastAsia"/>
                <w:b/>
                <w:kern w:val="2"/>
                <w:sz w:val="21"/>
                <w:szCs w:val="21"/>
              </w:rPr>
              <w:t>区域</w:t>
            </w:r>
          </w:p>
        </w:tc>
        <w:tc>
          <w:tcPr>
            <w:tcW w:w="6513" w:type="dxa"/>
            <w:vAlign w:val="center"/>
          </w:tcPr>
          <w:p w14:paraId="27D0C4EA">
            <w:pPr>
              <w:spacing w:line="400" w:lineRule="exact"/>
              <w:jc w:val="center"/>
              <w:rPr>
                <w:rFonts w:cs="Calibri Light" w:asciiTheme="minorEastAsia" w:hAnsiTheme="minorEastAsia"/>
                <w:b/>
                <w:kern w:val="2"/>
                <w:sz w:val="21"/>
                <w:szCs w:val="21"/>
              </w:rPr>
            </w:pPr>
            <w:r>
              <w:rPr>
                <w:rFonts w:cs="Calibri Light" w:asciiTheme="minorEastAsia" w:hAnsiTheme="minorEastAsia"/>
                <w:b/>
                <w:kern w:val="2"/>
                <w:sz w:val="21"/>
                <w:szCs w:val="21"/>
              </w:rPr>
              <w:t>最低配备人数</w:t>
            </w:r>
          </w:p>
        </w:tc>
      </w:tr>
      <w:tr w14:paraId="2D17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BE5EB4">
            <w:pPr>
              <w:spacing w:line="400" w:lineRule="exact"/>
              <w:jc w:val="center"/>
              <w:rPr>
                <w:rFonts w:cs="Calibri Light" w:asciiTheme="minorEastAsia" w:hAnsiTheme="minorEastAsia"/>
                <w:kern w:val="2"/>
                <w:sz w:val="21"/>
                <w:szCs w:val="21"/>
              </w:rPr>
            </w:pPr>
            <w:r>
              <w:rPr>
                <w:rFonts w:cs="Calibri Light" w:asciiTheme="minorEastAsia" w:hAnsiTheme="minorEastAsia"/>
                <w:kern w:val="2"/>
                <w:sz w:val="21"/>
                <w:szCs w:val="21"/>
              </w:rPr>
              <w:t>1</w:t>
            </w:r>
          </w:p>
        </w:tc>
        <w:tc>
          <w:tcPr>
            <w:tcW w:w="1843" w:type="dxa"/>
            <w:vAlign w:val="center"/>
          </w:tcPr>
          <w:p w14:paraId="1D43F21D">
            <w:pPr>
              <w:spacing w:line="400" w:lineRule="exact"/>
              <w:jc w:val="center"/>
              <w:rPr>
                <w:rFonts w:cs="Calibri Light" w:asciiTheme="minorEastAsia" w:hAnsiTheme="minorEastAsia"/>
                <w:kern w:val="2"/>
                <w:sz w:val="21"/>
                <w:szCs w:val="21"/>
              </w:rPr>
            </w:pPr>
            <w:r>
              <w:rPr>
                <w:rFonts w:hint="eastAsia" w:cs="Calibri Light" w:asciiTheme="minorEastAsia" w:hAnsiTheme="minorEastAsia"/>
                <w:kern w:val="2"/>
                <w:sz w:val="21"/>
                <w:szCs w:val="21"/>
              </w:rPr>
              <w:t>院区内</w:t>
            </w:r>
          </w:p>
        </w:tc>
        <w:tc>
          <w:tcPr>
            <w:tcW w:w="6513" w:type="dxa"/>
            <w:vAlign w:val="center"/>
          </w:tcPr>
          <w:p w14:paraId="52AC0A64">
            <w:pPr>
              <w:spacing w:line="400" w:lineRule="exact"/>
              <w:jc w:val="both"/>
              <w:rPr>
                <w:rFonts w:cs="Calibri Light" w:asciiTheme="minorEastAsia" w:hAnsiTheme="minorEastAsia"/>
                <w:kern w:val="2"/>
                <w:sz w:val="21"/>
                <w:szCs w:val="21"/>
              </w:rPr>
            </w:pPr>
            <w:r>
              <w:rPr>
                <w:rFonts w:hint="eastAsia" w:asciiTheme="minorEastAsia" w:hAnsiTheme="minorEastAsia"/>
                <w:color w:val="000000"/>
                <w:kern w:val="2"/>
                <w:sz w:val="21"/>
                <w:szCs w:val="21"/>
              </w:rPr>
              <w:t>项目经理1人，秩序维护员10人，楼内保洁8人，楼外保洁2人，工程维修4人，绿化工4人，仓库保管员2人，会议服务员4人，共计35人。</w:t>
            </w:r>
          </w:p>
        </w:tc>
      </w:tr>
      <w:tr w14:paraId="6378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gridSpan w:val="2"/>
            <w:vAlign w:val="center"/>
          </w:tcPr>
          <w:p w14:paraId="79866E7D">
            <w:pPr>
              <w:spacing w:line="400" w:lineRule="exact"/>
              <w:jc w:val="center"/>
              <w:rPr>
                <w:rFonts w:cs="Calibri Light" w:asciiTheme="minorEastAsia" w:hAnsiTheme="minorEastAsia"/>
                <w:kern w:val="2"/>
                <w:sz w:val="21"/>
                <w:szCs w:val="21"/>
              </w:rPr>
            </w:pPr>
            <w:r>
              <w:rPr>
                <w:rFonts w:cs="Calibri Light" w:asciiTheme="minorEastAsia" w:hAnsiTheme="minorEastAsia"/>
                <w:kern w:val="2"/>
                <w:sz w:val="21"/>
                <w:szCs w:val="21"/>
              </w:rPr>
              <w:t>合计</w:t>
            </w:r>
          </w:p>
        </w:tc>
        <w:tc>
          <w:tcPr>
            <w:tcW w:w="6513" w:type="dxa"/>
            <w:vAlign w:val="center"/>
          </w:tcPr>
          <w:p w14:paraId="354998D0">
            <w:pPr>
              <w:spacing w:line="400" w:lineRule="exact"/>
              <w:jc w:val="center"/>
              <w:rPr>
                <w:rFonts w:cs="Calibri Light" w:asciiTheme="minorEastAsia" w:hAnsiTheme="minorEastAsia"/>
                <w:kern w:val="2"/>
                <w:sz w:val="21"/>
                <w:szCs w:val="21"/>
              </w:rPr>
            </w:pPr>
            <w:r>
              <w:rPr>
                <w:rFonts w:hint="eastAsia" w:cs="Calibri Light" w:asciiTheme="minorEastAsia" w:hAnsiTheme="minorEastAsia"/>
                <w:kern w:val="2"/>
                <w:sz w:val="21"/>
                <w:szCs w:val="21"/>
              </w:rPr>
              <w:t>35人</w:t>
            </w:r>
          </w:p>
        </w:tc>
      </w:tr>
    </w:tbl>
    <w:p w14:paraId="7F9EA235">
      <w:pPr>
        <w:widowControl w:val="0"/>
        <w:ind w:firstLine="480" w:firstLineChars="200"/>
        <w:jc w:val="both"/>
        <w:rPr>
          <w:rFonts w:cs="仿宋" w:asciiTheme="minorEastAsia" w:hAnsiTheme="minorEastAsia"/>
          <w:b/>
          <w:bCs/>
          <w:kern w:val="2"/>
        </w:rPr>
      </w:pPr>
      <w:r>
        <w:rPr>
          <w:rFonts w:hint="eastAsia" w:cs="仿宋" w:asciiTheme="minorEastAsia" w:hAnsiTheme="minorEastAsia"/>
          <w:b/>
          <w:bCs/>
          <w:kern w:val="2"/>
        </w:rPr>
        <w:t>人员配置说明：</w:t>
      </w:r>
    </w:p>
    <w:p w14:paraId="7033C24B">
      <w:pPr>
        <w:widowControl w:val="0"/>
        <w:ind w:firstLine="480" w:firstLineChars="200"/>
        <w:jc w:val="both"/>
        <w:rPr>
          <w:rFonts w:cs="仿宋" w:asciiTheme="minorEastAsia" w:hAnsiTheme="minorEastAsia"/>
          <w:b/>
          <w:bCs/>
          <w:kern w:val="2"/>
        </w:rPr>
      </w:pPr>
      <w:r>
        <w:rPr>
          <w:rFonts w:hint="eastAsia" w:cs="仿宋" w:asciiTheme="minorEastAsia" w:hAnsiTheme="minorEastAsia"/>
          <w:kern w:val="2"/>
        </w:rPr>
        <w:t>（1）结合本项目情况配置项目经理1名，负责与采购人领导进行对接，负责日常各类行政办公事务的协调处理。</w:t>
      </w:r>
    </w:p>
    <w:p w14:paraId="0CB1BA13">
      <w:pPr>
        <w:widowControl w:val="0"/>
        <w:ind w:firstLine="480" w:firstLineChars="200"/>
        <w:jc w:val="both"/>
        <w:rPr>
          <w:rFonts w:cs="仿宋" w:asciiTheme="minorEastAsia" w:hAnsiTheme="minorEastAsia"/>
          <w:kern w:val="2"/>
        </w:rPr>
      </w:pPr>
      <w:r>
        <w:rPr>
          <w:rFonts w:cs="仿宋" w:asciiTheme="minorEastAsia" w:hAnsiTheme="minorEastAsia"/>
          <w:kern w:val="2"/>
        </w:rPr>
        <w:t>（</w:t>
      </w:r>
      <w:r>
        <w:rPr>
          <w:rFonts w:hint="eastAsia" w:cs="仿宋" w:asciiTheme="minorEastAsia" w:hAnsiTheme="minorEastAsia"/>
          <w:kern w:val="2"/>
        </w:rPr>
        <w:t>2</w:t>
      </w:r>
      <w:r>
        <w:rPr>
          <w:rFonts w:cs="仿宋" w:asciiTheme="minorEastAsia" w:hAnsiTheme="minorEastAsia"/>
          <w:kern w:val="2"/>
        </w:rPr>
        <w:t>）</w:t>
      </w:r>
      <w:r>
        <w:rPr>
          <w:rFonts w:hint="eastAsia" w:cs="仿宋" w:asciiTheme="minorEastAsia" w:hAnsiTheme="minorEastAsia"/>
          <w:kern w:val="2"/>
        </w:rPr>
        <w:t>楼内保洁8名，行政办公楼共计2栋，室内面积3576㎡，东西办公楼分别各三层。楼内入户及室内公区共配置8名保洁员，公共区域保洁3名，入户保洁4名，结合行政办公类服务业态，入户需双岗进行保洁作业。另配置换休保洁1名。主要负责各领导办公室内部及室内公共区域环境卫生清扫。</w:t>
      </w:r>
    </w:p>
    <w:p w14:paraId="193C2413">
      <w:pPr>
        <w:widowControl w:val="0"/>
        <w:ind w:left="420"/>
        <w:jc w:val="both"/>
        <w:rPr>
          <w:rFonts w:cs="仿宋" w:asciiTheme="minorEastAsia" w:hAnsiTheme="minorEastAsia"/>
          <w:kern w:val="2"/>
        </w:rPr>
      </w:pPr>
      <w:r>
        <w:rPr>
          <w:rFonts w:cs="仿宋" w:asciiTheme="minorEastAsia" w:hAnsiTheme="minorEastAsia"/>
          <w:kern w:val="2"/>
        </w:rPr>
        <w:t>（</w:t>
      </w:r>
      <w:r>
        <w:rPr>
          <w:rFonts w:hint="eastAsia" w:cs="仿宋" w:asciiTheme="minorEastAsia" w:hAnsiTheme="minorEastAsia"/>
          <w:kern w:val="2"/>
        </w:rPr>
        <w:t>3</w:t>
      </w:r>
      <w:r>
        <w:rPr>
          <w:rFonts w:cs="仿宋" w:asciiTheme="minorEastAsia" w:hAnsiTheme="minorEastAsia"/>
          <w:kern w:val="2"/>
        </w:rPr>
        <w:t>）</w:t>
      </w:r>
      <w:r>
        <w:rPr>
          <w:rFonts w:hint="eastAsia" w:cs="仿宋" w:asciiTheme="minorEastAsia" w:hAnsiTheme="minorEastAsia"/>
          <w:kern w:val="2"/>
        </w:rPr>
        <w:t>楼外保洁2名，室外面积约1万平米 ，共配置2名保洁（含换休1人）。</w:t>
      </w:r>
    </w:p>
    <w:p w14:paraId="3340B715">
      <w:pPr>
        <w:widowControl w:val="0"/>
        <w:ind w:firstLine="480" w:firstLineChars="200"/>
        <w:jc w:val="both"/>
        <w:rPr>
          <w:rFonts w:cs="仿宋" w:asciiTheme="minorEastAsia" w:hAnsiTheme="minorEastAsia"/>
          <w:kern w:val="2"/>
        </w:rPr>
      </w:pPr>
      <w:r>
        <w:rPr>
          <w:rFonts w:hint="eastAsia" w:cs="仿宋" w:asciiTheme="minorEastAsia" w:hAnsiTheme="minorEastAsia"/>
          <w:kern w:val="2"/>
        </w:rPr>
        <w:t>（4）秩序维护员10名，均为男性，配置1名班长。门岗三班倒，每班配置4名秩序维护员；夜班配置3名巡逻员；调休人员2名。★所有秩序维护员均需持有《保安员证》（供应商在投标时提供相应证件扫描件）。</w:t>
      </w:r>
    </w:p>
    <w:p w14:paraId="54BC73B9">
      <w:pPr>
        <w:widowControl w:val="0"/>
        <w:ind w:firstLine="480" w:firstLineChars="200"/>
        <w:jc w:val="both"/>
        <w:rPr>
          <w:rFonts w:cs="仿宋" w:asciiTheme="minorEastAsia" w:hAnsiTheme="minorEastAsia"/>
          <w:kern w:val="2"/>
        </w:rPr>
      </w:pPr>
      <w:r>
        <w:rPr>
          <w:rFonts w:hint="eastAsia" w:cs="仿宋" w:asciiTheme="minorEastAsia" w:hAnsiTheme="minorEastAsia"/>
          <w:kern w:val="2"/>
        </w:rPr>
        <w:t>（5）维修工4名，负责管理区域内的日常维修受理。依照相关管理部门要求，带电工作应双人作业，高低压电工各1名，★1人持有《特种作业操作证（低压电工作业）》，★1人持有《特种作业操作证（高压电工作业）》（供应商在投标时提供相应证件扫描件）。水工1名。★综合维修工1名兼职锅炉工作，持有《特种设备安全管理和作业人员证（项目代号G）》（供应商在投标时提供相应证件扫描件）。</w:t>
      </w:r>
    </w:p>
    <w:p w14:paraId="5CB06AE7">
      <w:pPr>
        <w:widowControl w:val="0"/>
        <w:ind w:firstLine="480" w:firstLineChars="200"/>
        <w:jc w:val="both"/>
        <w:rPr>
          <w:rFonts w:cs="仿宋" w:asciiTheme="minorEastAsia" w:hAnsiTheme="minorEastAsia"/>
          <w:kern w:val="2"/>
        </w:rPr>
      </w:pPr>
      <w:r>
        <w:rPr>
          <w:rFonts w:hint="eastAsia" w:cs="仿宋" w:asciiTheme="minorEastAsia" w:hAnsiTheme="minorEastAsia"/>
          <w:kern w:val="2"/>
        </w:rPr>
        <w:t>（6）绿化工4名，绿化面积6500㎡ ，配置2名作业人员，负责管理区域内绿植日常养护，具有2年及以上工作经验（需出具加盖被服务单位章的证明材料或出具承诺函）。</w:t>
      </w:r>
    </w:p>
    <w:p w14:paraId="770212EE">
      <w:pPr>
        <w:widowControl w:val="0"/>
        <w:ind w:firstLine="480" w:firstLineChars="200"/>
        <w:jc w:val="both"/>
        <w:rPr>
          <w:rFonts w:asciiTheme="minorEastAsia" w:hAnsiTheme="minorEastAsia"/>
          <w:kern w:val="2"/>
        </w:rPr>
      </w:pPr>
      <w:r>
        <w:rPr>
          <w:rFonts w:hint="eastAsia" w:cs="仿宋" w:asciiTheme="minorEastAsia" w:hAnsiTheme="minorEastAsia"/>
          <w:kern w:val="2"/>
        </w:rPr>
        <w:t>（7）</w:t>
      </w:r>
      <w:r>
        <w:rPr>
          <w:rFonts w:asciiTheme="minorEastAsia" w:hAnsiTheme="minorEastAsia"/>
          <w:kern w:val="2"/>
        </w:rPr>
        <w:t>仓库保管员2人，</w:t>
      </w:r>
      <w:r>
        <w:rPr>
          <w:rFonts w:hint="eastAsia" w:asciiTheme="minorEastAsia" w:hAnsiTheme="minorEastAsia"/>
          <w:kern w:val="2"/>
        </w:rPr>
        <w:t>主要负责物资发放管理，仓库日常运维，台账与对接工作。</w:t>
      </w:r>
    </w:p>
    <w:p w14:paraId="259D2DB2">
      <w:pPr>
        <w:widowControl w:val="0"/>
        <w:ind w:firstLine="480" w:firstLineChars="200"/>
        <w:jc w:val="both"/>
        <w:rPr>
          <w:rFonts w:asciiTheme="minorEastAsia" w:hAnsiTheme="minorEastAsia"/>
          <w:kern w:val="2"/>
        </w:rPr>
      </w:pPr>
      <w:r>
        <w:rPr>
          <w:rFonts w:hint="eastAsia" w:cs="仿宋" w:asciiTheme="minorEastAsia" w:hAnsiTheme="minorEastAsia"/>
          <w:kern w:val="2"/>
        </w:rPr>
        <w:t>（8）</w:t>
      </w:r>
      <w:r>
        <w:rPr>
          <w:rFonts w:asciiTheme="minorEastAsia" w:hAnsiTheme="minorEastAsia"/>
          <w:kern w:val="2"/>
        </w:rPr>
        <w:t>会议服务员4人，</w:t>
      </w:r>
      <w:r>
        <w:rPr>
          <w:rFonts w:hint="eastAsia" w:asciiTheme="minorEastAsia" w:hAnsiTheme="minorEastAsia"/>
          <w:kern w:val="2"/>
        </w:rPr>
        <w:t>主要负责会签筹备工作、会中服务、会后收尾工作（</w:t>
      </w:r>
      <w:r>
        <w:rPr>
          <w:rFonts w:hint="eastAsia" w:cs="仿宋" w:asciiTheme="minorEastAsia" w:hAnsiTheme="minorEastAsia"/>
          <w:kern w:val="2"/>
        </w:rPr>
        <w:t>含换休1人</w:t>
      </w:r>
      <w:r>
        <w:rPr>
          <w:rFonts w:hint="eastAsia" w:asciiTheme="minorEastAsia" w:hAnsiTheme="minorEastAsia"/>
          <w:kern w:val="2"/>
        </w:rPr>
        <w:t>）。</w:t>
      </w:r>
    </w:p>
    <w:p w14:paraId="1C8888A0">
      <w:pPr>
        <w:pStyle w:val="3"/>
        <w:jc w:val="both"/>
      </w:pPr>
      <w:r>
        <w:rPr>
          <w:rFonts w:hint="eastAsia"/>
        </w:rPr>
        <w:t>四、商务要求</w:t>
      </w:r>
    </w:p>
    <w:p w14:paraId="4AFB38D8">
      <w:pPr>
        <w:ind w:firstLine="480" w:firstLineChars="200"/>
        <w:jc w:val="both"/>
      </w:pPr>
      <w:r>
        <w:rPr>
          <w:rFonts w:hint="eastAsia"/>
        </w:rPr>
        <w:t>（一）服务期：自合同签订之日起三年，合同一年一签。</w:t>
      </w:r>
    </w:p>
    <w:p w14:paraId="22C0A404">
      <w:pPr>
        <w:ind w:firstLine="480" w:firstLineChars="200"/>
        <w:jc w:val="both"/>
      </w:pPr>
      <w:r>
        <w:rPr>
          <w:rFonts w:hint="eastAsia"/>
        </w:rPr>
        <w:t>（二）本项目服务人员工资不得低于西安市最低工资标准。</w:t>
      </w:r>
    </w:p>
    <w:p w14:paraId="49D7F725">
      <w:pPr>
        <w:ind w:firstLine="480" w:firstLineChars="200"/>
        <w:jc w:val="both"/>
      </w:pPr>
      <w:r>
        <w:rPr>
          <w:rFonts w:hint="eastAsia"/>
        </w:rPr>
        <w:t>（三）合同期内，中标供应商违反劳动法或其他相关法律法规造成恶劣影响，或未按时足额发放员工资影响恶劣的，采购人有权终止合同，经济损失和法律责任由中标供应商承担。</w:t>
      </w:r>
    </w:p>
    <w:p w14:paraId="3BAC8AFA">
      <w:pPr>
        <w:ind w:firstLine="480" w:firstLineChars="200"/>
        <w:jc w:val="both"/>
      </w:pPr>
      <w:r>
        <w:t>（四）</w:t>
      </w:r>
      <w:r>
        <w:rPr>
          <w:rFonts w:hint="eastAsia"/>
        </w:rPr>
        <w:t>款项结算：合同签订后每半年结算一次。</w:t>
      </w:r>
    </w:p>
    <w:p w14:paraId="5606D562">
      <w:pPr>
        <w:pStyle w:val="81"/>
        <w:ind w:firstLine="0" w:firstLineChars="0"/>
        <w:rPr>
          <w:rFonts w:ascii="黑体" w:hAnsi="黑体" w:eastAsia="黑体"/>
          <w:sz w:val="28"/>
          <w:szCs w:val="28"/>
        </w:rPr>
      </w:pPr>
    </w:p>
    <w:p w14:paraId="18B743A6">
      <w:pPr>
        <w:pStyle w:val="81"/>
        <w:ind w:firstLine="0" w:firstLineChars="0"/>
        <w:rPr>
          <w:rFonts w:ascii="黑体" w:hAnsi="黑体" w:eastAsia="黑体"/>
          <w:sz w:val="28"/>
          <w:szCs w:val="28"/>
        </w:rPr>
      </w:pPr>
      <w:r>
        <w:rPr>
          <w:rFonts w:hint="eastAsia" w:ascii="黑体" w:hAnsi="黑体" w:eastAsia="黑体"/>
          <w:sz w:val="28"/>
          <w:szCs w:val="28"/>
        </w:rPr>
        <w:t>五、需要说明的其他事项</w:t>
      </w:r>
    </w:p>
    <w:p w14:paraId="4D69D9B7">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（一）中标供应商需每年（2026年度、2027年度、2028年度）保障单位生活污水处理及垃圾处置费用共44万元。</w:t>
      </w:r>
    </w:p>
    <w:p w14:paraId="70D217CC">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（二）中标供应商需每年（2026年度、2027年度、2028年度）保障锅炉和井水净化设备维护费用20万元。</w:t>
      </w:r>
    </w:p>
    <w:p w14:paraId="46E7D08A">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 xml:space="preserve">★注：投标供应商需对上述两项内容作出承诺，承诺函格式自拟。      </w:t>
      </w:r>
    </w:p>
    <w:p w14:paraId="46381978">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（三）零星维修材料费用</w:t>
      </w:r>
    </w:p>
    <w:p w14:paraId="7135FA8A">
      <w:pPr>
        <w:ind w:firstLine="480" w:firstLineChars="200"/>
        <w:jc w:val="both"/>
        <w:rPr>
          <w:rFonts w:ascii="Calibri" w:hAnsi="Calibri" w:eastAsia="宋体" w:cs="Calibri"/>
          <w:color w:val="000000"/>
          <w:kern w:val="24"/>
        </w:rPr>
      </w:pPr>
      <w:r>
        <w:rPr>
          <w:rFonts w:ascii="Calibri" w:hAnsi="Calibri" w:eastAsia="宋体" w:cs="Calibri"/>
          <w:color w:val="000000"/>
          <w:kern w:val="24"/>
        </w:rPr>
        <w:t>1、</w:t>
      </w:r>
      <w:r>
        <w:rPr>
          <w:rFonts w:hint="eastAsia" w:ascii="Calibri" w:hAnsi="Calibri" w:eastAsia="宋体" w:cs="Calibri"/>
          <w:color w:val="000000"/>
          <w:kern w:val="24"/>
        </w:rPr>
        <w:t>涉及以下情形的，相关费用包含在物业管理服务采购合同金额之内，由供应商承担：单项单次200元及以下（明确涉及的零星维修材料以及关于费用方面的规定）。</w:t>
      </w:r>
    </w:p>
    <w:p w14:paraId="3ED97A31">
      <w:pPr>
        <w:ind w:firstLine="480" w:firstLineChars="200"/>
        <w:jc w:val="both"/>
        <w:rPr>
          <w:rFonts w:ascii="Calibri" w:hAnsi="Calibri" w:eastAsia="宋体" w:cs="Calibri"/>
          <w:color w:val="000000"/>
          <w:kern w:val="24"/>
        </w:rPr>
      </w:pPr>
      <w:r>
        <w:rPr>
          <w:rFonts w:ascii="Calibri" w:hAnsi="Calibri" w:eastAsia="宋体" w:cs="Calibri"/>
          <w:color w:val="000000"/>
          <w:kern w:val="24"/>
        </w:rPr>
        <w:t>2、</w:t>
      </w:r>
      <w:r>
        <w:rPr>
          <w:rFonts w:hint="eastAsia" w:ascii="Calibri" w:hAnsi="Calibri" w:eastAsia="宋体" w:cs="Calibri"/>
          <w:color w:val="000000"/>
          <w:kern w:val="24"/>
        </w:rPr>
        <w:t>涉及以下情形的，由采购人承担：单项单次200元以上（明确涉及的零星维修材料以及关于费用方面的规定）。</w:t>
      </w:r>
    </w:p>
    <w:p w14:paraId="38317F98">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（四）低值易耗品费用</w:t>
      </w:r>
    </w:p>
    <w:p w14:paraId="5DF8C33B">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涉及以下情形的，相关费用包含在物业管理服务采购合同金额之内，由供应商承担：擦手纸、中心抽大盘纸、保洁耗材（百洁布、尘推油、拖地花露水、垃圾袋、84消毒液、线手套、洗衣粉、除胶剂、洁厕剂、工业盐、橡胶手套、去污粉、草酸、芳香球、肥皂）、洗衣液、漱口水、香薰、牙线、卫生间皮筋、棉签、枪手杀虫剂、保洁工具（拖把、尘推、刮水器、竹扫把、套扫、推雪铲、马桶刷、云石铲刀）、物资（水龙头、油漆、停车警示牌、水管、云石胶、洒水器、阀门、铁丝、管钳、钻头、雨鞋、锯片、角磨片、切割片、膨胀螺丝、漏电保护器、插座、开关、石灰粉）、灯具、清洗设备（洗地机、冲洗机、割草机）、安防工具（强光手电、反光背心、防身报警器、防护pc棍、防护服、防爆盾牌、防割手套、防爆钢叉、脚叉、防爆装备组合架、保安头盔、警戒带）等。</w:t>
      </w:r>
    </w:p>
    <w:p w14:paraId="2B66A68C">
      <w:pPr>
        <w:ind w:firstLine="480" w:firstLineChars="200"/>
        <w:jc w:val="both"/>
        <w:rPr>
          <w:rFonts w:ascii="Calibri" w:hAnsi="Calibri" w:eastAsia="宋体" w:cs="Calibri"/>
          <w:color w:val="000000"/>
          <w:kern w:val="24"/>
        </w:rPr>
      </w:pPr>
      <w:r>
        <w:rPr>
          <w:rFonts w:hint="eastAsia" w:ascii="Calibri" w:hAnsi="Calibri" w:eastAsia="宋体" w:cs="Calibri"/>
          <w:color w:val="000000"/>
          <w:kern w:val="24"/>
        </w:rPr>
        <w:t>注：本款涉及的零星维修材料、低值易耗品、苗木、客耗品等费用，不论是由供应商，还是采购人承担，涉及的相关服务由供应商承担，服务费用包含在物业服务项目合同金额之内。</w:t>
      </w:r>
    </w:p>
    <w:p w14:paraId="220B5AB6">
      <w:pPr>
        <w:pStyle w:val="81"/>
        <w:ind w:firstLine="480"/>
      </w:pPr>
    </w:p>
    <w:p w14:paraId="64BE593B">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1" w:name="_Toc148453731"/>
      <w:bookmarkStart w:id="12" w:name="_Toc211437470"/>
      <w:r>
        <w:rPr>
          <w:rFonts w:hint="eastAsia"/>
        </w:rPr>
        <w:t>第四章　合同</w:t>
      </w:r>
      <w:bookmarkEnd w:id="11"/>
      <w:r>
        <w:rPr>
          <w:rFonts w:hint="eastAsia"/>
        </w:rPr>
        <w:t>文本</w:t>
      </w:r>
      <w:bookmarkEnd w:id="12"/>
    </w:p>
    <w:p w14:paraId="41F60992">
      <w:pPr>
        <w:jc w:val="center"/>
        <w:rPr>
          <w:color w:val="C00000"/>
        </w:rPr>
      </w:pPr>
      <w:r>
        <w:rPr>
          <w:color w:val="C00000"/>
        </w:rPr>
        <w:t>（本合同为中小企业预留合同）</w:t>
      </w:r>
    </w:p>
    <w:p w14:paraId="1562BB7D">
      <w:pPr>
        <w:spacing w:before="230" w:beforeLines="50"/>
        <w:ind w:firstLine="480" w:firstLineChars="200"/>
        <w:jc w:val="both"/>
        <w:rPr>
          <w:rFonts w:ascii="Calibri" w:hAnsi="Calibri" w:eastAsia="宋体"/>
          <w:b/>
        </w:rPr>
      </w:pPr>
      <w:r>
        <w:rPr>
          <w:rFonts w:ascii="Calibri" w:hAnsi="Calibri" w:eastAsia="宋体"/>
          <w:b/>
        </w:rPr>
        <w:t>甲方（采购人）：</w:t>
      </w:r>
      <w:r>
        <w:rPr>
          <w:rFonts w:ascii="Calibri" w:hAnsi="Calibri" w:eastAsia="宋体"/>
          <w:b/>
          <w:color w:val="C00000"/>
          <w:u w:val="single"/>
        </w:rPr>
        <w:t>〈采购人〉</w:t>
      </w:r>
    </w:p>
    <w:p w14:paraId="07BF62E9">
      <w:pPr>
        <w:ind w:firstLine="480" w:firstLineChars="200"/>
        <w:jc w:val="both"/>
        <w:rPr>
          <w:rFonts w:ascii="Calibri" w:hAnsi="Calibri" w:eastAsia="宋体"/>
          <w:b/>
        </w:rPr>
      </w:pPr>
      <w:r>
        <w:rPr>
          <w:rFonts w:ascii="Calibri" w:hAnsi="Calibri" w:eastAsia="宋体"/>
          <w:b/>
        </w:rPr>
        <w:t>乙方（中标供应商）：</w:t>
      </w:r>
      <w:r>
        <w:rPr>
          <w:rFonts w:ascii="Calibri" w:hAnsi="Calibri" w:eastAsia="宋体"/>
          <w:color w:val="C00000"/>
        </w:rPr>
        <w:t>_________________</w:t>
      </w:r>
    </w:p>
    <w:p w14:paraId="54423679">
      <w:pPr>
        <w:spacing w:before="230" w:beforeLines="50"/>
        <w:jc w:val="both"/>
        <w:rPr>
          <w:rFonts w:ascii="Calibri" w:hAnsi="Calibri" w:eastAsia="宋体" w:cs="Calibri Light"/>
          <w:b/>
        </w:rPr>
      </w:pPr>
      <w:r>
        <w:rPr>
          <w:rFonts w:ascii="Calibri" w:hAnsi="Calibri" w:eastAsia="宋体" w:cs="Calibri Light"/>
          <w:b/>
        </w:rPr>
        <w:t>一、服务条件：</w:t>
      </w:r>
    </w:p>
    <w:p w14:paraId="0B3091C8">
      <w:pPr>
        <w:wordWrap w:val="0"/>
        <w:ind w:firstLine="480" w:firstLineChars="200"/>
        <w:jc w:val="both"/>
        <w:rPr>
          <w:rFonts w:ascii="Calibri" w:hAnsi="Calibri" w:eastAsia="宋体"/>
        </w:rPr>
      </w:pPr>
      <w:r>
        <w:rPr>
          <w:rFonts w:ascii="Calibri" w:hAnsi="Calibri" w:eastAsia="宋体"/>
        </w:rPr>
        <w:t>（一）服务地点：甲方指定地点。</w:t>
      </w:r>
    </w:p>
    <w:p w14:paraId="6155669E">
      <w:pPr>
        <w:wordWrap w:val="0"/>
        <w:ind w:firstLine="480" w:firstLineChars="200"/>
        <w:jc w:val="both"/>
        <w:rPr>
          <w:rFonts w:ascii="Calibri" w:hAnsi="Calibri" w:eastAsia="宋体"/>
        </w:rPr>
      </w:pPr>
      <w:r>
        <w:rPr>
          <w:rFonts w:ascii="Calibri" w:hAnsi="Calibri" w:eastAsia="宋体"/>
        </w:rPr>
        <w:t>（二）服务内容：见本项目招标文件</w:t>
      </w:r>
    </w:p>
    <w:p w14:paraId="244EA7BF">
      <w:pPr>
        <w:wordWrap w:val="0"/>
        <w:ind w:firstLine="480" w:firstLineChars="200"/>
        <w:jc w:val="both"/>
        <w:rPr>
          <w:rFonts w:ascii="Calibri" w:hAnsi="Calibri" w:eastAsia="宋体"/>
        </w:rPr>
      </w:pPr>
      <w:r>
        <w:rPr>
          <w:rFonts w:ascii="Calibri" w:hAnsi="Calibri" w:eastAsia="宋体"/>
        </w:rPr>
        <w:t>（三）服务期：_______________</w:t>
      </w:r>
    </w:p>
    <w:p w14:paraId="788616E3">
      <w:pPr>
        <w:spacing w:before="230" w:beforeLines="50"/>
        <w:jc w:val="both"/>
        <w:rPr>
          <w:rFonts w:ascii="Calibri" w:hAnsi="Calibri" w:eastAsia="宋体" w:cs="Calibri Light"/>
          <w:b/>
        </w:rPr>
      </w:pPr>
      <w:r>
        <w:rPr>
          <w:rFonts w:ascii="Calibri" w:hAnsi="Calibri" w:eastAsia="宋体" w:cs="Calibri Light"/>
          <w:b/>
        </w:rPr>
        <w:t>二、合同价款</w:t>
      </w:r>
    </w:p>
    <w:p w14:paraId="4B28EDC3">
      <w:pPr>
        <w:ind w:firstLine="480" w:firstLineChars="200"/>
        <w:jc w:val="both"/>
        <w:rPr>
          <w:rFonts w:ascii="Calibri" w:hAnsi="Calibri" w:eastAsia="宋体"/>
        </w:rPr>
      </w:pPr>
      <w:r>
        <w:rPr>
          <w:rFonts w:ascii="Calibri" w:hAnsi="Calibri" w:eastAsia="宋体"/>
        </w:rPr>
        <w:t>（一）本合同项下总价款为人民币_________元（小写，精确到小数点后两位），即__________（大写）。合同履行期间，合同总价固定不变，不受市场价格变化因素的影响。</w:t>
      </w:r>
    </w:p>
    <w:p w14:paraId="7C362FDF">
      <w:pPr>
        <w:ind w:firstLine="480" w:firstLineChars="200"/>
        <w:jc w:val="both"/>
        <w:rPr>
          <w:rFonts w:ascii="Calibri" w:hAnsi="Calibri" w:eastAsia="宋体"/>
        </w:rPr>
      </w:pPr>
      <w:r>
        <w:rPr>
          <w:rFonts w:ascii="Calibri" w:hAnsi="Calibri" w:eastAsia="宋体"/>
        </w:rPr>
        <w:t>（二）</w:t>
      </w:r>
      <w:r>
        <w:rPr>
          <w:rFonts w:hint="eastAsia" w:ascii="Calibri" w:hAnsi="Calibri" w:eastAsia="宋体"/>
        </w:rPr>
        <w:t>合同总价包括管理人员和服务人员的人工费（工资、社保、福利等）、节假日加班费、员工培训费、办公经费、员工食宿费、清洁材料、工具、劳保及人身意外保险费、设备设施维护费、企业法定利润、财务费用、管理费用和税金等完成本项目所需的一切费用。其中，人员的工资、社保、福利等必须符合国家及省、市相关法律法规所规定的标准要求。</w:t>
      </w:r>
      <w:r>
        <w:rPr>
          <w:rFonts w:ascii="Calibri" w:hAnsi="Calibri" w:eastAsia="宋体"/>
        </w:rPr>
        <w:t>甲方不再额外承担其他任何费用。</w:t>
      </w:r>
    </w:p>
    <w:p w14:paraId="45D77CA4">
      <w:pPr>
        <w:spacing w:before="230" w:beforeLines="50"/>
        <w:jc w:val="both"/>
        <w:rPr>
          <w:rFonts w:ascii="Calibri" w:hAnsi="Calibri" w:eastAsia="宋体" w:cs="Calibri Light"/>
          <w:b/>
        </w:rPr>
      </w:pPr>
      <w:r>
        <w:rPr>
          <w:rFonts w:ascii="Calibri" w:hAnsi="Calibri" w:eastAsia="宋体" w:cs="Calibri Light"/>
          <w:b/>
        </w:rPr>
        <w:t>三、款项结算</w:t>
      </w:r>
    </w:p>
    <w:p w14:paraId="76D57884">
      <w:pPr>
        <w:wordWrap w:val="0"/>
        <w:ind w:firstLine="480" w:firstLineChars="200"/>
        <w:jc w:val="both"/>
        <w:rPr>
          <w:rFonts w:ascii="Calibri" w:hAnsi="Calibri" w:eastAsia="宋体"/>
        </w:rPr>
      </w:pPr>
      <w:r>
        <w:rPr>
          <w:rFonts w:ascii="Calibri" w:hAnsi="Calibri" w:eastAsia="宋体"/>
        </w:rPr>
        <w:t>（一）付款进度：</w:t>
      </w:r>
    </w:p>
    <w:p w14:paraId="767D5118">
      <w:pPr>
        <w:wordWrap w:val="0"/>
        <w:ind w:firstLine="480" w:firstLineChars="200"/>
        <w:jc w:val="both"/>
        <w:rPr>
          <w:rFonts w:ascii="Calibri" w:hAnsi="Calibri" w:eastAsia="宋体"/>
          <w:sz w:val="28"/>
          <w:szCs w:val="28"/>
        </w:rPr>
      </w:pPr>
      <w:r>
        <w:rPr>
          <w:rFonts w:ascii="Calibri" w:hAnsi="Calibri" w:eastAsia="宋体"/>
        </w:rPr>
        <w:t>每半年结算一次。收到发票后10</w:t>
      </w:r>
      <w:r>
        <w:rPr>
          <w:rFonts w:hint="eastAsia" w:ascii="Calibri" w:hAnsi="Calibri" w:eastAsia="宋体"/>
        </w:rPr>
        <w:t>个工作</w:t>
      </w:r>
      <w:r>
        <w:rPr>
          <w:rFonts w:ascii="Calibri" w:hAnsi="Calibri" w:eastAsia="宋体"/>
        </w:rPr>
        <w:t>日内结算应付款。</w:t>
      </w:r>
    </w:p>
    <w:p w14:paraId="409CEA59">
      <w:pPr>
        <w:wordWrap w:val="0"/>
        <w:ind w:firstLine="480" w:firstLineChars="200"/>
        <w:jc w:val="both"/>
        <w:rPr>
          <w:rFonts w:ascii="Calibri" w:hAnsi="Calibri" w:eastAsia="宋体"/>
        </w:rPr>
      </w:pPr>
      <w:r>
        <w:rPr>
          <w:rFonts w:ascii="Calibri" w:hAnsi="Calibri" w:eastAsia="宋体"/>
        </w:rPr>
        <w:t>（二）支付方式：银行转账。</w:t>
      </w:r>
    </w:p>
    <w:p w14:paraId="5ED73012">
      <w:pPr>
        <w:wordWrap w:val="0"/>
        <w:ind w:firstLine="480" w:firstLineChars="200"/>
        <w:jc w:val="both"/>
        <w:rPr>
          <w:rFonts w:ascii="Calibri" w:hAnsi="Calibri" w:eastAsia="宋体"/>
        </w:rPr>
      </w:pPr>
      <w:r>
        <w:rPr>
          <w:rFonts w:ascii="Calibri" w:hAnsi="Calibri" w:eastAsia="宋体"/>
        </w:rPr>
        <w:t>名  称：_____________________</w:t>
      </w:r>
    </w:p>
    <w:p w14:paraId="005C1748">
      <w:pPr>
        <w:wordWrap w:val="0"/>
        <w:ind w:firstLine="480" w:firstLineChars="200"/>
        <w:jc w:val="both"/>
        <w:rPr>
          <w:rFonts w:ascii="Calibri" w:hAnsi="Calibri" w:eastAsia="宋体"/>
        </w:rPr>
      </w:pPr>
      <w:r>
        <w:rPr>
          <w:rFonts w:ascii="Calibri" w:hAnsi="Calibri" w:eastAsia="宋体"/>
        </w:rPr>
        <w:t>开户行：_____________________</w:t>
      </w:r>
    </w:p>
    <w:p w14:paraId="67F5D87B">
      <w:pPr>
        <w:wordWrap w:val="0"/>
        <w:ind w:firstLine="480" w:firstLineChars="200"/>
        <w:jc w:val="both"/>
        <w:rPr>
          <w:rFonts w:ascii="Calibri" w:hAnsi="Calibri" w:eastAsia="宋体"/>
        </w:rPr>
      </w:pPr>
      <w:r>
        <w:rPr>
          <w:rFonts w:ascii="Calibri" w:hAnsi="Calibri" w:eastAsia="宋体"/>
        </w:rPr>
        <w:t>账  号：_____________________</w:t>
      </w:r>
    </w:p>
    <w:p w14:paraId="5D7ED0C8">
      <w:pPr>
        <w:wordWrap w:val="0"/>
        <w:ind w:firstLine="480" w:firstLineChars="200"/>
        <w:jc w:val="both"/>
        <w:rPr>
          <w:rFonts w:ascii="Calibri" w:hAnsi="Calibri" w:eastAsia="宋体"/>
        </w:rPr>
      </w:pPr>
      <w:r>
        <w:rPr>
          <w:rFonts w:ascii="Calibri" w:hAnsi="Calibri" w:eastAsia="宋体"/>
        </w:rPr>
        <w:t>甲方仅认可上述指定账户并向该账户付款。否则甲方有权拒绝向指定账户之外的任何账户付款，并且由此导致的付款延迟责任由乙方承担。</w:t>
      </w:r>
    </w:p>
    <w:p w14:paraId="651C78AC">
      <w:pPr>
        <w:wordWrap w:val="0"/>
        <w:spacing w:line="400" w:lineRule="exact"/>
        <w:ind w:firstLine="480" w:firstLineChars="200"/>
        <w:jc w:val="both"/>
        <w:rPr>
          <w:rFonts w:ascii="Calibri" w:hAnsi="Calibri" w:eastAsia="宋体"/>
        </w:rPr>
      </w:pPr>
      <w:r>
        <w:rPr>
          <w:rFonts w:ascii="Calibri" w:hAnsi="Calibri" w:eastAsia="宋体"/>
        </w:rPr>
        <w:t>（三）结算方式：乙方持中标通知书、政府采购合同、发票、政府采购项目验收单，与甲方结算。</w:t>
      </w:r>
    </w:p>
    <w:p w14:paraId="104E4D88">
      <w:pPr>
        <w:wordWrap w:val="0"/>
        <w:ind w:firstLine="480" w:firstLineChars="200"/>
        <w:jc w:val="both"/>
        <w:rPr>
          <w:rFonts w:ascii="Calibri" w:hAnsi="Calibri" w:eastAsia="宋体"/>
        </w:rPr>
      </w:pPr>
      <w:r>
        <w:rPr>
          <w:rFonts w:ascii="Calibri" w:hAnsi="Calibri" w:eastAsia="宋体"/>
        </w:rPr>
        <w:t>乙方要如实开具发票，不得变更开票内容，乙方开具发票出现税务争议时，乙方需承担税款、滞纳金、罚款等赔偿责任以及其他相关责任。</w:t>
      </w:r>
    </w:p>
    <w:p w14:paraId="2701153A">
      <w:pPr>
        <w:spacing w:before="230" w:beforeLines="50"/>
        <w:jc w:val="both"/>
        <w:rPr>
          <w:rFonts w:ascii="Calibri" w:hAnsi="Calibri" w:eastAsia="宋体" w:cs="Calibri Light"/>
          <w:b/>
        </w:rPr>
      </w:pPr>
      <w:r>
        <w:rPr>
          <w:rFonts w:hint="eastAsia" w:ascii="Calibri" w:hAnsi="Calibri" w:eastAsia="宋体" w:cs="Calibri Light"/>
          <w:b/>
        </w:rPr>
        <w:t>三、服务保证</w:t>
      </w:r>
    </w:p>
    <w:p w14:paraId="6F981C19">
      <w:pPr>
        <w:ind w:firstLine="480" w:firstLineChars="200"/>
        <w:jc w:val="both"/>
        <w:rPr>
          <w:rFonts w:ascii="Calibri" w:hAnsi="Calibri" w:eastAsia="宋体" w:cs="Calibri Light"/>
          <w:b/>
        </w:rPr>
      </w:pPr>
      <w:r>
        <w:rPr>
          <w:rFonts w:hint="eastAsia" w:ascii="Calibri" w:hAnsi="Calibri" w:eastAsia="宋体" w:cs="Calibri Light"/>
        </w:rPr>
        <w:t>（一）乙方应提供详细的服务标准和服务承诺，服务标准应当符合国家、行业和地方相关物业服务标准。</w:t>
      </w:r>
      <w:r>
        <w:rPr>
          <w:rFonts w:hint="eastAsia" w:ascii="Calibri" w:hAnsi="Calibri" w:eastAsia="宋体" w:cs="Calibri Light"/>
        </w:rPr>
        <w:cr/>
      </w:r>
      <w:r>
        <w:rPr>
          <w:rFonts w:ascii="Calibri" w:hAnsi="Calibri" w:eastAsia="宋体" w:cs="Calibri Light"/>
        </w:rPr>
        <w:t xml:space="preserve">    </w:t>
      </w:r>
      <w:r>
        <w:rPr>
          <w:rFonts w:hint="eastAsia" w:ascii="Calibri" w:hAnsi="Calibri" w:eastAsia="宋体" w:cs="Calibri Light"/>
        </w:rPr>
        <w:t>（二）在服务期限内，乙方不得干扰或阻碍甲方对该办公区域和公共区域的正常使用。</w:t>
      </w:r>
      <w:r>
        <w:rPr>
          <w:rFonts w:hint="eastAsia" w:ascii="Calibri" w:hAnsi="Calibri" w:eastAsia="宋体" w:cs="Calibri Light"/>
        </w:rPr>
        <w:cr/>
      </w:r>
      <w:r>
        <w:rPr>
          <w:rFonts w:ascii="Calibri" w:hAnsi="Calibri" w:eastAsia="宋体" w:cs="Calibri Light"/>
        </w:rPr>
        <w:t xml:space="preserve">    </w:t>
      </w:r>
      <w:r>
        <w:rPr>
          <w:rFonts w:hint="eastAsia" w:ascii="Calibri" w:hAnsi="Calibri" w:eastAsia="宋体" w:cs="Calibri Light"/>
        </w:rPr>
        <w:t>（三）乙方在提供物业服务时因维修、养护、管理不当或未尽义务，导致甲方或第三方人身损害或财产损失的，应承担全部责任和费用。</w:t>
      </w:r>
      <w:r>
        <w:rPr>
          <w:rFonts w:hint="eastAsia" w:ascii="Calibri" w:hAnsi="Calibri" w:eastAsia="宋体" w:cs="Calibri Light"/>
        </w:rPr>
        <w:cr/>
      </w:r>
      <w:r>
        <w:rPr>
          <w:rFonts w:hint="eastAsia" w:ascii="Calibri" w:hAnsi="Calibri" w:eastAsia="宋体" w:cs="Calibri Light"/>
          <w:b/>
        </w:rPr>
        <w:t>四、验收</w:t>
      </w:r>
      <w:r>
        <w:rPr>
          <w:rFonts w:hint="eastAsia" w:ascii="Calibri" w:hAnsi="Calibri" w:eastAsia="宋体" w:cs="Calibri Light"/>
          <w:b/>
        </w:rPr>
        <w:cr/>
      </w:r>
      <w:r>
        <w:rPr>
          <w:rFonts w:ascii="Calibri" w:hAnsi="Calibri" w:eastAsia="宋体" w:cs="Calibri Light"/>
          <w:b/>
        </w:rPr>
        <w:t xml:space="preserve">    </w:t>
      </w:r>
      <w:r>
        <w:rPr>
          <w:rFonts w:hint="eastAsia" w:ascii="Calibri" w:hAnsi="Calibri" w:eastAsia="宋体" w:cs="Calibri Light"/>
        </w:rPr>
        <w:t>（一）服务期满后，甲方进行验收，确认服务标准和服务方式是否达到采购要求（必要时甲方可委托技术专家对项目进行验收）。验收合格后，填写政府采购项目验收单（一式伍份）作为对项目的最终认可。</w:t>
      </w:r>
      <w:r>
        <w:rPr>
          <w:rFonts w:hint="eastAsia" w:ascii="Calibri" w:hAnsi="Calibri" w:eastAsia="宋体" w:cs="Calibri Light"/>
        </w:rPr>
        <w:cr/>
      </w:r>
      <w:r>
        <w:rPr>
          <w:rFonts w:ascii="Calibri" w:hAnsi="Calibri" w:eastAsia="宋体" w:cs="Calibri Light"/>
        </w:rPr>
        <w:t xml:space="preserve">    </w:t>
      </w:r>
      <w:r>
        <w:rPr>
          <w:rFonts w:hint="eastAsia" w:ascii="Calibri" w:hAnsi="Calibri" w:eastAsia="宋体" w:cs="Calibri Light"/>
        </w:rPr>
        <w:t>（二）验收依据</w:t>
      </w:r>
      <w:r>
        <w:rPr>
          <w:rFonts w:hint="eastAsia" w:ascii="Calibri" w:hAnsi="Calibri" w:eastAsia="宋体" w:cs="Calibri Light"/>
        </w:rPr>
        <w:cr/>
      </w:r>
      <w:r>
        <w:rPr>
          <w:rFonts w:ascii="Calibri" w:hAnsi="Calibri" w:eastAsia="宋体" w:cs="Calibri Light"/>
        </w:rPr>
        <w:t xml:space="preserve">    </w:t>
      </w:r>
      <w:r>
        <w:rPr>
          <w:rFonts w:hint="eastAsia" w:ascii="Calibri" w:hAnsi="Calibri" w:eastAsia="宋体" w:cs="Calibri Light"/>
        </w:rPr>
        <w:t>1、招标文件、投标文件、澄清表（函）；</w:t>
      </w:r>
      <w:r>
        <w:rPr>
          <w:rFonts w:hint="eastAsia" w:ascii="Calibri" w:hAnsi="Calibri" w:eastAsia="宋体" w:cs="Calibri Light"/>
        </w:rPr>
        <w:cr/>
      </w:r>
      <w:r>
        <w:rPr>
          <w:rFonts w:ascii="Calibri" w:hAnsi="Calibri" w:eastAsia="宋体" w:cs="Calibri Light"/>
        </w:rPr>
        <w:t xml:space="preserve">    </w:t>
      </w:r>
      <w:r>
        <w:rPr>
          <w:rFonts w:hint="eastAsia" w:ascii="Calibri" w:hAnsi="Calibri" w:eastAsia="宋体" w:cs="Calibri Light"/>
        </w:rPr>
        <w:t>2、本合同及附件文本；</w:t>
      </w:r>
      <w:r>
        <w:rPr>
          <w:rFonts w:hint="eastAsia" w:ascii="Calibri" w:hAnsi="Calibri" w:eastAsia="宋体" w:cs="Calibri Light"/>
        </w:rPr>
        <w:cr/>
      </w:r>
      <w:r>
        <w:rPr>
          <w:rFonts w:ascii="Calibri" w:hAnsi="Calibri" w:eastAsia="宋体" w:cs="Calibri Light"/>
        </w:rPr>
        <w:t xml:space="preserve">    </w:t>
      </w:r>
      <w:r>
        <w:rPr>
          <w:rFonts w:hint="eastAsia" w:ascii="Calibri" w:hAnsi="Calibri" w:eastAsia="宋体" w:cs="Calibri Light"/>
        </w:rPr>
        <w:t>3、合同签订时国家及行业现行的标准和技术规范。</w:t>
      </w:r>
      <w:r>
        <w:rPr>
          <w:rFonts w:hint="eastAsia" w:ascii="Calibri" w:hAnsi="Calibri" w:eastAsia="宋体" w:cs="Calibri Light"/>
        </w:rPr>
        <w:cr/>
      </w:r>
      <w:r>
        <w:rPr>
          <w:rFonts w:ascii="Calibri" w:hAnsi="Calibri" w:eastAsia="宋体" w:cs="Calibri Light"/>
        </w:rPr>
        <w:t xml:space="preserve">    </w:t>
      </w:r>
      <w:r>
        <w:rPr>
          <w:rFonts w:hint="eastAsia" w:ascii="Calibri" w:hAnsi="Calibri" w:eastAsia="宋体" w:cs="Calibri Light"/>
        </w:rPr>
        <w:t>（三）乙方应向甲方提交项目实施过程中的所有资料，以便甲方日后管理和维护。</w:t>
      </w:r>
      <w:r>
        <w:rPr>
          <w:rFonts w:ascii="Calibri" w:hAnsi="Calibri" w:eastAsia="宋体" w:cs="Calibri Light"/>
        </w:rPr>
        <w:cr/>
      </w:r>
    </w:p>
    <w:p w14:paraId="397AD69B">
      <w:pPr>
        <w:jc w:val="both"/>
        <w:rPr>
          <w:rFonts w:ascii="Calibri" w:hAnsi="Calibri" w:eastAsia="宋体" w:cs="Calibri Light"/>
          <w:b/>
        </w:rPr>
      </w:pPr>
      <w:r>
        <w:rPr>
          <w:rFonts w:hint="eastAsia" w:ascii="Calibri" w:hAnsi="Calibri" w:eastAsia="宋体" w:cs="Calibri Light"/>
          <w:b/>
        </w:rPr>
        <w:t>五</w:t>
      </w:r>
      <w:r>
        <w:rPr>
          <w:rFonts w:ascii="Calibri" w:hAnsi="Calibri" w:eastAsia="宋体" w:cs="Calibri Light"/>
          <w:b/>
        </w:rPr>
        <w:t>、双方的权利和义务</w:t>
      </w:r>
    </w:p>
    <w:p w14:paraId="3887C4F6">
      <w:pPr>
        <w:wordWrap w:val="0"/>
        <w:ind w:firstLine="480" w:firstLineChars="200"/>
        <w:jc w:val="both"/>
        <w:rPr>
          <w:rFonts w:ascii="Calibri" w:hAnsi="Calibri" w:eastAsia="宋体"/>
        </w:rPr>
      </w:pPr>
      <w:r>
        <w:rPr>
          <w:rFonts w:ascii="Calibri" w:hAnsi="Calibri" w:eastAsia="宋体"/>
        </w:rPr>
        <w:t>（一）甲方的权利和义务</w:t>
      </w:r>
    </w:p>
    <w:p w14:paraId="4B9BE43D">
      <w:pPr>
        <w:wordWrap w:val="0"/>
        <w:ind w:firstLine="480" w:firstLineChars="200"/>
        <w:jc w:val="both"/>
        <w:rPr>
          <w:rFonts w:ascii="Calibri" w:hAnsi="Calibri" w:eastAsia="宋体"/>
        </w:rPr>
      </w:pPr>
      <w:r>
        <w:rPr>
          <w:rFonts w:hint="eastAsia" w:ascii="Calibri" w:hAnsi="Calibri" w:eastAsia="宋体"/>
        </w:rPr>
        <w:t>1、甲方的权利</w:t>
      </w:r>
    </w:p>
    <w:p w14:paraId="368FCDF4">
      <w:pPr>
        <w:wordWrap w:val="0"/>
        <w:ind w:firstLine="480" w:firstLineChars="200"/>
        <w:jc w:val="both"/>
        <w:rPr>
          <w:rFonts w:ascii="Calibri" w:hAnsi="Calibri" w:eastAsia="宋体"/>
        </w:rPr>
      </w:pPr>
      <w:r>
        <w:rPr>
          <w:rFonts w:hint="eastAsia" w:ascii="Calibri" w:hAnsi="Calibri" w:eastAsia="宋体"/>
        </w:rPr>
        <w:t>（1）甲方有权对乙方的服务业务，按照本合同中的考核标准进行监督、检查和考核，对乙方在服务期内2次综合满意率不达标或出现严重事故，甲方有权终止合同，乙方不得有任何异议。</w:t>
      </w:r>
    </w:p>
    <w:p w14:paraId="45DCE2A8">
      <w:pPr>
        <w:wordWrap w:val="0"/>
        <w:ind w:firstLine="480" w:firstLineChars="200"/>
        <w:jc w:val="both"/>
        <w:rPr>
          <w:rFonts w:ascii="Calibri" w:hAnsi="Calibri" w:eastAsia="宋体"/>
        </w:rPr>
      </w:pPr>
      <w:r>
        <w:rPr>
          <w:rFonts w:hint="eastAsia" w:ascii="Calibri" w:hAnsi="Calibri" w:eastAsia="宋体"/>
        </w:rPr>
        <w:t>（2）甲方有权对乙方服务过程中存在的问题提出整改意见和要求，并监督其执行。</w:t>
      </w:r>
    </w:p>
    <w:p w14:paraId="45F018C7">
      <w:pPr>
        <w:wordWrap w:val="0"/>
        <w:ind w:firstLine="480" w:firstLineChars="200"/>
        <w:jc w:val="both"/>
        <w:rPr>
          <w:rFonts w:ascii="Calibri" w:hAnsi="Calibri" w:eastAsia="宋体"/>
        </w:rPr>
      </w:pPr>
      <w:r>
        <w:rPr>
          <w:rFonts w:hint="eastAsia" w:ascii="Calibri" w:hAnsi="Calibri" w:eastAsia="宋体"/>
        </w:rPr>
        <w:t>（3）甲方有权要求乙方严格执行安全生产标准，遵守安全操作规章制度、并对乙方履行安全操作职责情况进行监督、考核，并有根据考核结果进行处罚的权利。</w:t>
      </w:r>
    </w:p>
    <w:p w14:paraId="26F36AA7">
      <w:pPr>
        <w:wordWrap w:val="0"/>
        <w:ind w:firstLine="480" w:firstLineChars="200"/>
        <w:jc w:val="both"/>
        <w:rPr>
          <w:rFonts w:ascii="Calibri" w:hAnsi="Calibri" w:eastAsia="宋体"/>
        </w:rPr>
      </w:pPr>
      <w:r>
        <w:rPr>
          <w:rFonts w:hint="eastAsia" w:ascii="Calibri" w:hAnsi="Calibri" w:eastAsia="宋体"/>
        </w:rPr>
        <w:t>（4）发生事故后，甲方有权根据有关规定组织、参与事故的调查，有权对乙方事故进行统计上报。</w:t>
      </w:r>
    </w:p>
    <w:p w14:paraId="634F52C5">
      <w:pPr>
        <w:wordWrap w:val="0"/>
        <w:ind w:firstLine="480" w:firstLineChars="200"/>
        <w:jc w:val="both"/>
        <w:rPr>
          <w:rFonts w:ascii="Calibri" w:hAnsi="Calibri" w:eastAsia="宋体"/>
        </w:rPr>
      </w:pPr>
      <w:r>
        <w:rPr>
          <w:rFonts w:hint="eastAsia" w:ascii="Calibri" w:hAnsi="Calibri" w:eastAsia="宋体"/>
        </w:rPr>
        <w:t>（5）按照国家的有关规定,甲方有权要求乙方员工持有劳保和社保上岗。</w:t>
      </w:r>
    </w:p>
    <w:p w14:paraId="7527420E">
      <w:pPr>
        <w:wordWrap w:val="0"/>
        <w:ind w:firstLine="480" w:firstLineChars="200"/>
        <w:jc w:val="both"/>
        <w:rPr>
          <w:rFonts w:ascii="Calibri" w:hAnsi="Calibri" w:eastAsia="宋体"/>
        </w:rPr>
      </w:pPr>
      <w:r>
        <w:rPr>
          <w:rFonts w:hint="eastAsia" w:ascii="Calibri" w:hAnsi="Calibri" w:eastAsia="宋体"/>
        </w:rPr>
        <w:t>（6）甲方有权根据合同标准和要求，检查监督乙方员工配备人数和资质,并根据考核办法对违反合同人数情况视情作出相应经济处罚，处罚额度由甲方制定。</w:t>
      </w:r>
    </w:p>
    <w:p w14:paraId="7E1E01E7">
      <w:pPr>
        <w:wordWrap w:val="0"/>
        <w:ind w:firstLine="480" w:firstLineChars="200"/>
        <w:jc w:val="both"/>
        <w:rPr>
          <w:rFonts w:ascii="Calibri" w:hAnsi="Calibri" w:eastAsia="宋体"/>
        </w:rPr>
      </w:pPr>
      <w:r>
        <w:rPr>
          <w:rFonts w:hint="eastAsia" w:ascii="Calibri" w:hAnsi="Calibri" w:eastAsia="宋体"/>
        </w:rPr>
        <w:t>2、甲方的义务</w:t>
      </w:r>
    </w:p>
    <w:p w14:paraId="603BEDA2">
      <w:pPr>
        <w:wordWrap w:val="0"/>
        <w:ind w:firstLine="480" w:firstLineChars="200"/>
        <w:jc w:val="both"/>
        <w:rPr>
          <w:rFonts w:ascii="Calibri" w:hAnsi="Calibri" w:eastAsia="宋体"/>
        </w:rPr>
      </w:pPr>
      <w:r>
        <w:rPr>
          <w:rFonts w:hint="eastAsia" w:ascii="Calibri" w:hAnsi="Calibri" w:eastAsia="宋体"/>
        </w:rPr>
        <w:t>（1）为乙方服务人员提供符合国家安全、卫生标准的工作场所，包括办公室，负责提供符合工作需要的从业人员的住宿等基本保障条件。</w:t>
      </w:r>
    </w:p>
    <w:p w14:paraId="76183D49">
      <w:pPr>
        <w:wordWrap w:val="0"/>
        <w:ind w:firstLine="480" w:firstLineChars="200"/>
        <w:jc w:val="both"/>
        <w:rPr>
          <w:rFonts w:ascii="Calibri" w:hAnsi="Calibri" w:eastAsia="宋体"/>
        </w:rPr>
      </w:pPr>
      <w:r>
        <w:rPr>
          <w:rFonts w:hint="eastAsia" w:ascii="Calibri" w:hAnsi="Calibri" w:eastAsia="宋体"/>
        </w:rPr>
        <w:t>（2）负责按照结算方式、结算时间足额向乙方支付服务费用。</w:t>
      </w:r>
    </w:p>
    <w:p w14:paraId="1AF406C5">
      <w:pPr>
        <w:wordWrap w:val="0"/>
        <w:ind w:firstLine="480" w:firstLineChars="200"/>
        <w:jc w:val="both"/>
        <w:rPr>
          <w:rFonts w:ascii="Calibri" w:hAnsi="Calibri" w:eastAsia="宋体"/>
        </w:rPr>
      </w:pPr>
      <w:r>
        <w:rPr>
          <w:rFonts w:hint="eastAsia" w:ascii="Calibri" w:hAnsi="Calibri" w:eastAsia="宋体"/>
        </w:rPr>
        <w:t>（3）协助乙方管理人员对其员工进行消防、设备安全操作、治安防范与自我规范的基本知识教育。</w:t>
      </w:r>
    </w:p>
    <w:p w14:paraId="1EB460C0">
      <w:pPr>
        <w:wordWrap w:val="0"/>
        <w:ind w:firstLine="480" w:firstLineChars="200"/>
        <w:jc w:val="both"/>
        <w:rPr>
          <w:rFonts w:ascii="Calibri" w:hAnsi="Calibri" w:eastAsia="宋体"/>
        </w:rPr>
      </w:pPr>
      <w:r>
        <w:rPr>
          <w:rFonts w:hint="eastAsia" w:ascii="Calibri" w:hAnsi="Calibri" w:eastAsia="宋体"/>
        </w:rPr>
        <w:t>（4）协助乙方处理紧急、突发事件。</w:t>
      </w:r>
    </w:p>
    <w:p w14:paraId="08F06D89">
      <w:pPr>
        <w:wordWrap w:val="0"/>
        <w:ind w:firstLine="480" w:firstLineChars="200"/>
        <w:jc w:val="both"/>
        <w:rPr>
          <w:rFonts w:ascii="Calibri" w:hAnsi="Calibri" w:eastAsia="宋体"/>
        </w:rPr>
      </w:pPr>
      <w:r>
        <w:rPr>
          <w:rFonts w:ascii="Calibri" w:hAnsi="Calibri" w:eastAsia="宋体"/>
        </w:rPr>
        <w:t>（二）乙方的权利和义务</w:t>
      </w:r>
    </w:p>
    <w:p w14:paraId="0AA6D4B3">
      <w:pPr>
        <w:ind w:firstLine="480" w:firstLineChars="200"/>
        <w:jc w:val="both"/>
        <w:rPr>
          <w:rFonts w:ascii="Calibri" w:hAnsi="Calibri" w:eastAsia="宋体"/>
        </w:rPr>
      </w:pPr>
      <w:r>
        <w:rPr>
          <w:rFonts w:hint="eastAsia" w:ascii="Calibri" w:hAnsi="Calibri" w:eastAsia="宋体"/>
        </w:rPr>
        <w:t>1、乙方的权利</w:t>
      </w:r>
    </w:p>
    <w:p w14:paraId="3D3A85C8">
      <w:pPr>
        <w:ind w:firstLine="480" w:firstLineChars="200"/>
        <w:jc w:val="both"/>
        <w:rPr>
          <w:rFonts w:ascii="Calibri" w:hAnsi="Calibri" w:eastAsia="宋体"/>
        </w:rPr>
      </w:pPr>
      <w:r>
        <w:rPr>
          <w:rFonts w:hint="eastAsia" w:ascii="Calibri" w:hAnsi="Calibri" w:eastAsia="宋体"/>
        </w:rPr>
        <w:t>（1）乙方有权要求甲方按合同约定及时、足额支付服务费用。</w:t>
      </w:r>
    </w:p>
    <w:p w14:paraId="092B30B0">
      <w:pPr>
        <w:ind w:firstLine="480" w:firstLineChars="200"/>
        <w:jc w:val="both"/>
        <w:rPr>
          <w:rFonts w:ascii="Calibri" w:hAnsi="Calibri" w:eastAsia="宋体"/>
        </w:rPr>
      </w:pPr>
      <w:r>
        <w:rPr>
          <w:rFonts w:hint="eastAsia" w:ascii="Calibri" w:hAnsi="Calibri" w:eastAsia="宋体"/>
        </w:rPr>
        <w:t>（2）对甲方的违规指挥、强令冒险作业，有权拒绝执行；对由此而产生的打击报复行为，有权向上级或有关部门举报。</w:t>
      </w:r>
    </w:p>
    <w:p w14:paraId="58F77A0C">
      <w:pPr>
        <w:ind w:firstLine="480" w:firstLineChars="200"/>
        <w:jc w:val="both"/>
        <w:rPr>
          <w:rFonts w:ascii="Calibri" w:hAnsi="Calibri" w:eastAsia="宋体"/>
        </w:rPr>
      </w:pPr>
      <w:r>
        <w:rPr>
          <w:rFonts w:hint="eastAsia" w:ascii="Calibri" w:hAnsi="Calibri" w:eastAsia="宋体"/>
        </w:rPr>
        <w:t>（3）乙方有权按照合同约定，要求甲方提供符合正常工作的安全条件和环境。</w:t>
      </w:r>
    </w:p>
    <w:p w14:paraId="2911FB59">
      <w:pPr>
        <w:ind w:firstLine="480" w:firstLineChars="200"/>
        <w:jc w:val="both"/>
        <w:rPr>
          <w:rFonts w:ascii="Calibri" w:hAnsi="Calibri" w:eastAsia="宋体"/>
        </w:rPr>
      </w:pPr>
      <w:r>
        <w:rPr>
          <w:rFonts w:hint="eastAsia" w:ascii="Calibri" w:hAnsi="Calibri" w:eastAsia="宋体"/>
        </w:rPr>
        <w:t>2、乙方的义务</w:t>
      </w:r>
    </w:p>
    <w:p w14:paraId="31E448C5">
      <w:pPr>
        <w:ind w:firstLine="480" w:firstLineChars="200"/>
        <w:jc w:val="both"/>
        <w:rPr>
          <w:rFonts w:ascii="Calibri" w:hAnsi="Calibri" w:eastAsia="宋体"/>
        </w:rPr>
      </w:pPr>
      <w:r>
        <w:rPr>
          <w:rFonts w:hint="eastAsia" w:ascii="Calibri" w:hAnsi="Calibri" w:eastAsia="宋体"/>
        </w:rPr>
        <w:t>（1）乙方人员要严格遵守甲方的各项规章制度和其它行为规范。</w:t>
      </w:r>
    </w:p>
    <w:p w14:paraId="1DC87354">
      <w:pPr>
        <w:ind w:firstLine="480" w:firstLineChars="200"/>
        <w:jc w:val="both"/>
        <w:rPr>
          <w:rFonts w:ascii="Calibri" w:hAnsi="Calibri" w:eastAsia="宋体"/>
        </w:rPr>
      </w:pPr>
      <w:r>
        <w:rPr>
          <w:rFonts w:hint="eastAsia" w:ascii="Calibri" w:hAnsi="Calibri" w:eastAsia="宋体"/>
        </w:rPr>
        <w:t>（2）</w:t>
      </w:r>
      <w:r>
        <w:rPr>
          <w:rFonts w:ascii="Calibri" w:hAnsi="Calibri" w:eastAsia="宋体"/>
        </w:rPr>
        <w:t>乙方必须按合同要求足额配齐保洁工</w:t>
      </w:r>
      <w:r>
        <w:rPr>
          <w:rFonts w:hint="eastAsia" w:ascii="Calibri" w:hAnsi="Calibri" w:eastAsia="宋体"/>
        </w:rPr>
        <w:t>和普通员工，交给甲方相关证件复印件，严格遵守甲方的服务标准及规范。</w:t>
      </w:r>
    </w:p>
    <w:p w14:paraId="2DFD151D">
      <w:pPr>
        <w:ind w:firstLine="480" w:firstLineChars="200"/>
        <w:jc w:val="both"/>
        <w:rPr>
          <w:rFonts w:ascii="Calibri" w:hAnsi="Calibri" w:eastAsia="宋体"/>
        </w:rPr>
      </w:pPr>
      <w:r>
        <w:rPr>
          <w:rFonts w:hint="eastAsia" w:ascii="Calibri" w:hAnsi="Calibri" w:eastAsia="宋体"/>
        </w:rPr>
        <w:t>（3）乙方人员在对采购服务期间，因公、非因公发生事故或其它原因造成伤、残、病、亡的，由乙方负全责并按照国家相关法律负责处理，安全生产应遵循安全生产服务合同约定。</w:t>
      </w:r>
    </w:p>
    <w:p w14:paraId="611FCAD5">
      <w:pPr>
        <w:ind w:firstLine="480" w:firstLineChars="200"/>
        <w:jc w:val="both"/>
        <w:rPr>
          <w:rFonts w:ascii="Calibri" w:hAnsi="Calibri" w:eastAsia="宋体"/>
        </w:rPr>
      </w:pPr>
      <w:r>
        <w:rPr>
          <w:rFonts w:hint="eastAsia" w:ascii="Calibri" w:hAnsi="Calibri" w:eastAsia="宋体"/>
        </w:rPr>
        <w:t>（4）乙方负责处理好服务业务的对外协调工作。</w:t>
      </w:r>
    </w:p>
    <w:p w14:paraId="1BB52A4B">
      <w:pPr>
        <w:ind w:firstLine="480" w:firstLineChars="200"/>
        <w:jc w:val="both"/>
        <w:rPr>
          <w:rFonts w:ascii="Calibri" w:hAnsi="Calibri" w:eastAsia="宋体"/>
        </w:rPr>
      </w:pPr>
      <w:r>
        <w:rPr>
          <w:rFonts w:hint="eastAsia" w:ascii="Calibri" w:hAnsi="Calibri" w:eastAsia="宋体"/>
        </w:rPr>
        <w:t>（5）</w:t>
      </w:r>
      <w:r>
        <w:rPr>
          <w:rFonts w:ascii="Calibri" w:hAnsi="Calibri" w:eastAsia="宋体"/>
        </w:rPr>
        <w:t>乙方人员应爱惜各种设施设备，</w:t>
      </w:r>
      <w:r>
        <w:rPr>
          <w:rFonts w:hint="eastAsia" w:ascii="Calibri" w:hAnsi="Calibri" w:eastAsia="宋体"/>
        </w:rPr>
        <w:t>认真搞好日常维护保养，严格操作规程，不得违规操作。设施设备维修实行责任制，做到谁使用、谁负责，谁损坏、谁维修（自然耗损除外）</w:t>
      </w:r>
      <w:r>
        <w:rPr>
          <w:rFonts w:ascii="Calibri" w:hAnsi="Calibri" w:eastAsia="宋体"/>
        </w:rPr>
        <w:t>凡因违规使用或保养不及时等人为因素造成其他设施设备故障或损坏的，由</w:t>
      </w:r>
      <w:r>
        <w:rPr>
          <w:rFonts w:hint="eastAsia" w:ascii="Calibri" w:hAnsi="Calibri" w:eastAsia="宋体"/>
        </w:rPr>
        <w:t>3乙方承担支付费用。</w:t>
      </w:r>
    </w:p>
    <w:p w14:paraId="10243BB7">
      <w:pPr>
        <w:ind w:firstLine="480" w:firstLineChars="200"/>
        <w:jc w:val="both"/>
        <w:rPr>
          <w:rFonts w:ascii="Calibri" w:hAnsi="Calibri" w:eastAsia="宋体"/>
        </w:rPr>
      </w:pPr>
      <w:r>
        <w:rPr>
          <w:rFonts w:hint="eastAsia" w:ascii="Calibri" w:hAnsi="Calibri" w:eastAsia="宋体"/>
        </w:rPr>
        <w:t>（6）乙方应依法用工，及时足额支付劳动报酬，并独立承担由此引发的劳资纠纷，甲方不承担任何责任。</w:t>
      </w:r>
    </w:p>
    <w:p w14:paraId="5913A55C">
      <w:pPr>
        <w:ind w:firstLine="480" w:firstLineChars="200"/>
        <w:jc w:val="both"/>
        <w:rPr>
          <w:rFonts w:ascii="Calibri" w:hAnsi="Calibri" w:eastAsia="宋体"/>
        </w:rPr>
      </w:pPr>
      <w:r>
        <w:rPr>
          <w:rFonts w:hint="eastAsia" w:ascii="Calibri" w:hAnsi="Calibri" w:eastAsia="宋体"/>
        </w:rPr>
        <w:t>（7）乙方必须制定安全生产事故应急预案、急救预案和紧急事故处置预案等，并报甲方留存备案。</w:t>
      </w:r>
      <w:r>
        <w:rPr>
          <w:rFonts w:ascii="Calibri" w:hAnsi="Calibri" w:eastAsia="宋体"/>
        </w:rPr>
        <w:cr/>
      </w:r>
      <w:r>
        <w:rPr>
          <w:rFonts w:ascii="Calibri" w:hAnsi="Calibri" w:eastAsia="宋体"/>
          <w:b/>
        </w:rPr>
        <w:t>六</w:t>
      </w:r>
      <w:r>
        <w:rPr>
          <w:rFonts w:ascii="Calibri" w:hAnsi="Calibri" w:eastAsia="宋体" w:cs="Calibri Light"/>
          <w:b/>
        </w:rPr>
        <w:t>、知识产权及承诺</w:t>
      </w:r>
    </w:p>
    <w:p w14:paraId="61BB9801">
      <w:pPr>
        <w:wordWrap w:val="0"/>
        <w:ind w:firstLine="480" w:firstLineChars="200"/>
        <w:jc w:val="both"/>
        <w:rPr>
          <w:rFonts w:ascii="Calibri" w:hAnsi="Calibri" w:eastAsia="宋体"/>
        </w:rPr>
      </w:pPr>
      <w:r>
        <w:rPr>
          <w:rFonts w:ascii="Calibri" w:hAnsi="Calibri" w:eastAsia="宋体"/>
        </w:rPr>
        <w:t>（一）乙方保证所提供的服务或其任何一部分均不会侵犯任何第三方的专利权、商标权、著作权或其他合法权益，否则视为乙方违约，由此产生的一切损失由乙方承担。</w:t>
      </w:r>
    </w:p>
    <w:p w14:paraId="74C3598B">
      <w:pPr>
        <w:wordWrap w:val="0"/>
        <w:ind w:firstLine="480" w:firstLineChars="200"/>
        <w:jc w:val="both"/>
        <w:rPr>
          <w:rFonts w:ascii="Calibri" w:hAnsi="Calibri" w:eastAsia="宋体"/>
        </w:rPr>
      </w:pPr>
      <w:r>
        <w:rPr>
          <w:rFonts w:ascii="Calibri" w:hAnsi="Calibri" w:eastAsia="宋体"/>
        </w:rPr>
        <w:t>（二）经甲乙双方协商一致，本项目产生的知识产权归甲方拥有。</w:t>
      </w:r>
    </w:p>
    <w:p w14:paraId="054F1B04">
      <w:pPr>
        <w:spacing w:before="230" w:beforeLines="50"/>
        <w:jc w:val="both"/>
        <w:rPr>
          <w:rFonts w:ascii="Calibri" w:hAnsi="Calibri" w:eastAsia="宋体" w:cs="Calibri Light"/>
          <w:b/>
        </w:rPr>
      </w:pPr>
      <w:r>
        <w:rPr>
          <w:rFonts w:ascii="Calibri" w:hAnsi="Calibri" w:eastAsia="宋体" w:cs="Calibri Light"/>
          <w:b/>
        </w:rPr>
        <w:t>七、验收</w:t>
      </w:r>
    </w:p>
    <w:p w14:paraId="46CC231F">
      <w:pPr>
        <w:wordWrap w:val="0"/>
        <w:ind w:firstLine="480" w:firstLineChars="200"/>
        <w:jc w:val="both"/>
        <w:rPr>
          <w:rFonts w:ascii="Calibri" w:hAnsi="Calibri" w:eastAsia="宋体"/>
        </w:rPr>
      </w:pPr>
      <w:r>
        <w:rPr>
          <w:rFonts w:ascii="Calibri" w:hAnsi="Calibri" w:eastAsia="宋体"/>
        </w:rPr>
        <w:t>（一）服务期满后，甲方根据招标文件和投标文件及相关文件，进行验收，确认服务标准和服务方式是否达到采购要求。</w:t>
      </w:r>
    </w:p>
    <w:p w14:paraId="206C3EB8">
      <w:pPr>
        <w:wordWrap w:val="0"/>
        <w:ind w:firstLine="480" w:firstLineChars="200"/>
        <w:jc w:val="both"/>
        <w:rPr>
          <w:rFonts w:ascii="Calibri" w:hAnsi="Calibri" w:eastAsia="宋体"/>
        </w:rPr>
      </w:pPr>
      <w:r>
        <w:rPr>
          <w:rFonts w:ascii="Calibri" w:hAnsi="Calibri" w:eastAsia="宋体"/>
        </w:rPr>
        <w:t>（二）甲方组织乙方（必要时请有关专家）进行验收，验收合格后，填写政府采购项目验收单（一式伍份）作为对项目的最终认可。</w:t>
      </w:r>
    </w:p>
    <w:p w14:paraId="73AEE63E">
      <w:pPr>
        <w:wordWrap w:val="0"/>
        <w:ind w:firstLine="480" w:firstLineChars="200"/>
        <w:jc w:val="both"/>
        <w:rPr>
          <w:rFonts w:ascii="Calibri" w:hAnsi="Calibri" w:eastAsia="宋体"/>
        </w:rPr>
      </w:pPr>
      <w:r>
        <w:rPr>
          <w:rFonts w:ascii="Calibri" w:hAnsi="Calibri" w:eastAsia="宋体"/>
        </w:rPr>
        <w:t>（三）乙方向甲方提供服务过程中的所有资料，以便甲方日后管理。</w:t>
      </w:r>
    </w:p>
    <w:p w14:paraId="17C3CAB8">
      <w:pPr>
        <w:wordWrap w:val="0"/>
        <w:ind w:firstLine="480" w:firstLineChars="200"/>
        <w:jc w:val="both"/>
        <w:rPr>
          <w:rFonts w:ascii="Calibri" w:hAnsi="Calibri" w:eastAsia="宋体"/>
        </w:rPr>
      </w:pPr>
      <w:r>
        <w:rPr>
          <w:rFonts w:ascii="Calibri" w:hAnsi="Calibri" w:eastAsia="宋体"/>
        </w:rPr>
        <w:t>（四）验收依据：</w:t>
      </w:r>
    </w:p>
    <w:p w14:paraId="4D44A16D">
      <w:pPr>
        <w:wordWrap w:val="0"/>
        <w:ind w:firstLine="480" w:firstLineChars="200"/>
        <w:jc w:val="both"/>
        <w:rPr>
          <w:rFonts w:ascii="Calibri" w:hAnsi="Calibri" w:eastAsia="宋体"/>
        </w:rPr>
      </w:pPr>
      <w:r>
        <w:rPr>
          <w:rFonts w:ascii="Calibri" w:hAnsi="Calibri" w:eastAsia="宋体"/>
        </w:rPr>
        <w:t>1．招标文件、投标文件、澄清表（函）；</w:t>
      </w:r>
    </w:p>
    <w:p w14:paraId="5CF1AF5C">
      <w:pPr>
        <w:wordWrap w:val="0"/>
        <w:ind w:firstLine="480" w:firstLineChars="200"/>
        <w:jc w:val="both"/>
        <w:rPr>
          <w:rFonts w:ascii="Calibri" w:hAnsi="Calibri" w:eastAsia="宋体"/>
        </w:rPr>
      </w:pPr>
      <w:r>
        <w:rPr>
          <w:rFonts w:ascii="Calibri" w:hAnsi="Calibri" w:eastAsia="宋体"/>
        </w:rPr>
        <w:t>2．本合同及附件文本；</w:t>
      </w:r>
    </w:p>
    <w:p w14:paraId="3EE13151">
      <w:pPr>
        <w:wordWrap w:val="0"/>
        <w:ind w:firstLine="480" w:firstLineChars="200"/>
        <w:jc w:val="both"/>
        <w:rPr>
          <w:rFonts w:ascii="Calibri" w:hAnsi="Calibri" w:eastAsia="宋体"/>
        </w:rPr>
      </w:pPr>
      <w:r>
        <w:rPr>
          <w:rFonts w:ascii="Calibri" w:hAnsi="Calibri" w:eastAsia="宋体"/>
        </w:rPr>
        <w:t>3．国家相应的标准、规范。</w:t>
      </w:r>
    </w:p>
    <w:p w14:paraId="602DC28C">
      <w:pPr>
        <w:spacing w:before="230" w:beforeLines="50"/>
        <w:jc w:val="both"/>
        <w:rPr>
          <w:rFonts w:ascii="Calibri" w:hAnsi="Calibri" w:eastAsia="宋体" w:cs="Calibri Light"/>
          <w:b/>
        </w:rPr>
      </w:pPr>
      <w:r>
        <w:rPr>
          <w:rFonts w:ascii="Calibri" w:hAnsi="Calibri" w:eastAsia="宋体" w:cs="Calibri Light"/>
          <w:b/>
        </w:rPr>
        <w:t>八、违约责任</w:t>
      </w:r>
    </w:p>
    <w:p w14:paraId="568D51B2">
      <w:pPr>
        <w:ind w:firstLine="480" w:firstLineChars="200"/>
        <w:rPr>
          <w:rFonts w:ascii="Calibri" w:hAnsi="Calibri" w:eastAsia="宋体"/>
        </w:rPr>
      </w:pPr>
      <w:r>
        <w:rPr>
          <w:rFonts w:hint="eastAsia" w:ascii="Calibri" w:hAnsi="Calibri" w:eastAsia="宋体"/>
        </w:rPr>
        <w:t>（一）本合同期限未满，一方要求终止合同的，应按照合同约定和国家有关规定解除合同，并赔偿由此给对方造成的经济损失。</w:t>
      </w:r>
    </w:p>
    <w:p w14:paraId="0683F588">
      <w:pPr>
        <w:ind w:firstLine="480" w:firstLineChars="200"/>
        <w:rPr>
          <w:rFonts w:ascii="Calibri" w:hAnsi="Calibri" w:eastAsia="宋体"/>
        </w:rPr>
      </w:pPr>
      <w:r>
        <w:rPr>
          <w:rFonts w:hint="eastAsia" w:ascii="Calibri" w:hAnsi="Calibri" w:eastAsia="宋体"/>
        </w:rPr>
        <w:t>（二）当事人一方不履行或不完全按合同约定履行其义务的，视为违约，应承担违约责任，并支付合同总额5%的违约金。</w:t>
      </w:r>
    </w:p>
    <w:p w14:paraId="0F6F0A0C">
      <w:pPr>
        <w:ind w:firstLine="480" w:firstLineChars="200"/>
        <w:rPr>
          <w:rFonts w:ascii="Calibri" w:hAnsi="Calibri" w:eastAsia="宋体"/>
        </w:rPr>
      </w:pPr>
      <w:r>
        <w:rPr>
          <w:rFonts w:hint="eastAsia" w:ascii="Calibri" w:hAnsi="Calibri" w:eastAsia="宋体"/>
        </w:rPr>
        <w:t>（三）由于一方违反合同约定，违章指挥（操作）导致责任事故，给对方造成经济损失的，应赔偿对方全部直接经济损失。</w:t>
      </w:r>
    </w:p>
    <w:p w14:paraId="31E12535">
      <w:pPr>
        <w:ind w:firstLine="480" w:firstLineChars="200"/>
        <w:rPr>
          <w:rFonts w:ascii="Calibri" w:hAnsi="Calibri" w:eastAsia="宋体"/>
        </w:rPr>
      </w:pPr>
      <w:r>
        <w:rPr>
          <w:rFonts w:hint="eastAsia" w:ascii="Calibri" w:hAnsi="Calibri" w:eastAsia="宋体"/>
        </w:rPr>
        <w:t>（四）因国家建设或不可抗力因素导致设施损坏或造成损失时，双方互不承担责任。</w:t>
      </w:r>
    </w:p>
    <w:p w14:paraId="255D3A99">
      <w:pPr>
        <w:ind w:firstLine="480" w:firstLineChars="200"/>
        <w:rPr>
          <w:rFonts w:ascii="Calibri" w:hAnsi="Calibri" w:eastAsia="宋体"/>
        </w:rPr>
      </w:pPr>
      <w:r>
        <w:rPr>
          <w:rFonts w:hint="eastAsia" w:ascii="Calibri" w:hAnsi="Calibri" w:eastAsia="宋体"/>
        </w:rPr>
        <w:t>（五）除本合同约定外，甲、乙双方任何一方不得提前解除或终止本合同，否则应支付对方违约金合同金额的5%。</w:t>
      </w:r>
    </w:p>
    <w:p w14:paraId="049DB8FB">
      <w:pPr>
        <w:ind w:firstLine="480" w:firstLineChars="200"/>
        <w:rPr>
          <w:rFonts w:ascii="Calibri" w:hAnsi="Calibri" w:eastAsia="宋体"/>
        </w:rPr>
      </w:pPr>
      <w:r>
        <w:rPr>
          <w:rFonts w:hint="eastAsia" w:ascii="Calibri" w:hAnsi="Calibri" w:eastAsia="宋体"/>
        </w:rPr>
        <w:t>（六）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31CE2DE8">
      <w:pPr>
        <w:ind w:firstLine="480" w:firstLineChars="200"/>
        <w:rPr>
          <w:rFonts w:ascii="Calibri" w:hAnsi="Calibri" w:eastAsia="宋体"/>
        </w:rPr>
      </w:pPr>
      <w:r>
        <w:rPr>
          <w:rFonts w:hint="eastAsia" w:ascii="Calibri" w:hAnsi="Calibri" w:eastAsia="宋体"/>
        </w:rPr>
        <w:t>（七）其他未尽事宜，按《民法典》中的相关条款进行商定并补充。</w:t>
      </w:r>
    </w:p>
    <w:p w14:paraId="4DC3E403">
      <w:pPr>
        <w:spacing w:before="230" w:beforeLines="50"/>
        <w:jc w:val="both"/>
        <w:rPr>
          <w:rFonts w:ascii="Calibri" w:hAnsi="Calibri" w:eastAsia="宋体" w:cs="Calibri Light"/>
          <w:b/>
        </w:rPr>
      </w:pPr>
      <w:r>
        <w:rPr>
          <w:rFonts w:ascii="Calibri" w:hAnsi="Calibri" w:eastAsia="宋体" w:cs="Calibri Light"/>
          <w:b/>
        </w:rPr>
        <w:t>九、合同的变更和修改、中止和终止</w:t>
      </w:r>
    </w:p>
    <w:p w14:paraId="6F0F32E9">
      <w:pPr>
        <w:ind w:firstLine="480" w:firstLineChars="200"/>
        <w:jc w:val="both"/>
        <w:rPr>
          <w:rFonts w:ascii="Calibri" w:hAnsi="Calibri" w:eastAsia="宋体" w:cs="Calibri Light"/>
          <w:b/>
        </w:rPr>
      </w:pPr>
      <w:r>
        <w:rPr>
          <w:rFonts w:hint="eastAsia" w:ascii="Calibri" w:hAnsi="Calibri" w:eastAsia="宋体"/>
        </w:rPr>
        <w:t>（一）本合同期满后，自行终止。甲方根据对乙方每年考核结果，确定是否续签订合同。</w:t>
      </w:r>
      <w:r>
        <w:rPr>
          <w:rFonts w:hint="eastAsia" w:ascii="Calibri" w:hAnsi="Calibri" w:eastAsia="宋体"/>
        </w:rPr>
        <w:cr/>
      </w:r>
      <w:r>
        <w:rPr>
          <w:rFonts w:ascii="Calibri" w:hAnsi="Calibri" w:eastAsia="宋体"/>
        </w:rPr>
        <w:t xml:space="preserve">    </w:t>
      </w:r>
      <w:r>
        <w:rPr>
          <w:rFonts w:hint="eastAsia" w:ascii="Calibri" w:hAnsi="Calibri" w:eastAsia="宋体"/>
        </w:rPr>
        <w:t>（二）本合同有效期内，双方应认真履行合同内容。确因形势发生变化，一方需要变更或终止合同，须提前30日以书面形式向对方提出请求，经双方协商同意后，可以变更或解除合同。</w:t>
      </w:r>
      <w:r>
        <w:rPr>
          <w:rFonts w:hint="eastAsia" w:ascii="Calibri" w:hAnsi="Calibri" w:eastAsia="宋体"/>
        </w:rPr>
        <w:cr/>
      </w:r>
      <w:r>
        <w:rPr>
          <w:rFonts w:ascii="Calibri" w:hAnsi="Calibri" w:eastAsia="宋体"/>
        </w:rPr>
        <w:t xml:space="preserve">    </w:t>
      </w:r>
      <w:r>
        <w:rPr>
          <w:rFonts w:hint="eastAsia" w:ascii="Calibri" w:hAnsi="Calibri" w:eastAsia="宋体"/>
        </w:rPr>
        <w:t>（三）在合同执行期，因发生不可抗力致使合同无法继续履行，双方可解除合同。</w:t>
      </w:r>
      <w:r>
        <w:rPr>
          <w:rFonts w:hint="eastAsia" w:ascii="Calibri" w:hAnsi="Calibri" w:eastAsia="宋体"/>
        </w:rPr>
        <w:cr/>
      </w:r>
      <w:r>
        <w:rPr>
          <w:rFonts w:ascii="Calibri" w:hAnsi="Calibri" w:eastAsia="宋体"/>
        </w:rPr>
        <w:t xml:space="preserve">    </w:t>
      </w:r>
      <w:r>
        <w:rPr>
          <w:rFonts w:hint="eastAsia" w:ascii="Calibri" w:hAnsi="Calibri" w:eastAsia="宋体"/>
        </w:rPr>
        <w:t>（四）因一方不履行合同义务给对方造成损失的，责任方应向对方赔偿损失。</w:t>
      </w:r>
      <w:r>
        <w:rPr>
          <w:rFonts w:hint="eastAsia" w:ascii="Calibri" w:hAnsi="Calibri" w:eastAsia="宋体"/>
        </w:rPr>
        <w:cr/>
      </w:r>
      <w:r>
        <w:rPr>
          <w:rFonts w:ascii="Calibri" w:hAnsi="Calibri" w:eastAsia="宋体"/>
        </w:rPr>
        <w:t xml:space="preserve">    </w:t>
      </w:r>
      <w:r>
        <w:rPr>
          <w:rFonts w:hint="eastAsia" w:ascii="Calibri" w:hAnsi="Calibri" w:eastAsia="宋体"/>
        </w:rPr>
        <w:t>（五）有下列情形之一的，本合同的权利、义务终止：</w:t>
      </w:r>
      <w:r>
        <w:rPr>
          <w:rFonts w:hint="eastAsia" w:ascii="Calibri" w:hAnsi="Calibri" w:eastAsia="宋体"/>
        </w:rPr>
        <w:cr/>
      </w:r>
      <w:r>
        <w:rPr>
          <w:rFonts w:ascii="Calibri" w:hAnsi="Calibri" w:eastAsia="宋体"/>
        </w:rPr>
        <w:t xml:space="preserve">    </w:t>
      </w:r>
      <w:r>
        <w:rPr>
          <w:rFonts w:hint="eastAsia" w:ascii="Calibri" w:hAnsi="Calibri" w:eastAsia="宋体"/>
        </w:rPr>
        <w:t>1、合同已经按约定履行完毕的；</w:t>
      </w:r>
      <w:r>
        <w:rPr>
          <w:rFonts w:hint="eastAsia" w:ascii="Calibri" w:hAnsi="Calibri" w:eastAsia="宋体"/>
        </w:rPr>
        <w:cr/>
      </w:r>
      <w:r>
        <w:rPr>
          <w:rFonts w:ascii="Calibri" w:hAnsi="Calibri" w:eastAsia="宋体"/>
        </w:rPr>
        <w:t xml:space="preserve">    </w:t>
      </w:r>
      <w:r>
        <w:rPr>
          <w:rFonts w:hint="eastAsia" w:ascii="Calibri" w:hAnsi="Calibri" w:eastAsia="宋体"/>
        </w:rPr>
        <w:t>2、双方协商一致解除合同的；</w:t>
      </w:r>
      <w:r>
        <w:rPr>
          <w:rFonts w:hint="eastAsia" w:ascii="Calibri" w:hAnsi="Calibri" w:eastAsia="宋体"/>
        </w:rPr>
        <w:cr/>
      </w:r>
      <w:r>
        <w:rPr>
          <w:rFonts w:ascii="Calibri" w:hAnsi="Calibri" w:eastAsia="宋体"/>
        </w:rPr>
        <w:t xml:space="preserve">    </w:t>
      </w:r>
      <w:r>
        <w:rPr>
          <w:rFonts w:hint="eastAsia" w:ascii="Calibri" w:hAnsi="Calibri" w:eastAsia="宋体"/>
        </w:rPr>
        <w:t>3、其他约定的终止条件出现的。</w:t>
      </w:r>
      <w:r>
        <w:rPr>
          <w:rFonts w:hint="eastAsia" w:ascii="Calibri" w:hAnsi="Calibri" w:eastAsia="宋体"/>
        </w:rPr>
        <w:cr/>
      </w:r>
      <w:r>
        <w:rPr>
          <w:rFonts w:ascii="Calibri" w:hAnsi="Calibri" w:eastAsia="宋体"/>
        </w:rPr>
        <w:t xml:space="preserve">    </w:t>
      </w:r>
      <w:r>
        <w:rPr>
          <w:rFonts w:hint="eastAsia" w:ascii="Calibri" w:hAnsi="Calibri" w:eastAsia="宋体"/>
        </w:rPr>
        <w:t>（六）有下列情形之一的，双方可解除本合同：</w:t>
      </w:r>
      <w:r>
        <w:rPr>
          <w:rFonts w:hint="eastAsia" w:ascii="Calibri" w:hAnsi="Calibri" w:eastAsia="宋体"/>
        </w:rPr>
        <w:cr/>
      </w:r>
      <w:r>
        <w:rPr>
          <w:rFonts w:ascii="Calibri" w:hAnsi="Calibri" w:eastAsia="宋体"/>
        </w:rPr>
        <w:t xml:space="preserve">    </w:t>
      </w:r>
      <w:r>
        <w:rPr>
          <w:rFonts w:hint="eastAsia" w:ascii="Calibri" w:hAnsi="Calibri" w:eastAsia="宋体"/>
        </w:rPr>
        <w:t>1、因不可抗力，致使不能实现合同目的；</w:t>
      </w:r>
      <w:r>
        <w:rPr>
          <w:rFonts w:hint="eastAsia" w:ascii="Calibri" w:hAnsi="Calibri" w:eastAsia="宋体"/>
        </w:rPr>
        <w:cr/>
      </w:r>
      <w:r>
        <w:rPr>
          <w:rFonts w:ascii="Calibri" w:hAnsi="Calibri" w:eastAsia="宋体"/>
        </w:rPr>
        <w:t xml:space="preserve">    </w:t>
      </w:r>
      <w:r>
        <w:rPr>
          <w:rFonts w:hint="eastAsia" w:ascii="Calibri" w:hAnsi="Calibri" w:eastAsia="宋体"/>
        </w:rPr>
        <w:t>2、因一方原因致使合同不能继续履行；</w:t>
      </w:r>
      <w:r>
        <w:rPr>
          <w:rFonts w:hint="eastAsia" w:ascii="Calibri" w:hAnsi="Calibri" w:eastAsia="宋体"/>
        </w:rPr>
        <w:cr/>
      </w:r>
      <w:r>
        <w:rPr>
          <w:rFonts w:ascii="Calibri" w:hAnsi="Calibri" w:eastAsia="宋体"/>
        </w:rPr>
        <w:t xml:space="preserve">    </w:t>
      </w:r>
      <w:r>
        <w:rPr>
          <w:rFonts w:hint="eastAsia" w:ascii="Calibri" w:hAnsi="Calibri" w:eastAsia="宋体"/>
        </w:rPr>
        <w:t>3、双方协商一致。</w:t>
      </w:r>
      <w:r>
        <w:rPr>
          <w:rFonts w:ascii="Calibri" w:hAnsi="Calibri" w:eastAsia="宋体"/>
        </w:rPr>
        <w:cr/>
      </w:r>
      <w:r>
        <w:rPr>
          <w:rFonts w:ascii="Calibri" w:hAnsi="Calibri" w:eastAsia="宋体"/>
          <w:b/>
        </w:rPr>
        <w:t>十</w:t>
      </w:r>
      <w:r>
        <w:rPr>
          <w:rFonts w:ascii="Calibri" w:hAnsi="Calibri" w:eastAsia="宋体" w:cs="Calibri Light"/>
          <w:b/>
        </w:rPr>
        <w:t>、保密条款</w:t>
      </w:r>
    </w:p>
    <w:p w14:paraId="3520FD18">
      <w:pPr>
        <w:wordWrap w:val="0"/>
        <w:ind w:firstLine="480" w:firstLineChars="200"/>
        <w:jc w:val="both"/>
        <w:rPr>
          <w:rFonts w:ascii="Calibri" w:hAnsi="Calibri" w:eastAsia="宋体"/>
        </w:rPr>
      </w:pPr>
      <w:r>
        <w:rPr>
          <w:rFonts w:ascii="Calibri" w:hAnsi="Calibri" w:eastAsia="宋体"/>
        </w:rPr>
        <w:t>（一）乙方应遵守国家有关保密的法律法规和行业规定，并对甲方提供的资料负有保密义务。</w:t>
      </w:r>
    </w:p>
    <w:p w14:paraId="4D9A63A6">
      <w:pPr>
        <w:wordWrap w:val="0"/>
        <w:ind w:firstLine="480" w:firstLineChars="200"/>
        <w:jc w:val="both"/>
        <w:rPr>
          <w:rFonts w:ascii="Calibri" w:hAnsi="Calibri" w:eastAsia="宋体"/>
        </w:rPr>
      </w:pPr>
      <w:r>
        <w:rPr>
          <w:rFonts w:ascii="Calibri" w:hAnsi="Calibri" w:eastAsia="宋体"/>
        </w:rPr>
        <w:t>（二）本条款为独立条款，本合同的无效、变更、解除和终止均不影响本条款的效力。</w:t>
      </w:r>
    </w:p>
    <w:p w14:paraId="36EDC0A8">
      <w:pPr>
        <w:rPr>
          <w:rFonts w:ascii="Calibri" w:hAnsi="Calibri" w:eastAsia="宋体" w:cs="Calibri Light"/>
          <w:b/>
        </w:rPr>
      </w:pPr>
      <w:r>
        <w:rPr>
          <w:rFonts w:hint="eastAsia" w:ascii="Calibri" w:hAnsi="Calibri" w:eastAsia="宋体"/>
          <w:b/>
        </w:rPr>
        <w:t>十一、</w:t>
      </w:r>
      <w:r>
        <w:rPr>
          <w:rFonts w:ascii="Calibri" w:hAnsi="Calibri" w:eastAsia="宋体" w:cs="Calibri Light"/>
          <w:b/>
        </w:rPr>
        <w:t>争议解决</w:t>
      </w:r>
    </w:p>
    <w:p w14:paraId="5A04AF57">
      <w:pPr>
        <w:wordWrap w:val="0"/>
        <w:ind w:firstLine="480" w:firstLineChars="200"/>
        <w:jc w:val="both"/>
        <w:rPr>
          <w:rFonts w:ascii="Calibri" w:hAnsi="Calibri" w:eastAsia="宋体"/>
        </w:rPr>
      </w:pPr>
      <w:r>
        <w:rPr>
          <w:rFonts w:ascii="Calibri" w:hAnsi="Calibri" w:eastAsia="宋体"/>
        </w:rPr>
        <w:t>（一）本合同适用法律为中华人民共和国法律。</w:t>
      </w:r>
    </w:p>
    <w:p w14:paraId="00C7934C">
      <w:pPr>
        <w:wordWrap w:val="0"/>
        <w:ind w:firstLine="480" w:firstLineChars="200"/>
        <w:jc w:val="both"/>
        <w:rPr>
          <w:rFonts w:ascii="Calibri" w:hAnsi="Calibri" w:eastAsia="宋体"/>
        </w:rPr>
      </w:pPr>
      <w:r>
        <w:rPr>
          <w:rFonts w:ascii="Calibri" w:hAnsi="Calibri" w:eastAsia="宋体"/>
        </w:rPr>
        <w:t>（二）凡与本合同有关的一切争议，双方应通过友好协商解决。如协商后仍不能达成协议时，按下列第___种方式解决。</w:t>
      </w:r>
    </w:p>
    <w:p w14:paraId="036A734D">
      <w:pPr>
        <w:wordWrap w:val="0"/>
        <w:ind w:firstLine="480" w:firstLineChars="200"/>
        <w:jc w:val="both"/>
        <w:rPr>
          <w:rFonts w:ascii="Calibri" w:hAnsi="Calibri" w:eastAsia="宋体"/>
        </w:rPr>
      </w:pPr>
      <w:r>
        <w:rPr>
          <w:rFonts w:ascii="Calibri" w:hAnsi="Calibri" w:eastAsia="宋体"/>
        </w:rPr>
        <w:t>1．提交西安仲裁委员会。</w:t>
      </w:r>
    </w:p>
    <w:p w14:paraId="25D5F64A">
      <w:pPr>
        <w:wordWrap w:val="0"/>
        <w:ind w:firstLine="480" w:firstLineChars="200"/>
        <w:jc w:val="both"/>
        <w:rPr>
          <w:rFonts w:ascii="Calibri" w:hAnsi="Calibri" w:eastAsia="宋体"/>
        </w:rPr>
      </w:pPr>
      <w:r>
        <w:rPr>
          <w:rFonts w:ascii="Calibri" w:hAnsi="Calibri" w:eastAsia="宋体"/>
        </w:rPr>
        <w:t>2．依法向甲方所在地有管辖权的人民法院提起诉讼。</w:t>
      </w:r>
    </w:p>
    <w:p w14:paraId="1C564564">
      <w:pPr>
        <w:spacing w:before="230" w:beforeLines="50"/>
        <w:jc w:val="both"/>
        <w:rPr>
          <w:rFonts w:ascii="Calibri" w:hAnsi="Calibri" w:eastAsia="宋体" w:cs="Calibri Light"/>
          <w:b/>
        </w:rPr>
      </w:pPr>
      <w:r>
        <w:rPr>
          <w:rFonts w:ascii="Calibri" w:hAnsi="Calibri" w:eastAsia="宋体" w:cs="Calibri Light"/>
          <w:b/>
        </w:rPr>
        <w:t>十二、不可抗力</w:t>
      </w:r>
    </w:p>
    <w:p w14:paraId="34B0D2FA">
      <w:pPr>
        <w:wordWrap w:val="0"/>
        <w:ind w:firstLine="480" w:firstLineChars="200"/>
        <w:jc w:val="both"/>
        <w:rPr>
          <w:rFonts w:ascii="Calibri" w:hAnsi="Calibri" w:eastAsia="宋体"/>
        </w:rPr>
      </w:pPr>
      <w:r>
        <w:rPr>
          <w:rFonts w:ascii="Calibri" w:hAnsi="Calibri" w:eastAsia="宋体"/>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7E9A8125">
      <w:pPr>
        <w:wordWrap w:val="0"/>
        <w:ind w:firstLine="480" w:firstLineChars="200"/>
        <w:jc w:val="both"/>
        <w:rPr>
          <w:rFonts w:ascii="Calibri" w:hAnsi="Calibri" w:eastAsia="宋体"/>
        </w:rPr>
      </w:pPr>
      <w:r>
        <w:rPr>
          <w:rFonts w:ascii="Calibri" w:hAnsi="Calibri" w:eastAsia="宋体"/>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0859531B">
      <w:pPr>
        <w:wordWrap w:val="0"/>
        <w:ind w:firstLine="480" w:firstLineChars="200"/>
        <w:jc w:val="both"/>
        <w:rPr>
          <w:rFonts w:ascii="Calibri" w:hAnsi="Calibri" w:eastAsia="宋体"/>
        </w:rPr>
      </w:pPr>
      <w:r>
        <w:rPr>
          <w:rFonts w:ascii="Calibri" w:hAnsi="Calibri" w:eastAsia="宋体"/>
        </w:rPr>
        <w:t>（三）当不可抗力发生后，如果服务并未因此中断或受到影响的，则就本合同执行来说，视为不可抗力未发生。</w:t>
      </w:r>
    </w:p>
    <w:p w14:paraId="65D5E8D4">
      <w:pPr>
        <w:spacing w:before="230" w:beforeLines="50"/>
        <w:jc w:val="both"/>
        <w:rPr>
          <w:rFonts w:ascii="Calibri" w:hAnsi="Calibri" w:eastAsia="宋体" w:cs="Calibri Light"/>
          <w:b/>
        </w:rPr>
      </w:pPr>
      <w:r>
        <w:rPr>
          <w:rFonts w:ascii="Calibri" w:hAnsi="Calibri" w:eastAsia="宋体" w:cs="Calibri Light"/>
          <w:b/>
        </w:rPr>
        <w:t>十三、合同生效及其他</w:t>
      </w:r>
    </w:p>
    <w:p w14:paraId="5A520BCB">
      <w:pPr>
        <w:wordWrap w:val="0"/>
        <w:ind w:firstLine="480" w:firstLineChars="200"/>
        <w:jc w:val="both"/>
        <w:rPr>
          <w:rFonts w:ascii="Calibri" w:hAnsi="Calibri" w:eastAsia="宋体"/>
        </w:rPr>
      </w:pPr>
      <w:r>
        <w:rPr>
          <w:rFonts w:ascii="Calibri" w:hAnsi="Calibri" w:eastAsia="宋体"/>
        </w:rPr>
        <w:t>（一）本合同自签订之日起生效。</w:t>
      </w:r>
    </w:p>
    <w:p w14:paraId="189B517A">
      <w:pPr>
        <w:wordWrap w:val="0"/>
        <w:ind w:firstLine="480" w:firstLineChars="200"/>
        <w:jc w:val="both"/>
        <w:rPr>
          <w:rFonts w:ascii="Calibri" w:hAnsi="Calibri" w:eastAsia="宋体"/>
        </w:rPr>
      </w:pPr>
      <w:r>
        <w:rPr>
          <w:rFonts w:ascii="Calibri" w:hAnsi="Calibri" w:eastAsia="宋体"/>
        </w:rPr>
        <w:t>（二）合同一式</w:t>
      </w:r>
      <w:r>
        <w:rPr>
          <w:rFonts w:ascii="Calibri" w:hAnsi="Calibri" w:eastAsia="宋体"/>
          <w:u w:val="single"/>
        </w:rPr>
        <w:t xml:space="preserve">   </w:t>
      </w:r>
      <w:r>
        <w:rPr>
          <w:rFonts w:ascii="Calibri" w:hAnsi="Calibri" w:eastAsia="宋体"/>
        </w:rPr>
        <w:t>份，甲方执</w:t>
      </w:r>
      <w:r>
        <w:rPr>
          <w:rFonts w:ascii="Calibri" w:hAnsi="Calibri" w:eastAsia="宋体"/>
          <w:u w:val="single"/>
        </w:rPr>
        <w:t xml:space="preserve">   </w:t>
      </w:r>
      <w:r>
        <w:rPr>
          <w:rFonts w:ascii="Calibri" w:hAnsi="Calibri" w:eastAsia="宋体"/>
        </w:rPr>
        <w:t>份、乙方执</w:t>
      </w:r>
      <w:r>
        <w:rPr>
          <w:rFonts w:ascii="Calibri" w:hAnsi="Calibri" w:eastAsia="宋体"/>
          <w:u w:val="single"/>
        </w:rPr>
        <w:t xml:space="preserve">   </w:t>
      </w:r>
      <w:r>
        <w:rPr>
          <w:rFonts w:ascii="Calibri" w:hAnsi="Calibri" w:eastAsia="宋体"/>
        </w:rPr>
        <w:t>份。</w:t>
      </w:r>
    </w:p>
    <w:p w14:paraId="199169EC">
      <w:pPr>
        <w:wordWrap w:val="0"/>
        <w:ind w:firstLine="480" w:firstLineChars="200"/>
        <w:jc w:val="both"/>
        <w:rPr>
          <w:rFonts w:ascii="Calibri" w:hAnsi="Calibri" w:eastAsia="宋体"/>
        </w:rPr>
      </w:pPr>
      <w:r>
        <w:rPr>
          <w:rFonts w:ascii="Calibri" w:hAnsi="Calibri" w:eastAsia="宋体"/>
        </w:rPr>
        <w:t>（三）未尽事宜由双方在签订合同时具体明确或签订补充合同。</w:t>
      </w:r>
    </w:p>
    <w:p w14:paraId="11805AA1">
      <w:pPr>
        <w:rPr>
          <w:rFonts w:ascii="Calibri" w:hAnsi="Calibri" w:eastAsia="宋体"/>
          <w:b/>
        </w:rPr>
      </w:pPr>
    </w:p>
    <w:p w14:paraId="04218FC9">
      <w:pPr>
        <w:rPr>
          <w:rFonts w:ascii="Calibri" w:hAnsi="Calibri" w:eastAsia="宋体"/>
          <w:b/>
        </w:rPr>
      </w:pPr>
      <w:r>
        <w:rPr>
          <w:rFonts w:ascii="Calibri" w:hAnsi="Calibri" w:eastAsia="宋体"/>
          <w:b/>
        </w:rPr>
        <w:t>十四、</w:t>
      </w:r>
      <w:r>
        <w:rPr>
          <w:rFonts w:hint="eastAsia" w:ascii="Calibri" w:hAnsi="Calibri" w:eastAsia="宋体"/>
          <w:b/>
        </w:rPr>
        <w:t>其它事项</w:t>
      </w:r>
    </w:p>
    <w:p w14:paraId="1695B577">
      <w:pPr>
        <w:ind w:firstLine="480" w:firstLineChars="200"/>
        <w:rPr>
          <w:rFonts w:ascii="Calibri" w:hAnsi="Calibri" w:eastAsia="宋体"/>
        </w:rPr>
      </w:pPr>
      <w:r>
        <w:rPr>
          <w:rFonts w:hint="eastAsia" w:ascii="Calibri" w:hAnsi="Calibri" w:eastAsia="宋体"/>
        </w:rPr>
        <w:t>（一）本合同内容与国家新颁布的法律、法规和政策规定发生冲突时，以新的法律、法规和政策规定为准。</w:t>
      </w:r>
    </w:p>
    <w:p w14:paraId="085F467D">
      <w:pPr>
        <w:ind w:firstLine="480" w:firstLineChars="200"/>
        <w:rPr>
          <w:rFonts w:ascii="Calibri" w:hAnsi="Calibri" w:eastAsia="宋体"/>
        </w:rPr>
      </w:pPr>
      <w:r>
        <w:rPr>
          <w:rFonts w:hint="eastAsia" w:ascii="Calibri" w:hAnsi="Calibri" w:eastAsia="宋体"/>
        </w:rPr>
        <w:t>（二）本合同遇到不可抗力致使合同无法继续履行时，双方可协商处理。</w:t>
      </w:r>
    </w:p>
    <w:p w14:paraId="4A1FDBFD">
      <w:pPr>
        <w:ind w:firstLine="480" w:firstLineChars="200"/>
        <w:rPr>
          <w:rFonts w:ascii="Calibri" w:hAnsi="Calibri" w:eastAsia="宋体"/>
        </w:rPr>
      </w:pPr>
      <w:r>
        <w:rPr>
          <w:rFonts w:hint="eastAsia" w:ascii="Calibri" w:hAnsi="Calibri" w:eastAsia="宋体"/>
        </w:rPr>
        <w:t>（三）如本合同有未尽事宜，以招标文件为准，招标文件未做要求的，由双方依法订立补充合同。</w:t>
      </w:r>
    </w:p>
    <w:p w14:paraId="0FC4A7EB">
      <w:pPr>
        <w:ind w:firstLine="480" w:firstLineChars="200"/>
        <w:rPr>
          <w:rFonts w:ascii="Calibri" w:hAnsi="Calibri" w:eastAsia="宋体"/>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r>
        <w:rPr>
          <w:rFonts w:hint="eastAsia" w:ascii="Calibri" w:hAnsi="Calibri" w:eastAsia="宋体"/>
        </w:rPr>
        <w:t>（四）本项目“附件”是合同的组成部分，具有同等法律效力。</w:t>
      </w:r>
    </w:p>
    <w:p w14:paraId="066AACEE">
      <w:pPr>
        <w:pStyle w:val="2"/>
        <w:spacing w:before="230" w:after="230"/>
      </w:pPr>
      <w:bookmarkStart w:id="13" w:name="_Toc211437471"/>
      <w:bookmarkStart w:id="14" w:name="OLE_LINK5"/>
      <w:r>
        <w:rPr>
          <w:rFonts w:hint="eastAsia"/>
        </w:rPr>
        <w:t>第五章　投标文件构成及格式</w:t>
      </w:r>
      <w:bookmarkEnd w:id="13"/>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0B78F1C6">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bookmarkEnd w:id="14"/>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5D6A6AE5">
      <w:pPr>
        <w:keepNext/>
        <w:spacing w:before="230" w:beforeLines="50" w:after="230" w:afterLines="50"/>
        <w:jc w:val="center"/>
        <w:outlineLvl w:val="1"/>
        <w:rPr>
          <w:rFonts w:ascii="Calibri" w:hAnsi="Calibri" w:eastAsia="宋体"/>
          <w:kern w:val="24"/>
        </w:rPr>
      </w:pPr>
      <w:bookmarkStart w:id="15" w:name="OLE_LINK4"/>
      <w:bookmarkStart w:id="16" w:name="OLE_LINK3"/>
      <w:r>
        <w:rPr>
          <w:rFonts w:ascii="Calibri" w:hAnsi="Calibri" w:eastAsia="黑体"/>
          <w:kern w:val="32"/>
          <w:sz w:val="32"/>
        </w:rPr>
        <w:t>第二部分</w:t>
      </w:r>
      <w:r>
        <w:rPr>
          <w:rFonts w:hint="eastAsia" w:ascii="Calibri" w:hAnsi="Calibri" w:eastAsia="宋体"/>
          <w:kern w:val="24"/>
        </w:rPr>
        <w:t xml:space="preserve"> </w:t>
      </w:r>
      <w:r>
        <w:rPr>
          <w:rFonts w:ascii="Calibri" w:hAnsi="Calibri" w:eastAsia="黑体"/>
          <w:kern w:val="32"/>
          <w:sz w:val="32"/>
        </w:rPr>
        <w:t>开标一览表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b/>
              </w:rPr>
              <w:t>服务期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r w14:paraId="508C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37604BB0">
            <w:pPr>
              <w:spacing w:line="440" w:lineRule="exact"/>
              <w:jc w:val="center"/>
              <w:rPr>
                <w:rFonts w:cstheme="minorHAnsi"/>
                <w:b/>
                <w:color w:val="000000"/>
              </w:rPr>
            </w:pPr>
            <w:r>
              <w:rPr>
                <w:rFonts w:hint="eastAsia" w:cstheme="minorHAnsi"/>
                <w:b/>
                <w:color w:val="000000"/>
              </w:rPr>
              <w:t>投标报价</w:t>
            </w:r>
            <w:r>
              <w:rPr>
                <w:rFonts w:cstheme="minorHAnsi"/>
                <w:b/>
                <w:color w:val="000000"/>
              </w:rPr>
              <w:t>（大写）</w:t>
            </w:r>
          </w:p>
        </w:tc>
        <w:tc>
          <w:tcPr>
            <w:tcW w:w="5848" w:type="dxa"/>
            <w:gridSpan w:val="2"/>
            <w:tcBorders>
              <w:top w:val="single" w:color="auto" w:sz="2" w:space="0"/>
              <w:left w:val="single" w:color="auto" w:sz="2" w:space="0"/>
              <w:bottom w:val="single" w:color="auto" w:sz="2" w:space="0"/>
              <w:right w:val="single" w:color="auto" w:sz="2" w:space="0"/>
            </w:tcBorders>
          </w:tcPr>
          <w:p w14:paraId="04447017">
            <w:pPr>
              <w:spacing w:line="440" w:lineRule="exact"/>
              <w:rPr>
                <w:rFonts w:cstheme="minorHAnsi"/>
                <w:color w:val="FF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〖注〗以下情况按无效投标处理：</w:t>
      </w:r>
    </w:p>
    <w:p w14:paraId="46A071C3">
      <w:pPr>
        <w:ind w:firstLine="480" w:firstLineChars="200"/>
        <w:jc w:val="both"/>
        <w:rPr>
          <w:kern w:val="24"/>
        </w:rPr>
      </w:pPr>
      <w:r>
        <w:rPr>
          <w:kern w:val="24"/>
        </w:rPr>
        <w:t>1．A栏未按阿拉伯小写金额样式填写，B栏未填写服务期。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3．合计超过本</w:t>
      </w:r>
      <w:r>
        <w:rPr>
          <w:rFonts w:hint="eastAsia"/>
          <w:kern w:val="24"/>
        </w:rPr>
        <w:t>项目</w:t>
      </w:r>
      <w:r>
        <w:rPr>
          <w:kern w:val="24"/>
        </w:rPr>
        <w:t>预算的。</w:t>
      </w:r>
    </w:p>
    <w:p w14:paraId="60CE0BFD">
      <w:pPr>
        <w:pStyle w:val="40"/>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14:paraId="342B404F">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bookmarkEnd w:id="15"/>
    <w:bookmarkEnd w:id="16"/>
    <w:p w14:paraId="2D4F2EEF">
      <w:pPr>
        <w:jc w:val="both"/>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3FE1833F">
      <w:pPr>
        <w:rPr>
          <w:b/>
          <w:kern w:val="28"/>
        </w:rPr>
      </w:pPr>
      <w:r>
        <w:rPr>
          <w:b/>
          <w:kern w:val="28"/>
        </w:rP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2F6865DE">
      <w:pPr>
        <w:ind w:firstLine="480" w:firstLineChars="200"/>
        <w:jc w:val="both"/>
        <w:rPr>
          <w:color w:val="C00000"/>
        </w:rPr>
      </w:pPr>
      <w:r>
        <w:rPr>
          <w:rFonts w:hint="eastAsia"/>
          <w:color w:val="C00000"/>
        </w:rPr>
        <w:t>供应商为小型、微型企业或残疾人福利性单位的，应按下文给定格式填写声明函；供应商为监狱企业的，应当提供由省级以上监狱管理局、戒毒管理局（含新疆生产建设兵团）出具的属于监狱企业的证明函（格式不限定）。</w:t>
      </w:r>
      <w:r>
        <w:rPr>
          <w:color w:val="C00000"/>
        </w:rPr>
        <w:t>未按要求提供的，视为无效投标文件。</w:t>
      </w:r>
    </w:p>
    <w:p w14:paraId="153C29E3">
      <w:pPr>
        <w:ind w:firstLine="480" w:firstLineChars="200"/>
        <w:jc w:val="both"/>
      </w:pPr>
      <w:r>
        <w:t>中标供应商的声明函\证明函将随中标结果一同公布，接受社会监督。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4BAF61F2">
      <w:pPr>
        <w:tabs>
          <w:tab w:val="left" w:pos="5670"/>
        </w:tabs>
        <w:ind w:firstLine="480" w:firstLineChars="200"/>
        <w:jc w:val="both"/>
        <w:rPr>
          <w:rFonts w:asciiTheme="minorEastAsia" w:hAnsiTheme="minorEastAsia" w:cstheme="minorHAnsi"/>
          <w:b/>
          <w:color w:val="C00000"/>
        </w:rPr>
      </w:pP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DFCB88A">
      <w:pPr>
        <w:tabs>
          <w:tab w:val="left" w:pos="5670"/>
        </w:tabs>
        <w:ind w:firstLine="480" w:firstLineChars="200"/>
        <w:jc w:val="both"/>
        <w:rPr>
          <w:rFonts w:cs="Calibri Light"/>
          <w:color w:val="000000"/>
        </w:rPr>
      </w:pPr>
      <w:r>
        <w:rPr>
          <w:rFonts w:cs="Calibri Light"/>
          <w:color w:val="000000"/>
        </w:rPr>
        <w:t>日　期：　　年　月　日</w:t>
      </w:r>
    </w:p>
    <w:p w14:paraId="73405268">
      <w:pPr>
        <w:rPr>
          <w:rFonts w:cs="Calibri Light"/>
          <w:color w:val="000000"/>
        </w:rPr>
      </w:pPr>
    </w:p>
    <w:p w14:paraId="6277AF58">
      <w:pPr>
        <w:rPr>
          <w:rFonts w:cs="Calibri Light"/>
          <w:color w:val="000000"/>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黑体" w:hAnsi="黑体" w:eastAsia="黑体"/>
          <w:sz w:val="28"/>
          <w:szCs w:val="28"/>
        </w:rPr>
      </w:pPr>
      <w:r>
        <w:rPr>
          <w:rFonts w:ascii="黑体" w:hAnsi="黑体" w:eastAsia="黑体"/>
          <w:sz w:val="28"/>
          <w:szCs w:val="28"/>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5A38DE3E">
      <w:pPr>
        <w:rPr>
          <w:rFonts w:cstheme="minorHAnsi"/>
          <w:b/>
        </w:rPr>
      </w:pPr>
    </w:p>
    <w:p w14:paraId="23EE6490">
      <w:pPr>
        <w:jc w:val="center"/>
        <w:rPr>
          <w:rFonts w:cstheme="minorHAnsi"/>
          <w:b/>
        </w:rPr>
      </w:pPr>
      <w:r>
        <w:rPr>
          <w:rFonts w:hint="eastAsia" w:cstheme="minorHAnsi"/>
          <w:b/>
        </w:rPr>
        <w:t>技术（服务）响应方案</w:t>
      </w:r>
    </w:p>
    <w:p w14:paraId="456B6BDF">
      <w:pPr>
        <w:rPr>
          <w:i/>
          <w:color w:val="C00000"/>
        </w:rPr>
      </w:pP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1．物业服务方案</w:t>
      </w:r>
    </w:p>
    <w:p w14:paraId="5A8ADE46">
      <w:pPr>
        <w:rPr>
          <w:rFonts w:asciiTheme="minorEastAsia" w:hAnsiTheme="minorEastAsia"/>
        </w:rPr>
      </w:pPr>
    </w:p>
    <w:p w14:paraId="629BEB5F">
      <w:pPr>
        <w:rPr>
          <w:rFonts w:asciiTheme="minorEastAsia" w:hAnsiTheme="minorEastAsia"/>
        </w:rPr>
      </w:pPr>
      <w:r>
        <w:rPr>
          <w:rFonts w:asciiTheme="minorEastAsia" w:hAnsiTheme="minorEastAsia"/>
        </w:rPr>
        <w:t>2</w:t>
      </w:r>
      <w:r>
        <w:rPr>
          <w:rFonts w:hint="eastAsia" w:asciiTheme="minorEastAsia" w:hAnsiTheme="minorEastAsia"/>
        </w:rPr>
        <w:t>．项目管理方案</w:t>
      </w:r>
    </w:p>
    <w:p w14:paraId="5A89A80D">
      <w:pPr>
        <w:rPr>
          <w:rFonts w:asciiTheme="minorEastAsia" w:hAnsiTheme="minorEastAsia"/>
        </w:rPr>
      </w:pPr>
    </w:p>
    <w:p w14:paraId="1CC39B22">
      <w:pPr>
        <w:rPr>
          <w:rFonts w:cstheme="minorHAnsi"/>
          <w:b/>
          <w:color w:val="C00000"/>
          <w:sz w:val="28"/>
          <w:szCs w:val="28"/>
        </w:rPr>
      </w:pPr>
      <w:r>
        <w:rPr>
          <w:rFonts w:asciiTheme="minorEastAsia" w:hAnsiTheme="minorEastAsia"/>
        </w:rPr>
        <w:t>……</w:t>
      </w: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32EFF2EE">
      <w:pPr>
        <w:rPr>
          <w:rFonts w:asciiTheme="minorEastAsia" w:hAnsiTheme="minorEastAsia" w:cstheme="minorHAnsi"/>
          <w:b/>
          <w:color w:val="000000"/>
          <w:kern w:val="24"/>
        </w:rPr>
      </w:pPr>
    </w:p>
    <w:p w14:paraId="59B1962B">
      <w:pPr>
        <w:rPr>
          <w:rFonts w:cstheme="minorHAnsi"/>
          <w:b/>
        </w:rPr>
      </w:pPr>
      <w:r>
        <w:rPr>
          <w:rFonts w:cstheme="minorHAnsi"/>
          <w:b/>
        </w:rPr>
        <w:br w:type="page"/>
      </w: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．管理体系</w:t>
      </w:r>
    </w:p>
    <w:p w14:paraId="31119CD0">
      <w:pPr>
        <w:rPr>
          <w:rFonts w:asciiTheme="minorEastAsia" w:hAnsiTheme="minorEastAsia" w:cstheme="minorHAnsi"/>
          <w:b/>
          <w:color w:val="000000"/>
          <w:kern w:val="24"/>
        </w:rPr>
      </w:pPr>
    </w:p>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．物资装备及耗材配置：</w:t>
      </w:r>
      <w:r>
        <w:rPr>
          <w:rFonts w:asciiTheme="minorEastAsia" w:hAnsiTheme="minorEastAsia" w:cstheme="minorHAnsi"/>
          <w:b/>
          <w:color w:val="000000"/>
          <w:kern w:val="24"/>
        </w:rPr>
        <w:cr/>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69C10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488BEC21">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1F1F1" w:themeFill="background1" w:themeFillShade="F2"/>
            <w:vAlign w:val="center"/>
          </w:tcPr>
          <w:p w14:paraId="3AEE7685">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1F1F1" w:themeFill="background1" w:themeFillShade="F2"/>
            <w:vAlign w:val="center"/>
          </w:tcPr>
          <w:p w14:paraId="69459F8F">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1F1F1" w:themeFill="background1" w:themeFillShade="F2"/>
            <w:vAlign w:val="center"/>
          </w:tcPr>
          <w:p w14:paraId="2F072996">
            <w:pPr>
              <w:jc w:val="center"/>
              <w:rPr>
                <w:rFonts w:asciiTheme="minorEastAsia" w:hAnsiTheme="minorEastAsia"/>
                <w:b/>
                <w:sz w:val="21"/>
                <w:szCs w:val="21"/>
              </w:rPr>
            </w:pPr>
            <w:r>
              <w:rPr>
                <w:rFonts w:asciiTheme="minorEastAsia" w:hAnsiTheme="minorEastAsia"/>
                <w:b/>
                <w:sz w:val="21"/>
                <w:szCs w:val="21"/>
              </w:rPr>
              <w:t>生产厂家</w:t>
            </w:r>
          </w:p>
        </w:tc>
        <w:tc>
          <w:tcPr>
            <w:tcW w:w="1426" w:type="dxa"/>
            <w:shd w:val="clear" w:color="auto" w:fill="F1F1F1" w:themeFill="background1" w:themeFillShade="F2"/>
            <w:vAlign w:val="center"/>
          </w:tcPr>
          <w:p w14:paraId="40D323E7">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7F152889">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11856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2CE52858">
            <w:pPr>
              <w:rPr>
                <w:rFonts w:asciiTheme="minorEastAsia" w:hAnsiTheme="minorEastAsia"/>
                <w:sz w:val="21"/>
                <w:szCs w:val="21"/>
              </w:rPr>
            </w:pPr>
          </w:p>
        </w:tc>
        <w:tc>
          <w:tcPr>
            <w:tcW w:w="1576" w:type="dxa"/>
            <w:shd w:val="clear" w:color="auto" w:fill="auto"/>
            <w:vAlign w:val="center"/>
          </w:tcPr>
          <w:p w14:paraId="6E49946E">
            <w:pPr>
              <w:rPr>
                <w:rFonts w:asciiTheme="minorEastAsia" w:hAnsiTheme="minorEastAsia"/>
                <w:sz w:val="21"/>
                <w:szCs w:val="21"/>
              </w:rPr>
            </w:pPr>
          </w:p>
        </w:tc>
        <w:tc>
          <w:tcPr>
            <w:tcW w:w="1417" w:type="dxa"/>
            <w:shd w:val="clear" w:color="auto" w:fill="auto"/>
            <w:vAlign w:val="center"/>
          </w:tcPr>
          <w:p w14:paraId="17D01F59">
            <w:pPr>
              <w:rPr>
                <w:rFonts w:asciiTheme="minorEastAsia" w:hAnsiTheme="minorEastAsia"/>
                <w:sz w:val="21"/>
                <w:szCs w:val="21"/>
              </w:rPr>
            </w:pPr>
          </w:p>
        </w:tc>
        <w:tc>
          <w:tcPr>
            <w:tcW w:w="1701" w:type="dxa"/>
            <w:shd w:val="clear" w:color="auto" w:fill="auto"/>
            <w:vAlign w:val="center"/>
          </w:tcPr>
          <w:p w14:paraId="264F55A7">
            <w:pPr>
              <w:rPr>
                <w:rFonts w:asciiTheme="minorEastAsia" w:hAnsiTheme="minorEastAsia"/>
                <w:sz w:val="21"/>
                <w:szCs w:val="21"/>
              </w:rPr>
            </w:pPr>
          </w:p>
        </w:tc>
        <w:tc>
          <w:tcPr>
            <w:tcW w:w="1426" w:type="dxa"/>
            <w:shd w:val="clear" w:color="auto" w:fill="auto"/>
            <w:vAlign w:val="center"/>
          </w:tcPr>
          <w:p w14:paraId="4C95A39C">
            <w:pPr>
              <w:rPr>
                <w:rFonts w:asciiTheme="minorEastAsia" w:hAnsiTheme="minorEastAsia"/>
                <w:sz w:val="21"/>
                <w:szCs w:val="21"/>
              </w:rPr>
            </w:pPr>
          </w:p>
        </w:tc>
        <w:tc>
          <w:tcPr>
            <w:tcW w:w="1792" w:type="dxa"/>
            <w:shd w:val="clear" w:color="auto" w:fill="auto"/>
            <w:vAlign w:val="center"/>
          </w:tcPr>
          <w:p w14:paraId="23B27D80">
            <w:pPr>
              <w:rPr>
                <w:rFonts w:asciiTheme="minorEastAsia" w:hAnsiTheme="minorEastAsia"/>
                <w:sz w:val="21"/>
                <w:szCs w:val="21"/>
              </w:rPr>
            </w:pPr>
          </w:p>
        </w:tc>
      </w:tr>
      <w:tr w14:paraId="5B322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67C923C">
            <w:pPr>
              <w:rPr>
                <w:rFonts w:asciiTheme="minorEastAsia" w:hAnsiTheme="minorEastAsia"/>
                <w:sz w:val="21"/>
                <w:szCs w:val="21"/>
              </w:rPr>
            </w:pPr>
          </w:p>
        </w:tc>
        <w:tc>
          <w:tcPr>
            <w:tcW w:w="1576" w:type="dxa"/>
            <w:shd w:val="clear" w:color="auto" w:fill="auto"/>
            <w:vAlign w:val="center"/>
          </w:tcPr>
          <w:p w14:paraId="3402EB9A">
            <w:pPr>
              <w:rPr>
                <w:rFonts w:asciiTheme="minorEastAsia" w:hAnsiTheme="minorEastAsia"/>
                <w:sz w:val="21"/>
                <w:szCs w:val="21"/>
              </w:rPr>
            </w:pPr>
          </w:p>
        </w:tc>
        <w:tc>
          <w:tcPr>
            <w:tcW w:w="1417" w:type="dxa"/>
            <w:shd w:val="clear" w:color="auto" w:fill="auto"/>
            <w:vAlign w:val="center"/>
          </w:tcPr>
          <w:p w14:paraId="6F154AAF">
            <w:pPr>
              <w:rPr>
                <w:rFonts w:asciiTheme="minorEastAsia" w:hAnsiTheme="minorEastAsia"/>
                <w:sz w:val="21"/>
                <w:szCs w:val="21"/>
              </w:rPr>
            </w:pPr>
          </w:p>
        </w:tc>
        <w:tc>
          <w:tcPr>
            <w:tcW w:w="1701" w:type="dxa"/>
            <w:shd w:val="clear" w:color="auto" w:fill="auto"/>
            <w:vAlign w:val="center"/>
          </w:tcPr>
          <w:p w14:paraId="1EDF1051">
            <w:pPr>
              <w:rPr>
                <w:rFonts w:asciiTheme="minorEastAsia" w:hAnsiTheme="minorEastAsia"/>
                <w:sz w:val="21"/>
                <w:szCs w:val="21"/>
              </w:rPr>
            </w:pPr>
          </w:p>
        </w:tc>
        <w:tc>
          <w:tcPr>
            <w:tcW w:w="1426" w:type="dxa"/>
            <w:shd w:val="clear" w:color="auto" w:fill="auto"/>
            <w:vAlign w:val="center"/>
          </w:tcPr>
          <w:p w14:paraId="6E81A6E6">
            <w:pPr>
              <w:rPr>
                <w:rFonts w:asciiTheme="minorEastAsia" w:hAnsiTheme="minorEastAsia"/>
                <w:sz w:val="21"/>
                <w:szCs w:val="21"/>
              </w:rPr>
            </w:pPr>
          </w:p>
        </w:tc>
        <w:tc>
          <w:tcPr>
            <w:tcW w:w="1792" w:type="dxa"/>
            <w:shd w:val="clear" w:color="auto" w:fill="auto"/>
            <w:vAlign w:val="center"/>
          </w:tcPr>
          <w:p w14:paraId="7EECBD96">
            <w:pPr>
              <w:rPr>
                <w:rFonts w:asciiTheme="minorEastAsia" w:hAnsiTheme="minorEastAsia"/>
                <w:sz w:val="21"/>
                <w:szCs w:val="21"/>
              </w:rPr>
            </w:pPr>
          </w:p>
        </w:tc>
      </w:tr>
      <w:tr w14:paraId="77E71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2D84B5EE">
            <w:pPr>
              <w:rPr>
                <w:rFonts w:asciiTheme="minorEastAsia" w:hAnsiTheme="minorEastAsia"/>
                <w:sz w:val="21"/>
                <w:szCs w:val="21"/>
              </w:rPr>
            </w:pPr>
          </w:p>
        </w:tc>
        <w:tc>
          <w:tcPr>
            <w:tcW w:w="1576" w:type="dxa"/>
            <w:shd w:val="clear" w:color="auto" w:fill="auto"/>
            <w:vAlign w:val="center"/>
          </w:tcPr>
          <w:p w14:paraId="574435F0">
            <w:pPr>
              <w:rPr>
                <w:rFonts w:asciiTheme="minorEastAsia" w:hAnsiTheme="minorEastAsia"/>
                <w:sz w:val="21"/>
                <w:szCs w:val="21"/>
              </w:rPr>
            </w:pPr>
          </w:p>
        </w:tc>
        <w:tc>
          <w:tcPr>
            <w:tcW w:w="1417" w:type="dxa"/>
            <w:shd w:val="clear" w:color="auto" w:fill="auto"/>
            <w:vAlign w:val="center"/>
          </w:tcPr>
          <w:p w14:paraId="6ED62727">
            <w:pPr>
              <w:rPr>
                <w:rFonts w:asciiTheme="minorEastAsia" w:hAnsiTheme="minorEastAsia"/>
                <w:sz w:val="21"/>
                <w:szCs w:val="21"/>
              </w:rPr>
            </w:pPr>
          </w:p>
        </w:tc>
        <w:tc>
          <w:tcPr>
            <w:tcW w:w="1701" w:type="dxa"/>
            <w:shd w:val="clear" w:color="auto" w:fill="auto"/>
            <w:vAlign w:val="center"/>
          </w:tcPr>
          <w:p w14:paraId="28A903BF">
            <w:pPr>
              <w:rPr>
                <w:rFonts w:asciiTheme="minorEastAsia" w:hAnsiTheme="minorEastAsia"/>
                <w:sz w:val="21"/>
                <w:szCs w:val="21"/>
              </w:rPr>
            </w:pPr>
          </w:p>
        </w:tc>
        <w:tc>
          <w:tcPr>
            <w:tcW w:w="1426" w:type="dxa"/>
            <w:shd w:val="clear" w:color="auto" w:fill="auto"/>
            <w:vAlign w:val="center"/>
          </w:tcPr>
          <w:p w14:paraId="77018489">
            <w:pPr>
              <w:rPr>
                <w:rFonts w:asciiTheme="minorEastAsia" w:hAnsiTheme="minorEastAsia"/>
                <w:sz w:val="21"/>
                <w:szCs w:val="21"/>
              </w:rPr>
            </w:pPr>
          </w:p>
        </w:tc>
        <w:tc>
          <w:tcPr>
            <w:tcW w:w="1792" w:type="dxa"/>
            <w:shd w:val="clear" w:color="auto" w:fill="auto"/>
            <w:vAlign w:val="center"/>
          </w:tcPr>
          <w:p w14:paraId="104666EC">
            <w:pPr>
              <w:rPr>
                <w:rFonts w:asciiTheme="minorEastAsia" w:hAnsiTheme="minorEastAsia"/>
                <w:sz w:val="21"/>
                <w:szCs w:val="21"/>
              </w:rPr>
            </w:pPr>
          </w:p>
        </w:tc>
      </w:tr>
      <w:tr w14:paraId="531E4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77353CD7">
            <w:pPr>
              <w:rPr>
                <w:rFonts w:asciiTheme="minorEastAsia" w:hAnsiTheme="minorEastAsia"/>
                <w:sz w:val="21"/>
                <w:szCs w:val="21"/>
              </w:rPr>
            </w:pPr>
          </w:p>
        </w:tc>
        <w:tc>
          <w:tcPr>
            <w:tcW w:w="1576" w:type="dxa"/>
            <w:shd w:val="clear" w:color="auto" w:fill="auto"/>
            <w:vAlign w:val="center"/>
          </w:tcPr>
          <w:p w14:paraId="506BFA6B">
            <w:pPr>
              <w:rPr>
                <w:rFonts w:asciiTheme="minorEastAsia" w:hAnsiTheme="minorEastAsia"/>
                <w:sz w:val="21"/>
                <w:szCs w:val="21"/>
              </w:rPr>
            </w:pPr>
          </w:p>
        </w:tc>
        <w:tc>
          <w:tcPr>
            <w:tcW w:w="1417" w:type="dxa"/>
            <w:shd w:val="clear" w:color="auto" w:fill="auto"/>
            <w:vAlign w:val="center"/>
          </w:tcPr>
          <w:p w14:paraId="5972AD84">
            <w:pPr>
              <w:rPr>
                <w:rFonts w:asciiTheme="minorEastAsia" w:hAnsiTheme="minorEastAsia"/>
                <w:sz w:val="21"/>
                <w:szCs w:val="21"/>
              </w:rPr>
            </w:pPr>
          </w:p>
        </w:tc>
        <w:tc>
          <w:tcPr>
            <w:tcW w:w="1701" w:type="dxa"/>
            <w:shd w:val="clear" w:color="auto" w:fill="auto"/>
            <w:vAlign w:val="center"/>
          </w:tcPr>
          <w:p w14:paraId="1F778835">
            <w:pPr>
              <w:rPr>
                <w:rFonts w:asciiTheme="minorEastAsia" w:hAnsiTheme="minorEastAsia"/>
                <w:sz w:val="21"/>
                <w:szCs w:val="21"/>
              </w:rPr>
            </w:pPr>
          </w:p>
        </w:tc>
        <w:tc>
          <w:tcPr>
            <w:tcW w:w="1426" w:type="dxa"/>
            <w:shd w:val="clear" w:color="auto" w:fill="auto"/>
            <w:vAlign w:val="center"/>
          </w:tcPr>
          <w:p w14:paraId="47B11845">
            <w:pPr>
              <w:rPr>
                <w:rFonts w:asciiTheme="minorEastAsia" w:hAnsiTheme="minorEastAsia"/>
                <w:sz w:val="21"/>
                <w:szCs w:val="21"/>
              </w:rPr>
            </w:pPr>
          </w:p>
        </w:tc>
        <w:tc>
          <w:tcPr>
            <w:tcW w:w="1792" w:type="dxa"/>
            <w:shd w:val="clear" w:color="auto" w:fill="auto"/>
            <w:vAlign w:val="center"/>
          </w:tcPr>
          <w:p w14:paraId="6FFCDFB0">
            <w:pPr>
              <w:rPr>
                <w:rFonts w:asciiTheme="minorEastAsia" w:hAnsiTheme="minorEastAsia"/>
                <w:sz w:val="21"/>
                <w:szCs w:val="21"/>
              </w:rPr>
            </w:pPr>
          </w:p>
        </w:tc>
      </w:tr>
      <w:tr w14:paraId="17B75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C9DD28E">
            <w:pPr>
              <w:rPr>
                <w:rFonts w:asciiTheme="minorEastAsia" w:hAnsiTheme="minorEastAsia"/>
                <w:sz w:val="21"/>
                <w:szCs w:val="21"/>
              </w:rPr>
            </w:pPr>
          </w:p>
        </w:tc>
        <w:tc>
          <w:tcPr>
            <w:tcW w:w="1576" w:type="dxa"/>
            <w:shd w:val="clear" w:color="auto" w:fill="auto"/>
            <w:vAlign w:val="center"/>
          </w:tcPr>
          <w:p w14:paraId="5DA35F0F">
            <w:pPr>
              <w:rPr>
                <w:rFonts w:asciiTheme="minorEastAsia" w:hAnsiTheme="minorEastAsia"/>
                <w:sz w:val="21"/>
                <w:szCs w:val="21"/>
              </w:rPr>
            </w:pPr>
          </w:p>
        </w:tc>
        <w:tc>
          <w:tcPr>
            <w:tcW w:w="1417" w:type="dxa"/>
            <w:shd w:val="clear" w:color="auto" w:fill="auto"/>
            <w:vAlign w:val="center"/>
          </w:tcPr>
          <w:p w14:paraId="5F82BB9B">
            <w:pPr>
              <w:rPr>
                <w:rFonts w:asciiTheme="minorEastAsia" w:hAnsiTheme="minorEastAsia"/>
                <w:sz w:val="21"/>
                <w:szCs w:val="21"/>
              </w:rPr>
            </w:pPr>
          </w:p>
        </w:tc>
        <w:tc>
          <w:tcPr>
            <w:tcW w:w="1701" w:type="dxa"/>
            <w:shd w:val="clear" w:color="auto" w:fill="auto"/>
            <w:vAlign w:val="center"/>
          </w:tcPr>
          <w:p w14:paraId="35641E7F">
            <w:pPr>
              <w:rPr>
                <w:rFonts w:asciiTheme="minorEastAsia" w:hAnsiTheme="minorEastAsia"/>
                <w:sz w:val="21"/>
                <w:szCs w:val="21"/>
              </w:rPr>
            </w:pPr>
          </w:p>
        </w:tc>
        <w:tc>
          <w:tcPr>
            <w:tcW w:w="1426" w:type="dxa"/>
            <w:shd w:val="clear" w:color="auto" w:fill="auto"/>
            <w:vAlign w:val="center"/>
          </w:tcPr>
          <w:p w14:paraId="5CF2CB45">
            <w:pPr>
              <w:rPr>
                <w:rFonts w:asciiTheme="minorEastAsia" w:hAnsiTheme="minorEastAsia"/>
                <w:sz w:val="21"/>
                <w:szCs w:val="21"/>
              </w:rPr>
            </w:pPr>
          </w:p>
        </w:tc>
        <w:tc>
          <w:tcPr>
            <w:tcW w:w="1792" w:type="dxa"/>
            <w:shd w:val="clear" w:color="auto" w:fill="auto"/>
            <w:vAlign w:val="center"/>
          </w:tcPr>
          <w:p w14:paraId="696D0DCD">
            <w:pPr>
              <w:rPr>
                <w:rFonts w:asciiTheme="minorEastAsia" w:hAnsiTheme="minorEastAsia"/>
                <w:sz w:val="21"/>
                <w:szCs w:val="21"/>
              </w:rPr>
            </w:pPr>
          </w:p>
        </w:tc>
      </w:tr>
      <w:tr w14:paraId="250C6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F523C67">
            <w:pPr>
              <w:rPr>
                <w:rFonts w:asciiTheme="minorEastAsia" w:hAnsiTheme="minorEastAsia"/>
                <w:sz w:val="21"/>
                <w:szCs w:val="21"/>
              </w:rPr>
            </w:pPr>
          </w:p>
        </w:tc>
        <w:tc>
          <w:tcPr>
            <w:tcW w:w="1576" w:type="dxa"/>
            <w:shd w:val="clear" w:color="auto" w:fill="auto"/>
            <w:vAlign w:val="center"/>
          </w:tcPr>
          <w:p w14:paraId="40E42C09">
            <w:pPr>
              <w:rPr>
                <w:rFonts w:asciiTheme="minorEastAsia" w:hAnsiTheme="minorEastAsia"/>
                <w:sz w:val="21"/>
                <w:szCs w:val="21"/>
              </w:rPr>
            </w:pPr>
          </w:p>
        </w:tc>
        <w:tc>
          <w:tcPr>
            <w:tcW w:w="1417" w:type="dxa"/>
            <w:shd w:val="clear" w:color="auto" w:fill="auto"/>
            <w:vAlign w:val="center"/>
          </w:tcPr>
          <w:p w14:paraId="0C7A2F69">
            <w:pPr>
              <w:rPr>
                <w:rFonts w:asciiTheme="minorEastAsia" w:hAnsiTheme="minorEastAsia"/>
                <w:sz w:val="21"/>
                <w:szCs w:val="21"/>
              </w:rPr>
            </w:pPr>
          </w:p>
        </w:tc>
        <w:tc>
          <w:tcPr>
            <w:tcW w:w="1701" w:type="dxa"/>
            <w:shd w:val="clear" w:color="auto" w:fill="auto"/>
            <w:vAlign w:val="center"/>
          </w:tcPr>
          <w:p w14:paraId="46799654">
            <w:pPr>
              <w:rPr>
                <w:rFonts w:asciiTheme="minorEastAsia" w:hAnsiTheme="minorEastAsia"/>
                <w:sz w:val="21"/>
                <w:szCs w:val="21"/>
              </w:rPr>
            </w:pPr>
          </w:p>
        </w:tc>
        <w:tc>
          <w:tcPr>
            <w:tcW w:w="1426" w:type="dxa"/>
            <w:shd w:val="clear" w:color="auto" w:fill="auto"/>
            <w:vAlign w:val="center"/>
          </w:tcPr>
          <w:p w14:paraId="4188DD6C">
            <w:pPr>
              <w:rPr>
                <w:rFonts w:asciiTheme="minorEastAsia" w:hAnsiTheme="minorEastAsia"/>
                <w:sz w:val="21"/>
                <w:szCs w:val="21"/>
              </w:rPr>
            </w:pPr>
          </w:p>
        </w:tc>
        <w:tc>
          <w:tcPr>
            <w:tcW w:w="1792" w:type="dxa"/>
            <w:shd w:val="clear" w:color="auto" w:fill="auto"/>
            <w:vAlign w:val="center"/>
          </w:tcPr>
          <w:p w14:paraId="3AA347F5">
            <w:pPr>
              <w:rPr>
                <w:rFonts w:asciiTheme="minorEastAsia" w:hAnsiTheme="minorEastAsia"/>
                <w:sz w:val="21"/>
                <w:szCs w:val="21"/>
              </w:rPr>
            </w:pPr>
          </w:p>
        </w:tc>
      </w:tr>
      <w:tr w14:paraId="04D19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7B32D8D">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5FE76299">
            <w:pPr>
              <w:jc w:val="both"/>
              <w:rPr>
                <w:rFonts w:asciiTheme="minorEastAsia" w:hAnsiTheme="minorEastAsia"/>
                <w:sz w:val="21"/>
                <w:szCs w:val="21"/>
              </w:rPr>
            </w:pPr>
            <w:r>
              <w:rPr>
                <w:rFonts w:asciiTheme="minorEastAsia" w:hAnsiTheme="minorEastAsia"/>
                <w:sz w:val="21"/>
                <w:szCs w:val="21"/>
              </w:rPr>
              <w:t>① 表格行数不足时请自行扩展。</w:t>
            </w:r>
          </w:p>
          <w:p w14:paraId="4ABE62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61B759C8">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设备购买发票或租赁证明</w:t>
      </w:r>
    </w:p>
    <w:p w14:paraId="3A9EA6E1">
      <w:pPr>
        <w:rPr>
          <w:rFonts w:asciiTheme="minorEastAsia" w:hAnsiTheme="minorEastAsia" w:cstheme="minorHAnsi"/>
          <w:b/>
          <w:color w:val="000000"/>
          <w:kern w:val="24"/>
        </w:rPr>
      </w:pPr>
    </w:p>
    <w:p w14:paraId="652248E7">
      <w:pPr>
        <w:rPr>
          <w:rFonts w:asciiTheme="minorEastAsia" w:hAnsiTheme="minorEastAsia" w:cstheme="minorHAnsi"/>
          <w:b/>
          <w:color w:val="000000"/>
          <w:kern w:val="24"/>
        </w:rPr>
      </w:pPr>
    </w:p>
    <w:p w14:paraId="6F94045C">
      <w:pPr>
        <w:rPr>
          <w:rFonts w:asciiTheme="minorEastAsia" w:hAnsiTheme="minorEastAsia" w:cstheme="minorHAnsi"/>
          <w:b/>
        </w:rPr>
      </w:pPr>
      <w:r>
        <w:rPr>
          <w:rFonts w:asciiTheme="minorEastAsia" w:hAnsiTheme="minorEastAsia" w:cstheme="minorHAnsi"/>
          <w:b/>
          <w:color w:val="000000"/>
          <w:kern w:val="24"/>
        </w:rPr>
        <w:t>……</w:t>
      </w: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bookmarkStart w:id="17" w:name="OLE_LINK6"/>
      <w:bookmarkStart w:id="18" w:name="OLE_LINK7"/>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w:t>
      </w:r>
      <w:bookmarkEnd w:id="17"/>
      <w:bookmarkEnd w:id="18"/>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827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A06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648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FA0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9B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74B1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F10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3284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BDA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44E5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5D1F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61F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C65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C30A">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733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99C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8BB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938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D3D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D1F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987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282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西安市秦岭生态环境保护管理局物业管理服务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西安市秦岭生态环境保护管理局物业管理服务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西安市秦岭生态环境保护管理局物业管理服务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09D"/>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6BB5"/>
    <w:rsid w:val="00027B08"/>
    <w:rsid w:val="00027E6B"/>
    <w:rsid w:val="0003017F"/>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0E15"/>
    <w:rsid w:val="00051EF3"/>
    <w:rsid w:val="00052177"/>
    <w:rsid w:val="0005253E"/>
    <w:rsid w:val="00052922"/>
    <w:rsid w:val="000543B4"/>
    <w:rsid w:val="00054879"/>
    <w:rsid w:val="00054FF3"/>
    <w:rsid w:val="000556F1"/>
    <w:rsid w:val="00055F81"/>
    <w:rsid w:val="0005692F"/>
    <w:rsid w:val="000575EE"/>
    <w:rsid w:val="00060D11"/>
    <w:rsid w:val="00061066"/>
    <w:rsid w:val="00061A13"/>
    <w:rsid w:val="0006226C"/>
    <w:rsid w:val="00062828"/>
    <w:rsid w:val="00062C9A"/>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37B6"/>
    <w:rsid w:val="00084264"/>
    <w:rsid w:val="00084335"/>
    <w:rsid w:val="000857F2"/>
    <w:rsid w:val="00085999"/>
    <w:rsid w:val="0008603F"/>
    <w:rsid w:val="00086D2C"/>
    <w:rsid w:val="00090002"/>
    <w:rsid w:val="00090278"/>
    <w:rsid w:val="000906B5"/>
    <w:rsid w:val="000911CC"/>
    <w:rsid w:val="000919A3"/>
    <w:rsid w:val="00092417"/>
    <w:rsid w:val="00093AD5"/>
    <w:rsid w:val="000951C6"/>
    <w:rsid w:val="000952F2"/>
    <w:rsid w:val="00095A8D"/>
    <w:rsid w:val="00096428"/>
    <w:rsid w:val="00096A52"/>
    <w:rsid w:val="00097A6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209E"/>
    <w:rsid w:val="001131D6"/>
    <w:rsid w:val="00113B9B"/>
    <w:rsid w:val="00116102"/>
    <w:rsid w:val="001173C5"/>
    <w:rsid w:val="0012085C"/>
    <w:rsid w:val="00121FC0"/>
    <w:rsid w:val="001221AC"/>
    <w:rsid w:val="001223E1"/>
    <w:rsid w:val="00122D76"/>
    <w:rsid w:val="001232DE"/>
    <w:rsid w:val="001232E1"/>
    <w:rsid w:val="001240BB"/>
    <w:rsid w:val="001257D4"/>
    <w:rsid w:val="001274A0"/>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300"/>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49FD"/>
    <w:rsid w:val="001B5302"/>
    <w:rsid w:val="001B6115"/>
    <w:rsid w:val="001C0A0A"/>
    <w:rsid w:val="001C0BA3"/>
    <w:rsid w:val="001C0BBD"/>
    <w:rsid w:val="001C1076"/>
    <w:rsid w:val="001C25ED"/>
    <w:rsid w:val="001C499A"/>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342"/>
    <w:rsid w:val="001E246F"/>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9A3"/>
    <w:rsid w:val="00210CFC"/>
    <w:rsid w:val="00210FBE"/>
    <w:rsid w:val="002111A6"/>
    <w:rsid w:val="00212328"/>
    <w:rsid w:val="002125C8"/>
    <w:rsid w:val="00213205"/>
    <w:rsid w:val="00213432"/>
    <w:rsid w:val="002137AF"/>
    <w:rsid w:val="002174B0"/>
    <w:rsid w:val="002201A0"/>
    <w:rsid w:val="00220787"/>
    <w:rsid w:val="002209DE"/>
    <w:rsid w:val="00221727"/>
    <w:rsid w:val="00223AA8"/>
    <w:rsid w:val="00223E30"/>
    <w:rsid w:val="00223E3D"/>
    <w:rsid w:val="00223EFE"/>
    <w:rsid w:val="00224257"/>
    <w:rsid w:val="00224D12"/>
    <w:rsid w:val="00226069"/>
    <w:rsid w:val="00226A70"/>
    <w:rsid w:val="0023021B"/>
    <w:rsid w:val="002302B1"/>
    <w:rsid w:val="0023070C"/>
    <w:rsid w:val="002308E1"/>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5F1"/>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87A"/>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465E"/>
    <w:rsid w:val="002A62BF"/>
    <w:rsid w:val="002A6815"/>
    <w:rsid w:val="002A6BFB"/>
    <w:rsid w:val="002A703D"/>
    <w:rsid w:val="002A7B39"/>
    <w:rsid w:val="002A7BB1"/>
    <w:rsid w:val="002A7FF7"/>
    <w:rsid w:val="002B009B"/>
    <w:rsid w:val="002B0F05"/>
    <w:rsid w:val="002B12E1"/>
    <w:rsid w:val="002B258E"/>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1D8"/>
    <w:rsid w:val="002E7C3E"/>
    <w:rsid w:val="002F074B"/>
    <w:rsid w:val="002F1AF0"/>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2B1"/>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6B69"/>
    <w:rsid w:val="00327A6B"/>
    <w:rsid w:val="003302D2"/>
    <w:rsid w:val="00330EA4"/>
    <w:rsid w:val="0033167F"/>
    <w:rsid w:val="00332A7C"/>
    <w:rsid w:val="00335359"/>
    <w:rsid w:val="00335C58"/>
    <w:rsid w:val="00337288"/>
    <w:rsid w:val="00337CFC"/>
    <w:rsid w:val="0034052E"/>
    <w:rsid w:val="003406B1"/>
    <w:rsid w:val="00342995"/>
    <w:rsid w:val="00343305"/>
    <w:rsid w:val="003443D3"/>
    <w:rsid w:val="003450CD"/>
    <w:rsid w:val="00345F35"/>
    <w:rsid w:val="00346A88"/>
    <w:rsid w:val="00346B4C"/>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1C61"/>
    <w:rsid w:val="00373AE9"/>
    <w:rsid w:val="00373D81"/>
    <w:rsid w:val="00374506"/>
    <w:rsid w:val="0037495D"/>
    <w:rsid w:val="0037515A"/>
    <w:rsid w:val="0037531B"/>
    <w:rsid w:val="00375819"/>
    <w:rsid w:val="00375C89"/>
    <w:rsid w:val="003761E6"/>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A56B2"/>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281"/>
    <w:rsid w:val="003D2606"/>
    <w:rsid w:val="003D39C7"/>
    <w:rsid w:val="003D3A50"/>
    <w:rsid w:val="003D45F5"/>
    <w:rsid w:val="003D4976"/>
    <w:rsid w:val="003D5A2E"/>
    <w:rsid w:val="003D6B60"/>
    <w:rsid w:val="003E010E"/>
    <w:rsid w:val="003E0A2C"/>
    <w:rsid w:val="003E1503"/>
    <w:rsid w:val="003E1D81"/>
    <w:rsid w:val="003E1DE9"/>
    <w:rsid w:val="003E2F34"/>
    <w:rsid w:val="003E5BF5"/>
    <w:rsid w:val="003E5CDB"/>
    <w:rsid w:val="003E5CFF"/>
    <w:rsid w:val="003E6123"/>
    <w:rsid w:val="003E6507"/>
    <w:rsid w:val="003E77ED"/>
    <w:rsid w:val="003E7874"/>
    <w:rsid w:val="003E7DCF"/>
    <w:rsid w:val="003F0E1D"/>
    <w:rsid w:val="003F1C2D"/>
    <w:rsid w:val="003F328C"/>
    <w:rsid w:val="003F3741"/>
    <w:rsid w:val="003F3882"/>
    <w:rsid w:val="003F3F0B"/>
    <w:rsid w:val="003F60A3"/>
    <w:rsid w:val="003F7C8E"/>
    <w:rsid w:val="004001BE"/>
    <w:rsid w:val="0040124D"/>
    <w:rsid w:val="004017C8"/>
    <w:rsid w:val="0040181A"/>
    <w:rsid w:val="00401D26"/>
    <w:rsid w:val="004024C2"/>
    <w:rsid w:val="004035D6"/>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3016"/>
    <w:rsid w:val="00444250"/>
    <w:rsid w:val="00444298"/>
    <w:rsid w:val="00444474"/>
    <w:rsid w:val="0044514F"/>
    <w:rsid w:val="004456C5"/>
    <w:rsid w:val="004474B0"/>
    <w:rsid w:val="004503E4"/>
    <w:rsid w:val="00454666"/>
    <w:rsid w:val="004547F6"/>
    <w:rsid w:val="004549DF"/>
    <w:rsid w:val="004550FE"/>
    <w:rsid w:val="004556E4"/>
    <w:rsid w:val="00455F40"/>
    <w:rsid w:val="004574A4"/>
    <w:rsid w:val="00460822"/>
    <w:rsid w:val="00463236"/>
    <w:rsid w:val="00463834"/>
    <w:rsid w:val="00463DDA"/>
    <w:rsid w:val="004657D3"/>
    <w:rsid w:val="00466895"/>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5EF1"/>
    <w:rsid w:val="004B6259"/>
    <w:rsid w:val="004B6DC3"/>
    <w:rsid w:val="004B756B"/>
    <w:rsid w:val="004C093C"/>
    <w:rsid w:val="004C0B7A"/>
    <w:rsid w:val="004C0CA0"/>
    <w:rsid w:val="004C17C1"/>
    <w:rsid w:val="004C17D4"/>
    <w:rsid w:val="004C401B"/>
    <w:rsid w:val="004C48B9"/>
    <w:rsid w:val="004C5B48"/>
    <w:rsid w:val="004C6493"/>
    <w:rsid w:val="004C7371"/>
    <w:rsid w:val="004D11A6"/>
    <w:rsid w:val="004D2147"/>
    <w:rsid w:val="004D2BAF"/>
    <w:rsid w:val="004D2D8E"/>
    <w:rsid w:val="004D2F54"/>
    <w:rsid w:val="004D3590"/>
    <w:rsid w:val="004D4879"/>
    <w:rsid w:val="004D64C5"/>
    <w:rsid w:val="004D69E1"/>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531"/>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A6"/>
    <w:rsid w:val="00592CFD"/>
    <w:rsid w:val="00593C8A"/>
    <w:rsid w:val="00594467"/>
    <w:rsid w:val="00594F66"/>
    <w:rsid w:val="00595BE4"/>
    <w:rsid w:val="005960B9"/>
    <w:rsid w:val="00596DDA"/>
    <w:rsid w:val="005A1806"/>
    <w:rsid w:val="005A20E0"/>
    <w:rsid w:val="005A24F4"/>
    <w:rsid w:val="005A32F2"/>
    <w:rsid w:val="005A3DFC"/>
    <w:rsid w:val="005A4337"/>
    <w:rsid w:val="005A43AB"/>
    <w:rsid w:val="005A5A7B"/>
    <w:rsid w:val="005A5B0F"/>
    <w:rsid w:val="005A5C13"/>
    <w:rsid w:val="005A6966"/>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2366"/>
    <w:rsid w:val="005E37E1"/>
    <w:rsid w:val="005E51CD"/>
    <w:rsid w:val="005E548A"/>
    <w:rsid w:val="005E5BCC"/>
    <w:rsid w:val="005E5CCE"/>
    <w:rsid w:val="005E6CCC"/>
    <w:rsid w:val="005F1247"/>
    <w:rsid w:val="005F19BB"/>
    <w:rsid w:val="005F3B5B"/>
    <w:rsid w:val="005F67A9"/>
    <w:rsid w:val="005F6909"/>
    <w:rsid w:val="005F6C88"/>
    <w:rsid w:val="0060005D"/>
    <w:rsid w:val="006018B5"/>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646"/>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3A77"/>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9D1"/>
    <w:rsid w:val="00691D24"/>
    <w:rsid w:val="006933DD"/>
    <w:rsid w:val="0069378C"/>
    <w:rsid w:val="0069471D"/>
    <w:rsid w:val="0069553A"/>
    <w:rsid w:val="00695670"/>
    <w:rsid w:val="00695B4C"/>
    <w:rsid w:val="00695E20"/>
    <w:rsid w:val="00696F5B"/>
    <w:rsid w:val="00697C44"/>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307A"/>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772E"/>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565"/>
    <w:rsid w:val="00717B21"/>
    <w:rsid w:val="00717B56"/>
    <w:rsid w:val="00717C81"/>
    <w:rsid w:val="00721446"/>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6D9F"/>
    <w:rsid w:val="00747EE2"/>
    <w:rsid w:val="007535D8"/>
    <w:rsid w:val="007552A7"/>
    <w:rsid w:val="007566E2"/>
    <w:rsid w:val="00757FC1"/>
    <w:rsid w:val="00760265"/>
    <w:rsid w:val="00761357"/>
    <w:rsid w:val="00761C27"/>
    <w:rsid w:val="00762202"/>
    <w:rsid w:val="0076263A"/>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5254"/>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4F86"/>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4142"/>
    <w:rsid w:val="008060FA"/>
    <w:rsid w:val="00806FED"/>
    <w:rsid w:val="008103CB"/>
    <w:rsid w:val="00811115"/>
    <w:rsid w:val="008122DE"/>
    <w:rsid w:val="008134C7"/>
    <w:rsid w:val="008139EB"/>
    <w:rsid w:val="00813D5F"/>
    <w:rsid w:val="00814254"/>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6DA"/>
    <w:rsid w:val="0082787B"/>
    <w:rsid w:val="008300CC"/>
    <w:rsid w:val="00830864"/>
    <w:rsid w:val="00830C3A"/>
    <w:rsid w:val="00830FB7"/>
    <w:rsid w:val="00831387"/>
    <w:rsid w:val="00832019"/>
    <w:rsid w:val="00832985"/>
    <w:rsid w:val="008332CE"/>
    <w:rsid w:val="0083357C"/>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66D7D"/>
    <w:rsid w:val="00870585"/>
    <w:rsid w:val="0087254B"/>
    <w:rsid w:val="00872837"/>
    <w:rsid w:val="0087394A"/>
    <w:rsid w:val="00873EAC"/>
    <w:rsid w:val="00874D32"/>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2B77"/>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34F4"/>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260FE"/>
    <w:rsid w:val="0093115A"/>
    <w:rsid w:val="00931671"/>
    <w:rsid w:val="00933F00"/>
    <w:rsid w:val="00935401"/>
    <w:rsid w:val="00935BE0"/>
    <w:rsid w:val="00936A9D"/>
    <w:rsid w:val="0093726C"/>
    <w:rsid w:val="0094003A"/>
    <w:rsid w:val="0094004A"/>
    <w:rsid w:val="00940404"/>
    <w:rsid w:val="009414BA"/>
    <w:rsid w:val="00941868"/>
    <w:rsid w:val="00942FCD"/>
    <w:rsid w:val="0094338B"/>
    <w:rsid w:val="0094472C"/>
    <w:rsid w:val="009453D0"/>
    <w:rsid w:val="0094638E"/>
    <w:rsid w:val="00946A82"/>
    <w:rsid w:val="0095071A"/>
    <w:rsid w:val="00950CC9"/>
    <w:rsid w:val="00951071"/>
    <w:rsid w:val="00951336"/>
    <w:rsid w:val="0095158B"/>
    <w:rsid w:val="0095333C"/>
    <w:rsid w:val="00953610"/>
    <w:rsid w:val="009544D9"/>
    <w:rsid w:val="00955186"/>
    <w:rsid w:val="00955282"/>
    <w:rsid w:val="00956990"/>
    <w:rsid w:val="00956EE8"/>
    <w:rsid w:val="00956F8B"/>
    <w:rsid w:val="009570F6"/>
    <w:rsid w:val="00961028"/>
    <w:rsid w:val="0096331A"/>
    <w:rsid w:val="009633E1"/>
    <w:rsid w:val="0096484B"/>
    <w:rsid w:val="00965C09"/>
    <w:rsid w:val="00966B06"/>
    <w:rsid w:val="00966B6A"/>
    <w:rsid w:val="00967A9B"/>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97BE3"/>
    <w:rsid w:val="009A0911"/>
    <w:rsid w:val="009A1519"/>
    <w:rsid w:val="009A1A57"/>
    <w:rsid w:val="009A1C33"/>
    <w:rsid w:val="009A2439"/>
    <w:rsid w:val="009A2BFF"/>
    <w:rsid w:val="009A41C4"/>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B4D"/>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6DCD"/>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231F"/>
    <w:rsid w:val="00A13EDB"/>
    <w:rsid w:val="00A14C4D"/>
    <w:rsid w:val="00A14C72"/>
    <w:rsid w:val="00A15504"/>
    <w:rsid w:val="00A15845"/>
    <w:rsid w:val="00A16B48"/>
    <w:rsid w:val="00A17B52"/>
    <w:rsid w:val="00A200FF"/>
    <w:rsid w:val="00A2021A"/>
    <w:rsid w:val="00A20958"/>
    <w:rsid w:val="00A21110"/>
    <w:rsid w:val="00A2141C"/>
    <w:rsid w:val="00A21B16"/>
    <w:rsid w:val="00A21E72"/>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D4A"/>
    <w:rsid w:val="00A4316B"/>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018"/>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6726"/>
    <w:rsid w:val="00AD6D2C"/>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17AF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141"/>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313"/>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C7BCF"/>
    <w:rsid w:val="00BD15BE"/>
    <w:rsid w:val="00BD2E19"/>
    <w:rsid w:val="00BD3AE7"/>
    <w:rsid w:val="00BD3BF3"/>
    <w:rsid w:val="00BD5316"/>
    <w:rsid w:val="00BD6613"/>
    <w:rsid w:val="00BD6787"/>
    <w:rsid w:val="00BD7A29"/>
    <w:rsid w:val="00BE1F49"/>
    <w:rsid w:val="00BE41BE"/>
    <w:rsid w:val="00BE4EBB"/>
    <w:rsid w:val="00BE4F34"/>
    <w:rsid w:val="00BE6F8C"/>
    <w:rsid w:val="00BE735F"/>
    <w:rsid w:val="00BF0B0F"/>
    <w:rsid w:val="00BF150A"/>
    <w:rsid w:val="00BF30A5"/>
    <w:rsid w:val="00BF3210"/>
    <w:rsid w:val="00BF3B09"/>
    <w:rsid w:val="00BF449C"/>
    <w:rsid w:val="00BF47BB"/>
    <w:rsid w:val="00BF4A06"/>
    <w:rsid w:val="00BF4B27"/>
    <w:rsid w:val="00BF641C"/>
    <w:rsid w:val="00BF6721"/>
    <w:rsid w:val="00C01689"/>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30A"/>
    <w:rsid w:val="00C1444A"/>
    <w:rsid w:val="00C144BA"/>
    <w:rsid w:val="00C15E59"/>
    <w:rsid w:val="00C15E84"/>
    <w:rsid w:val="00C16C84"/>
    <w:rsid w:val="00C171D1"/>
    <w:rsid w:val="00C17537"/>
    <w:rsid w:val="00C20D1A"/>
    <w:rsid w:val="00C21DB4"/>
    <w:rsid w:val="00C224CD"/>
    <w:rsid w:val="00C22AEC"/>
    <w:rsid w:val="00C25539"/>
    <w:rsid w:val="00C25B4A"/>
    <w:rsid w:val="00C25C2B"/>
    <w:rsid w:val="00C2744F"/>
    <w:rsid w:val="00C31B63"/>
    <w:rsid w:val="00C31F72"/>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305F"/>
    <w:rsid w:val="00C9533B"/>
    <w:rsid w:val="00C95A92"/>
    <w:rsid w:val="00CA058E"/>
    <w:rsid w:val="00CA14A2"/>
    <w:rsid w:val="00CA2995"/>
    <w:rsid w:val="00CA5311"/>
    <w:rsid w:val="00CA597B"/>
    <w:rsid w:val="00CA618E"/>
    <w:rsid w:val="00CA62EC"/>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B7DCC"/>
    <w:rsid w:val="00CC042F"/>
    <w:rsid w:val="00CC11D6"/>
    <w:rsid w:val="00CC1A2E"/>
    <w:rsid w:val="00CC237A"/>
    <w:rsid w:val="00CC50D8"/>
    <w:rsid w:val="00CC5447"/>
    <w:rsid w:val="00CC5D7B"/>
    <w:rsid w:val="00CD2332"/>
    <w:rsid w:val="00CD2668"/>
    <w:rsid w:val="00CD281E"/>
    <w:rsid w:val="00CD2FAC"/>
    <w:rsid w:val="00CD361B"/>
    <w:rsid w:val="00CD3879"/>
    <w:rsid w:val="00CD495B"/>
    <w:rsid w:val="00CD5C64"/>
    <w:rsid w:val="00CD611F"/>
    <w:rsid w:val="00CD6445"/>
    <w:rsid w:val="00CD6818"/>
    <w:rsid w:val="00CD7C0B"/>
    <w:rsid w:val="00CD7C6C"/>
    <w:rsid w:val="00CE3BDB"/>
    <w:rsid w:val="00CE4305"/>
    <w:rsid w:val="00CE44AB"/>
    <w:rsid w:val="00CE4BC6"/>
    <w:rsid w:val="00CE52BF"/>
    <w:rsid w:val="00CE698A"/>
    <w:rsid w:val="00CE70DB"/>
    <w:rsid w:val="00CE7D62"/>
    <w:rsid w:val="00CF001E"/>
    <w:rsid w:val="00CF06EA"/>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6E3C"/>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6016F"/>
    <w:rsid w:val="00D613B2"/>
    <w:rsid w:val="00D61A0C"/>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2978"/>
    <w:rsid w:val="00D8461E"/>
    <w:rsid w:val="00D848AF"/>
    <w:rsid w:val="00D84D41"/>
    <w:rsid w:val="00D85867"/>
    <w:rsid w:val="00D8748F"/>
    <w:rsid w:val="00D90438"/>
    <w:rsid w:val="00D9092E"/>
    <w:rsid w:val="00D90F7C"/>
    <w:rsid w:val="00D91BBB"/>
    <w:rsid w:val="00D92A95"/>
    <w:rsid w:val="00D93BBB"/>
    <w:rsid w:val="00D9483F"/>
    <w:rsid w:val="00D957E5"/>
    <w:rsid w:val="00D9612C"/>
    <w:rsid w:val="00D963A4"/>
    <w:rsid w:val="00D96B41"/>
    <w:rsid w:val="00DA02CE"/>
    <w:rsid w:val="00DA0A9B"/>
    <w:rsid w:val="00DA0DFD"/>
    <w:rsid w:val="00DA26D1"/>
    <w:rsid w:val="00DA4493"/>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54D2"/>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4CB1"/>
    <w:rsid w:val="00E16067"/>
    <w:rsid w:val="00E212E3"/>
    <w:rsid w:val="00E21EB3"/>
    <w:rsid w:val="00E22505"/>
    <w:rsid w:val="00E227F4"/>
    <w:rsid w:val="00E2372E"/>
    <w:rsid w:val="00E23903"/>
    <w:rsid w:val="00E2465F"/>
    <w:rsid w:val="00E24D12"/>
    <w:rsid w:val="00E2575E"/>
    <w:rsid w:val="00E25B15"/>
    <w:rsid w:val="00E25E0D"/>
    <w:rsid w:val="00E2723D"/>
    <w:rsid w:val="00E27DAA"/>
    <w:rsid w:val="00E27FDC"/>
    <w:rsid w:val="00E303C9"/>
    <w:rsid w:val="00E30627"/>
    <w:rsid w:val="00E30E7D"/>
    <w:rsid w:val="00E31BA9"/>
    <w:rsid w:val="00E332F8"/>
    <w:rsid w:val="00E33317"/>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19E4"/>
    <w:rsid w:val="00E637C3"/>
    <w:rsid w:val="00E63BD1"/>
    <w:rsid w:val="00E6435C"/>
    <w:rsid w:val="00E6467D"/>
    <w:rsid w:val="00E65AC4"/>
    <w:rsid w:val="00E65D6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87F85"/>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39FB"/>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25CC"/>
    <w:rsid w:val="00ED3632"/>
    <w:rsid w:val="00ED3782"/>
    <w:rsid w:val="00ED56C1"/>
    <w:rsid w:val="00ED5E93"/>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5782"/>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47D1E"/>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11A7"/>
    <w:rsid w:val="00F9124B"/>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B7EB3"/>
    <w:rsid w:val="00FC0A59"/>
    <w:rsid w:val="00FC149A"/>
    <w:rsid w:val="00FC3953"/>
    <w:rsid w:val="00FC39BA"/>
    <w:rsid w:val="00FC3DAC"/>
    <w:rsid w:val="00FC5864"/>
    <w:rsid w:val="00FC7C3D"/>
    <w:rsid w:val="00FD1428"/>
    <w:rsid w:val="00FD20C5"/>
    <w:rsid w:val="00FD2761"/>
    <w:rsid w:val="00FD2AA0"/>
    <w:rsid w:val="00FD37B5"/>
    <w:rsid w:val="00FD4568"/>
    <w:rsid w:val="00FD4B37"/>
    <w:rsid w:val="00FD5B5E"/>
    <w:rsid w:val="00FD613E"/>
    <w:rsid w:val="00FD6F4D"/>
    <w:rsid w:val="00FD728F"/>
    <w:rsid w:val="00FE0559"/>
    <w:rsid w:val="00FE05A0"/>
    <w:rsid w:val="00FE12FC"/>
    <w:rsid w:val="00FE3884"/>
    <w:rsid w:val="00FE3FCF"/>
    <w:rsid w:val="00FE40CB"/>
    <w:rsid w:val="00FE4338"/>
    <w:rsid w:val="00FF025A"/>
    <w:rsid w:val="00FF161C"/>
    <w:rsid w:val="00FF2C7E"/>
    <w:rsid w:val="00FF2E19"/>
    <w:rsid w:val="00FF568F"/>
    <w:rsid w:val="00FF756F"/>
    <w:rsid w:val="00FF7CDF"/>
    <w:rsid w:val="3B64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样式1"/>
    <w:basedOn w:val="1"/>
    <w:qFormat/>
    <w:uiPriority w:val="0"/>
    <w:pPr>
      <w:widowControl w:val="0"/>
      <w:adjustRightInd w:val="0"/>
      <w:jc w:val="both"/>
      <w:textAlignment w:val="baseline"/>
    </w:pPr>
    <w:rPr>
      <w:rFonts w:ascii="宋体" w:hAnsi="Times New Roman" w:eastAsia="宋体"/>
      <w:sz w:val="21"/>
      <w:szCs w:val="21"/>
    </w:rPr>
  </w:style>
  <w:style w:type="table" w:customStyle="1" w:styleId="100">
    <w:name w:val="Table Normal"/>
    <w:unhideWhenUsed/>
    <w:qFormat/>
    <w:uiPriority w:val="0"/>
    <w:rPr>
      <w:rFonts w:ascii="Calibri" w:hAnsi="Calibri" w:eastAsia="宋体"/>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48120-AE98-4D04-81D8-231A24591F78}">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66</Pages>
  <Words>14223</Words>
  <Characters>15457</Characters>
  <Lines>1508</Lines>
  <Paragraphs>1392</Paragraphs>
  <TotalTime>246</TotalTime>
  <ScaleCrop>false</ScaleCrop>
  <LinksUpToDate>false</LinksUpToDate>
  <CharactersWithSpaces>15571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2026-03-18T02:10:00Z</dcterms:created>
  <dc:creator>admin</dc:creator>
  <cp:lastModifiedBy>常巧利</cp:lastModifiedBy>
  <cp:lastPrinted>2026-03-18T06:49:00Z</cp:lastPrinted>
  <dcterms:modified xsi:type="dcterms:W3CDTF">2026-04-10T03:17:16Z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DA209258ACFF42478D9FABD8CF322C87_13</vt:lpwstr>
  </property>
</Properties>
</file>