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5159F">
      <w:pPr>
        <w:pStyle w:val="8"/>
        <w:rPr>
          <w:b/>
          <w:bCs/>
        </w:rPr>
      </w:pPr>
      <w:r>
        <w:rPr>
          <w:b/>
          <w:bCs/>
        </w:rPr>
        <w:t>采购包1：</w:t>
      </w:r>
    </w:p>
    <w:p w14:paraId="1D6B6032">
      <w:pPr>
        <w:pStyle w:val="8"/>
        <w:rPr>
          <w:rFonts w:hint="eastAsia" w:eastAsiaTheme="minorEastAsia"/>
          <w:b/>
          <w:bCs/>
          <w:lang w:eastAsia="zh-CN"/>
        </w:rPr>
      </w:pPr>
      <w:r>
        <w:rPr>
          <w:b/>
          <w:bCs/>
        </w:rPr>
        <w:t>标的名称：</w:t>
      </w:r>
      <w:r>
        <w:rPr>
          <w:rFonts w:hint="eastAsia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墒情站点建设及改造</w:t>
      </w:r>
    </w:p>
    <w:tbl>
      <w:tblPr>
        <w:tblStyle w:val="6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812"/>
        <w:gridCol w:w="6642"/>
      </w:tblGrid>
      <w:tr w14:paraId="065B8E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</w:tcPr>
          <w:p w14:paraId="521FA1A3">
            <w:pPr>
              <w:pStyle w:val="8"/>
            </w:pPr>
            <w:r>
              <w:t xml:space="preserve"> 参数性质</w:t>
            </w:r>
          </w:p>
        </w:tc>
        <w:tc>
          <w:tcPr>
            <w:tcW w:w="812" w:type="dxa"/>
          </w:tcPr>
          <w:p w14:paraId="5A93875E">
            <w:pPr>
              <w:pStyle w:val="8"/>
            </w:pPr>
            <w:r>
              <w:t xml:space="preserve"> 序号</w:t>
            </w:r>
          </w:p>
        </w:tc>
        <w:tc>
          <w:tcPr>
            <w:tcW w:w="6642" w:type="dxa"/>
          </w:tcPr>
          <w:p w14:paraId="75F5BCC8">
            <w:pPr>
              <w:pStyle w:val="8"/>
            </w:pPr>
            <w:r>
              <w:t xml:space="preserve"> 技术参数与性能指标</w:t>
            </w:r>
          </w:p>
        </w:tc>
      </w:tr>
      <w:tr w14:paraId="3BADB9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1" w:hRule="atLeast"/>
        </w:trPr>
        <w:tc>
          <w:tcPr>
            <w:tcW w:w="1068" w:type="dxa"/>
          </w:tcPr>
          <w:p w14:paraId="5ACA26C8"/>
        </w:tc>
        <w:tc>
          <w:tcPr>
            <w:tcW w:w="812" w:type="dxa"/>
          </w:tcPr>
          <w:p w14:paraId="285D835C">
            <w:pPr>
              <w:pStyle w:val="8"/>
            </w:pPr>
            <w:r>
              <w:t>1</w:t>
            </w:r>
          </w:p>
        </w:tc>
        <w:tc>
          <w:tcPr>
            <w:tcW w:w="6642" w:type="dxa"/>
          </w:tcPr>
          <w:p w14:paraId="1DEC8C8C">
            <w:pPr>
              <w:pStyle w:val="8"/>
              <w:ind w:firstLine="40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1、墒情站点建设及改造</w:t>
            </w:r>
          </w:p>
          <w:p w14:paraId="2E893568">
            <w:pPr>
              <w:pStyle w:val="8"/>
              <w:ind w:firstLine="40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（1）新建站点建设：在全省各县域新建200个墒情监测站点，实现墒情站点全覆盖，重点增加干旱高风险区域站点密度，配备高精度传感设备、智能采集器及太阳能供电系统。</w:t>
            </w:r>
          </w:p>
          <w:p w14:paraId="584999B2">
            <w:pPr>
              <w:pStyle w:val="8"/>
              <w:ind w:firstLine="40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（2）现有站点改造：对全省现有125个存在问题的旱情监测站点设备进行全面维护更新，接入墒情传感器、数据采集器、通信模块数据，升级站点供电系统（采用太阳能+蓄电池供电），改造后站点数据传输成功率提升至98%以上。</w:t>
            </w:r>
          </w:p>
          <w:p w14:paraId="08F1C4AA">
            <w:pPr>
              <w:pStyle w:val="5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新建墒情监测站设备清单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543"/>
              <w:gridCol w:w="1421"/>
              <w:gridCol w:w="2612"/>
              <w:gridCol w:w="559"/>
              <w:gridCol w:w="767"/>
              <w:gridCol w:w="496"/>
            </w:tblGrid>
            <w:tr w14:paraId="1F6F33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79" w:hRule="atLeast"/>
              </w:trPr>
              <w:tc>
                <w:tcPr>
                  <w:tcW w:w="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15996900"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</w:rPr>
                    <w:t>序号</w:t>
                  </w:r>
                </w:p>
              </w:tc>
              <w:tc>
                <w:tcPr>
                  <w:tcW w:w="1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49635A9E"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</w:rPr>
                    <w:t>设备名称</w:t>
                  </w:r>
                </w:p>
              </w:tc>
              <w:tc>
                <w:tcPr>
                  <w:tcW w:w="26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70722731"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</w:rPr>
                    <w:t>型号规格</w:t>
                  </w:r>
                </w:p>
              </w:tc>
              <w:tc>
                <w:tcPr>
                  <w:tcW w:w="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2285B2F5"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</w:rPr>
                    <w:t>单位</w:t>
                  </w:r>
                </w:p>
              </w:tc>
              <w:tc>
                <w:tcPr>
                  <w:tcW w:w="7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103F2A00"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</w:rPr>
                    <w:t>数量</w:t>
                  </w:r>
                </w:p>
              </w:tc>
              <w:tc>
                <w:tcPr>
                  <w:tcW w:w="4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7575DBF5"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</w:rPr>
                    <w:t>备注</w:t>
                  </w:r>
                </w:p>
              </w:tc>
            </w:tr>
            <w:tr w14:paraId="3A65CE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3750" w:hRule="atLeast"/>
              </w:trPr>
              <w:tc>
                <w:tcPr>
                  <w:tcW w:w="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2592B229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6BA01A49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墒情传感器</w:t>
                  </w:r>
                </w:p>
              </w:tc>
              <w:tc>
                <w:tcPr>
                  <w:tcW w:w="26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2EDC8B2E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left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1.管式墒情传感器</w:t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2.FDR频域反射法</w:t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3.测量深度：10cm 20cm 40cm 60cm</w:t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4.土壤湿度测量范围： 0～100%</w:t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5.土壤温度测量范围： -20℃～60℃</w:t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6.土壤湿度相对误差：≤±2%</w:t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7.土壤温度相对误差：≤±0.5℃</w:t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8.工作温度：-20℃~60℃</w:t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9.防护等级：IP68</w:t>
                  </w:r>
                </w:p>
              </w:tc>
              <w:tc>
                <w:tcPr>
                  <w:tcW w:w="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3541C463"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</w:rPr>
                    <w:t>台</w:t>
                  </w:r>
                </w:p>
              </w:tc>
              <w:tc>
                <w:tcPr>
                  <w:tcW w:w="7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221C3C98">
                  <w:pPr>
                    <w:ind w:firstLine="0" w:firstLineChars="0"/>
                    <w:jc w:val="center"/>
                    <w:rPr>
                      <w:rFonts w:hint="default" w:ascii="宋体" w:hAnsi="宋体" w:eastAsia="宋体" w:cs="宋体"/>
                      <w:bCs/>
                      <w:sz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  <w:lang w:val="en-US" w:eastAsia="zh-CN"/>
                    </w:rPr>
                    <w:t>200</w:t>
                  </w:r>
                </w:p>
              </w:tc>
              <w:tc>
                <w:tcPr>
                  <w:tcW w:w="4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26365C04"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</w:p>
              </w:tc>
            </w:tr>
            <w:tr w14:paraId="3C3C02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60" w:hRule="atLeast"/>
              </w:trPr>
              <w:tc>
                <w:tcPr>
                  <w:tcW w:w="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427C758C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66BA66C3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遥测终端机</w:t>
                  </w:r>
                </w:p>
              </w:tc>
              <w:tc>
                <w:tcPr>
                  <w:tcW w:w="26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55A99AB5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left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1.通讯接口：4G/LoRa/BLE/有线网络接口</w:t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2.通讯方式：支持4G双卡单待</w:t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3.串口：1路RS485接口，可扩展</w:t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4.支持接入北斗终端短报文通讯</w:t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5.额定功率：≤1W</w:t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6.工作温度：-20℃~60℃</w:t>
                  </w:r>
                </w:p>
              </w:tc>
              <w:tc>
                <w:tcPr>
                  <w:tcW w:w="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204AA0DD"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</w:rPr>
                    <w:t>台</w:t>
                  </w:r>
                </w:p>
              </w:tc>
              <w:tc>
                <w:tcPr>
                  <w:tcW w:w="7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57A84CD0">
                  <w:pPr>
                    <w:ind w:firstLine="0" w:firstLineChars="0"/>
                    <w:jc w:val="center"/>
                    <w:rPr>
                      <w:rFonts w:hint="default" w:ascii="宋体" w:hAnsi="宋体" w:eastAsia="宋体" w:cs="宋体"/>
                      <w:bCs/>
                      <w:sz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  <w:lang w:val="en-US" w:eastAsia="zh-CN"/>
                    </w:rPr>
                    <w:t>200</w:t>
                  </w:r>
                </w:p>
              </w:tc>
              <w:tc>
                <w:tcPr>
                  <w:tcW w:w="4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31B79371"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</w:p>
              </w:tc>
            </w:tr>
            <w:tr w14:paraId="5B9B67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43" w:hRule="atLeast"/>
              </w:trPr>
              <w:tc>
                <w:tcPr>
                  <w:tcW w:w="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0468DFAB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3C39A224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太阳能供电系统</w:t>
                  </w:r>
                </w:p>
              </w:tc>
              <w:tc>
                <w:tcPr>
                  <w:tcW w:w="26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548EFBEE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left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bookmarkStart w:id="0" w:name="OLE_LINK37"/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60W/12V单晶硅+40Ah锂电池，含充电控制器</w:t>
                  </w:r>
                  <w:bookmarkEnd w:id="0"/>
                </w:p>
              </w:tc>
              <w:tc>
                <w:tcPr>
                  <w:tcW w:w="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1A8715AD"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</w:rPr>
                    <w:t>套</w:t>
                  </w:r>
                </w:p>
              </w:tc>
              <w:tc>
                <w:tcPr>
                  <w:tcW w:w="7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09185470">
                  <w:pPr>
                    <w:ind w:firstLine="0" w:firstLineChars="0"/>
                    <w:jc w:val="center"/>
                    <w:rPr>
                      <w:rFonts w:hint="default" w:ascii="宋体" w:hAnsi="宋体" w:eastAsia="宋体" w:cs="宋体"/>
                      <w:bCs/>
                      <w:sz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  <w:lang w:val="en-US" w:eastAsia="zh-CN"/>
                    </w:rPr>
                    <w:t>200</w:t>
                  </w:r>
                </w:p>
              </w:tc>
              <w:tc>
                <w:tcPr>
                  <w:tcW w:w="4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259ED69F"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</w:p>
              </w:tc>
            </w:tr>
            <w:tr w14:paraId="3896FE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570" w:hRule="atLeast"/>
              </w:trPr>
              <w:tc>
                <w:tcPr>
                  <w:tcW w:w="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0DE9AD9F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249438E7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立杆</w:t>
                  </w:r>
                </w:p>
              </w:tc>
              <w:tc>
                <w:tcPr>
                  <w:tcW w:w="26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6AE6624B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left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1.材质：镀锌钢管，</w:t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2.管径:89mm,</w:t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3.高度：2500mm</w:t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4.含避雷针和地笼</w:t>
                  </w:r>
                </w:p>
              </w:tc>
              <w:tc>
                <w:tcPr>
                  <w:tcW w:w="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1412107F"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</w:rPr>
                    <w:t>个</w:t>
                  </w:r>
                </w:p>
              </w:tc>
              <w:tc>
                <w:tcPr>
                  <w:tcW w:w="7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650BFC03">
                  <w:pPr>
                    <w:ind w:firstLine="0" w:firstLineChars="0"/>
                    <w:jc w:val="center"/>
                    <w:rPr>
                      <w:rFonts w:hint="default" w:ascii="宋体" w:hAnsi="宋体" w:eastAsia="宋体" w:cs="宋体"/>
                      <w:bCs/>
                      <w:sz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  <w:lang w:val="en-US" w:eastAsia="zh-CN"/>
                    </w:rPr>
                    <w:t>200</w:t>
                  </w:r>
                </w:p>
              </w:tc>
              <w:tc>
                <w:tcPr>
                  <w:tcW w:w="4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7F594F40"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</w:p>
              </w:tc>
            </w:tr>
            <w:tr w14:paraId="7161AC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79" w:hRule="atLeast"/>
              </w:trPr>
              <w:tc>
                <w:tcPr>
                  <w:tcW w:w="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25DED112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737C2D8E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防雷接地装置</w:t>
                  </w:r>
                </w:p>
              </w:tc>
              <w:tc>
                <w:tcPr>
                  <w:tcW w:w="26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5D85C0D0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left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根据现场环境做防雷接地施工</w:t>
                  </w:r>
                </w:p>
              </w:tc>
              <w:tc>
                <w:tcPr>
                  <w:tcW w:w="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6C98407A"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</w:rPr>
                    <w:t>套</w:t>
                  </w:r>
                </w:p>
              </w:tc>
              <w:tc>
                <w:tcPr>
                  <w:tcW w:w="7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40AB4E12">
                  <w:pPr>
                    <w:ind w:firstLine="0" w:firstLineChars="0"/>
                    <w:jc w:val="center"/>
                    <w:rPr>
                      <w:rFonts w:hint="default" w:ascii="宋体" w:hAnsi="宋体" w:eastAsia="宋体" w:cs="宋体"/>
                      <w:bCs/>
                      <w:sz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  <w:lang w:val="en-US" w:eastAsia="zh-CN"/>
                    </w:rPr>
                    <w:t>200</w:t>
                  </w:r>
                </w:p>
              </w:tc>
              <w:tc>
                <w:tcPr>
                  <w:tcW w:w="4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507C54AD"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</w:p>
              </w:tc>
            </w:tr>
            <w:tr w14:paraId="61D1D5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6" w:hRule="atLeast"/>
              </w:trPr>
              <w:tc>
                <w:tcPr>
                  <w:tcW w:w="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323DD0E5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100B1C1F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围栏</w:t>
                  </w:r>
                </w:p>
              </w:tc>
              <w:tc>
                <w:tcPr>
                  <w:tcW w:w="26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554A7954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left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1.材质：不锈钢，防腐蚀、抗风沙</w:t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2.立柱高度1500mm，</w:t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3.立柱间距2000mm，</w:t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4.网孔50×50mm，横杆2道</w:t>
                  </w:r>
                </w:p>
              </w:tc>
              <w:tc>
                <w:tcPr>
                  <w:tcW w:w="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72B52CB3"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</w:rPr>
                    <w:t>套</w:t>
                  </w:r>
                </w:p>
              </w:tc>
              <w:tc>
                <w:tcPr>
                  <w:tcW w:w="7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0841C889">
                  <w:pPr>
                    <w:ind w:firstLine="0" w:firstLineChars="0"/>
                    <w:jc w:val="center"/>
                    <w:rPr>
                      <w:rFonts w:hint="default" w:ascii="宋体" w:hAnsi="宋体" w:eastAsia="宋体" w:cs="宋体"/>
                      <w:bCs/>
                      <w:sz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  <w:lang w:val="en-US" w:eastAsia="zh-CN"/>
                    </w:rPr>
                    <w:t>200</w:t>
                  </w:r>
                </w:p>
              </w:tc>
              <w:tc>
                <w:tcPr>
                  <w:tcW w:w="4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3D3CDF4F"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</w:p>
              </w:tc>
            </w:tr>
            <w:tr w14:paraId="046C5A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79" w:hRule="atLeast"/>
              </w:trPr>
              <w:tc>
                <w:tcPr>
                  <w:tcW w:w="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4DC32BDE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48EB98CD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安装辅材</w:t>
                  </w:r>
                </w:p>
              </w:tc>
              <w:tc>
                <w:tcPr>
                  <w:tcW w:w="26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4B06B682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left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线缆、支架、钻孔器等</w:t>
                  </w:r>
                </w:p>
              </w:tc>
              <w:tc>
                <w:tcPr>
                  <w:tcW w:w="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2DCC46EC"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</w:rPr>
                    <w:t>套</w:t>
                  </w:r>
                </w:p>
              </w:tc>
              <w:tc>
                <w:tcPr>
                  <w:tcW w:w="7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188997FA">
                  <w:pPr>
                    <w:ind w:firstLine="0" w:firstLineChars="0"/>
                    <w:jc w:val="center"/>
                    <w:rPr>
                      <w:rFonts w:hint="default" w:ascii="宋体" w:hAnsi="宋体" w:eastAsia="宋体" w:cs="宋体"/>
                      <w:bCs/>
                      <w:sz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  <w:lang w:val="en-US" w:eastAsia="zh-CN"/>
                    </w:rPr>
                    <w:t>200</w:t>
                  </w:r>
                </w:p>
              </w:tc>
              <w:tc>
                <w:tcPr>
                  <w:tcW w:w="4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1D4C211C"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</w:p>
              </w:tc>
            </w:tr>
            <w:tr w14:paraId="28F2DC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79" w:hRule="atLeast"/>
              </w:trPr>
              <w:tc>
                <w:tcPr>
                  <w:tcW w:w="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5E18CE98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7CA8BBDC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站点选址</w:t>
                  </w:r>
                </w:p>
              </w:tc>
              <w:tc>
                <w:tcPr>
                  <w:tcW w:w="26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125C0FFE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left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现场踏勘、站点确认</w:t>
                  </w:r>
                </w:p>
              </w:tc>
              <w:tc>
                <w:tcPr>
                  <w:tcW w:w="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399BA914"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</w:rPr>
                    <w:t>套</w:t>
                  </w:r>
                </w:p>
              </w:tc>
              <w:tc>
                <w:tcPr>
                  <w:tcW w:w="7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0A39ACB4">
                  <w:pPr>
                    <w:ind w:firstLine="0" w:firstLineChars="0"/>
                    <w:jc w:val="center"/>
                    <w:rPr>
                      <w:rFonts w:hint="default" w:ascii="宋体" w:hAnsi="宋体" w:eastAsia="宋体" w:cs="宋体"/>
                      <w:bCs/>
                      <w:sz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  <w:lang w:val="en-US" w:eastAsia="zh-CN"/>
                    </w:rPr>
                    <w:t>200</w:t>
                  </w:r>
                </w:p>
              </w:tc>
              <w:tc>
                <w:tcPr>
                  <w:tcW w:w="4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65AE9271"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</w:p>
              </w:tc>
            </w:tr>
            <w:tr w14:paraId="24D2A2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79" w:hRule="atLeast"/>
              </w:trPr>
              <w:tc>
                <w:tcPr>
                  <w:tcW w:w="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3242C92E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0A2227B3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施工服务</w:t>
                  </w:r>
                </w:p>
              </w:tc>
              <w:tc>
                <w:tcPr>
                  <w:tcW w:w="26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76A5FFBF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left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基础施工、设备安装</w:t>
                  </w:r>
                </w:p>
              </w:tc>
              <w:tc>
                <w:tcPr>
                  <w:tcW w:w="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1F8114A3"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</w:rPr>
                    <w:t>项</w:t>
                  </w:r>
                </w:p>
              </w:tc>
              <w:tc>
                <w:tcPr>
                  <w:tcW w:w="7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4735F4EB">
                  <w:pPr>
                    <w:ind w:firstLine="0" w:firstLineChars="0"/>
                    <w:jc w:val="center"/>
                    <w:rPr>
                      <w:rFonts w:hint="default" w:ascii="宋体" w:hAnsi="宋体" w:eastAsia="宋体" w:cs="宋体"/>
                      <w:bCs/>
                      <w:sz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  <w:lang w:val="en-US" w:eastAsia="zh-CN"/>
                    </w:rPr>
                    <w:t>200</w:t>
                  </w:r>
                </w:p>
              </w:tc>
              <w:tc>
                <w:tcPr>
                  <w:tcW w:w="4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564A2E5B"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</w:p>
              </w:tc>
            </w:tr>
            <w:tr w14:paraId="4935E9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91" w:hRule="atLeast"/>
              </w:trPr>
              <w:tc>
                <w:tcPr>
                  <w:tcW w:w="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2D683768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0A98161C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center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调试校准</w:t>
                  </w:r>
                </w:p>
              </w:tc>
              <w:tc>
                <w:tcPr>
                  <w:tcW w:w="26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1033C821">
                  <w:pPr>
                    <w:keepNext w:val="0"/>
                    <w:keepLines w:val="0"/>
                    <w:widowControl/>
                    <w:suppressLineNumbers w:val="0"/>
                    <w:ind w:firstLine="0" w:firstLineChars="0"/>
                    <w:contextualSpacing w:val="0"/>
                    <w:jc w:val="left"/>
                    <w:textAlignment w:val="auto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i w:val="0"/>
                      <w:iCs w:val="0"/>
                      <w:kern w:val="2"/>
                      <w:sz w:val="21"/>
                      <w:szCs w:val="24"/>
                      <w:u w:val="none"/>
                      <w:lang w:val="en-US" w:eastAsia="zh-CN" w:bidi="ar"/>
                    </w:rPr>
                    <w:t>设备调试、传感器校准</w:t>
                  </w:r>
                </w:p>
              </w:tc>
              <w:tc>
                <w:tcPr>
                  <w:tcW w:w="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102D5E9D"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</w:rPr>
                    <w:t>项</w:t>
                  </w:r>
                </w:p>
              </w:tc>
              <w:tc>
                <w:tcPr>
                  <w:tcW w:w="7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03151ACF">
                  <w:pPr>
                    <w:ind w:firstLine="0" w:firstLineChars="0"/>
                    <w:jc w:val="center"/>
                    <w:rPr>
                      <w:rFonts w:hint="default" w:ascii="宋体" w:hAnsi="宋体" w:eastAsia="宋体" w:cs="宋体"/>
                      <w:bCs/>
                      <w:sz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  <w:lang w:val="en-US" w:eastAsia="zh-CN"/>
                    </w:rPr>
                    <w:t>200</w:t>
                  </w:r>
                </w:p>
              </w:tc>
              <w:tc>
                <w:tcPr>
                  <w:tcW w:w="4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14:paraId="7E4BB2BA"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bCs/>
                      <w:sz w:val="21"/>
                    </w:rPr>
                  </w:pPr>
                </w:p>
              </w:tc>
            </w:tr>
          </w:tbl>
          <w:p w14:paraId="18A1B83E">
            <w:pPr>
              <w:pStyle w:val="8"/>
              <w:ind w:firstLine="40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6867D5D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92CDE8B">
      <w:pPr>
        <w:rPr>
          <w:b/>
          <w:bCs/>
        </w:rPr>
      </w:pPr>
      <w:r>
        <w:rPr>
          <w:b/>
          <w:bCs/>
        </w:rPr>
        <w:br w:type="page"/>
      </w:r>
    </w:p>
    <w:p w14:paraId="6B145650">
      <w:pPr>
        <w:pStyle w:val="8"/>
        <w:rPr>
          <w:b/>
          <w:bCs/>
        </w:rPr>
      </w:pPr>
      <w:r>
        <w:rPr>
          <w:b/>
          <w:bCs/>
        </w:rPr>
        <w:t>采购包</w:t>
      </w:r>
      <w:r>
        <w:rPr>
          <w:rFonts w:hint="eastAsia"/>
          <w:b/>
          <w:bCs/>
          <w:lang w:val="en-US" w:eastAsia="zh-CN"/>
        </w:rPr>
        <w:t>2</w:t>
      </w:r>
      <w:r>
        <w:rPr>
          <w:b/>
          <w:bCs/>
        </w:rPr>
        <w:t>：</w:t>
      </w:r>
    </w:p>
    <w:p w14:paraId="71361368">
      <w:pPr>
        <w:pStyle w:val="8"/>
        <w:rPr>
          <w:rFonts w:hint="default" w:eastAsiaTheme="minorEastAsia"/>
          <w:b/>
          <w:bCs/>
          <w:lang w:val="en-US" w:eastAsia="zh-CN"/>
        </w:rPr>
      </w:pPr>
      <w:r>
        <w:rPr>
          <w:b/>
          <w:bCs/>
        </w:rPr>
        <w:t>标的名称：</w:t>
      </w:r>
      <w:r>
        <w:rPr>
          <w:rFonts w:hint="eastAsia"/>
          <w:b/>
          <w:bCs/>
        </w:rPr>
        <w:t>旱情监测预警综合平台功能提升</w:t>
      </w:r>
    </w:p>
    <w:tbl>
      <w:tblPr>
        <w:tblStyle w:val="6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812"/>
        <w:gridCol w:w="6642"/>
      </w:tblGrid>
      <w:tr w14:paraId="0CA3A5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</w:tcPr>
          <w:p w14:paraId="7E796D11">
            <w:pPr>
              <w:pStyle w:val="8"/>
            </w:pPr>
            <w:r>
              <w:t xml:space="preserve"> 参数性质</w:t>
            </w:r>
          </w:p>
        </w:tc>
        <w:tc>
          <w:tcPr>
            <w:tcW w:w="812" w:type="dxa"/>
          </w:tcPr>
          <w:p w14:paraId="6089AEBF">
            <w:pPr>
              <w:pStyle w:val="8"/>
            </w:pPr>
            <w:r>
              <w:t xml:space="preserve"> 序号</w:t>
            </w:r>
          </w:p>
        </w:tc>
        <w:tc>
          <w:tcPr>
            <w:tcW w:w="6642" w:type="dxa"/>
          </w:tcPr>
          <w:p w14:paraId="46A52045">
            <w:pPr>
              <w:pStyle w:val="8"/>
            </w:pPr>
            <w:r>
              <w:t xml:space="preserve"> 技术参数与性能指标</w:t>
            </w:r>
          </w:p>
        </w:tc>
      </w:tr>
      <w:tr w14:paraId="51304D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7" w:hRule="atLeast"/>
        </w:trPr>
        <w:tc>
          <w:tcPr>
            <w:tcW w:w="1068" w:type="dxa"/>
          </w:tcPr>
          <w:p w14:paraId="70F8FFC1"/>
        </w:tc>
        <w:tc>
          <w:tcPr>
            <w:tcW w:w="812" w:type="dxa"/>
          </w:tcPr>
          <w:p w14:paraId="0752AC1D">
            <w:pPr>
              <w:pStyle w:val="8"/>
            </w:pPr>
            <w:r>
              <w:t>1</w:t>
            </w:r>
          </w:p>
        </w:tc>
        <w:tc>
          <w:tcPr>
            <w:tcW w:w="6642" w:type="dxa"/>
          </w:tcPr>
          <w:p w14:paraId="5200DD7B">
            <w:pPr>
              <w:pStyle w:val="4"/>
              <w:bidi w:val="0"/>
              <w:ind w:firstLine="422" w:firstLineChars="2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1" w:name="_Toc13676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一、采购内容及要求</w:t>
            </w:r>
          </w:p>
          <w:p w14:paraId="37E10FE4">
            <w:pPr>
              <w:pStyle w:val="8"/>
              <w:ind w:firstLine="40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（1）旱情预报预警模型完善：构建气象干旱分析预测模型、农业干旱协同预测模型、水文干旱动态预测模型，分别提升气象、农业、水文干旱的短中长期预报精度；基于预报模型输出的多维度干旱等级评估结果，整合气象、农业、水文三类干旱指标，构建农业干旱分区应急调度、城市干旱应急供水保障专项调度模型。</w:t>
            </w:r>
          </w:p>
          <w:p w14:paraId="2C116D0F"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（2）抗旱应急调度平台功能提升：完善综合旱情一张图、综合旱情分析、旱情监测预警、旱情趋势预报、旱情风险分析、抗旱预案管理和抗旱决策调度等业务功能。</w:t>
            </w:r>
            <w:bookmarkEnd w:id="1"/>
          </w:p>
          <w:p w14:paraId="52F546F2"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</w:tbl>
    <w:p w14:paraId="364B3B96">
      <w:pPr>
        <w:jc w:val="center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分项报价明细表</w:t>
      </w:r>
    </w:p>
    <w:tbl>
      <w:tblPr>
        <w:tblStyle w:val="6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177"/>
        <w:gridCol w:w="3340"/>
        <w:gridCol w:w="743"/>
        <w:gridCol w:w="989"/>
        <w:gridCol w:w="882"/>
        <w:gridCol w:w="693"/>
      </w:tblGrid>
      <w:tr w14:paraId="59816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C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E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费用名称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5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主要工作内容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8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工作量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1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工日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8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B11F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6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6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5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7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工日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6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D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E51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5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6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旱情预报预警模型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2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7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1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5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0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FE2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7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8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气象干旱分析预测模型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E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生成未来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天的降水量预测值，计算对应的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SPI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SPEI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指数，输出气象干旱等级（轻旱、中旱、重旱、特旱）及空间分布图。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5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F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F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7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FAF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A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4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农业干旱协同预测模型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E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生成未来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天的土壤墒情预测值，计算</w:t>
            </w:r>
            <w:r>
              <w:rPr>
                <w:sz w:val="21"/>
                <w:szCs w:val="21"/>
              </w:rPr>
              <w:t>R</w:t>
            </w:r>
            <w:r>
              <w:rPr>
                <w:sz w:val="21"/>
                <w:szCs w:val="21"/>
                <w:vertAlign w:val="subscript"/>
              </w:rPr>
              <w:t>sm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SSI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指数，输出农业干旱等级及影响评估报告（包括作物减产率、需灌溉水量）。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0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7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8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7D5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F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2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水文干旱动态预测模型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4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模拟径流演化过程并验证模拟结果的可靠性，基于短期及中长期气象水文等驱动数据，预测水文干旱演变特征。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4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A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5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9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36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C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D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农业干旱分区应急调度模型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C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空天地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一体化旱情监测网络获取的实时墒情、作物长势及灌溉水源数据，结合预测模型输出的干旱等级与持续趋势，针对七大旱情分区的农业种植特征与灌溉资源禀赋，构建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水源统筹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优先级排序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动态执行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的应急调度机制，确保干旱发生时水资源向关键作物、核心生育期精准倾斜。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A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A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0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3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C28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8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A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城市干旱应急供水保障模型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2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该模型将显著增强陕西省城市供水系统对干旱风险的主动应对能力，为城市干旱应急供水管理提供关键技术支撑。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4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4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A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8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CB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4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2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D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旱情监控应用场景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0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A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1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5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F7F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5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F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空间数据整合与管理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2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0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7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C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4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7F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F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D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数据底板构建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7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1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2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7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0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AC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E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1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仿真驱动引擎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1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6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2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0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9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09F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B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2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0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旱情应急调度平台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1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3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9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A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EB9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C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2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综合旱情一张图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6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基础数据管理展示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C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5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E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1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80D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0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D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B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旱情监测状况展示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6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8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F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C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8D3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F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D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1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旱情水源分布展示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C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C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D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0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34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2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6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7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城乡用水信息展示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A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0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F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0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CEF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F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F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9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地图交互操作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C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A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A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37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D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B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综合旱情分析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9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旱情监测感知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D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2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8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6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39A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0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9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C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旱情现状分析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4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D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4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7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D01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7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2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A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抗旱趋势分析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1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5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E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A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7A8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1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0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旱情水源分布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7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2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C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01B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E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B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F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城乡用水分析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D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A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B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3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6C9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C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F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3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抗旱决策调度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6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C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1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B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F9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6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C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旱情监测预警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8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气象干旱预警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A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3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8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7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848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1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D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农业干旱预警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2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4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C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C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B66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4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1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6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水文干旱预警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C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0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D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0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3C7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E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1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4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旱情综合研判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1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C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E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D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1A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4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1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7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区域旱情分布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4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F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6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B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35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A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5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旱情趋势预报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气象干旱预报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4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B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F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3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2A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E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C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2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农业干旱预报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F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F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D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0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11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F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4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水文干旱预报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6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6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8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D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11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2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2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5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城市干旱预报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1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9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6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A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BED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1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E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6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区域干旱预报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7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5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7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D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1CE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F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1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旱情风险分析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7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气象干旱风险分析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F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D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D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7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61A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0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A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C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农业干旱风险分析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6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7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0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ABB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7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6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6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水文干旱风险分析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5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C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8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0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A62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D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4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D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城市干旱风险分析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8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A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E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B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12C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4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3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4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区域千旱风险分析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0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5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C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D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14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0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6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1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抗旱预案管理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8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行政层级抗旱预案管理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A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0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6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59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6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8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农业抗旱专项预案管理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4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3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8FC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C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D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城乡供水抗旱专项预案管理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2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D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E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3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A45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6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C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D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生态抗旱专项预案管理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1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8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0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F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AC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C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6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7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抗旱决策调度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5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农业抗旱调度预案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C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F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A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A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F92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8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3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A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城乡供水调度预案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B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6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1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6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5E1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6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6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8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生态供水调度预案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5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C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4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5C2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A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A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4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调度方案对比分析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1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D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B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F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18B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E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6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现有测站数据接入与等保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8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E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B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E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C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F2E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2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E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现有测站数据接入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B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3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E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C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0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FC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5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A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系统等保测评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A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C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D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A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E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42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4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E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软件测试费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5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3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D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F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7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095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A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  <w:bookmarkStart w:id="2" w:name="_GoBack"/>
            <w:bookmarkEnd w:id="2"/>
          </w:p>
        </w:tc>
        <w:tc>
          <w:tcPr>
            <w:tcW w:w="2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3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contextualSpacing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3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7E5BC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ans Serif P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6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contextualSpacing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b/>
      <w:bCs/>
      <w:kern w:val="44"/>
      <w:sz w:val="36"/>
      <w:szCs w:val="44"/>
    </w:rPr>
  </w:style>
  <w:style w:type="paragraph" w:styleId="4">
    <w:name w:val="heading 2"/>
    <w:basedOn w:val="3"/>
    <w:next w:val="1"/>
    <w:qFormat/>
    <w:uiPriority w:val="0"/>
    <w:pPr>
      <w:tabs>
        <w:tab w:val="left" w:pos="5529"/>
      </w:tabs>
      <w:spacing w:after="156" w:afterLines="50"/>
      <w:jc w:val="left"/>
      <w:outlineLvl w:val="1"/>
    </w:pPr>
    <w:rPr>
      <w:rFonts w:cs="Nimbus Roman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widowControl/>
      <w:suppressAutoHyphens/>
      <w:ind w:right="-142"/>
      <w:jc w:val="left"/>
    </w:pPr>
    <w:rPr>
      <w:rFonts w:ascii="Sans Serif PS" w:hAnsi="Sans Serif PS"/>
      <w:kern w:val="0"/>
      <w:sz w:val="16"/>
      <w:szCs w:val="20"/>
      <w:lang w:val="en-GB" w:eastAsia="de-DE"/>
    </w:rPr>
  </w:style>
  <w:style w:type="paragraph" w:styleId="5">
    <w:name w:val="caption"/>
    <w:basedOn w:val="1"/>
    <w:next w:val="1"/>
    <w:qFormat/>
    <w:uiPriority w:val="0"/>
    <w:pPr>
      <w:widowControl/>
      <w:tabs>
        <w:tab w:val="left" w:pos="7258"/>
      </w:tabs>
      <w:spacing w:line="360" w:lineRule="auto"/>
      <w:ind w:firstLine="0" w:firstLineChars="0"/>
      <w:jc w:val="center"/>
    </w:pPr>
    <w:rPr>
      <w:rFonts w:ascii="Times New Roman" w:hAnsi="Times New Roman" w:eastAsia="黑体"/>
      <w:kern w:val="0"/>
      <w:sz w:val="24"/>
      <w:szCs w:val="20"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2026-04-14T13:57:42Z</dcterms:created>
  <dc:creator>Lenovo</dc:creator>
  <cp:lastModifiedBy>若</cp:lastModifiedBy>
  <dcterms:modified xsi:type="dcterms:W3CDTF">2026-04-14T13:58:41Z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eyJoZGlkIjoiYjYwOTA0ZjE2NGIwNmI0YTVlNGI2YzcxZTk4ZWU4NWYiLCJ1c2VySWQiOiI2NzExMTIzMTEifQ==</vt:lpwstr>
  </property>
  <property fmtid="{D5CDD505-2E9C-101B-9397-08002B2CF9AE}" pid="4" name="ICV">
    <vt:lpwstr>C8AC49B255EE4D718A40AA4F56B34D0B_12</vt:lpwstr>
  </property>
</Properties>
</file>