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157"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0" w:type="dxa"/>
          <w:bottom w:w="0" w:type="dxa"/>
          <w:right w:w="0" w:type="dxa"/>
        </w:tblCellMar>
      </w:tblPr>
      <w:tblGrid>
        <w:gridCol w:w="1437"/>
        <w:gridCol w:w="614"/>
        <w:gridCol w:w="359"/>
        <w:gridCol w:w="4536"/>
        <w:gridCol w:w="524"/>
        <w:gridCol w:w="912"/>
        <w:gridCol w:w="1775"/>
      </w:tblGrid>
      <w:tr w14:paraId="08FFF4F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1384" w:hRule="atLeast"/>
        </w:trPr>
        <w:tc>
          <w:tcPr>
            <w:tcW w:w="1437" w:type="dxa"/>
            <w:vMerge w:val="restart"/>
            <w:tcBorders>
              <w:top w:val="nil"/>
              <w:left w:val="nil"/>
              <w:bottom w:val="nil"/>
            </w:tcBorders>
            <w:vAlign w:val="top"/>
          </w:tcPr>
          <w:p w14:paraId="3A09CA3E">
            <w:pPr>
              <w:pStyle w:val="7"/>
            </w:pPr>
          </w:p>
        </w:tc>
        <w:tc>
          <w:tcPr>
            <w:tcW w:w="6945" w:type="dxa"/>
            <w:gridSpan w:val="5"/>
            <w:tcBorders>
              <w:top w:val="nil"/>
              <w:bottom w:val="single" w:color="000000" w:sz="4" w:space="0"/>
            </w:tcBorders>
            <w:vAlign w:val="top"/>
          </w:tcPr>
          <w:p w14:paraId="55246C4E">
            <w:pPr>
              <w:pStyle w:val="7"/>
              <w:spacing w:line="300" w:lineRule="auto"/>
            </w:pPr>
          </w:p>
          <w:p w14:paraId="648C88D7">
            <w:pPr>
              <w:pStyle w:val="7"/>
              <w:spacing w:line="300" w:lineRule="auto"/>
            </w:pPr>
          </w:p>
          <w:p w14:paraId="54F0A327">
            <w:pPr>
              <w:pStyle w:val="7"/>
              <w:spacing w:line="300" w:lineRule="auto"/>
            </w:pPr>
          </w:p>
          <w:p w14:paraId="73B09100">
            <w:pPr>
              <w:spacing w:before="113" w:line="187" w:lineRule="auto"/>
              <w:ind w:firstLine="364" w:firstLineChars="100"/>
              <w:rPr>
                <w:rFonts w:ascii="宋体" w:hAnsi="宋体" w:eastAsia="宋体" w:cs="宋体"/>
                <w:sz w:val="35"/>
                <w:szCs w:val="35"/>
              </w:rPr>
            </w:pPr>
            <w:r>
              <w:rPr>
                <w:rFonts w:hint="eastAsia" w:ascii="宋体" w:hAnsi="宋体" w:eastAsia="宋体" w:cs="宋体"/>
                <w:spacing w:val="7"/>
                <w:sz w:val="35"/>
                <w:szCs w:val="35"/>
              </w:rPr>
              <w:t>延川县刘闫路、聂后路等灾后恢复工程</w:t>
            </w:r>
            <w:bookmarkStart w:id="0" w:name="_GoBack"/>
            <w:bookmarkEnd w:id="0"/>
          </w:p>
        </w:tc>
        <w:tc>
          <w:tcPr>
            <w:tcW w:w="1775" w:type="dxa"/>
            <w:vMerge w:val="restart"/>
            <w:tcBorders>
              <w:top w:val="nil"/>
              <w:bottom w:val="nil"/>
              <w:right w:val="single" w:color="FFFFFF" w:sz="2" w:space="0"/>
            </w:tcBorders>
            <w:vAlign w:val="top"/>
          </w:tcPr>
          <w:p w14:paraId="06EB9A58">
            <w:pPr>
              <w:pStyle w:val="7"/>
              <w:spacing w:line="299" w:lineRule="auto"/>
            </w:pPr>
          </w:p>
          <w:p w14:paraId="55425521">
            <w:pPr>
              <w:pStyle w:val="7"/>
              <w:spacing w:line="300" w:lineRule="auto"/>
            </w:pPr>
          </w:p>
          <w:p w14:paraId="4A271E35">
            <w:pPr>
              <w:pStyle w:val="7"/>
              <w:spacing w:line="300" w:lineRule="auto"/>
            </w:pPr>
          </w:p>
          <w:p w14:paraId="38FF8C66">
            <w:pPr>
              <w:spacing w:before="114" w:line="203" w:lineRule="auto"/>
              <w:ind w:left="45"/>
              <w:rPr>
                <w:rFonts w:ascii="宋体" w:hAnsi="宋体" w:eastAsia="宋体" w:cs="宋体"/>
                <w:sz w:val="35"/>
                <w:szCs w:val="35"/>
              </w:rPr>
            </w:pPr>
            <w:r>
              <w:rPr>
                <w:rFonts w:ascii="宋体" w:hAnsi="宋体" w:eastAsia="宋体" w:cs="宋体"/>
                <w:spacing w:val="7"/>
                <w:sz w:val="35"/>
                <w:szCs w:val="35"/>
              </w:rPr>
              <w:t>工程</w:t>
            </w:r>
          </w:p>
        </w:tc>
      </w:tr>
      <w:tr w14:paraId="4F4BC5C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0" w:hRule="atLeast"/>
        </w:trPr>
        <w:tc>
          <w:tcPr>
            <w:tcW w:w="1437" w:type="dxa"/>
            <w:vMerge w:val="continue"/>
            <w:tcBorders>
              <w:top w:val="nil"/>
              <w:left w:val="nil"/>
            </w:tcBorders>
            <w:vAlign w:val="top"/>
          </w:tcPr>
          <w:p w14:paraId="3FF6172A">
            <w:pPr>
              <w:pStyle w:val="7"/>
            </w:pPr>
          </w:p>
        </w:tc>
        <w:tc>
          <w:tcPr>
            <w:tcW w:w="6945" w:type="dxa"/>
            <w:gridSpan w:val="5"/>
            <w:vMerge w:val="restart"/>
            <w:tcBorders>
              <w:top w:val="single" w:color="000000" w:sz="4" w:space="0"/>
              <w:bottom w:val="nil"/>
            </w:tcBorders>
            <w:vAlign w:val="top"/>
          </w:tcPr>
          <w:p w14:paraId="7F1B60B8">
            <w:pPr>
              <w:pStyle w:val="7"/>
              <w:spacing w:line="250" w:lineRule="auto"/>
            </w:pPr>
          </w:p>
          <w:p w14:paraId="317743C1">
            <w:pPr>
              <w:spacing w:before="140" w:line="223" w:lineRule="auto"/>
              <w:jc w:val="center"/>
              <w:rPr>
                <w:rFonts w:hint="eastAsia" w:ascii="宋体" w:hAnsi="宋体" w:eastAsia="宋体" w:cs="宋体"/>
                <w:spacing w:val="9"/>
                <w:sz w:val="43"/>
                <w:szCs w:val="43"/>
                <w:lang w:val="en-US" w:eastAsia="zh-CN"/>
              </w:rPr>
            </w:pPr>
          </w:p>
          <w:p w14:paraId="1AF0078E">
            <w:pPr>
              <w:spacing w:before="140" w:line="223" w:lineRule="auto"/>
              <w:jc w:val="center"/>
              <w:rPr>
                <w:rFonts w:hint="default" w:ascii="宋体" w:hAnsi="宋体" w:eastAsia="宋体" w:cs="宋体"/>
                <w:sz w:val="43"/>
                <w:szCs w:val="43"/>
                <w:lang w:val="en-US" w:eastAsia="zh-CN"/>
              </w:rPr>
            </w:pPr>
            <w:r>
              <w:rPr>
                <w:rFonts w:hint="eastAsia" w:ascii="宋体" w:hAnsi="宋体" w:eastAsia="宋体" w:cs="宋体"/>
                <w:spacing w:val="9"/>
                <w:sz w:val="43"/>
                <w:szCs w:val="43"/>
                <w:lang w:val="en-US" w:eastAsia="zh-CN"/>
              </w:rPr>
              <w:t>工程量清单</w:t>
            </w:r>
          </w:p>
        </w:tc>
        <w:tc>
          <w:tcPr>
            <w:tcW w:w="1775" w:type="dxa"/>
            <w:vMerge w:val="continue"/>
            <w:tcBorders>
              <w:top w:val="nil"/>
              <w:right w:val="single" w:color="FFFFFF" w:sz="2" w:space="0"/>
            </w:tcBorders>
            <w:vAlign w:val="top"/>
          </w:tcPr>
          <w:p w14:paraId="54FC7D7B">
            <w:pPr>
              <w:pStyle w:val="7"/>
            </w:pPr>
          </w:p>
        </w:tc>
      </w:tr>
      <w:tr w14:paraId="09A6591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1690" w:hRule="atLeast"/>
        </w:trPr>
        <w:tc>
          <w:tcPr>
            <w:tcW w:w="1437" w:type="dxa"/>
            <w:tcBorders>
              <w:left w:val="nil"/>
            </w:tcBorders>
            <w:vAlign w:val="top"/>
          </w:tcPr>
          <w:p w14:paraId="4BFF5720">
            <w:pPr>
              <w:pStyle w:val="7"/>
            </w:pPr>
          </w:p>
        </w:tc>
        <w:tc>
          <w:tcPr>
            <w:tcW w:w="6945" w:type="dxa"/>
            <w:gridSpan w:val="5"/>
            <w:vMerge w:val="continue"/>
            <w:tcBorders>
              <w:top w:val="nil"/>
            </w:tcBorders>
            <w:vAlign w:val="top"/>
          </w:tcPr>
          <w:p w14:paraId="5A857BA1">
            <w:pPr>
              <w:pStyle w:val="7"/>
            </w:pPr>
          </w:p>
        </w:tc>
        <w:tc>
          <w:tcPr>
            <w:tcW w:w="1775" w:type="dxa"/>
            <w:tcBorders>
              <w:right w:val="single" w:color="FFFFFF" w:sz="2" w:space="0"/>
            </w:tcBorders>
            <w:vAlign w:val="top"/>
          </w:tcPr>
          <w:p w14:paraId="0DF6C908">
            <w:pPr>
              <w:pStyle w:val="7"/>
            </w:pPr>
          </w:p>
        </w:tc>
      </w:tr>
      <w:tr w14:paraId="5B2C75B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1524" w:hRule="atLeast"/>
        </w:trPr>
        <w:tc>
          <w:tcPr>
            <w:tcW w:w="2410" w:type="dxa"/>
            <w:gridSpan w:val="3"/>
            <w:tcBorders>
              <w:top w:val="nil"/>
              <w:left w:val="nil"/>
              <w:bottom w:val="nil"/>
              <w:right w:val="nil"/>
            </w:tcBorders>
            <w:vAlign w:val="top"/>
          </w:tcPr>
          <w:p w14:paraId="43E34E8E">
            <w:pPr>
              <w:spacing w:before="87" w:line="209" w:lineRule="auto"/>
              <w:ind w:left="104"/>
              <w:rPr>
                <w:rFonts w:ascii="宋体" w:hAnsi="宋体" w:eastAsia="宋体" w:cs="宋体"/>
                <w:sz w:val="27"/>
                <w:szCs w:val="27"/>
              </w:rPr>
            </w:pPr>
          </w:p>
        </w:tc>
        <w:tc>
          <w:tcPr>
            <w:tcW w:w="5060" w:type="dxa"/>
            <w:gridSpan w:val="2"/>
            <w:tcBorders>
              <w:top w:val="nil"/>
              <w:left w:val="nil"/>
              <w:bottom w:val="nil"/>
              <w:right w:val="nil"/>
            </w:tcBorders>
            <w:vAlign w:val="top"/>
          </w:tcPr>
          <w:p w14:paraId="3AD6A99A">
            <w:pPr>
              <w:spacing w:line="240" w:lineRule="auto"/>
              <w:ind w:left="0"/>
              <w:rPr>
                <w:rFonts w:ascii="宋体" w:hAnsi="宋体" w:eastAsia="宋体" w:cs="宋体"/>
                <w:sz w:val="27"/>
                <w:szCs w:val="27"/>
              </w:rPr>
            </w:pPr>
          </w:p>
        </w:tc>
        <w:tc>
          <w:tcPr>
            <w:tcW w:w="2687" w:type="dxa"/>
            <w:gridSpan w:val="2"/>
            <w:tcBorders>
              <w:left w:val="nil"/>
              <w:bottom w:val="single" w:color="FFFFFF" w:sz="2" w:space="0"/>
              <w:right w:val="single" w:color="FFFFFF" w:sz="2" w:space="0"/>
            </w:tcBorders>
            <w:vAlign w:val="top"/>
          </w:tcPr>
          <w:p w14:paraId="09066772">
            <w:pPr>
              <w:pStyle w:val="7"/>
            </w:pPr>
          </w:p>
        </w:tc>
      </w:tr>
      <w:tr w14:paraId="742149F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1129" w:hRule="atLeast"/>
        </w:trPr>
        <w:tc>
          <w:tcPr>
            <w:tcW w:w="2051" w:type="dxa"/>
            <w:gridSpan w:val="2"/>
            <w:vMerge w:val="restart"/>
            <w:tcBorders>
              <w:top w:val="nil"/>
              <w:left w:val="nil"/>
              <w:bottom w:val="nil"/>
            </w:tcBorders>
            <w:vAlign w:val="top"/>
          </w:tcPr>
          <w:p w14:paraId="38C3B500">
            <w:pPr>
              <w:pStyle w:val="7"/>
              <w:spacing w:line="247" w:lineRule="auto"/>
            </w:pPr>
          </w:p>
          <w:p w14:paraId="47D1BA0C">
            <w:pPr>
              <w:pStyle w:val="7"/>
              <w:spacing w:line="247" w:lineRule="auto"/>
            </w:pPr>
          </w:p>
          <w:p w14:paraId="12BD287F">
            <w:pPr>
              <w:pStyle w:val="7"/>
              <w:spacing w:line="248" w:lineRule="auto"/>
            </w:pPr>
          </w:p>
          <w:p w14:paraId="740C9756">
            <w:pPr>
              <w:spacing w:before="87" w:line="215" w:lineRule="auto"/>
              <w:ind w:left="44"/>
              <w:rPr>
                <w:rFonts w:ascii="宋体" w:hAnsi="宋体" w:eastAsia="宋体" w:cs="宋体"/>
                <w:sz w:val="27"/>
                <w:szCs w:val="27"/>
              </w:rPr>
            </w:pPr>
            <w:r>
              <w:rPr>
                <w:rFonts w:ascii="宋体" w:hAnsi="宋体" w:eastAsia="宋体" w:cs="宋体"/>
                <w:spacing w:val="-3"/>
                <w:sz w:val="27"/>
                <w:szCs w:val="27"/>
              </w:rPr>
              <w:t>建设单位：</w:t>
            </w:r>
          </w:p>
        </w:tc>
        <w:tc>
          <w:tcPr>
            <w:tcW w:w="5419" w:type="dxa"/>
            <w:gridSpan w:val="3"/>
            <w:tcBorders>
              <w:top w:val="nil"/>
              <w:bottom w:val="single" w:color="000000" w:sz="4" w:space="0"/>
            </w:tcBorders>
            <w:vAlign w:val="top"/>
          </w:tcPr>
          <w:p w14:paraId="616F7B87">
            <w:pPr>
              <w:pStyle w:val="7"/>
            </w:pPr>
          </w:p>
        </w:tc>
        <w:tc>
          <w:tcPr>
            <w:tcW w:w="2687" w:type="dxa"/>
            <w:gridSpan w:val="2"/>
            <w:vMerge w:val="restart"/>
            <w:tcBorders>
              <w:top w:val="single" w:color="FFFFFF" w:sz="2" w:space="0"/>
              <w:bottom w:val="nil"/>
              <w:right w:val="single" w:color="FFFFFF" w:sz="2" w:space="0"/>
            </w:tcBorders>
            <w:vAlign w:val="top"/>
          </w:tcPr>
          <w:p w14:paraId="13B95E99">
            <w:pPr>
              <w:pStyle w:val="7"/>
              <w:spacing w:line="247" w:lineRule="auto"/>
            </w:pPr>
          </w:p>
          <w:p w14:paraId="59533933">
            <w:pPr>
              <w:pStyle w:val="7"/>
              <w:spacing w:line="247" w:lineRule="auto"/>
            </w:pPr>
          </w:p>
          <w:p w14:paraId="2CA61353">
            <w:pPr>
              <w:pStyle w:val="7"/>
              <w:spacing w:line="248" w:lineRule="auto"/>
            </w:pPr>
          </w:p>
          <w:p w14:paraId="385BF0F6">
            <w:pPr>
              <w:spacing w:before="87" w:line="215" w:lineRule="auto"/>
              <w:ind w:left="49"/>
              <w:rPr>
                <w:rFonts w:ascii="宋体" w:hAnsi="宋体" w:eastAsia="宋体" w:cs="宋体"/>
                <w:sz w:val="27"/>
                <w:szCs w:val="27"/>
              </w:rPr>
            </w:pPr>
            <w:r>
              <w:rPr>
                <w:rFonts w:ascii="宋体" w:hAnsi="宋体" w:eastAsia="宋体" w:cs="宋体"/>
                <w:spacing w:val="5"/>
                <w:sz w:val="27"/>
                <w:szCs w:val="27"/>
              </w:rPr>
              <w:t>（单位盖章）</w:t>
            </w:r>
          </w:p>
        </w:tc>
      </w:tr>
      <w:tr w14:paraId="62DBFA1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0" w:hRule="atLeast"/>
        </w:trPr>
        <w:tc>
          <w:tcPr>
            <w:tcW w:w="2051" w:type="dxa"/>
            <w:gridSpan w:val="2"/>
            <w:vMerge w:val="continue"/>
            <w:tcBorders>
              <w:top w:val="nil"/>
              <w:left w:val="nil"/>
            </w:tcBorders>
            <w:vAlign w:val="top"/>
          </w:tcPr>
          <w:p w14:paraId="7B96571C">
            <w:pPr>
              <w:pStyle w:val="7"/>
            </w:pPr>
          </w:p>
        </w:tc>
        <w:tc>
          <w:tcPr>
            <w:tcW w:w="5419" w:type="dxa"/>
            <w:gridSpan w:val="3"/>
            <w:vMerge w:val="restart"/>
            <w:tcBorders>
              <w:top w:val="single" w:color="000000" w:sz="4" w:space="0"/>
              <w:bottom w:val="nil"/>
            </w:tcBorders>
            <w:vAlign w:val="top"/>
          </w:tcPr>
          <w:p w14:paraId="2E38CB5B">
            <w:pPr>
              <w:pStyle w:val="7"/>
            </w:pPr>
          </w:p>
        </w:tc>
        <w:tc>
          <w:tcPr>
            <w:tcW w:w="2687" w:type="dxa"/>
            <w:gridSpan w:val="2"/>
            <w:vMerge w:val="continue"/>
            <w:tcBorders>
              <w:top w:val="nil"/>
              <w:right w:val="single" w:color="FFFFFF" w:sz="2" w:space="0"/>
            </w:tcBorders>
            <w:vAlign w:val="top"/>
          </w:tcPr>
          <w:p w14:paraId="728905AF">
            <w:pPr>
              <w:pStyle w:val="7"/>
            </w:pPr>
          </w:p>
        </w:tc>
      </w:tr>
      <w:tr w14:paraId="54DD6B2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1128" w:hRule="atLeast"/>
        </w:trPr>
        <w:tc>
          <w:tcPr>
            <w:tcW w:w="2051" w:type="dxa"/>
            <w:gridSpan w:val="2"/>
            <w:tcBorders>
              <w:left w:val="nil"/>
              <w:bottom w:val="single" w:color="FFFFFF" w:sz="2" w:space="0"/>
            </w:tcBorders>
            <w:vAlign w:val="top"/>
          </w:tcPr>
          <w:p w14:paraId="26DE1CC2">
            <w:pPr>
              <w:pStyle w:val="7"/>
              <w:spacing w:line="445" w:lineRule="auto"/>
            </w:pPr>
          </w:p>
          <w:p w14:paraId="6E74FE0A">
            <w:pPr>
              <w:spacing w:before="88" w:line="199" w:lineRule="auto"/>
              <w:ind w:left="43" w:right="382" w:hanging="2"/>
              <w:rPr>
                <w:rFonts w:ascii="宋体" w:hAnsi="宋体" w:eastAsia="宋体" w:cs="宋体"/>
                <w:sz w:val="27"/>
                <w:szCs w:val="27"/>
              </w:rPr>
            </w:pPr>
            <w:r>
              <w:rPr>
                <w:rFonts w:ascii="宋体" w:hAnsi="宋体" w:eastAsia="宋体" w:cs="宋体"/>
                <w:spacing w:val="11"/>
                <w:sz w:val="27"/>
                <w:szCs w:val="27"/>
              </w:rPr>
              <w:t>法定代表人</w:t>
            </w:r>
            <w:r>
              <w:rPr>
                <w:rFonts w:ascii="宋体" w:hAnsi="宋体" w:eastAsia="宋体" w:cs="宋体"/>
                <w:sz w:val="27"/>
                <w:szCs w:val="27"/>
              </w:rPr>
              <w:t xml:space="preserve">  </w:t>
            </w:r>
            <w:r>
              <w:rPr>
                <w:rFonts w:ascii="宋体" w:hAnsi="宋体" w:eastAsia="宋体" w:cs="宋体"/>
                <w:spacing w:val="-1"/>
                <w:sz w:val="27"/>
                <w:szCs w:val="27"/>
              </w:rPr>
              <w:t>或其授权人：</w:t>
            </w:r>
          </w:p>
        </w:tc>
        <w:tc>
          <w:tcPr>
            <w:tcW w:w="5419" w:type="dxa"/>
            <w:gridSpan w:val="3"/>
            <w:vMerge w:val="continue"/>
            <w:tcBorders>
              <w:top w:val="nil"/>
              <w:bottom w:val="single" w:color="000000" w:sz="4" w:space="0"/>
            </w:tcBorders>
            <w:vAlign w:val="top"/>
          </w:tcPr>
          <w:p w14:paraId="02BD3439">
            <w:pPr>
              <w:pStyle w:val="7"/>
            </w:pPr>
          </w:p>
        </w:tc>
        <w:tc>
          <w:tcPr>
            <w:tcW w:w="2687" w:type="dxa"/>
            <w:gridSpan w:val="2"/>
            <w:tcBorders>
              <w:bottom w:val="nil"/>
              <w:right w:val="single" w:color="FFFFFF" w:sz="2" w:space="0"/>
            </w:tcBorders>
            <w:vAlign w:val="top"/>
          </w:tcPr>
          <w:p w14:paraId="2279E079">
            <w:pPr>
              <w:pStyle w:val="7"/>
              <w:spacing w:line="242" w:lineRule="auto"/>
            </w:pPr>
          </w:p>
          <w:p w14:paraId="0D0A6BF7">
            <w:pPr>
              <w:pStyle w:val="7"/>
              <w:spacing w:line="242" w:lineRule="auto"/>
            </w:pPr>
          </w:p>
          <w:p w14:paraId="2CF95D49">
            <w:pPr>
              <w:pStyle w:val="7"/>
              <w:spacing w:line="243" w:lineRule="auto"/>
            </w:pPr>
          </w:p>
          <w:p w14:paraId="3D5FC636">
            <w:pPr>
              <w:spacing w:before="88" w:line="204" w:lineRule="auto"/>
              <w:ind w:left="49"/>
              <w:rPr>
                <w:rFonts w:ascii="宋体" w:hAnsi="宋体" w:eastAsia="宋体" w:cs="宋体"/>
                <w:sz w:val="27"/>
                <w:szCs w:val="27"/>
              </w:rPr>
            </w:pPr>
            <w:r>
              <w:rPr>
                <w:rFonts w:ascii="宋体" w:hAnsi="宋体" w:eastAsia="宋体" w:cs="宋体"/>
                <w:spacing w:val="7"/>
                <w:sz w:val="27"/>
                <w:szCs w:val="27"/>
              </w:rPr>
              <w:t>（签字或盖章）</w:t>
            </w:r>
          </w:p>
        </w:tc>
      </w:tr>
      <w:tr w14:paraId="444862F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1138" w:hRule="atLeast"/>
        </w:trPr>
        <w:tc>
          <w:tcPr>
            <w:tcW w:w="2051" w:type="dxa"/>
            <w:gridSpan w:val="2"/>
            <w:tcBorders>
              <w:top w:val="single" w:color="FFFFFF" w:sz="2" w:space="0"/>
              <w:left w:val="nil"/>
              <w:bottom w:val="single" w:color="FFFFFF" w:sz="2" w:space="0"/>
            </w:tcBorders>
            <w:vAlign w:val="top"/>
          </w:tcPr>
          <w:p w14:paraId="30958724">
            <w:pPr>
              <w:pStyle w:val="7"/>
              <w:spacing w:line="461" w:lineRule="auto"/>
            </w:pPr>
          </w:p>
          <w:p w14:paraId="73F608B7">
            <w:pPr>
              <w:spacing w:before="87" w:line="197" w:lineRule="auto"/>
              <w:ind w:left="44" w:right="98"/>
              <w:rPr>
                <w:rFonts w:ascii="宋体" w:hAnsi="宋体" w:eastAsia="宋体" w:cs="宋体"/>
                <w:sz w:val="27"/>
                <w:szCs w:val="27"/>
              </w:rPr>
            </w:pPr>
            <w:r>
              <w:rPr>
                <w:rFonts w:ascii="宋体" w:hAnsi="宋体" w:eastAsia="宋体" w:cs="宋体"/>
                <w:spacing w:val="11"/>
                <w:sz w:val="27"/>
                <w:szCs w:val="27"/>
              </w:rPr>
              <w:t>工程造价咨询</w:t>
            </w:r>
            <w:r>
              <w:rPr>
                <w:rFonts w:ascii="宋体" w:hAnsi="宋体" w:eastAsia="宋体" w:cs="宋体"/>
                <w:sz w:val="27"/>
                <w:szCs w:val="27"/>
              </w:rPr>
              <w:t xml:space="preserve">  </w:t>
            </w:r>
            <w:r>
              <w:rPr>
                <w:rFonts w:ascii="宋体" w:hAnsi="宋体" w:eastAsia="宋体" w:cs="宋体"/>
                <w:spacing w:val="1"/>
                <w:sz w:val="27"/>
                <w:szCs w:val="27"/>
              </w:rPr>
              <w:t>或招标代理人：</w:t>
            </w:r>
          </w:p>
        </w:tc>
        <w:tc>
          <w:tcPr>
            <w:tcW w:w="5419" w:type="dxa"/>
            <w:gridSpan w:val="3"/>
            <w:tcBorders>
              <w:top w:val="single" w:color="000000" w:sz="4" w:space="0"/>
              <w:bottom w:val="single" w:color="000000" w:sz="4" w:space="0"/>
              <w:right w:val="nil"/>
            </w:tcBorders>
            <w:vAlign w:val="top"/>
          </w:tcPr>
          <w:p w14:paraId="3C35F1BF">
            <w:pPr>
              <w:pStyle w:val="7"/>
            </w:pPr>
          </w:p>
        </w:tc>
        <w:tc>
          <w:tcPr>
            <w:tcW w:w="2687" w:type="dxa"/>
            <w:gridSpan w:val="2"/>
            <w:tcBorders>
              <w:top w:val="nil"/>
              <w:left w:val="nil"/>
              <w:bottom w:val="nil"/>
              <w:right w:val="nil"/>
            </w:tcBorders>
            <w:vAlign w:val="top"/>
          </w:tcPr>
          <w:p w14:paraId="3436A7C7">
            <w:pPr>
              <w:pStyle w:val="7"/>
              <w:spacing w:line="247" w:lineRule="auto"/>
            </w:pPr>
          </w:p>
          <w:p w14:paraId="78FB2D16">
            <w:pPr>
              <w:pStyle w:val="7"/>
              <w:spacing w:line="248" w:lineRule="auto"/>
            </w:pPr>
          </w:p>
          <w:p w14:paraId="6DC490AA">
            <w:pPr>
              <w:pStyle w:val="7"/>
              <w:spacing w:line="248" w:lineRule="auto"/>
            </w:pPr>
          </w:p>
          <w:p w14:paraId="6271B42C">
            <w:pPr>
              <w:spacing w:before="87" w:line="200" w:lineRule="auto"/>
              <w:ind w:left="49"/>
              <w:rPr>
                <w:rFonts w:ascii="宋体" w:hAnsi="宋体" w:eastAsia="宋体" w:cs="宋体"/>
                <w:sz w:val="27"/>
                <w:szCs w:val="27"/>
              </w:rPr>
            </w:pPr>
            <w:r>
              <w:rPr>
                <w:rFonts w:ascii="宋体" w:hAnsi="宋体" w:eastAsia="宋体" w:cs="宋体"/>
                <w:spacing w:val="5"/>
                <w:sz w:val="27"/>
                <w:szCs w:val="27"/>
              </w:rPr>
              <w:t>（单位盖章）</w:t>
            </w:r>
          </w:p>
        </w:tc>
      </w:tr>
      <w:tr w14:paraId="6502314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1138" w:hRule="atLeast"/>
        </w:trPr>
        <w:tc>
          <w:tcPr>
            <w:tcW w:w="2051" w:type="dxa"/>
            <w:gridSpan w:val="2"/>
            <w:tcBorders>
              <w:top w:val="single" w:color="FFFFFF" w:sz="2" w:space="0"/>
              <w:left w:val="nil"/>
              <w:bottom w:val="single" w:color="FFFFFF" w:sz="2" w:space="0"/>
            </w:tcBorders>
            <w:vAlign w:val="top"/>
          </w:tcPr>
          <w:p w14:paraId="0E2474F5">
            <w:pPr>
              <w:pStyle w:val="7"/>
              <w:spacing w:line="466" w:lineRule="auto"/>
            </w:pPr>
          </w:p>
          <w:p w14:paraId="0578E3C3">
            <w:pPr>
              <w:spacing w:before="88" w:line="195" w:lineRule="auto"/>
              <w:ind w:left="43" w:right="382" w:hanging="2"/>
              <w:rPr>
                <w:rFonts w:ascii="宋体" w:hAnsi="宋体" w:eastAsia="宋体" w:cs="宋体"/>
                <w:sz w:val="27"/>
                <w:szCs w:val="27"/>
              </w:rPr>
            </w:pPr>
            <w:r>
              <w:rPr>
                <w:rFonts w:ascii="宋体" w:hAnsi="宋体" w:eastAsia="宋体" w:cs="宋体"/>
                <w:spacing w:val="11"/>
                <w:sz w:val="27"/>
                <w:szCs w:val="27"/>
              </w:rPr>
              <w:t>法定代表人</w:t>
            </w:r>
            <w:r>
              <w:rPr>
                <w:rFonts w:ascii="宋体" w:hAnsi="宋体" w:eastAsia="宋体" w:cs="宋体"/>
                <w:sz w:val="27"/>
                <w:szCs w:val="27"/>
              </w:rPr>
              <w:t xml:space="preserve">  </w:t>
            </w:r>
            <w:r>
              <w:rPr>
                <w:rFonts w:ascii="宋体" w:hAnsi="宋体" w:eastAsia="宋体" w:cs="宋体"/>
                <w:spacing w:val="-1"/>
                <w:sz w:val="27"/>
                <w:szCs w:val="27"/>
              </w:rPr>
              <w:t>或其授权人：</w:t>
            </w:r>
          </w:p>
        </w:tc>
        <w:tc>
          <w:tcPr>
            <w:tcW w:w="5419" w:type="dxa"/>
            <w:gridSpan w:val="3"/>
            <w:tcBorders>
              <w:top w:val="single" w:color="000000" w:sz="4" w:space="0"/>
              <w:bottom w:val="single" w:color="000000" w:sz="4" w:space="0"/>
              <w:right w:val="nil"/>
            </w:tcBorders>
            <w:vAlign w:val="top"/>
          </w:tcPr>
          <w:p w14:paraId="372E525C">
            <w:pPr>
              <w:pStyle w:val="7"/>
            </w:pPr>
          </w:p>
        </w:tc>
        <w:tc>
          <w:tcPr>
            <w:tcW w:w="2687" w:type="dxa"/>
            <w:gridSpan w:val="2"/>
            <w:tcBorders>
              <w:top w:val="nil"/>
              <w:left w:val="nil"/>
              <w:bottom w:val="nil"/>
              <w:right w:val="nil"/>
            </w:tcBorders>
            <w:vAlign w:val="top"/>
          </w:tcPr>
          <w:p w14:paraId="70900C3E">
            <w:pPr>
              <w:pStyle w:val="7"/>
              <w:spacing w:line="249" w:lineRule="auto"/>
              <w:rPr>
                <w:u w:val="none"/>
              </w:rPr>
            </w:pPr>
          </w:p>
          <w:p w14:paraId="51E1B625">
            <w:pPr>
              <w:pStyle w:val="7"/>
              <w:spacing w:line="249" w:lineRule="auto"/>
              <w:rPr>
                <w:u w:val="none"/>
              </w:rPr>
            </w:pPr>
          </w:p>
          <w:p w14:paraId="4248DD9D">
            <w:pPr>
              <w:pStyle w:val="7"/>
              <w:spacing w:line="250" w:lineRule="auto"/>
              <w:rPr>
                <w:u w:val="none"/>
              </w:rPr>
            </w:pPr>
          </w:p>
          <w:p w14:paraId="14BA97EC">
            <w:pPr>
              <w:spacing w:before="88" w:line="196" w:lineRule="auto"/>
              <w:ind w:left="49"/>
              <w:rPr>
                <w:rFonts w:ascii="宋体" w:hAnsi="宋体" w:eastAsia="宋体" w:cs="宋体"/>
                <w:sz w:val="27"/>
                <w:szCs w:val="27"/>
                <w:u w:val="none"/>
              </w:rPr>
            </w:pPr>
            <w:r>
              <w:rPr>
                <w:rFonts w:ascii="宋体" w:hAnsi="宋体" w:eastAsia="宋体" w:cs="宋体"/>
                <w:spacing w:val="7"/>
                <w:sz w:val="27"/>
                <w:szCs w:val="27"/>
                <w:u w:val="none"/>
              </w:rPr>
              <w:t>（签字或盖章）</w:t>
            </w:r>
          </w:p>
        </w:tc>
      </w:tr>
      <w:tr w14:paraId="2291029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1130" w:hRule="atLeast"/>
        </w:trPr>
        <w:tc>
          <w:tcPr>
            <w:tcW w:w="2051" w:type="dxa"/>
            <w:gridSpan w:val="2"/>
            <w:vMerge w:val="restart"/>
            <w:tcBorders>
              <w:top w:val="single" w:color="FFFFFF" w:sz="2" w:space="0"/>
              <w:left w:val="nil"/>
              <w:bottom w:val="nil"/>
            </w:tcBorders>
            <w:vAlign w:val="top"/>
          </w:tcPr>
          <w:p w14:paraId="3AF38551">
            <w:pPr>
              <w:pStyle w:val="7"/>
              <w:spacing w:line="251" w:lineRule="auto"/>
            </w:pPr>
          </w:p>
          <w:p w14:paraId="0B559C17">
            <w:pPr>
              <w:pStyle w:val="7"/>
              <w:spacing w:line="251" w:lineRule="auto"/>
            </w:pPr>
          </w:p>
          <w:p w14:paraId="6EFB87F4">
            <w:pPr>
              <w:pStyle w:val="7"/>
              <w:spacing w:line="252" w:lineRule="auto"/>
            </w:pPr>
          </w:p>
          <w:p w14:paraId="5AD2AE0B">
            <w:pPr>
              <w:spacing w:before="88" w:line="207" w:lineRule="auto"/>
              <w:ind w:left="43"/>
              <w:rPr>
                <w:rFonts w:ascii="宋体" w:hAnsi="宋体" w:eastAsia="宋体" w:cs="宋体"/>
                <w:sz w:val="27"/>
                <w:szCs w:val="27"/>
              </w:rPr>
            </w:pPr>
            <w:r>
              <w:rPr>
                <w:rFonts w:ascii="宋体" w:hAnsi="宋体" w:eastAsia="宋体" w:cs="宋体"/>
                <w:spacing w:val="-9"/>
                <w:sz w:val="27"/>
                <w:szCs w:val="27"/>
              </w:rPr>
              <w:t>编</w:t>
            </w:r>
            <w:r>
              <w:rPr>
                <w:rFonts w:ascii="宋体" w:hAnsi="宋体" w:eastAsia="宋体" w:cs="宋体"/>
                <w:spacing w:val="23"/>
                <w:sz w:val="27"/>
                <w:szCs w:val="27"/>
              </w:rPr>
              <w:t xml:space="preserve">  </w:t>
            </w:r>
            <w:r>
              <w:rPr>
                <w:rFonts w:ascii="宋体" w:hAnsi="宋体" w:eastAsia="宋体" w:cs="宋体"/>
                <w:spacing w:val="-9"/>
                <w:sz w:val="27"/>
                <w:szCs w:val="27"/>
              </w:rPr>
              <w:t>制</w:t>
            </w:r>
            <w:r>
              <w:rPr>
                <w:rFonts w:ascii="宋体" w:hAnsi="宋体" w:eastAsia="宋体" w:cs="宋体"/>
                <w:spacing w:val="24"/>
                <w:sz w:val="27"/>
                <w:szCs w:val="27"/>
              </w:rPr>
              <w:t xml:space="preserve">  </w:t>
            </w:r>
            <w:r>
              <w:rPr>
                <w:rFonts w:ascii="宋体" w:hAnsi="宋体" w:eastAsia="宋体" w:cs="宋体"/>
                <w:spacing w:val="-9"/>
                <w:sz w:val="27"/>
                <w:szCs w:val="27"/>
              </w:rPr>
              <w:t>人：</w:t>
            </w:r>
          </w:p>
        </w:tc>
        <w:tc>
          <w:tcPr>
            <w:tcW w:w="4895" w:type="dxa"/>
            <w:gridSpan w:val="2"/>
            <w:tcBorders>
              <w:top w:val="single" w:color="000000" w:sz="4" w:space="0"/>
              <w:bottom w:val="single" w:color="000000" w:sz="4" w:space="0"/>
            </w:tcBorders>
            <w:vAlign w:val="top"/>
          </w:tcPr>
          <w:p w14:paraId="79DFDF55">
            <w:pPr>
              <w:pStyle w:val="7"/>
            </w:pPr>
          </w:p>
        </w:tc>
        <w:tc>
          <w:tcPr>
            <w:tcW w:w="3211" w:type="dxa"/>
            <w:gridSpan w:val="3"/>
            <w:vMerge w:val="restart"/>
            <w:tcBorders>
              <w:top w:val="single" w:color="000000" w:sz="2" w:space="0"/>
              <w:bottom w:val="nil"/>
              <w:right w:val="single" w:color="FFFFFF" w:sz="2" w:space="0"/>
            </w:tcBorders>
            <w:vAlign w:val="top"/>
          </w:tcPr>
          <w:p w14:paraId="1033F139">
            <w:pPr>
              <w:pStyle w:val="7"/>
              <w:spacing w:line="251" w:lineRule="auto"/>
            </w:pPr>
          </w:p>
          <w:p w14:paraId="53503745">
            <w:pPr>
              <w:pStyle w:val="7"/>
              <w:spacing w:line="251" w:lineRule="auto"/>
            </w:pPr>
          </w:p>
          <w:p w14:paraId="76A30B56">
            <w:pPr>
              <w:pStyle w:val="7"/>
              <w:spacing w:line="252" w:lineRule="auto"/>
            </w:pPr>
          </w:p>
          <w:p w14:paraId="630D95C4">
            <w:pPr>
              <w:spacing w:before="88" w:line="207" w:lineRule="auto"/>
              <w:ind w:left="86"/>
              <w:rPr>
                <w:rFonts w:ascii="宋体" w:hAnsi="宋体" w:eastAsia="宋体" w:cs="宋体"/>
                <w:sz w:val="27"/>
                <w:szCs w:val="27"/>
              </w:rPr>
            </w:pPr>
            <w:r>
              <w:rPr>
                <w:rFonts w:ascii="宋体" w:hAnsi="宋体" w:eastAsia="宋体" w:cs="宋体"/>
                <w:spacing w:val="8"/>
                <w:sz w:val="27"/>
                <w:szCs w:val="27"/>
              </w:rPr>
              <w:t>(造价人员签字盖专用章)</w:t>
            </w:r>
          </w:p>
        </w:tc>
      </w:tr>
      <w:tr w14:paraId="679ABFF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0" w:hRule="atLeast"/>
        </w:trPr>
        <w:tc>
          <w:tcPr>
            <w:tcW w:w="2051" w:type="dxa"/>
            <w:gridSpan w:val="2"/>
            <w:vMerge w:val="continue"/>
            <w:tcBorders>
              <w:top w:val="nil"/>
              <w:left w:val="nil"/>
            </w:tcBorders>
            <w:vAlign w:val="top"/>
          </w:tcPr>
          <w:p w14:paraId="36FFE79C">
            <w:pPr>
              <w:pStyle w:val="7"/>
            </w:pPr>
          </w:p>
        </w:tc>
        <w:tc>
          <w:tcPr>
            <w:tcW w:w="4895" w:type="dxa"/>
            <w:gridSpan w:val="2"/>
            <w:vMerge w:val="restart"/>
            <w:tcBorders>
              <w:top w:val="single" w:color="000000" w:sz="4" w:space="0"/>
              <w:bottom w:val="nil"/>
            </w:tcBorders>
            <w:vAlign w:val="top"/>
          </w:tcPr>
          <w:p w14:paraId="403FB58A">
            <w:pPr>
              <w:pStyle w:val="7"/>
            </w:pPr>
          </w:p>
        </w:tc>
        <w:tc>
          <w:tcPr>
            <w:tcW w:w="3211" w:type="dxa"/>
            <w:gridSpan w:val="3"/>
            <w:vMerge w:val="continue"/>
            <w:tcBorders>
              <w:top w:val="nil"/>
              <w:right w:val="single" w:color="FFFFFF" w:sz="2" w:space="0"/>
            </w:tcBorders>
            <w:vAlign w:val="top"/>
          </w:tcPr>
          <w:p w14:paraId="352391CF">
            <w:pPr>
              <w:pStyle w:val="7"/>
            </w:pPr>
          </w:p>
        </w:tc>
      </w:tr>
      <w:tr w14:paraId="7BC524A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1129" w:hRule="atLeast"/>
        </w:trPr>
        <w:tc>
          <w:tcPr>
            <w:tcW w:w="2051" w:type="dxa"/>
            <w:gridSpan w:val="2"/>
            <w:tcBorders>
              <w:left w:val="nil"/>
              <w:bottom w:val="single" w:color="FFFFFF" w:sz="2" w:space="0"/>
            </w:tcBorders>
            <w:vAlign w:val="top"/>
          </w:tcPr>
          <w:p w14:paraId="7ADE74F2">
            <w:pPr>
              <w:pStyle w:val="7"/>
              <w:spacing w:line="246" w:lineRule="auto"/>
            </w:pPr>
          </w:p>
          <w:p w14:paraId="7CF2008E">
            <w:pPr>
              <w:pStyle w:val="7"/>
              <w:spacing w:line="247" w:lineRule="auto"/>
            </w:pPr>
          </w:p>
          <w:p w14:paraId="0A3D4605">
            <w:pPr>
              <w:pStyle w:val="7"/>
              <w:spacing w:line="247" w:lineRule="auto"/>
            </w:pPr>
          </w:p>
          <w:p w14:paraId="36C86155">
            <w:pPr>
              <w:spacing w:before="87" w:line="196" w:lineRule="auto"/>
              <w:ind w:left="48"/>
              <w:rPr>
                <w:rFonts w:ascii="宋体" w:hAnsi="宋体" w:eastAsia="宋体" w:cs="宋体"/>
                <w:sz w:val="27"/>
                <w:szCs w:val="27"/>
              </w:rPr>
            </w:pPr>
            <w:r>
              <w:rPr>
                <w:rFonts w:ascii="宋体" w:hAnsi="宋体" w:eastAsia="宋体" w:cs="宋体"/>
                <w:spacing w:val="-11"/>
                <w:sz w:val="27"/>
                <w:szCs w:val="27"/>
              </w:rPr>
              <w:t>复</w:t>
            </w:r>
            <w:r>
              <w:rPr>
                <w:rFonts w:ascii="宋体" w:hAnsi="宋体" w:eastAsia="宋体" w:cs="宋体"/>
                <w:spacing w:val="24"/>
                <w:sz w:val="27"/>
                <w:szCs w:val="27"/>
              </w:rPr>
              <w:t xml:space="preserve">  </w:t>
            </w:r>
            <w:r>
              <w:rPr>
                <w:rFonts w:ascii="宋体" w:hAnsi="宋体" w:eastAsia="宋体" w:cs="宋体"/>
                <w:spacing w:val="-11"/>
                <w:sz w:val="27"/>
                <w:szCs w:val="27"/>
              </w:rPr>
              <w:t>核</w:t>
            </w:r>
            <w:r>
              <w:rPr>
                <w:rFonts w:ascii="宋体" w:hAnsi="宋体" w:eastAsia="宋体" w:cs="宋体"/>
                <w:spacing w:val="24"/>
                <w:sz w:val="27"/>
                <w:szCs w:val="27"/>
              </w:rPr>
              <w:t xml:space="preserve">  </w:t>
            </w:r>
            <w:r>
              <w:rPr>
                <w:rFonts w:ascii="宋体" w:hAnsi="宋体" w:eastAsia="宋体" w:cs="宋体"/>
                <w:spacing w:val="-11"/>
                <w:sz w:val="27"/>
                <w:szCs w:val="27"/>
              </w:rPr>
              <w:t>人：</w:t>
            </w:r>
          </w:p>
        </w:tc>
        <w:tc>
          <w:tcPr>
            <w:tcW w:w="4895" w:type="dxa"/>
            <w:gridSpan w:val="2"/>
            <w:vMerge w:val="continue"/>
            <w:tcBorders>
              <w:top w:val="nil"/>
              <w:bottom w:val="single" w:color="000000" w:sz="4" w:space="0"/>
            </w:tcBorders>
            <w:vAlign w:val="top"/>
          </w:tcPr>
          <w:p w14:paraId="77BC58B7">
            <w:pPr>
              <w:pStyle w:val="7"/>
            </w:pPr>
          </w:p>
        </w:tc>
        <w:tc>
          <w:tcPr>
            <w:tcW w:w="3211" w:type="dxa"/>
            <w:gridSpan w:val="3"/>
            <w:tcBorders>
              <w:bottom w:val="single" w:color="FFFFFF" w:sz="2" w:space="0"/>
              <w:right w:val="single" w:color="FFFFFF" w:sz="2" w:space="0"/>
            </w:tcBorders>
            <w:vAlign w:val="top"/>
          </w:tcPr>
          <w:p w14:paraId="1C597A47">
            <w:pPr>
              <w:pStyle w:val="7"/>
              <w:spacing w:line="246" w:lineRule="auto"/>
            </w:pPr>
          </w:p>
          <w:p w14:paraId="13BBF916">
            <w:pPr>
              <w:pStyle w:val="7"/>
              <w:spacing w:line="247" w:lineRule="auto"/>
            </w:pPr>
          </w:p>
          <w:p w14:paraId="2AD0A9A7">
            <w:pPr>
              <w:pStyle w:val="7"/>
              <w:spacing w:line="247" w:lineRule="auto"/>
            </w:pPr>
          </w:p>
          <w:p w14:paraId="73E70A40">
            <w:pPr>
              <w:spacing w:before="87" w:line="196" w:lineRule="auto"/>
              <w:ind w:left="86"/>
              <w:rPr>
                <w:rFonts w:ascii="宋体" w:hAnsi="宋体" w:eastAsia="宋体" w:cs="宋体"/>
                <w:sz w:val="27"/>
                <w:szCs w:val="27"/>
              </w:rPr>
            </w:pPr>
            <w:r>
              <w:rPr>
                <w:rFonts w:ascii="宋体" w:hAnsi="宋体" w:eastAsia="宋体" w:cs="宋体"/>
                <w:spacing w:val="8"/>
                <w:sz w:val="27"/>
                <w:szCs w:val="27"/>
              </w:rPr>
              <w:t>(造价人员签字盖专用章)</w:t>
            </w:r>
          </w:p>
        </w:tc>
      </w:tr>
      <w:tr w14:paraId="7C10009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1153" w:hRule="atLeast"/>
        </w:trPr>
        <w:tc>
          <w:tcPr>
            <w:tcW w:w="2051" w:type="dxa"/>
            <w:gridSpan w:val="2"/>
            <w:tcBorders>
              <w:top w:val="single" w:color="FFFFFF" w:sz="2" w:space="0"/>
              <w:left w:val="nil"/>
            </w:tcBorders>
            <w:vAlign w:val="top"/>
          </w:tcPr>
          <w:p w14:paraId="0CA5328C">
            <w:pPr>
              <w:pStyle w:val="7"/>
            </w:pPr>
          </w:p>
        </w:tc>
        <w:tc>
          <w:tcPr>
            <w:tcW w:w="359" w:type="dxa"/>
            <w:tcBorders>
              <w:top w:val="single" w:color="000000" w:sz="4" w:space="0"/>
            </w:tcBorders>
            <w:vAlign w:val="top"/>
          </w:tcPr>
          <w:p w14:paraId="6DBF74E8">
            <w:pPr>
              <w:pStyle w:val="7"/>
            </w:pPr>
          </w:p>
        </w:tc>
        <w:tc>
          <w:tcPr>
            <w:tcW w:w="5060" w:type="dxa"/>
            <w:gridSpan w:val="2"/>
            <w:tcBorders>
              <w:top w:val="single" w:color="000000" w:sz="4" w:space="0"/>
            </w:tcBorders>
            <w:vAlign w:val="top"/>
          </w:tcPr>
          <w:p w14:paraId="5D3F5059">
            <w:pPr>
              <w:pStyle w:val="7"/>
              <w:spacing w:line="251" w:lineRule="auto"/>
            </w:pPr>
          </w:p>
          <w:p w14:paraId="21774634">
            <w:pPr>
              <w:pStyle w:val="7"/>
              <w:spacing w:line="252" w:lineRule="auto"/>
            </w:pPr>
          </w:p>
          <w:p w14:paraId="2CDB3BD0">
            <w:pPr>
              <w:pStyle w:val="7"/>
              <w:spacing w:line="252" w:lineRule="auto"/>
            </w:pPr>
          </w:p>
          <w:p w14:paraId="38D011C1">
            <w:pPr>
              <w:spacing w:before="87" w:line="202" w:lineRule="auto"/>
              <w:ind w:left="577"/>
              <w:rPr>
                <w:rFonts w:ascii="宋体" w:hAnsi="宋体" w:eastAsia="宋体" w:cs="宋体"/>
                <w:sz w:val="27"/>
                <w:szCs w:val="27"/>
              </w:rPr>
            </w:pPr>
            <w:r>
              <w:rPr>
                <w:rFonts w:ascii="宋体" w:hAnsi="宋体" w:eastAsia="宋体" w:cs="宋体"/>
                <w:sz w:val="27"/>
                <w:szCs w:val="27"/>
              </w:rPr>
              <w:t>编制时间：      年</w:t>
            </w:r>
            <w:r>
              <w:rPr>
                <w:rFonts w:ascii="宋体" w:hAnsi="宋体" w:eastAsia="宋体" w:cs="宋体"/>
                <w:spacing w:val="22"/>
                <w:sz w:val="27"/>
                <w:szCs w:val="27"/>
              </w:rPr>
              <w:t xml:space="preserve">   </w:t>
            </w:r>
            <w:r>
              <w:rPr>
                <w:rFonts w:ascii="宋体" w:hAnsi="宋体" w:eastAsia="宋体" w:cs="宋体"/>
                <w:sz w:val="27"/>
                <w:szCs w:val="27"/>
              </w:rPr>
              <w:t>月</w:t>
            </w:r>
            <w:r>
              <w:rPr>
                <w:rFonts w:ascii="宋体" w:hAnsi="宋体" w:eastAsia="宋体" w:cs="宋体"/>
                <w:spacing w:val="37"/>
                <w:sz w:val="27"/>
                <w:szCs w:val="27"/>
              </w:rPr>
              <w:t xml:space="preserve">   </w:t>
            </w:r>
            <w:r>
              <w:rPr>
                <w:rFonts w:ascii="宋体" w:hAnsi="宋体" w:eastAsia="宋体" w:cs="宋体"/>
                <w:sz w:val="27"/>
                <w:szCs w:val="27"/>
              </w:rPr>
              <w:t>日</w:t>
            </w:r>
          </w:p>
        </w:tc>
        <w:tc>
          <w:tcPr>
            <w:tcW w:w="2687" w:type="dxa"/>
            <w:gridSpan w:val="2"/>
            <w:tcBorders>
              <w:top w:val="single" w:color="FFFFFF" w:sz="2" w:space="0"/>
              <w:right w:val="single" w:color="FFFFFF" w:sz="2" w:space="0"/>
            </w:tcBorders>
            <w:vAlign w:val="top"/>
          </w:tcPr>
          <w:p w14:paraId="58DB09B7">
            <w:pPr>
              <w:pStyle w:val="7"/>
            </w:pPr>
          </w:p>
        </w:tc>
      </w:tr>
      <w:tr w14:paraId="578CAF9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860" w:hRule="atLeast"/>
        </w:trPr>
        <w:tc>
          <w:tcPr>
            <w:tcW w:w="2051" w:type="dxa"/>
            <w:gridSpan w:val="2"/>
            <w:tcBorders>
              <w:left w:val="nil"/>
              <w:bottom w:val="single" w:color="FFFFFF" w:sz="2" w:space="0"/>
            </w:tcBorders>
            <w:vAlign w:val="top"/>
          </w:tcPr>
          <w:p w14:paraId="296DBD26">
            <w:pPr>
              <w:pStyle w:val="7"/>
            </w:pPr>
          </w:p>
        </w:tc>
        <w:tc>
          <w:tcPr>
            <w:tcW w:w="359" w:type="dxa"/>
            <w:tcBorders>
              <w:bottom w:val="single" w:color="FFFFFF" w:sz="2" w:space="0"/>
            </w:tcBorders>
            <w:vAlign w:val="top"/>
          </w:tcPr>
          <w:p w14:paraId="354D6DAD">
            <w:pPr>
              <w:pStyle w:val="7"/>
            </w:pPr>
          </w:p>
        </w:tc>
        <w:tc>
          <w:tcPr>
            <w:tcW w:w="5060" w:type="dxa"/>
            <w:gridSpan w:val="2"/>
            <w:tcBorders>
              <w:bottom w:val="single" w:color="FFFFFF" w:sz="2" w:space="0"/>
            </w:tcBorders>
            <w:vAlign w:val="top"/>
          </w:tcPr>
          <w:p w14:paraId="7DD14FDB">
            <w:pPr>
              <w:pStyle w:val="7"/>
              <w:spacing w:line="462" w:lineRule="auto"/>
            </w:pPr>
          </w:p>
          <w:p w14:paraId="32A69CA9">
            <w:pPr>
              <w:spacing w:before="88" w:line="203" w:lineRule="auto"/>
              <w:ind w:left="583"/>
              <w:rPr>
                <w:rFonts w:ascii="宋体" w:hAnsi="宋体" w:eastAsia="宋体" w:cs="宋体"/>
                <w:sz w:val="27"/>
                <w:szCs w:val="27"/>
              </w:rPr>
            </w:pPr>
            <w:r>
              <w:rPr>
                <w:rFonts w:ascii="宋体" w:hAnsi="宋体" w:eastAsia="宋体" w:cs="宋体"/>
                <w:spacing w:val="-1"/>
                <w:sz w:val="27"/>
                <w:szCs w:val="27"/>
              </w:rPr>
              <w:t>复核时间：      年</w:t>
            </w:r>
            <w:r>
              <w:rPr>
                <w:rFonts w:ascii="宋体" w:hAnsi="宋体" w:eastAsia="宋体" w:cs="宋体"/>
                <w:spacing w:val="25"/>
                <w:sz w:val="27"/>
                <w:szCs w:val="27"/>
              </w:rPr>
              <w:t xml:space="preserve">   </w:t>
            </w:r>
            <w:r>
              <w:rPr>
                <w:rFonts w:ascii="宋体" w:hAnsi="宋体" w:eastAsia="宋体" w:cs="宋体"/>
                <w:spacing w:val="-1"/>
                <w:sz w:val="27"/>
                <w:szCs w:val="27"/>
              </w:rPr>
              <w:t>月</w:t>
            </w:r>
            <w:r>
              <w:rPr>
                <w:rFonts w:ascii="宋体" w:hAnsi="宋体" w:eastAsia="宋体" w:cs="宋体"/>
                <w:spacing w:val="37"/>
                <w:sz w:val="27"/>
                <w:szCs w:val="27"/>
              </w:rPr>
              <w:t xml:space="preserve">   </w:t>
            </w:r>
            <w:r>
              <w:rPr>
                <w:rFonts w:ascii="宋体" w:hAnsi="宋体" w:eastAsia="宋体" w:cs="宋体"/>
                <w:spacing w:val="-1"/>
                <w:sz w:val="27"/>
                <w:szCs w:val="27"/>
              </w:rPr>
              <w:t>日</w:t>
            </w:r>
          </w:p>
        </w:tc>
        <w:tc>
          <w:tcPr>
            <w:tcW w:w="2687" w:type="dxa"/>
            <w:gridSpan w:val="2"/>
            <w:tcBorders>
              <w:bottom w:val="single" w:color="FFFFFF" w:sz="2" w:space="0"/>
              <w:right w:val="single" w:color="FFFFFF" w:sz="2" w:space="0"/>
            </w:tcBorders>
            <w:vAlign w:val="top"/>
          </w:tcPr>
          <w:p w14:paraId="475561B0">
            <w:pPr>
              <w:pStyle w:val="7"/>
            </w:pPr>
          </w:p>
        </w:tc>
      </w:tr>
    </w:tbl>
    <w:p w14:paraId="5D4551CC">
      <w:pPr>
        <w:rPr>
          <w:rFonts w:ascii="Arial"/>
          <w:sz w:val="21"/>
        </w:rPr>
      </w:pPr>
    </w:p>
    <w:p w14:paraId="4E209CDB">
      <w:pPr>
        <w:rPr>
          <w:rFonts w:ascii="Arial" w:hAnsi="Arial" w:eastAsia="Arial" w:cs="Arial"/>
          <w:sz w:val="21"/>
          <w:szCs w:val="21"/>
        </w:rPr>
        <w:sectPr>
          <w:pgSz w:w="11960" w:h="16880"/>
          <w:pgMar w:top="836" w:right="946" w:bottom="0" w:left="853" w:header="0" w:footer="0" w:gutter="0"/>
          <w:pgBorders>
            <w:top w:val="none" w:sz="0" w:space="0"/>
            <w:left w:val="none" w:sz="0" w:space="0"/>
            <w:bottom w:val="none" w:sz="0" w:space="0"/>
            <w:right w:val="none" w:sz="0" w:space="0"/>
          </w:pgBorders>
          <w:cols w:space="720" w:num="1"/>
        </w:sectPr>
      </w:pPr>
    </w:p>
    <w:p w14:paraId="7B1F4E01">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宋体" w:hAnsi="宋体" w:cs="宋体"/>
          <w:b/>
          <w:bCs/>
          <w:sz w:val="32"/>
          <w:szCs w:val="32"/>
          <w:lang w:val="en-US" w:eastAsia="zh-CN"/>
        </w:rPr>
      </w:pPr>
      <w:r>
        <w:rPr>
          <w:rFonts w:hint="eastAsia" w:ascii="黑体" w:hAnsi="宋体" w:eastAsia="黑体" w:cs="黑体"/>
          <w:color w:val="000000"/>
          <w:kern w:val="0"/>
          <w:sz w:val="32"/>
          <w:szCs w:val="32"/>
          <w:lang w:val="en-US" w:eastAsia="zh-CN" w:bidi="ar"/>
        </w:rPr>
        <w:t>工程量清单编制说明</w:t>
      </w:r>
    </w:p>
    <w:p w14:paraId="0B139439">
      <w:pPr>
        <w:keepNext w:val="0"/>
        <w:keepLines w:val="0"/>
        <w:pageBreakBefore w:val="0"/>
        <w:widowControl/>
        <w:suppressLineNumbers w:val="0"/>
        <w:tabs>
          <w:tab w:val="left" w:pos="491"/>
        </w:tabs>
        <w:kinsoku/>
        <w:wordWrap/>
        <w:overflowPunct/>
        <w:topLinePunct w:val="0"/>
        <w:autoSpaceDE/>
        <w:autoSpaceDN/>
        <w:bidi w:val="0"/>
        <w:adjustRightInd/>
        <w:snapToGrid/>
        <w:spacing w:before="313" w:beforeLines="100" w:line="520" w:lineRule="exact"/>
        <w:ind w:firstLine="560" w:firstLineChars="200"/>
        <w:jc w:val="left"/>
        <w:textAlignment w:val="auto"/>
        <w:rPr>
          <w:rFonts w:hint="eastAsia" w:ascii="黑体" w:hAnsi="宋体" w:eastAsia="黑体" w:cs="黑体"/>
          <w:color w:val="000000"/>
          <w:kern w:val="0"/>
          <w:sz w:val="28"/>
          <w:szCs w:val="28"/>
          <w:lang w:val="en-US" w:eastAsia="zh-CN" w:bidi="ar"/>
        </w:rPr>
      </w:pPr>
      <w:r>
        <w:rPr>
          <w:rFonts w:hint="eastAsia" w:ascii="Times New Roman" w:hAnsi="Times New Roman" w:cs="Times New Roman"/>
          <w:color w:val="000000"/>
          <w:kern w:val="0"/>
          <w:sz w:val="28"/>
          <w:szCs w:val="28"/>
          <w:lang w:val="en-US" w:eastAsia="zh-CN" w:bidi="ar"/>
        </w:rPr>
        <w:t>1.</w:t>
      </w:r>
      <w:r>
        <w:rPr>
          <w:rFonts w:hint="eastAsia" w:ascii="黑体" w:hAnsi="宋体" w:eastAsia="黑体" w:cs="黑体"/>
          <w:color w:val="000000"/>
          <w:kern w:val="0"/>
          <w:sz w:val="28"/>
          <w:szCs w:val="28"/>
          <w:lang w:val="en-US" w:eastAsia="zh-CN" w:bidi="ar"/>
        </w:rPr>
        <w:t xml:space="preserve">工程量清单说明 </w:t>
      </w:r>
    </w:p>
    <w:p w14:paraId="640D5D06">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default" w:ascii="Times New Roman" w:hAnsi="Times New Roman" w:eastAsia="宋体" w:cs="Times New Roman"/>
          <w:color w:val="000000"/>
          <w:kern w:val="0"/>
          <w:sz w:val="24"/>
          <w:szCs w:val="24"/>
          <w:lang w:val="en-US" w:eastAsia="zh-CN" w:bidi="ar"/>
        </w:rPr>
        <w:t xml:space="preserve">1.1 </w:t>
      </w:r>
      <w:r>
        <w:rPr>
          <w:rFonts w:hint="eastAsia" w:ascii="宋体" w:hAnsi="宋体" w:eastAsia="宋体" w:cs="宋体"/>
          <w:color w:val="000000"/>
          <w:kern w:val="0"/>
          <w:sz w:val="24"/>
          <w:szCs w:val="24"/>
          <w:lang w:val="en-US" w:eastAsia="zh-CN" w:bidi="ar"/>
        </w:rPr>
        <w:t xml:space="preserve">本工程量清单是根据招标文件中包括的有合同约束力的工程量清单计量规则、图纸以及有关工程量清单的国家标准、行业标准、合同条款中约定的其他规则 编制。约定计量规则中没有的子目，其工程量按照有合同约束力的图纸所标示尺寸的理论净量计算。计量采用中华人民共和国法定计量单位。 </w:t>
      </w:r>
    </w:p>
    <w:p w14:paraId="69E863EE">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default" w:ascii="Times New Roman" w:hAnsi="Times New Roman" w:eastAsia="宋体" w:cs="Times New Roman"/>
          <w:color w:val="000000"/>
          <w:kern w:val="0"/>
          <w:sz w:val="24"/>
          <w:szCs w:val="24"/>
          <w:lang w:val="en-US" w:eastAsia="zh-CN" w:bidi="ar"/>
        </w:rPr>
        <w:t xml:space="preserve">1.2 </w:t>
      </w:r>
      <w:r>
        <w:rPr>
          <w:rFonts w:hint="eastAsia" w:ascii="宋体" w:hAnsi="宋体" w:eastAsia="宋体" w:cs="宋体"/>
          <w:color w:val="000000"/>
          <w:kern w:val="0"/>
          <w:sz w:val="24"/>
          <w:szCs w:val="24"/>
          <w:lang w:val="en-US" w:eastAsia="zh-CN" w:bidi="ar"/>
        </w:rPr>
        <w:t xml:space="preserve">本工程量清单应与招标文件中的投标人须知、通用合同条款、专用合同条款、工程量清单计量规则、技术规范及图纸等一起阅读和理解。 </w:t>
      </w:r>
    </w:p>
    <w:p w14:paraId="1D34A6FD">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default" w:ascii="Times New Roman" w:hAnsi="Times New Roman" w:eastAsia="宋体" w:cs="Times New Roman"/>
          <w:color w:val="000000"/>
          <w:kern w:val="0"/>
          <w:sz w:val="24"/>
          <w:szCs w:val="24"/>
          <w:lang w:val="en-US" w:eastAsia="zh-CN" w:bidi="ar"/>
        </w:rPr>
        <w:t xml:space="preserve">1.3 </w:t>
      </w:r>
      <w:r>
        <w:rPr>
          <w:rFonts w:hint="eastAsia" w:ascii="宋体" w:hAnsi="宋体" w:eastAsia="宋体" w:cs="宋体"/>
          <w:color w:val="000000"/>
          <w:kern w:val="0"/>
          <w:sz w:val="24"/>
          <w:szCs w:val="24"/>
          <w:lang w:val="en-US" w:eastAsia="zh-CN" w:bidi="ar"/>
        </w:rPr>
        <w:t xml:space="preserve">本工程量清单中所列工程数量是估算的或设计的预计数量，仅作为投标报价的共同基础，不能作为最终结算与支付的依据。实际支付应按实际完成的工程量，由承包人按工程量清单计量规则规定的计量方法，以监理人认可的尺寸、断面计量，按本工程量清单的单价和总额价计算支付金额；或根据具体情况，按合同条款第 </w:t>
      </w:r>
      <w:r>
        <w:rPr>
          <w:rFonts w:hint="default" w:ascii="Times New Roman" w:hAnsi="Times New Roman" w:eastAsia="宋体" w:cs="Times New Roman"/>
          <w:color w:val="000000"/>
          <w:kern w:val="0"/>
          <w:sz w:val="24"/>
          <w:szCs w:val="24"/>
          <w:lang w:val="en-US" w:eastAsia="zh-CN" w:bidi="ar"/>
        </w:rPr>
        <w:t>15.4</w:t>
      </w:r>
      <w:r>
        <w:rPr>
          <w:rFonts w:hint="eastAsia" w:ascii="宋体" w:hAnsi="宋体" w:eastAsia="宋体" w:cs="宋体"/>
          <w:color w:val="000000"/>
          <w:kern w:val="0"/>
          <w:sz w:val="24"/>
          <w:szCs w:val="24"/>
          <w:lang w:val="en-US" w:eastAsia="zh-CN" w:bidi="ar"/>
        </w:rPr>
        <w:t xml:space="preserve">款的规定，按监理人确定的单价或总额价计算支付额。 </w:t>
      </w:r>
    </w:p>
    <w:p w14:paraId="6DA8032A">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default" w:ascii="Times New Roman" w:hAnsi="Times New Roman" w:eastAsia="宋体" w:cs="Times New Roman"/>
          <w:color w:val="000000"/>
          <w:kern w:val="0"/>
          <w:sz w:val="24"/>
          <w:szCs w:val="24"/>
          <w:lang w:val="en-US" w:eastAsia="zh-CN" w:bidi="ar"/>
        </w:rPr>
        <w:t xml:space="preserve">1.4 </w:t>
      </w:r>
      <w:r>
        <w:rPr>
          <w:rFonts w:hint="eastAsia" w:ascii="宋体" w:hAnsi="宋体" w:eastAsia="宋体" w:cs="宋体"/>
          <w:color w:val="000000"/>
          <w:kern w:val="0"/>
          <w:sz w:val="24"/>
          <w:szCs w:val="24"/>
          <w:lang w:val="en-US" w:eastAsia="zh-CN" w:bidi="ar"/>
        </w:rPr>
        <w:t>工程量清单各章是按第八章</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工程量清单计量规则</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、第七章</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技术规范</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的相应章次编号的，因此，工程量清单中各章的工程子目的范围与计量等应与</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工程量清单计量规则</w:t>
      </w:r>
      <w:r>
        <w:rPr>
          <w:rFonts w:hint="default" w:ascii="Times New Roman" w:hAnsi="Times New Roman" w:eastAsia="宋体" w:cs="Times New Roman"/>
          <w:color w:val="000000"/>
          <w:kern w:val="0"/>
          <w:sz w:val="24"/>
          <w:szCs w:val="24"/>
          <w:lang w:val="en-US" w:eastAsia="zh-CN" w:bidi="ar"/>
        </w:rPr>
        <w:t>” “</w:t>
      </w:r>
      <w:r>
        <w:rPr>
          <w:rFonts w:hint="eastAsia" w:ascii="宋体" w:hAnsi="宋体" w:eastAsia="宋体" w:cs="宋体"/>
          <w:color w:val="000000"/>
          <w:kern w:val="0"/>
          <w:sz w:val="24"/>
          <w:szCs w:val="24"/>
          <w:lang w:val="en-US" w:eastAsia="zh-CN" w:bidi="ar"/>
        </w:rPr>
        <w:t>技术规范</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 xml:space="preserve">相应章节的范围、计量与支付条款结合起来理解或解释。 </w:t>
      </w:r>
    </w:p>
    <w:p w14:paraId="02E86647">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default" w:ascii="Times New Roman" w:hAnsi="Times New Roman" w:eastAsia="宋体" w:cs="Times New Roman"/>
          <w:color w:val="000000"/>
          <w:kern w:val="0"/>
          <w:sz w:val="24"/>
          <w:szCs w:val="24"/>
          <w:lang w:val="en-US" w:eastAsia="zh-CN" w:bidi="ar"/>
        </w:rPr>
        <w:t xml:space="preserve">1.5 </w:t>
      </w:r>
      <w:r>
        <w:rPr>
          <w:rFonts w:hint="eastAsia" w:ascii="宋体" w:hAnsi="宋体" w:eastAsia="宋体" w:cs="宋体"/>
          <w:color w:val="000000"/>
          <w:kern w:val="0"/>
          <w:sz w:val="24"/>
          <w:szCs w:val="24"/>
          <w:lang w:val="en-US" w:eastAsia="zh-CN" w:bidi="ar"/>
        </w:rPr>
        <w:t>对作业和材料的一般说明或规定，未重复写入工程量清单内，在给工程量清单各子目标价前，应参阅第七章</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技术规范</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 xml:space="preserve">的有关内容。 </w:t>
      </w:r>
    </w:p>
    <w:p w14:paraId="4AAD65A9">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default" w:ascii="Times New Roman" w:hAnsi="Times New Roman" w:eastAsia="宋体" w:cs="Times New Roman"/>
          <w:color w:val="000000"/>
          <w:kern w:val="0"/>
          <w:sz w:val="24"/>
          <w:szCs w:val="24"/>
          <w:lang w:val="en-US" w:eastAsia="zh-CN" w:bidi="ar"/>
        </w:rPr>
        <w:t xml:space="preserve">1.6 </w:t>
      </w:r>
      <w:r>
        <w:rPr>
          <w:rFonts w:hint="eastAsia" w:ascii="宋体" w:hAnsi="宋体" w:eastAsia="宋体" w:cs="宋体"/>
          <w:color w:val="000000"/>
          <w:kern w:val="0"/>
          <w:sz w:val="24"/>
          <w:szCs w:val="24"/>
          <w:lang w:val="en-US" w:eastAsia="zh-CN" w:bidi="ar"/>
        </w:rPr>
        <w:t xml:space="preserve">工程量清单中所列工程量的变动，丝毫不会降低或影响合同条款的效力，也不免除承包人按规定的标准进行施工和修复缺陷的责任。 </w:t>
      </w:r>
    </w:p>
    <w:p w14:paraId="3B3ECE75">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default" w:ascii="Times New Roman" w:hAnsi="Times New Roman" w:eastAsia="宋体" w:cs="Times New Roman"/>
          <w:color w:val="000000"/>
          <w:kern w:val="0"/>
          <w:sz w:val="24"/>
          <w:szCs w:val="24"/>
          <w:lang w:val="en-US" w:eastAsia="zh-CN" w:bidi="ar"/>
        </w:rPr>
        <w:t xml:space="preserve">1.7 </w:t>
      </w:r>
      <w:r>
        <w:rPr>
          <w:rFonts w:hint="eastAsia" w:ascii="宋体" w:hAnsi="宋体" w:eastAsia="宋体" w:cs="宋体"/>
          <w:color w:val="000000"/>
          <w:kern w:val="0"/>
          <w:sz w:val="24"/>
          <w:szCs w:val="24"/>
          <w:lang w:val="en-US" w:eastAsia="zh-CN" w:bidi="ar"/>
        </w:rPr>
        <w:t xml:space="preserve">图纸中所列的工程数量表及数量汇总表仅是提供资料，不是工程量清单的外延。当图纸与工程量清单所列数量不一致时，以工程量清单所列数量作为报价的依据。 </w:t>
      </w:r>
    </w:p>
    <w:p w14:paraId="5062BD8A">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pPr>
      <w:r>
        <w:rPr>
          <w:rFonts w:hint="eastAsia" w:ascii="Times New Roman" w:hAnsi="Times New Roman" w:cs="Times New Roman"/>
          <w:color w:val="000000"/>
          <w:kern w:val="0"/>
          <w:sz w:val="28"/>
          <w:szCs w:val="28"/>
          <w:lang w:val="en-US" w:eastAsia="zh-CN" w:bidi="ar"/>
        </w:rPr>
        <w:t>2.</w:t>
      </w:r>
      <w:r>
        <w:rPr>
          <w:rFonts w:hint="default" w:ascii="Times New Roman" w:hAnsi="Times New Roman" w:eastAsia="宋体" w:cs="Times New Roman"/>
          <w:color w:val="000000"/>
          <w:kern w:val="0"/>
          <w:sz w:val="28"/>
          <w:szCs w:val="28"/>
          <w:lang w:val="en-US" w:eastAsia="zh-CN" w:bidi="ar"/>
        </w:rPr>
        <w:t xml:space="preserve"> </w:t>
      </w:r>
      <w:r>
        <w:rPr>
          <w:rFonts w:hint="eastAsia" w:ascii="黑体" w:hAnsi="宋体" w:eastAsia="黑体" w:cs="黑体"/>
          <w:color w:val="000000"/>
          <w:kern w:val="0"/>
          <w:sz w:val="28"/>
          <w:szCs w:val="28"/>
          <w:lang w:val="en-US" w:eastAsia="zh-CN" w:bidi="ar"/>
        </w:rPr>
        <w:t xml:space="preserve">投标报价说明 </w:t>
      </w:r>
    </w:p>
    <w:p w14:paraId="02FA78A0">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default" w:ascii="Times New Roman" w:hAnsi="Times New Roman" w:eastAsia="宋体" w:cs="Times New Roman"/>
          <w:color w:val="000000"/>
          <w:kern w:val="0"/>
          <w:sz w:val="24"/>
          <w:szCs w:val="24"/>
          <w:lang w:val="en-US" w:eastAsia="zh-CN" w:bidi="ar"/>
        </w:rPr>
        <w:t xml:space="preserve">2.1 </w:t>
      </w:r>
      <w:r>
        <w:rPr>
          <w:rFonts w:hint="eastAsia" w:ascii="宋体" w:hAnsi="宋体" w:eastAsia="宋体" w:cs="宋体"/>
          <w:color w:val="000000"/>
          <w:kern w:val="0"/>
          <w:sz w:val="24"/>
          <w:szCs w:val="24"/>
          <w:lang w:val="en-US" w:eastAsia="zh-CN" w:bidi="ar"/>
        </w:rPr>
        <w:t xml:space="preserve">工程量清单中的每一子目须填入单价或价格，且只允许有一个报价。 </w:t>
      </w:r>
    </w:p>
    <w:p w14:paraId="721FBFEC">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default" w:ascii="Times New Roman" w:hAnsi="Times New Roman" w:eastAsia="宋体" w:cs="Times New Roman"/>
          <w:color w:val="000000"/>
          <w:kern w:val="0"/>
          <w:sz w:val="24"/>
          <w:szCs w:val="24"/>
          <w:lang w:val="en-US" w:eastAsia="zh-CN" w:bidi="ar"/>
        </w:rPr>
        <w:t xml:space="preserve">2.2 </w:t>
      </w:r>
      <w:r>
        <w:rPr>
          <w:rFonts w:hint="eastAsia" w:ascii="宋体" w:hAnsi="宋体" w:eastAsia="宋体" w:cs="宋体"/>
          <w:color w:val="000000"/>
          <w:kern w:val="0"/>
          <w:sz w:val="24"/>
          <w:szCs w:val="24"/>
          <w:lang w:val="en-US" w:eastAsia="zh-CN" w:bidi="ar"/>
        </w:rPr>
        <w:t xml:space="preserve">除非合同另有规定，工程量清单中有标价的单价和总额价均已包括了为实施和完成合同工程所需的劳务、材料、机械、质检（自检）、安装、缺陷修复、管理、保险、税费、利润等费用，以及合同明示或暗示的所有责任、义务和一般风险。 </w:t>
      </w:r>
    </w:p>
    <w:p w14:paraId="55B6755C">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default" w:ascii="Times New Roman" w:hAnsi="Times New Roman" w:eastAsia="宋体" w:cs="Times New Roman"/>
          <w:color w:val="000000"/>
          <w:kern w:val="0"/>
          <w:sz w:val="24"/>
          <w:szCs w:val="24"/>
          <w:lang w:val="en-US" w:eastAsia="zh-CN" w:bidi="ar"/>
        </w:rPr>
        <w:t xml:space="preserve">2.3 </w:t>
      </w:r>
      <w:r>
        <w:rPr>
          <w:rFonts w:hint="eastAsia" w:ascii="宋体" w:hAnsi="宋体" w:eastAsia="宋体" w:cs="宋体"/>
          <w:color w:val="000000"/>
          <w:kern w:val="0"/>
          <w:sz w:val="24"/>
          <w:szCs w:val="24"/>
          <w:lang w:val="en-US" w:eastAsia="zh-CN" w:bidi="ar"/>
        </w:rPr>
        <w:t>工程量清单中投标人没有填入单价或价格的子目，其费用视为已分摊在工程量清单中其他相关子目的单价或价格之中。承包人必须按监理人指令完成工程量清单中未填入单价或价格的子目，但不能得到结算与支付。</w:t>
      </w:r>
    </w:p>
    <w:p w14:paraId="5EC7086B">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default" w:ascii="Times New Roman" w:hAnsi="Times New Roman" w:eastAsia="宋体" w:cs="Times New Roman"/>
          <w:color w:val="000000"/>
          <w:kern w:val="0"/>
          <w:sz w:val="24"/>
          <w:szCs w:val="24"/>
          <w:lang w:val="en-US" w:eastAsia="zh-CN" w:bidi="ar"/>
        </w:rPr>
        <w:t xml:space="preserve">2.4 </w:t>
      </w:r>
      <w:r>
        <w:rPr>
          <w:rFonts w:hint="eastAsia" w:ascii="宋体" w:hAnsi="宋体" w:eastAsia="宋体" w:cs="宋体"/>
          <w:color w:val="000000"/>
          <w:kern w:val="0"/>
          <w:sz w:val="24"/>
          <w:szCs w:val="24"/>
          <w:lang w:val="en-US" w:eastAsia="zh-CN" w:bidi="ar"/>
        </w:rPr>
        <w:t xml:space="preserve">符合合同条款规定的全部费用应认为已被计入有标价的工程量清单所列各子目之中，未列子目不予计量的工作，其费用应视为已分摊在本合同工程的有关子目的单价或总额价之中。 </w:t>
      </w:r>
    </w:p>
    <w:p w14:paraId="44E9394E">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default" w:ascii="Times New Roman" w:hAnsi="Times New Roman" w:eastAsia="宋体" w:cs="Times New Roman"/>
          <w:color w:val="000000"/>
          <w:kern w:val="0"/>
          <w:sz w:val="24"/>
          <w:szCs w:val="24"/>
          <w:lang w:val="en-US" w:eastAsia="zh-CN" w:bidi="ar"/>
        </w:rPr>
        <w:t xml:space="preserve">2.5 </w:t>
      </w:r>
      <w:r>
        <w:rPr>
          <w:rFonts w:hint="eastAsia" w:ascii="宋体" w:hAnsi="宋体" w:eastAsia="宋体" w:cs="宋体"/>
          <w:color w:val="000000"/>
          <w:kern w:val="0"/>
          <w:sz w:val="24"/>
          <w:szCs w:val="24"/>
          <w:lang w:val="en-US" w:eastAsia="zh-CN" w:bidi="ar"/>
        </w:rPr>
        <w:t xml:space="preserve">承包人用于本合同工程的各类装备的提供、运输、维护、拆卸、拼装等支付的费用，已包括在工程量清单的单价与总额价之中。 </w:t>
      </w:r>
    </w:p>
    <w:p w14:paraId="69034C11">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default" w:ascii="Times New Roman" w:hAnsi="Times New Roman" w:eastAsia="宋体" w:cs="Times New Roman"/>
          <w:color w:val="000000"/>
          <w:kern w:val="0"/>
          <w:sz w:val="24"/>
          <w:szCs w:val="24"/>
          <w:lang w:val="en-US" w:eastAsia="zh-CN" w:bidi="ar"/>
        </w:rPr>
        <w:t xml:space="preserve">2.6 </w:t>
      </w:r>
      <w:r>
        <w:rPr>
          <w:rFonts w:hint="eastAsia" w:ascii="宋体" w:hAnsi="宋体" w:eastAsia="宋体" w:cs="宋体"/>
          <w:color w:val="000000"/>
          <w:kern w:val="0"/>
          <w:sz w:val="24"/>
          <w:szCs w:val="24"/>
          <w:lang w:val="en-US" w:eastAsia="zh-CN" w:bidi="ar"/>
        </w:rPr>
        <w:t xml:space="preserve">工程量清单中各项金额均以人民币（元）结算。 </w:t>
      </w:r>
    </w:p>
    <w:p w14:paraId="0B0D936A">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default" w:ascii="Times New Roman" w:hAnsi="Times New Roman" w:eastAsia="宋体" w:cs="Times New Roman"/>
          <w:color w:val="000000"/>
          <w:kern w:val="0"/>
          <w:sz w:val="24"/>
          <w:szCs w:val="24"/>
          <w:lang w:val="en-US" w:eastAsia="zh-CN" w:bidi="ar"/>
        </w:rPr>
        <w:t xml:space="preserve">2.7 </w:t>
      </w:r>
      <w:r>
        <w:rPr>
          <w:rFonts w:hint="eastAsia" w:ascii="宋体" w:hAnsi="宋体" w:eastAsia="宋体" w:cs="宋体"/>
          <w:color w:val="000000"/>
          <w:kern w:val="0"/>
          <w:sz w:val="24"/>
          <w:szCs w:val="24"/>
          <w:lang w:val="en-US" w:eastAsia="zh-CN" w:bidi="ar"/>
        </w:rPr>
        <w:t>暂列金额（不含计日工总额）的数量及拟用子目的说明：</w:t>
      </w:r>
      <w:r>
        <w:rPr>
          <w:rFonts w:hint="eastAsia" w:ascii="宋体" w:hAnsi="宋体" w:cs="宋体"/>
          <w:color w:val="000000"/>
          <w:kern w:val="0"/>
          <w:sz w:val="24"/>
          <w:szCs w:val="24"/>
          <w:u w:val="single"/>
          <w:lang w:val="en-US" w:eastAsia="zh-CN" w:bidi="ar"/>
        </w:rPr>
        <w:t xml:space="preserve"> / </w:t>
      </w:r>
      <w:r>
        <w:rPr>
          <w:rFonts w:hint="eastAsia" w:ascii="宋体" w:hAnsi="宋体" w:eastAsia="宋体" w:cs="宋体"/>
          <w:color w:val="000000"/>
          <w:kern w:val="0"/>
          <w:sz w:val="24"/>
          <w:szCs w:val="24"/>
          <w:lang w:val="en-US" w:eastAsia="zh-CN" w:bidi="ar"/>
        </w:rPr>
        <w:t xml:space="preserve">。 </w:t>
      </w:r>
    </w:p>
    <w:p w14:paraId="137CCF58">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default" w:ascii="Times New Roman" w:hAnsi="Times New Roman" w:eastAsia="宋体" w:cs="Times New Roman"/>
          <w:color w:val="000000"/>
          <w:kern w:val="0"/>
          <w:sz w:val="24"/>
          <w:szCs w:val="24"/>
          <w:lang w:val="en-US" w:eastAsia="zh-CN" w:bidi="ar"/>
        </w:rPr>
        <w:t xml:space="preserve">2.8 </w:t>
      </w:r>
      <w:r>
        <w:rPr>
          <w:rFonts w:hint="eastAsia" w:ascii="宋体" w:hAnsi="宋体" w:eastAsia="宋体" w:cs="宋体"/>
          <w:color w:val="000000"/>
          <w:kern w:val="0"/>
          <w:sz w:val="24"/>
          <w:szCs w:val="24"/>
          <w:lang w:val="en-US" w:eastAsia="zh-CN" w:bidi="ar"/>
        </w:rPr>
        <w:t>暂估价的数量及拟用子目的说明：</w:t>
      </w:r>
      <w:r>
        <w:rPr>
          <w:rFonts w:hint="default" w:ascii="Times New Roman" w:hAnsi="Times New Roman" w:eastAsia="宋体" w:cs="Times New Roman"/>
          <w:color w:val="000000"/>
          <w:kern w:val="0"/>
          <w:sz w:val="24"/>
          <w:szCs w:val="24"/>
          <w:u w:val="single"/>
          <w:lang w:val="en-US" w:eastAsia="zh-CN" w:bidi="ar"/>
        </w:rPr>
        <w:t xml:space="preserve"> </w:t>
      </w:r>
      <w:r>
        <w:rPr>
          <w:rFonts w:hint="eastAsia" w:ascii="Times New Roman" w:hAnsi="Times New Roman" w:cs="Times New Roman"/>
          <w:color w:val="000000"/>
          <w:kern w:val="0"/>
          <w:sz w:val="24"/>
          <w:szCs w:val="24"/>
          <w:u w:val="single"/>
          <w:lang w:val="en-US" w:eastAsia="zh-CN" w:bidi="ar"/>
        </w:rPr>
        <w:t>/</w:t>
      </w:r>
      <w:r>
        <w:rPr>
          <w:rFonts w:hint="eastAsia" w:ascii="Times New Roman" w:hAnsi="Times New Roman" w:eastAsia="宋体" w:cs="Times New Roman"/>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14:paraId="5A0B6B57">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pPr>
      <w:r>
        <w:rPr>
          <w:rFonts w:hint="default" w:ascii="Times New Roman" w:hAnsi="Times New Roman" w:eastAsia="宋体" w:cs="Times New Roman"/>
          <w:color w:val="000000"/>
          <w:kern w:val="0"/>
          <w:sz w:val="28"/>
          <w:szCs w:val="28"/>
          <w:lang w:val="en-US" w:eastAsia="zh-CN" w:bidi="ar"/>
        </w:rPr>
        <w:t xml:space="preserve">3. </w:t>
      </w:r>
      <w:r>
        <w:rPr>
          <w:rFonts w:hint="eastAsia" w:ascii="黑体" w:hAnsi="宋体" w:eastAsia="黑体" w:cs="黑体"/>
          <w:color w:val="000000"/>
          <w:kern w:val="0"/>
          <w:sz w:val="28"/>
          <w:szCs w:val="28"/>
          <w:lang w:val="en-US" w:eastAsia="zh-CN" w:bidi="ar"/>
        </w:rPr>
        <w:t xml:space="preserve">计日工说明 </w:t>
      </w:r>
    </w:p>
    <w:p w14:paraId="499F0182">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default" w:ascii="Times New Roman" w:hAnsi="Times New Roman" w:eastAsia="宋体" w:cs="Times New Roman"/>
          <w:color w:val="000000"/>
          <w:kern w:val="0"/>
          <w:sz w:val="24"/>
          <w:szCs w:val="24"/>
          <w:lang w:val="en-US" w:eastAsia="zh-CN" w:bidi="ar"/>
        </w:rPr>
        <w:t xml:space="preserve">3.1 </w:t>
      </w:r>
      <w:r>
        <w:rPr>
          <w:rFonts w:hint="eastAsia" w:ascii="宋体" w:hAnsi="宋体" w:eastAsia="宋体" w:cs="宋体"/>
          <w:color w:val="000000"/>
          <w:kern w:val="0"/>
          <w:sz w:val="24"/>
          <w:szCs w:val="24"/>
          <w:lang w:val="en-US" w:eastAsia="zh-CN" w:bidi="ar"/>
        </w:rPr>
        <w:t xml:space="preserve">总则 </w:t>
      </w:r>
    </w:p>
    <w:p w14:paraId="7579AAA3">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 xml:space="preserve">）本说明应参照通用合同条款第 </w:t>
      </w:r>
      <w:r>
        <w:rPr>
          <w:rFonts w:hint="default" w:ascii="Times New Roman" w:hAnsi="Times New Roman" w:eastAsia="宋体" w:cs="Times New Roman"/>
          <w:color w:val="000000"/>
          <w:kern w:val="0"/>
          <w:sz w:val="24"/>
          <w:szCs w:val="24"/>
          <w:lang w:val="en-US" w:eastAsia="zh-CN" w:bidi="ar"/>
        </w:rPr>
        <w:t xml:space="preserve">15.7 </w:t>
      </w:r>
      <w:r>
        <w:rPr>
          <w:rFonts w:hint="eastAsia" w:ascii="宋体" w:hAnsi="宋体" w:eastAsia="宋体" w:cs="宋体"/>
          <w:color w:val="000000"/>
          <w:kern w:val="0"/>
          <w:sz w:val="24"/>
          <w:szCs w:val="24"/>
          <w:lang w:val="en-US" w:eastAsia="zh-CN" w:bidi="ar"/>
        </w:rPr>
        <w:t xml:space="preserve">款一并理解。 </w:t>
      </w:r>
    </w:p>
    <w:p w14:paraId="16594052">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）未经监理人书面指令，任何工程不得按计日工施工；接到监理人按计日工施工的书面指令，承包人也不得拒绝。 </w:t>
      </w:r>
    </w:p>
    <w:p w14:paraId="096AEF34">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投标人应在计日工单价表中填列计日工子目的基本单价或租价，该基本单价或租价适用于监理人指令的任何数量的计日工的结算与支付。计日工的劳务、材料和施工机械由招标人（或发包人）列出正常的估计数量，投标人报出单价，计算出计日工总额后列入工程量清单汇总表中并进入评标价。 </w:t>
      </w:r>
    </w:p>
    <w:p w14:paraId="54A95798">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4</w:t>
      </w:r>
      <w:r>
        <w:rPr>
          <w:rFonts w:hint="eastAsia" w:ascii="宋体" w:hAnsi="宋体" w:eastAsia="宋体" w:cs="宋体"/>
          <w:color w:val="000000"/>
          <w:kern w:val="0"/>
          <w:sz w:val="24"/>
          <w:szCs w:val="24"/>
          <w:lang w:val="en-US" w:eastAsia="zh-CN" w:bidi="ar"/>
        </w:rPr>
        <w:t xml:space="preserve">）计日工不调价。 </w:t>
      </w:r>
    </w:p>
    <w:p w14:paraId="2D00AAFF">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default" w:ascii="Times New Roman" w:hAnsi="Times New Roman" w:eastAsia="宋体" w:cs="Times New Roman"/>
          <w:color w:val="000000"/>
          <w:kern w:val="0"/>
          <w:sz w:val="24"/>
          <w:szCs w:val="24"/>
          <w:lang w:val="en-US" w:eastAsia="zh-CN" w:bidi="ar"/>
        </w:rPr>
        <w:t xml:space="preserve">3.2 </w:t>
      </w:r>
      <w:r>
        <w:rPr>
          <w:rFonts w:hint="eastAsia" w:ascii="宋体" w:hAnsi="宋体" w:eastAsia="宋体" w:cs="宋体"/>
          <w:color w:val="000000"/>
          <w:kern w:val="0"/>
          <w:sz w:val="24"/>
          <w:szCs w:val="24"/>
          <w:lang w:val="en-US" w:eastAsia="zh-CN" w:bidi="ar"/>
        </w:rPr>
        <w:t xml:space="preserve">计日工劳务 </w:t>
      </w:r>
    </w:p>
    <w:p w14:paraId="4543FA34">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 xml:space="preserve">）在计算应付给承包人的计日工工资时，工时应从工人到达施工现场，并开始从事指定的工作算起，到返回原出发地点为止，扣去用餐和休息的时间。只有直接从事指定的工作，且能胜任该工作的工人才能计工，随同工人一起做工的班长应计算在内，但不包括领工（工长）和其他质检管理人员。 </w:t>
      </w:r>
    </w:p>
    <w:p w14:paraId="2517BA4B">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）承包人可以得到用于计日工劳务的全部工时的支付，此支付按承包人填报的</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计日工劳务单价表</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 xml:space="preserve">所列单价计算，该单价应包括基本单价及承包人的管理费、税费、利润等所有附加费，说明如下： </w:t>
      </w:r>
    </w:p>
    <w:p w14:paraId="39CD7A37">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default" w:ascii="Times New Roman" w:hAnsi="Times New Roman" w:eastAsia="宋体" w:cs="Times New Roman"/>
          <w:color w:val="000000"/>
          <w:kern w:val="0"/>
          <w:sz w:val="24"/>
          <w:szCs w:val="24"/>
          <w:lang w:val="en-US" w:eastAsia="zh-CN" w:bidi="ar"/>
        </w:rPr>
        <w:t xml:space="preserve">a. </w:t>
      </w:r>
      <w:r>
        <w:rPr>
          <w:rFonts w:hint="eastAsia" w:ascii="宋体" w:hAnsi="宋体" w:eastAsia="宋体" w:cs="宋体"/>
          <w:color w:val="000000"/>
          <w:kern w:val="0"/>
          <w:sz w:val="24"/>
          <w:szCs w:val="24"/>
          <w:lang w:val="en-US" w:eastAsia="zh-CN" w:bidi="ar"/>
        </w:rPr>
        <w:t xml:space="preserve">劳务基本单价包括：承包人劳务的全部直接费用，如：工资、加班费、津贴、福利费及劳动保护费等。 </w:t>
      </w:r>
    </w:p>
    <w:p w14:paraId="427B603C">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default" w:ascii="Times New Roman" w:hAnsi="Times New Roman" w:eastAsia="宋体" w:cs="Times New Roman"/>
          <w:color w:val="000000"/>
          <w:kern w:val="0"/>
          <w:sz w:val="24"/>
          <w:szCs w:val="24"/>
          <w:lang w:val="en-US" w:eastAsia="zh-CN" w:bidi="ar"/>
        </w:rPr>
        <w:t xml:space="preserve">b. </w:t>
      </w:r>
      <w:r>
        <w:rPr>
          <w:rFonts w:hint="eastAsia" w:ascii="宋体" w:hAnsi="宋体" w:eastAsia="宋体" w:cs="宋体"/>
          <w:color w:val="000000"/>
          <w:kern w:val="0"/>
          <w:sz w:val="24"/>
          <w:szCs w:val="24"/>
          <w:lang w:val="en-US" w:eastAsia="zh-CN" w:bidi="ar"/>
        </w:rPr>
        <w:t xml:space="preserve">承包人的利润、管理、质检、保险、税费；易耗品的使用，水电及照明费，工作台、脚手架、临时设施费，手动机具与工具的使用及维修，以及上述各项伴随而来的费用。 </w:t>
      </w:r>
    </w:p>
    <w:p w14:paraId="65A3A70E">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default" w:ascii="Times New Roman" w:hAnsi="Times New Roman" w:eastAsia="宋体" w:cs="Times New Roman"/>
          <w:color w:val="000000"/>
          <w:kern w:val="0"/>
          <w:sz w:val="24"/>
          <w:szCs w:val="24"/>
          <w:lang w:val="en-US" w:eastAsia="zh-CN" w:bidi="ar"/>
        </w:rPr>
        <w:t xml:space="preserve">3.3 </w:t>
      </w:r>
      <w:r>
        <w:rPr>
          <w:rFonts w:hint="eastAsia" w:ascii="宋体" w:hAnsi="宋体" w:eastAsia="宋体" w:cs="宋体"/>
          <w:color w:val="000000"/>
          <w:kern w:val="0"/>
          <w:sz w:val="24"/>
          <w:szCs w:val="24"/>
          <w:lang w:val="en-US" w:eastAsia="zh-CN" w:bidi="ar"/>
        </w:rPr>
        <w:t>计日工材料</w:t>
      </w:r>
    </w:p>
    <w:p w14:paraId="51AB45ED">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eastAsia" w:ascii="宋体" w:hAnsi="宋体" w:eastAsia="宋体" w:cs="宋体"/>
          <w:color w:val="000000"/>
          <w:kern w:val="0"/>
          <w:sz w:val="24"/>
          <w:szCs w:val="24"/>
          <w:lang w:val="en-US" w:eastAsia="zh-CN" w:bidi="ar"/>
        </w:rPr>
        <w:t xml:space="preserve">承包人可以得到计日工使用的材料费用（上述 </w:t>
      </w:r>
      <w:r>
        <w:rPr>
          <w:rFonts w:hint="default" w:ascii="Times New Roman" w:hAnsi="Times New Roman" w:eastAsia="宋体" w:cs="Times New Roman"/>
          <w:color w:val="000000"/>
          <w:kern w:val="0"/>
          <w:sz w:val="24"/>
          <w:szCs w:val="24"/>
          <w:lang w:val="en-US" w:eastAsia="zh-CN" w:bidi="ar"/>
        </w:rPr>
        <w:t xml:space="preserve">3.2 </w:t>
      </w:r>
      <w:r>
        <w:rPr>
          <w:rFonts w:hint="eastAsia" w:ascii="宋体" w:hAnsi="宋体" w:eastAsia="宋体" w:cs="宋体"/>
          <w:color w:val="000000"/>
          <w:kern w:val="0"/>
          <w:sz w:val="24"/>
          <w:szCs w:val="24"/>
          <w:lang w:val="en-US" w:eastAsia="zh-CN" w:bidi="ar"/>
        </w:rPr>
        <w:t>款已计入劳务费内的材料费用除外）的支付，此费用按承包人</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计日工材料单价表</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 xml:space="preserve">中所填报的单价计算，该单价应包括基本单价及承包人的管理费、税费、利润等所有附加费，说明如下： </w:t>
      </w:r>
    </w:p>
    <w:p w14:paraId="2A37412E">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 xml:space="preserve">）材料基本单价按供货价加运杂费（到达承包人现场仓库）、保险费、仓库管理费以及运输损耗等计算； </w:t>
      </w:r>
    </w:p>
    <w:p w14:paraId="707A3969">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）承包人的利润、管理、质检、保险、税费及其他附加费； </w:t>
      </w:r>
    </w:p>
    <w:p w14:paraId="1E68B110">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）从现场运至使用地点的人工费和施工机械使用费不包括在上述基本单价内。 </w:t>
      </w:r>
    </w:p>
    <w:p w14:paraId="280E93A2">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default" w:ascii="Times New Roman" w:hAnsi="Times New Roman" w:eastAsia="宋体" w:cs="Times New Roman"/>
          <w:color w:val="000000"/>
          <w:kern w:val="0"/>
          <w:sz w:val="24"/>
          <w:szCs w:val="24"/>
          <w:lang w:val="en-US" w:eastAsia="zh-CN" w:bidi="ar"/>
        </w:rPr>
        <w:t xml:space="preserve">3.4 </w:t>
      </w:r>
      <w:r>
        <w:rPr>
          <w:rFonts w:hint="eastAsia" w:ascii="宋体" w:hAnsi="宋体" w:eastAsia="宋体" w:cs="宋体"/>
          <w:color w:val="000000"/>
          <w:kern w:val="0"/>
          <w:sz w:val="24"/>
          <w:szCs w:val="24"/>
          <w:lang w:val="en-US" w:eastAsia="zh-CN" w:bidi="ar"/>
        </w:rPr>
        <w:t xml:space="preserve">计日工施工机械 </w:t>
      </w:r>
    </w:p>
    <w:p w14:paraId="6AAA8BDE">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）承包人可以得到用于计日工作业的施工机械费用的支付，该费用按承包人填报的</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计日工施工机械单价表</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 xml:space="preserve">中的租价计算。该租价应包括施工机械的折旧、利息、维修、保养、零配件、油燃料、保险和其他消耗品的费用以及全部有关使用这些机械的管理费、税费、利润和司机与助手的劳务费等费用。 </w:t>
      </w:r>
    </w:p>
    <w:p w14:paraId="4EBE5D16">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在计日工作业中，承包人计算所用的施工机械费用时，应按实际工作小时支付。除非经监理人的同意，计算的工作小时才能将施工机械从现场某处运到监理人指令的计日工作业的另一现场往返运送时间包括在内。 </w:t>
      </w:r>
    </w:p>
    <w:sectPr>
      <w:pgSz w:w="11906" w:h="16839"/>
      <w:pgMar w:top="1393" w:right="1086" w:bottom="0" w:left="1103" w:header="0" w:footer="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185929B0"/>
    <w:rsid w:val="201154BA"/>
    <w:rsid w:val="2CDB7FAE"/>
    <w:rsid w:val="38BD78EF"/>
    <w:rsid w:val="555B28FF"/>
    <w:rsid w:val="59B260A1"/>
    <w:rsid w:val="5E4A427B"/>
    <w:rsid w:val="7C8606F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afterLines="0" w:afterAutospacing="0" w:line="480" w:lineRule="auto"/>
      <w:ind w:left="420" w:leftChars="200"/>
    </w:pPr>
  </w:style>
  <w:style w:type="paragraph" w:styleId="3">
    <w:name w:val="Body Text"/>
    <w:basedOn w:val="1"/>
    <w:semiHidden/>
    <w:qFormat/>
    <w:uiPriority w:val="0"/>
    <w:rPr>
      <w:rFonts w:ascii="仿宋" w:hAnsi="仿宋" w:eastAsia="仿宋" w:cs="仿宋"/>
      <w:sz w:val="24"/>
      <w:szCs w:val="24"/>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2295</Words>
  <Characters>2346</Characters>
  <TotalTime>7</TotalTime>
  <ScaleCrop>false</ScaleCrop>
  <LinksUpToDate>false</LinksUpToDate>
  <CharactersWithSpaces>2452</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2025-07-17T11:36:00Z</dcterms:created>
  <dc:creator>计算机无名</dc:creator>
  <cp:lastModifiedBy>白崇宇</cp:lastModifiedBy>
  <dcterms:modified xsi:type="dcterms:W3CDTF">2026-03-08T10:48:38Z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2025-08-07T01:00:08Z</vt:filetime>
  </property>
  <property fmtid="{D5CDD505-2E9C-101B-9397-08002B2CF9AE}" pid="4" name="KSOTemplateDocerSaveRecord">
    <vt:lpwstr>eyJoZGlkIjoiMTdhMDg2NjIwODEzNTE1MWZhM2JiM2IxNTE0MTYzYjEiLCJ1c2VySWQiOiIyODMwMjI3NTkifQ==</vt:lpwstr>
  </property>
  <property fmtid="{D5CDD505-2E9C-101B-9397-08002B2CF9AE}" pid="5" name="KSOProductBuildVer">
    <vt:lpwstr>2052-12.1.0.25225</vt:lpwstr>
  </property>
  <property fmtid="{D5CDD505-2E9C-101B-9397-08002B2CF9AE}" pid="6" name="ICV">
    <vt:lpwstr>7E30AD2E08134EEA9BCE1191958A07CB_13</vt:lpwstr>
  </property>
</Properties>
</file>