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版本号：SZT2025-SN-SC-ZC-FW-128520260316001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秦都院区CT维保服务项目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SZT2025-SN-SC-ZC-FW-1285</w:t>
      </w:r>
      <w:r>
        <w:br/>
      </w:r>
      <w:r>
        <w:br/>
      </w:r>
      <w:r>
        <w:br/>
      </w:r>
    </w:p>
    <w:p>
      <w:pPr>
        <w:pStyle w:val="null3"/>
        <w:jc w:val="center"/>
        <w:outlineLvl w:val="2"/>
      </w:pPr>
      <w:r>
        <w:rPr>
          <w:rFonts w:ascii="仿宋_GB2312" w:hAnsi="仿宋_GB2312" w:cs="仿宋_GB2312" w:eastAsia="仿宋_GB2312"/>
          <w:sz w:val="28"/>
          <w:b/>
        </w:rPr>
        <w:t>陕西中医药大学第二附属医院</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陕西中医药大学第二附属医院</w:t>
      </w:r>
      <w:r>
        <w:rPr>
          <w:rFonts w:ascii="仿宋_GB2312" w:hAnsi="仿宋_GB2312" w:cs="仿宋_GB2312" w:eastAsia="仿宋_GB2312"/>
        </w:rPr>
        <w:t>委托，拟对</w:t>
      </w:r>
      <w:r>
        <w:rPr>
          <w:rFonts w:ascii="仿宋_GB2312" w:hAnsi="仿宋_GB2312" w:cs="仿宋_GB2312" w:eastAsia="仿宋_GB2312"/>
        </w:rPr>
        <w:t>秦都院区CT维保服务项目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SZT2025-SN-SC-ZC-FW-1285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秦都院区CT维保服务项目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为了保证设备的良好性能及图像效果，确保机器正常运行，需采购整机全保服务。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供应商应授权合法的人员参加投标全过程，其中法定代表人直接参加投标的，须出具法定代表人身份证，并与营业执照上信息一致。法定代表人授权代表参加投标的，须出具法定代表人授权书及授权代表身份证。</w:t>
      </w:r>
    </w:p>
    <w:p>
      <w:pPr>
        <w:pStyle w:val="null3"/>
      </w:pPr>
      <w:r>
        <w:rPr>
          <w:rFonts w:ascii="仿宋_GB2312" w:hAnsi="仿宋_GB2312" w:cs="仿宋_GB2312" w:eastAsia="仿宋_GB2312"/>
        </w:rPr>
        <w:t>2、本项目不接受联合体投标：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陕西中医药大学第二附属医院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咸阳市渭阳西路5号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029-33350559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肖娇娇、王馨、赵倩、马帅、李文俊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029-88364979-879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开户名称：陕西中技招标有限公司（转账备注项目编号后四位数字）</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银行账号：129916812810001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标代理服务费收取按照国家计委颁布的《招标代理服务收费管理暂行办法》（计价格[2002]1980号）和（发改办价格[2003]857号）服务类收费标准，按照中标金额差额定率累进法计算下浮50%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陕西中医药大学第二附属医院</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陕西中医药大学第二附属医院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陕西中医药大学第二附属医院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1、招标文件、响应文件、澄清表（函）； 2、本合同及附件文本； 3、国家相应的标准、规范。</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联系电话：029-88364979-856</w:t>
      </w:r>
    </w:p>
    <w:p>
      <w:pPr>
        <w:pStyle w:val="null3"/>
      </w:pPr>
      <w:r>
        <w:rPr>
          <w:rFonts w:ascii="仿宋_GB2312" w:hAnsi="仿宋_GB2312" w:cs="仿宋_GB2312" w:eastAsia="仿宋_GB2312"/>
        </w:rPr>
        <w:t>地址：西安市高新四路1号高科广场A1001室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为了保证设备的良好性能及图像效果，确保机器正常运行，需采购整机全保服务。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秦都院区CT维保服务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标的名称：秦都院区CT维保服务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color w:val="333333"/>
              </w:rPr>
              <w:t>1.维修保修保养设备名称、规格型号：</w:t>
            </w:r>
            <w:r>
              <w:rPr>
                <w:rFonts w:ascii="仿宋_GB2312" w:hAnsi="仿宋_GB2312" w:cs="仿宋_GB2312" w:eastAsia="仿宋_GB2312"/>
                <w:sz w:val="20"/>
                <w:color w:val="333333"/>
              </w:rPr>
              <w:t>东软医疗</w:t>
            </w:r>
            <w:r>
              <w:rPr>
                <w:rFonts w:ascii="仿宋_GB2312" w:hAnsi="仿宋_GB2312" w:cs="仿宋_GB2312" w:eastAsia="仿宋_GB2312"/>
                <w:sz w:val="20"/>
                <w:color w:val="333333"/>
              </w:rPr>
              <w:t>NeuViz128CT设备一台，于2018年11月安装，已连续运行近8年。</w:t>
            </w:r>
          </w:p>
          <w:p>
            <w:pPr>
              <w:pStyle w:val="null3"/>
              <w:jc w:val="both"/>
            </w:pPr>
            <w:r>
              <w:rPr>
                <w:rFonts w:ascii="仿宋_GB2312" w:hAnsi="仿宋_GB2312" w:cs="仿宋_GB2312" w:eastAsia="仿宋_GB2312"/>
                <w:sz w:val="20"/>
                <w:color w:val="333333"/>
              </w:rPr>
              <w:t>2.服务内容</w:t>
            </w:r>
            <w:r>
              <w:rPr>
                <w:rFonts w:ascii="仿宋_GB2312" w:hAnsi="仿宋_GB2312" w:cs="仿宋_GB2312" w:eastAsia="仿宋_GB2312"/>
                <w:sz w:val="20"/>
              </w:rPr>
              <w:t>：</w:t>
            </w:r>
            <w:r>
              <w:rPr>
                <w:rFonts w:ascii="仿宋_GB2312" w:hAnsi="仿宋_GB2312" w:cs="仿宋_GB2312" w:eastAsia="仿宋_GB2312"/>
                <w:sz w:val="20"/>
              </w:rPr>
              <w:t>整机</w:t>
            </w:r>
            <w:r>
              <w:rPr>
                <w:rFonts w:ascii="仿宋_GB2312" w:hAnsi="仿宋_GB2312" w:cs="仿宋_GB2312" w:eastAsia="仿宋_GB2312"/>
                <w:sz w:val="20"/>
              </w:rPr>
              <w:t>全保</w:t>
            </w:r>
            <w:r>
              <w:rPr>
                <w:rFonts w:ascii="仿宋_GB2312" w:hAnsi="仿宋_GB2312" w:cs="仿宋_GB2312" w:eastAsia="仿宋_GB2312"/>
                <w:sz w:val="20"/>
              </w:rPr>
              <w:t>，包含球管、探测器、高压、常规备件、计算机，数据、软件及人工等设备自带所有部件，第三方产品如高压注射器、激光相机、打印机、稳压电源等</w:t>
            </w:r>
            <w:r>
              <w:rPr>
                <w:rFonts w:ascii="仿宋_GB2312" w:hAnsi="仿宋_GB2312" w:cs="仿宋_GB2312" w:eastAsia="仿宋_GB2312"/>
                <w:sz w:val="20"/>
              </w:rPr>
              <w:t>第三方的产品</w:t>
            </w:r>
            <w:r>
              <w:rPr>
                <w:rFonts w:ascii="仿宋_GB2312" w:hAnsi="仿宋_GB2312" w:cs="仿宋_GB2312" w:eastAsia="仿宋_GB2312"/>
                <w:sz w:val="20"/>
              </w:rPr>
              <w:t>及</w:t>
            </w:r>
            <w:r>
              <w:rPr>
                <w:rFonts w:ascii="仿宋_GB2312" w:hAnsi="仿宋_GB2312" w:cs="仿宋_GB2312" w:eastAsia="仿宋_GB2312"/>
                <w:sz w:val="20"/>
              </w:rPr>
              <w:t>服务</w:t>
            </w:r>
            <w:r>
              <w:rPr>
                <w:rFonts w:ascii="仿宋_GB2312" w:hAnsi="仿宋_GB2312" w:cs="仿宋_GB2312" w:eastAsia="仿宋_GB2312"/>
                <w:sz w:val="20"/>
              </w:rPr>
              <w:t>不在维保范围内。</w:t>
            </w:r>
          </w:p>
          <w:p>
            <w:pPr>
              <w:pStyle w:val="null3"/>
              <w:jc w:val="both"/>
            </w:pPr>
            <w:r>
              <w:rPr>
                <w:rFonts w:ascii="仿宋_GB2312" w:hAnsi="仿宋_GB2312" w:cs="仿宋_GB2312" w:eastAsia="仿宋_GB2312"/>
                <w:sz w:val="20"/>
              </w:rPr>
              <w:t>3.服务要求：</w:t>
            </w:r>
          </w:p>
          <w:p>
            <w:pPr>
              <w:pStyle w:val="null3"/>
              <w:jc w:val="both"/>
            </w:pPr>
            <w:r>
              <w:rPr>
                <w:rFonts w:ascii="仿宋_GB2312" w:hAnsi="仿宋_GB2312" w:cs="仿宋_GB2312" w:eastAsia="仿宋_GB2312"/>
                <w:sz w:val="20"/>
              </w:rPr>
              <w:t>3.1</w:t>
            </w:r>
            <w:r>
              <w:rPr>
                <w:rFonts w:ascii="仿宋_GB2312" w:hAnsi="仿宋_GB2312" w:cs="仿宋_GB2312" w:eastAsia="仿宋_GB2312"/>
                <w:sz w:val="20"/>
              </w:rPr>
              <w:t>提供</w:t>
            </w:r>
            <w:r>
              <w:rPr>
                <w:rFonts w:ascii="仿宋_GB2312" w:hAnsi="仿宋_GB2312" w:cs="仿宋_GB2312" w:eastAsia="仿宋_GB2312"/>
                <w:sz w:val="20"/>
              </w:rPr>
              <w:t>7*24小时服务电话。</w:t>
            </w:r>
          </w:p>
          <w:p>
            <w:pPr>
              <w:pStyle w:val="null3"/>
              <w:jc w:val="both"/>
            </w:pPr>
            <w:r>
              <w:rPr>
                <w:rFonts w:ascii="仿宋_GB2312" w:hAnsi="仿宋_GB2312" w:cs="仿宋_GB2312" w:eastAsia="仿宋_GB2312"/>
                <w:sz w:val="20"/>
              </w:rPr>
              <w:t>3.2</w:t>
            </w:r>
            <w:r>
              <w:rPr>
                <w:rFonts w:ascii="仿宋_GB2312" w:hAnsi="仿宋_GB2312" w:cs="仿宋_GB2312" w:eastAsia="仿宋_GB2312"/>
                <w:sz w:val="20"/>
              </w:rPr>
              <w:t>服务期内，接到医院故障通知</w:t>
            </w:r>
            <w:r>
              <w:rPr>
                <w:rFonts w:ascii="仿宋_GB2312" w:hAnsi="仿宋_GB2312" w:cs="仿宋_GB2312" w:eastAsia="仿宋_GB2312"/>
                <w:sz w:val="20"/>
              </w:rPr>
              <w:t>30分钟</w:t>
            </w:r>
            <w:r>
              <w:rPr>
                <w:rFonts w:ascii="仿宋_GB2312" w:hAnsi="仿宋_GB2312" w:cs="仿宋_GB2312" w:eastAsia="仿宋_GB2312"/>
                <w:sz w:val="20"/>
              </w:rPr>
              <w:t>内电话响应，工程师应在</w:t>
            </w:r>
            <w:r>
              <w:rPr>
                <w:rFonts w:ascii="仿宋_GB2312" w:hAnsi="仿宋_GB2312" w:cs="仿宋_GB2312" w:eastAsia="仿宋_GB2312"/>
                <w:sz w:val="20"/>
              </w:rPr>
              <w:t>2</w:t>
            </w:r>
            <w:r>
              <w:rPr>
                <w:rFonts w:ascii="仿宋_GB2312" w:hAnsi="仿宋_GB2312" w:cs="仿宋_GB2312" w:eastAsia="仿宋_GB2312"/>
                <w:sz w:val="20"/>
              </w:rPr>
              <w:t>小时内到达现场</w:t>
            </w:r>
            <w:r>
              <w:rPr>
                <w:rFonts w:ascii="仿宋_GB2312" w:hAnsi="仿宋_GB2312" w:cs="仿宋_GB2312" w:eastAsia="仿宋_GB2312"/>
                <w:sz w:val="20"/>
              </w:rPr>
              <w:t>，</w:t>
            </w:r>
            <w:r>
              <w:rPr>
                <w:rFonts w:ascii="仿宋_GB2312" w:hAnsi="仿宋_GB2312" w:cs="仿宋_GB2312" w:eastAsia="仿宋_GB2312"/>
                <w:sz w:val="20"/>
              </w:rPr>
              <w:t>一般故障</w:t>
            </w:r>
            <w:r>
              <w:rPr>
                <w:rFonts w:ascii="仿宋_GB2312" w:hAnsi="仿宋_GB2312" w:cs="仿宋_GB2312" w:eastAsia="仿宋_GB2312"/>
                <w:sz w:val="20"/>
              </w:rPr>
              <w:t>24小时内修复，重大故障72小时内修复，</w:t>
            </w:r>
            <w:r>
              <w:rPr>
                <w:rFonts w:ascii="仿宋_GB2312" w:hAnsi="仿宋_GB2312" w:cs="仿宋_GB2312" w:eastAsia="仿宋_GB2312"/>
                <w:sz w:val="20"/>
              </w:rPr>
              <w:t>全年不限次维修</w:t>
            </w:r>
            <w:r>
              <w:rPr>
                <w:rFonts w:ascii="仿宋_GB2312" w:hAnsi="仿宋_GB2312" w:cs="仿宋_GB2312" w:eastAsia="仿宋_GB2312"/>
                <w:sz w:val="20"/>
              </w:rPr>
              <w:t>（包括节假日）。</w:t>
            </w:r>
          </w:p>
          <w:p>
            <w:pPr>
              <w:pStyle w:val="null3"/>
              <w:jc w:val="both"/>
            </w:pPr>
            <w:r>
              <w:rPr>
                <w:rFonts w:ascii="仿宋_GB2312" w:hAnsi="仿宋_GB2312" w:cs="仿宋_GB2312" w:eastAsia="仿宋_GB2312"/>
                <w:sz w:val="21"/>
              </w:rPr>
              <w:t>3</w:t>
            </w: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零件维修及更换</w:t>
            </w:r>
          </w:p>
          <w:p>
            <w:pPr>
              <w:pStyle w:val="null3"/>
              <w:jc w:val="both"/>
            </w:pPr>
            <w:r>
              <w:rPr>
                <w:rFonts w:ascii="仿宋_GB2312" w:hAnsi="仿宋_GB2312" w:cs="仿宋_GB2312" w:eastAsia="仿宋_GB2312"/>
                <w:sz w:val="20"/>
              </w:rPr>
              <w:t>保修服务期内免费提供所有保修所需备件及需定期更换的耗品</w:t>
            </w:r>
            <w:r>
              <w:rPr>
                <w:rFonts w:ascii="仿宋_GB2312" w:hAnsi="仿宋_GB2312" w:cs="仿宋_GB2312" w:eastAsia="仿宋_GB2312"/>
                <w:sz w:val="20"/>
              </w:rPr>
              <w:t>，</w:t>
            </w:r>
            <w:r>
              <w:rPr>
                <w:rFonts w:ascii="仿宋_GB2312" w:hAnsi="仿宋_GB2312" w:cs="仿宋_GB2312" w:eastAsia="仿宋_GB2312"/>
                <w:sz w:val="20"/>
              </w:rPr>
              <w:t>所有备件要求为全新，须与</w:t>
            </w:r>
            <w:r>
              <w:rPr>
                <w:rFonts w:ascii="仿宋_GB2312" w:hAnsi="仿宋_GB2312" w:cs="仿宋_GB2312" w:eastAsia="仿宋_GB2312"/>
                <w:sz w:val="20"/>
              </w:rPr>
              <w:t>东软医疗</w:t>
            </w:r>
            <w:r>
              <w:rPr>
                <w:rFonts w:ascii="仿宋_GB2312" w:hAnsi="仿宋_GB2312" w:cs="仿宋_GB2312" w:eastAsia="仿宋_GB2312"/>
                <w:sz w:val="20"/>
              </w:rPr>
              <w:t>NeuViz128CT设备完全匹配</w:t>
            </w:r>
            <w:r>
              <w:rPr>
                <w:rFonts w:ascii="仿宋_GB2312" w:hAnsi="仿宋_GB2312" w:cs="仿宋_GB2312" w:eastAsia="仿宋_GB2312"/>
                <w:sz w:val="20"/>
              </w:rPr>
              <w:t>，确保设备正常运行</w:t>
            </w:r>
            <w:r>
              <w:rPr>
                <w:rFonts w:ascii="仿宋_GB2312" w:hAnsi="仿宋_GB2312" w:cs="仿宋_GB2312" w:eastAsia="仿宋_GB2312"/>
                <w:sz w:val="20"/>
              </w:rPr>
              <w:t>，</w:t>
            </w:r>
            <w:r>
              <w:rPr>
                <w:rFonts w:ascii="仿宋_GB2312" w:hAnsi="仿宋_GB2312" w:cs="仿宋_GB2312" w:eastAsia="仿宋_GB2312"/>
                <w:sz w:val="20"/>
              </w:rPr>
              <w:t>维保期内提供第三方检测校准报告。</w:t>
            </w:r>
          </w:p>
          <w:p>
            <w:pPr>
              <w:pStyle w:val="null3"/>
              <w:jc w:val="both"/>
            </w:pPr>
            <w:r>
              <w:rPr>
                <w:rFonts w:ascii="仿宋_GB2312" w:hAnsi="仿宋_GB2312" w:cs="仿宋_GB2312" w:eastAsia="仿宋_GB2312"/>
                <w:sz w:val="20"/>
              </w:rPr>
              <w:t>3.4</w:t>
            </w:r>
            <w:r>
              <w:rPr>
                <w:rFonts w:ascii="仿宋_GB2312" w:hAnsi="仿宋_GB2312" w:cs="仿宋_GB2312" w:eastAsia="仿宋_GB2312"/>
                <w:sz w:val="20"/>
              </w:rPr>
              <w:t>应当按照产品说明书技术手册的要求定期对</w:t>
            </w:r>
            <w:r>
              <w:rPr>
                <w:rFonts w:ascii="仿宋_GB2312" w:hAnsi="仿宋_GB2312" w:cs="仿宋_GB2312" w:eastAsia="仿宋_GB2312"/>
                <w:sz w:val="20"/>
              </w:rPr>
              <w:t>CT设备进行全面的技术保养服务（按照国</w:t>
            </w:r>
            <w:r>
              <w:rPr>
                <w:rFonts w:ascii="仿宋_GB2312" w:hAnsi="仿宋_GB2312" w:cs="仿宋_GB2312" w:eastAsia="仿宋_GB2312"/>
                <w:sz w:val="20"/>
              </w:rPr>
              <w:t>家</w:t>
            </w:r>
            <w:r>
              <w:rPr>
                <w:rFonts w:ascii="仿宋_GB2312" w:hAnsi="仿宋_GB2312" w:cs="仿宋_GB2312" w:eastAsia="仿宋_GB2312"/>
                <w:sz w:val="20"/>
              </w:rPr>
              <w:t>标准的要求执行），四次</w:t>
            </w:r>
            <w:r>
              <w:rPr>
                <w:rFonts w:ascii="仿宋_GB2312" w:hAnsi="仿宋_GB2312" w:cs="仿宋_GB2312" w:eastAsia="仿宋_GB2312"/>
                <w:sz w:val="20"/>
              </w:rPr>
              <w:t>/年，并提供详细记录报告。计划性定期的维修服务检测包括设备清洁、必要的机械或电气的检查、性能测试及校准（提供质控检查报告）、以及非紧急性质的补救性维修，并定期对设备的数据进行备份，确保系统能按照制造商的产品规格运行的标准来维修。定期维护服务间隔进行，定期更换相应耗材，如滤网、润滑脂等</w:t>
            </w:r>
            <w:r>
              <w:rPr>
                <w:rFonts w:ascii="仿宋_GB2312" w:hAnsi="仿宋_GB2312" w:cs="仿宋_GB2312" w:eastAsia="仿宋_GB2312"/>
                <w:sz w:val="20"/>
              </w:rPr>
              <w:t>。</w:t>
            </w:r>
            <w:r>
              <w:rPr>
                <w:rFonts w:ascii="仿宋_GB2312" w:hAnsi="仿宋_GB2312" w:cs="仿宋_GB2312" w:eastAsia="仿宋_GB2312"/>
                <w:sz w:val="20"/>
              </w:rPr>
              <w:t>每次保养及维修后必须出具科室签字确认的报告单。</w:t>
            </w:r>
          </w:p>
          <w:p>
            <w:pPr>
              <w:pStyle w:val="null3"/>
              <w:jc w:val="both"/>
            </w:pPr>
            <w:r>
              <w:rPr>
                <w:rFonts w:ascii="仿宋_GB2312" w:hAnsi="仿宋_GB2312" w:cs="仿宋_GB2312" w:eastAsia="仿宋_GB2312"/>
                <w:sz w:val="20"/>
              </w:rPr>
              <w:t>3.5提供并固定2名及以上工程师（提供在职证明），并提供培训认证等相关证件。</w:t>
            </w:r>
          </w:p>
          <w:p>
            <w:pPr>
              <w:pStyle w:val="null3"/>
            </w:pPr>
            <w:r>
              <w:rPr>
                <w:rFonts w:ascii="仿宋_GB2312" w:hAnsi="仿宋_GB2312" w:cs="仿宋_GB2312" w:eastAsia="仿宋_GB2312"/>
                <w:sz w:val="20"/>
              </w:rPr>
              <w:t>3.6保证开机率≥95%。</w:t>
            </w:r>
            <w:r>
              <w:rPr>
                <w:rFonts w:ascii="仿宋_GB2312" w:hAnsi="仿宋_GB2312" w:cs="仿宋_GB2312" w:eastAsia="仿宋_GB2312"/>
                <w:sz w:val="20"/>
              </w:rPr>
              <w:t>（按</w:t>
            </w:r>
            <w:r>
              <w:rPr>
                <w:rFonts w:ascii="仿宋_GB2312" w:hAnsi="仿宋_GB2312" w:cs="仿宋_GB2312" w:eastAsia="仿宋_GB2312"/>
                <w:sz w:val="20"/>
              </w:rPr>
              <w:t>365天计算）</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维保期限2年。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陕西中医药大学第二附属医院秦都院区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、交付的服务必须等同或优于本项目招标文件“服务内容及要求”所述的标准。若乙方在其响应文件中承诺的技术标准优于本项目招标文件“服务内容及要求”所述标准的，按投标的承诺执行。 2 、中标供应商完成并交付的工作成果需经采购人验收合格，则视为接受。如果在验收时采购人表明不接受中标供应商提交的工作成果并明示不接受的原因，中标供应商应当采取合理之措施进行修改，以达到合同规定的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合同签订后，每满半年设备运行无问题后支付总合同的25%</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合同签订后，每满半年设备运行无问题后支付总合同的25%</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合同签订后，每满半年设备运行无问题后支付总合同的25%</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合同签订后，每满半年设备运行无问题后支付总合同的25%</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详见合同条款和招标文件。</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1、根据采购人档案管理要求，供应商需要在线提交所有通过电子化交易平台实施的政府采购项目的投标文件，同时，线下提交投标文件正本 壹 份、副本 贰 份（投标文件双面打印）（纸质文件需在开标当日递交投标文件截止时间前送达，不接受邮寄。）。若系统电子投标文件与纸质投标文件不一致的，以系统电子投标文件为准。 2、定标环节采购人有权对投标文件承诺响应的内容进行复核，如有虚假响应，一经发现，取消中标资格并上报财政主管部门，列入政府采购黑名单。3、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产品应当在中国境内生产，即在中华人民共和国关境内实现从原材料、组件到产品的属性改变。属性改变是指经过制造、加工或者组装等工序，产生完全不同于原材料、组件的新产品，并具有新的名称和特征（用途）。 供应商应对其提供的产品出具《关于符合本国产品标准的声明函》。提供虚假《声明函》、虚假证明文件谋取中标、成交的，依照《政府采购法》等法律法规规定追究相应责任。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供应商应授权合法的人员参加投标全过程，其中法定代表人直接参加投标的，须出具法定代表人身份证，并与营业执照上信息一致。法定代表人授权代表参加投标的，须出具法定代表人授权书及授权代表身份证。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tc>
        <w:tc>
          <w:tcPr>
            <w:tcW w:type="dxa" w:w="1661"/>
          </w:tcPr>
          <w:p>
            <w:pPr>
              <w:pStyle w:val="null3"/>
            </w:pPr>
            <w:r>
              <w:rPr>
                <w:rFonts w:ascii="仿宋_GB2312" w:hAnsi="仿宋_GB2312" w:cs="仿宋_GB2312" w:eastAsia="仿宋_GB2312"/>
              </w:rPr>
              <w:t>资格响应表.docx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二.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三.（一）政府采购评审中出现下列情形之一的，评审委员会应当启动异常低价投标（响应）审查程序：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相关供应商在评审现场合理的时间内对投标（响应）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维保期限</w:t>
            </w:r>
          </w:p>
        </w:tc>
        <w:tc>
          <w:tcPr>
            <w:tcW w:type="dxa" w:w="3322"/>
          </w:tcPr>
          <w:p>
            <w:pPr>
              <w:pStyle w:val="null3"/>
            </w:pPr>
            <w:r>
              <w:rPr>
                <w:rFonts w:ascii="仿宋_GB2312" w:hAnsi="仿宋_GB2312" w:cs="仿宋_GB2312" w:eastAsia="仿宋_GB2312"/>
              </w:rPr>
              <w:t>维保期限2年。</w:t>
            </w:r>
          </w:p>
        </w:tc>
        <w:tc>
          <w:tcPr>
            <w:tcW w:type="dxa" w:w="1661"/>
          </w:tcPr>
          <w:p>
            <w:pPr>
              <w:pStyle w:val="null3"/>
            </w:pPr>
            <w:r>
              <w:rPr>
                <w:rFonts w:ascii="仿宋_GB2312" w:hAnsi="仿宋_GB2312" w:cs="仿宋_GB2312" w:eastAsia="仿宋_GB2312"/>
              </w:rPr>
              <w:t>商务及技术偏离表.docx 报价表及分项报价表.docx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合同签订后，每满半年设备运行无问题后支付总合同的25%。</w:t>
            </w:r>
          </w:p>
        </w:tc>
        <w:tc>
          <w:tcPr>
            <w:tcW w:type="dxa" w:w="1661"/>
          </w:tcPr>
          <w:p>
            <w:pPr>
              <w:pStyle w:val="null3"/>
            </w:pPr>
            <w:r>
              <w:rPr>
                <w:rFonts w:ascii="仿宋_GB2312" w:hAnsi="仿宋_GB2312" w:cs="仿宋_GB2312" w:eastAsia="仿宋_GB2312"/>
              </w:rPr>
              <w:t>商务及技术偏离表.docx 报价表及分项报价表.docx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技术要求响应</w:t>
            </w:r>
          </w:p>
        </w:tc>
        <w:tc>
          <w:tcPr>
            <w:tcW w:type="dxa" w:w="3322"/>
          </w:tcPr>
          <w:p>
            <w:pPr>
              <w:pStyle w:val="null3"/>
            </w:pPr>
            <w:r>
              <w:rPr>
                <w:rFonts w:ascii="仿宋_GB2312" w:hAnsi="仿宋_GB2312" w:cs="仿宋_GB2312" w:eastAsia="仿宋_GB2312"/>
              </w:rPr>
              <w:t>对技术要求所有条款实质性响应</w:t>
            </w:r>
          </w:p>
        </w:tc>
        <w:tc>
          <w:tcPr>
            <w:tcW w:type="dxa" w:w="1661"/>
          </w:tcPr>
          <w:p>
            <w:pPr>
              <w:pStyle w:val="null3"/>
            </w:pPr>
            <w:r>
              <w:rPr>
                <w:rFonts w:ascii="仿宋_GB2312" w:hAnsi="仿宋_GB2312" w:cs="仿宋_GB2312" w:eastAsia="仿宋_GB2312"/>
              </w:rPr>
              <w:t>服务方案、人员表及供应商认为有必要提供的其他内容.docx 商务及技术偏离表.docx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332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1661"/>
          </w:tcPr>
          <w:p>
            <w:pPr>
              <w:pStyle w:val="null3"/>
            </w:pPr>
            <w:r>
              <w:rPr>
                <w:rFonts w:ascii="仿宋_GB2312" w:hAnsi="仿宋_GB2312" w:cs="仿宋_GB2312" w:eastAsia="仿宋_GB2312"/>
              </w:rPr>
              <w:t>服务方案、人员表及供应商认为有必要提供的其他内容.docx 投标文件封面 商务及技术偏离表.docx 报价表及分项报价表.docx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整体维保方案</w:t>
            </w:r>
          </w:p>
        </w:tc>
        <w:tc>
          <w:tcPr>
            <w:tcW w:type="dxa" w:w="2492"/>
          </w:tcPr>
          <w:p>
            <w:pPr>
              <w:pStyle w:val="null3"/>
            </w:pPr>
            <w:r>
              <w:rPr>
                <w:rFonts w:ascii="仿宋_GB2312" w:hAnsi="仿宋_GB2312" w:cs="仿宋_GB2312" w:eastAsia="仿宋_GB2312"/>
              </w:rPr>
              <w:t>供应商根据项目特点提供整体维保方案。方案包括：1、全年保养分析；2、维护重点环节分析；3、机器清洁措施及安全检查措施；4、性能测试及校准运行监控措施等。每有一项缺项扣3分，每有一处内容存在缺陷，扣0.5分。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质量保证措施方案</w:t>
            </w:r>
          </w:p>
        </w:tc>
        <w:tc>
          <w:tcPr>
            <w:tcW w:type="dxa" w:w="2492"/>
          </w:tcPr>
          <w:p>
            <w:pPr>
              <w:pStyle w:val="null3"/>
            </w:pPr>
            <w:r>
              <w:rPr>
                <w:rFonts w:ascii="仿宋_GB2312" w:hAnsi="仿宋_GB2312" w:cs="仿宋_GB2312" w:eastAsia="仿宋_GB2312"/>
              </w:rPr>
              <w:t>供应商提供质量保证措施方案。方案包括：1、服务质量标准及服务质量承诺；2、确保服务质量的措施；3、未达到质量标准的处罚措施等。每有一项缺项扣3分，每有一处内容存在缺陷，扣0.5分。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安全保证措施方案</w:t>
            </w:r>
          </w:p>
        </w:tc>
        <w:tc>
          <w:tcPr>
            <w:tcW w:type="dxa" w:w="2492"/>
          </w:tcPr>
          <w:p>
            <w:pPr>
              <w:pStyle w:val="null3"/>
            </w:pPr>
            <w:r>
              <w:rPr>
                <w:rFonts w:ascii="仿宋_GB2312" w:hAnsi="仿宋_GB2312" w:cs="仿宋_GB2312" w:eastAsia="仿宋_GB2312"/>
              </w:rPr>
              <w:t>供应商提供安全保证措施方案。包括：1、安全保证体系；2、合理可行的安全保障措施；3、安全事故处罚措施等。每有一项缺项扣3分，每有一处内容存在缺陷，扣0.5分。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进度保证措施方案</w:t>
            </w:r>
          </w:p>
        </w:tc>
        <w:tc>
          <w:tcPr>
            <w:tcW w:type="dxa" w:w="2492"/>
          </w:tcPr>
          <w:p>
            <w:pPr>
              <w:pStyle w:val="null3"/>
            </w:pPr>
            <w:r>
              <w:rPr>
                <w:rFonts w:ascii="仿宋_GB2312" w:hAnsi="仿宋_GB2312" w:cs="仿宋_GB2312" w:eastAsia="仿宋_GB2312"/>
              </w:rPr>
              <w:t>供应商提供进度保证措施方案。包括：1、合理可行的进度保障措施；2、进度保证体系。每有一项缺项扣2分，每有一处内容存在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应急措施方案</w:t>
            </w:r>
          </w:p>
        </w:tc>
        <w:tc>
          <w:tcPr>
            <w:tcW w:type="dxa" w:w="2492"/>
          </w:tcPr>
          <w:p>
            <w:pPr>
              <w:pStyle w:val="null3"/>
            </w:pPr>
            <w:r>
              <w:rPr>
                <w:rFonts w:ascii="仿宋_GB2312" w:hAnsi="仿宋_GB2312" w:cs="仿宋_GB2312" w:eastAsia="仿宋_GB2312"/>
              </w:rPr>
              <w:t>供应商提供突发情况应急措施方案。包括：1、应急预案；2、突发情况分析；3、突发事件处理措施；4、突发事件处理专班和责任人。每有一项缺项扣2分，每有一处内容存在缺陷，扣0.5分。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来源渠道合法证明文件</w:t>
            </w:r>
          </w:p>
        </w:tc>
        <w:tc>
          <w:tcPr>
            <w:tcW w:type="dxa" w:w="2492"/>
          </w:tcPr>
          <w:p>
            <w:pPr>
              <w:pStyle w:val="null3"/>
            </w:pPr>
            <w:r>
              <w:rPr>
                <w:rFonts w:ascii="仿宋_GB2312" w:hAnsi="仿宋_GB2312" w:cs="仿宋_GB2312" w:eastAsia="仿宋_GB2312"/>
              </w:rPr>
              <w:t>1、具备合法、稳定的主要部件、配件、配套设备（主要指须具备医疗产品注册许可证或备案证的产品）来源渠道确保更换的相关部件（或配件、配套设备）无假货、水货、翻新件且无产权纠纷并提供相关来源渠道合法证明文件得3分；2、证明材料提供有缺陷，主要部件、配件、配套设备来源不够明确得1分；3、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承诺函</w:t>
            </w:r>
          </w:p>
        </w:tc>
        <w:tc>
          <w:tcPr>
            <w:tcW w:type="dxa" w:w="2492"/>
          </w:tcPr>
          <w:p>
            <w:pPr>
              <w:pStyle w:val="null3"/>
            </w:pPr>
            <w:r>
              <w:rPr>
                <w:rFonts w:ascii="仿宋_GB2312" w:hAnsi="仿宋_GB2312" w:cs="仿宋_GB2312" w:eastAsia="仿宋_GB2312"/>
              </w:rPr>
              <w:t>供应商提供的所有维修备件均应符合行业标准且能够与原设备配套兼容，承诺函内容齐全得2分，未提供不得分。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人员组织安排</w:t>
            </w:r>
          </w:p>
        </w:tc>
        <w:tc>
          <w:tcPr>
            <w:tcW w:type="dxa" w:w="2492"/>
          </w:tcPr>
          <w:p>
            <w:pPr>
              <w:pStyle w:val="null3"/>
            </w:pPr>
            <w:r>
              <w:rPr>
                <w:rFonts w:ascii="仿宋_GB2312" w:hAnsi="仿宋_GB2312" w:cs="仿宋_GB2312" w:eastAsia="仿宋_GB2312"/>
              </w:rPr>
              <w:t>供应商提供针对本项目人员组织安排。方案包括：1、职责任务、分工明确；2、服务人员具有专业技术能力（提供有效的证明材料）；3、人员工作计划符合项目实际情况、针对性强；4、人员实施过程沟通、配合措施。每有一项缺项扣3分，每有一处内容存在缺陷，扣0.5分。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技术保障</w:t>
            </w:r>
          </w:p>
        </w:tc>
        <w:tc>
          <w:tcPr>
            <w:tcW w:type="dxa" w:w="2492"/>
          </w:tcPr>
          <w:p>
            <w:pPr>
              <w:pStyle w:val="null3"/>
            </w:pPr>
            <w:r>
              <w:rPr>
                <w:rFonts w:ascii="仿宋_GB2312" w:hAnsi="仿宋_GB2312" w:cs="仿宋_GB2312" w:eastAsia="仿宋_GB2312"/>
              </w:rPr>
              <w:t>根据供应商提供专业的技术保障，方案包括：1、常用易损备件包种类；2、备件仓库内所存储的用于维修的零件的种类清单；3、专业技术服务后援支持。每有一项缺项扣3分，每有一处内容存在缺陷，扣0.5分。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技术培训方案</w:t>
            </w:r>
          </w:p>
        </w:tc>
        <w:tc>
          <w:tcPr>
            <w:tcW w:type="dxa" w:w="2492"/>
          </w:tcPr>
          <w:p>
            <w:pPr>
              <w:pStyle w:val="null3"/>
            </w:pPr>
            <w:r>
              <w:rPr>
                <w:rFonts w:ascii="仿宋_GB2312" w:hAnsi="仿宋_GB2312" w:cs="仿宋_GB2312" w:eastAsia="仿宋_GB2312"/>
              </w:rPr>
              <w:t>根据供应商提供专业的技术培训方案，包括：1、培训操作人员的承诺；2、设备及配件平时使用技巧及保养方法；3、培训方式；4、培训时间和场次安排等。每有一项缺项扣2分，每有一处内容存在缺陷，扣0.5分。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1、针对设备日常保养维护方法，能够提出有价值的合理化建议，且具体切实可行，有利于延长设备使用寿命得4分；2、设备日常保养维护方法完整，提供了合理化建议但缺乏针对性得3分；3、设备日常保养维护方法有缺陷，合理化建议内容简单得1分；4、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提供供应商2023年1月至今CT类全保服务业绩合同（以合同签订日期为准）及对应发票进行评审，每个业绩得2分，满分10分。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满足投标文件商务及技术要求且投标价格最低为评标基准价，其价格分为满分。投标报价得分=（评审基准价/投标报价）*10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报价表及分项报价表.docx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详见附件：资格响应表.docx</w:t>
      </w:r>
    </w:p>
    <w:p>
      <w:pPr>
        <w:pStyle w:val="null3"/>
        <w:ind w:firstLine="960"/>
      </w:pPr>
      <w:r>
        <w:rPr>
          <w:rFonts w:ascii="仿宋_GB2312" w:hAnsi="仿宋_GB2312" w:cs="仿宋_GB2312" w:eastAsia="仿宋_GB2312"/>
        </w:rPr>
        <w:t>详见附件：商务及技术偏离表.docx</w:t>
      </w:r>
    </w:p>
    <w:p>
      <w:pPr>
        <w:pStyle w:val="null3"/>
        <w:ind w:firstLine="960"/>
      </w:pPr>
      <w:r>
        <w:rPr>
          <w:rFonts w:ascii="仿宋_GB2312" w:hAnsi="仿宋_GB2312" w:cs="仿宋_GB2312" w:eastAsia="仿宋_GB2312"/>
        </w:rPr>
        <w:t>详见附件：服务方案、人员表及供应商认为有必要提供的其他内容.docx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详见附件：报价表及分项报价表.docx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详见附件：合同格式（参考）.docx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