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6874D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A84F998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869A5D0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027BBF7">
      <w:pPr>
        <w:spacing w:before="25" w:line="360" w:lineRule="auto"/>
        <w:jc w:val="center"/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陕西中医药大学第二附属</w:t>
      </w: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医院</w:t>
      </w:r>
    </w:p>
    <w:p w14:paraId="21A62400">
      <w:pPr>
        <w:spacing w:before="25" w:line="360" w:lineRule="auto"/>
        <w:jc w:val="center"/>
        <w:rPr>
          <w:rFonts w:hint="eastAsia"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设备维修保养合同</w:t>
      </w:r>
    </w:p>
    <w:p w14:paraId="130621EF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D8E4C89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E50A326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483369D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E0741DA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16E980C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12322D7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440E2F5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40CEC63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71747AF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7DCF335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1E10D9C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BA2F4F1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6AFB0B2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69E13B8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A32FCA5">
      <w:pPr>
        <w:spacing w:before="25" w:line="360" w:lineRule="auto"/>
        <w:ind w:firstLine="2570" w:firstLineChars="800"/>
        <w:jc w:val="left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甲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方：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                   </w:t>
      </w:r>
    </w:p>
    <w:p w14:paraId="6DAE3E84">
      <w:pPr>
        <w:spacing w:before="25" w:line="360" w:lineRule="auto"/>
        <w:ind w:firstLine="2570" w:firstLineChars="800"/>
        <w:jc w:val="left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乙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方：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                   </w:t>
      </w:r>
    </w:p>
    <w:p w14:paraId="4B309DFD">
      <w:pPr>
        <w:spacing w:before="25" w:line="360" w:lineRule="auto"/>
        <w:ind w:firstLine="2570" w:firstLineChars="800"/>
        <w:jc w:val="left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日   期：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                   </w:t>
      </w:r>
    </w:p>
    <w:p w14:paraId="2A0BFADD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7FABD4D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9657342">
      <w:pPr>
        <w:spacing w:before="25" w:line="360" w:lineRule="auto"/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甲 方 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 xml:space="preserve"> ，其注册登记地址为：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</w:rPr>
        <w:t>，法定代表人为：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</w:t>
      </w:r>
    </w:p>
    <w:p w14:paraId="1F6E01C9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方：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>，其注册登记地址为：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t>，法定代表人为：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</w:p>
    <w:p w14:paraId="18BA316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、乙双方本着公平、公正、平等的原则，依据《中华人民共和国合同法》及相关法律、法规和本次招标文件之规定，现经甲、乙双方友好协商，就乙方为甲方正在使用的设备进行日常维修、保养(以下简称“维保”)及日常管理工作的相关事宜，达成以下合同条款：</w:t>
      </w:r>
    </w:p>
    <w:p w14:paraId="1A5BF39F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第一条   维修保养设备信息及维保内容和范围：</w:t>
      </w:r>
    </w:p>
    <w:tbl>
      <w:tblPr>
        <w:tblStyle w:val="6"/>
        <w:tblW w:w="887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3"/>
        <w:gridCol w:w="1208"/>
        <w:gridCol w:w="749"/>
        <w:gridCol w:w="749"/>
        <w:gridCol w:w="1019"/>
        <w:gridCol w:w="1708"/>
        <w:gridCol w:w="1743"/>
      </w:tblGrid>
      <w:tr w14:paraId="45FEC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  <w:jc w:val="center"/>
        </w:trPr>
        <w:tc>
          <w:tcPr>
            <w:tcW w:w="1703" w:type="dxa"/>
            <w:vAlign w:val="top"/>
          </w:tcPr>
          <w:p w14:paraId="4ABFAAD5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3AD4258D">
            <w:pPr>
              <w:pStyle w:val="7"/>
              <w:spacing w:before="78" w:line="360" w:lineRule="auto"/>
              <w:ind w:left="12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维保设备名称</w:t>
            </w:r>
          </w:p>
        </w:tc>
        <w:tc>
          <w:tcPr>
            <w:tcW w:w="1208" w:type="dxa"/>
            <w:vAlign w:val="top"/>
          </w:tcPr>
          <w:p w14:paraId="504C6F9F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3218D864">
            <w:pPr>
              <w:pStyle w:val="7"/>
              <w:spacing w:before="78" w:line="360" w:lineRule="auto"/>
              <w:ind w:left="11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</w:rPr>
              <w:t>品牌型号</w:t>
            </w:r>
          </w:p>
        </w:tc>
        <w:tc>
          <w:tcPr>
            <w:tcW w:w="749" w:type="dxa"/>
            <w:vAlign w:val="top"/>
          </w:tcPr>
          <w:p w14:paraId="48F677F7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7DF8303E">
            <w:pPr>
              <w:pStyle w:val="7"/>
              <w:spacing w:before="78" w:line="360" w:lineRule="auto"/>
              <w:ind w:left="12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</w:rPr>
              <w:t>单位</w:t>
            </w:r>
          </w:p>
        </w:tc>
        <w:tc>
          <w:tcPr>
            <w:tcW w:w="749" w:type="dxa"/>
            <w:vAlign w:val="top"/>
          </w:tcPr>
          <w:p w14:paraId="39F8DB8F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02E952C0">
            <w:pPr>
              <w:pStyle w:val="7"/>
              <w:spacing w:before="78" w:line="360" w:lineRule="auto"/>
              <w:ind w:left="12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</w:rPr>
              <w:t>数量</w:t>
            </w:r>
          </w:p>
        </w:tc>
        <w:tc>
          <w:tcPr>
            <w:tcW w:w="1019" w:type="dxa"/>
            <w:vAlign w:val="top"/>
          </w:tcPr>
          <w:p w14:paraId="689A69D9">
            <w:pPr>
              <w:pStyle w:val="7"/>
              <w:spacing w:before="92" w:line="360" w:lineRule="auto"/>
              <w:ind w:left="14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维保期</w:t>
            </w:r>
          </w:p>
          <w:p w14:paraId="5984074C">
            <w:pPr>
              <w:pStyle w:val="7"/>
              <w:spacing w:before="183" w:line="360" w:lineRule="auto"/>
              <w:ind w:left="26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2"/>
              </w:rPr>
              <w:t>(年)</w:t>
            </w:r>
          </w:p>
        </w:tc>
        <w:tc>
          <w:tcPr>
            <w:tcW w:w="1708" w:type="dxa"/>
            <w:vAlign w:val="top"/>
          </w:tcPr>
          <w:p w14:paraId="5930995B">
            <w:pPr>
              <w:pStyle w:val="7"/>
              <w:spacing w:before="111" w:line="360" w:lineRule="auto"/>
              <w:ind w:left="13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</w:rPr>
              <w:t>每年支付金额</w:t>
            </w:r>
          </w:p>
          <w:p w14:paraId="1CF3832E">
            <w:pPr>
              <w:pStyle w:val="7"/>
              <w:spacing w:before="166" w:line="360" w:lineRule="auto"/>
              <w:ind w:left="61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2"/>
              </w:rPr>
              <w:t>(元)</w:t>
            </w:r>
          </w:p>
        </w:tc>
        <w:tc>
          <w:tcPr>
            <w:tcW w:w="1743" w:type="dxa"/>
            <w:vAlign w:val="top"/>
          </w:tcPr>
          <w:p w14:paraId="767F1253">
            <w:pPr>
              <w:pStyle w:val="7"/>
              <w:spacing w:before="81" w:line="360" w:lineRule="auto"/>
              <w:ind w:left="27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合计总金额</w:t>
            </w:r>
          </w:p>
          <w:p w14:paraId="5F2ED398">
            <w:pPr>
              <w:pStyle w:val="7"/>
              <w:spacing w:before="215" w:line="360" w:lineRule="auto"/>
              <w:ind w:left="63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2"/>
              </w:rPr>
              <w:t>(元)</w:t>
            </w:r>
          </w:p>
        </w:tc>
      </w:tr>
      <w:tr w14:paraId="5C888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  <w:jc w:val="center"/>
        </w:trPr>
        <w:tc>
          <w:tcPr>
            <w:tcW w:w="1703" w:type="dxa"/>
            <w:vAlign w:val="top"/>
          </w:tcPr>
          <w:p w14:paraId="6498DB16">
            <w:pPr>
              <w:pStyle w:val="7"/>
              <w:spacing w:before="78" w:line="360" w:lineRule="auto"/>
              <w:ind w:left="243" w:right="197" w:hanging="59"/>
              <w:rPr>
                <w:rFonts w:hint="eastAsia" w:ascii="仿宋" w:hAnsi="仿宋" w:eastAsia="仿宋" w:cs="仿宋"/>
              </w:rPr>
            </w:pPr>
          </w:p>
        </w:tc>
        <w:tc>
          <w:tcPr>
            <w:tcW w:w="1208" w:type="dxa"/>
            <w:vAlign w:val="top"/>
          </w:tcPr>
          <w:p w14:paraId="237BED2E">
            <w:pPr>
              <w:pStyle w:val="7"/>
              <w:spacing w:before="204" w:line="360" w:lineRule="auto"/>
              <w:ind w:left="531"/>
              <w:rPr>
                <w:rFonts w:hint="eastAsia" w:ascii="仿宋" w:hAnsi="仿宋" w:eastAsia="仿宋" w:cs="仿宋"/>
              </w:rPr>
            </w:pPr>
          </w:p>
        </w:tc>
        <w:tc>
          <w:tcPr>
            <w:tcW w:w="749" w:type="dxa"/>
            <w:vAlign w:val="top"/>
          </w:tcPr>
          <w:p w14:paraId="54083A44">
            <w:pPr>
              <w:pStyle w:val="7"/>
              <w:spacing w:before="78" w:line="360" w:lineRule="auto"/>
              <w:ind w:left="243"/>
              <w:rPr>
                <w:rFonts w:hint="eastAsia" w:ascii="仿宋" w:hAnsi="仿宋" w:eastAsia="仿宋" w:cs="仿宋"/>
              </w:rPr>
            </w:pPr>
          </w:p>
        </w:tc>
        <w:tc>
          <w:tcPr>
            <w:tcW w:w="749" w:type="dxa"/>
            <w:vAlign w:val="top"/>
          </w:tcPr>
          <w:p w14:paraId="3B6C3720">
            <w:pPr>
              <w:pStyle w:val="7"/>
              <w:spacing w:before="78" w:line="360" w:lineRule="auto"/>
              <w:ind w:left="304"/>
              <w:rPr>
                <w:rFonts w:hint="eastAsia" w:ascii="仿宋" w:hAnsi="仿宋" w:eastAsia="仿宋" w:cs="仿宋"/>
              </w:rPr>
            </w:pPr>
          </w:p>
        </w:tc>
        <w:tc>
          <w:tcPr>
            <w:tcW w:w="1019" w:type="dxa"/>
            <w:vAlign w:val="top"/>
          </w:tcPr>
          <w:p w14:paraId="0F43F500">
            <w:pPr>
              <w:pStyle w:val="7"/>
              <w:spacing w:before="78" w:line="360" w:lineRule="auto"/>
              <w:ind w:left="445"/>
              <w:rPr>
                <w:rFonts w:hint="eastAsia" w:ascii="仿宋" w:hAnsi="仿宋" w:eastAsia="仿宋" w:cs="仿宋"/>
              </w:rPr>
            </w:pPr>
          </w:p>
        </w:tc>
        <w:tc>
          <w:tcPr>
            <w:tcW w:w="1708" w:type="dxa"/>
            <w:vAlign w:val="top"/>
          </w:tcPr>
          <w:p w14:paraId="15E33B89">
            <w:pPr>
              <w:pStyle w:val="7"/>
              <w:spacing w:before="78" w:line="360" w:lineRule="auto"/>
              <w:ind w:left="126"/>
              <w:rPr>
                <w:rFonts w:hint="eastAsia" w:ascii="仿宋" w:hAnsi="仿宋" w:eastAsia="仿宋" w:cs="仿宋"/>
              </w:rPr>
            </w:pPr>
          </w:p>
        </w:tc>
        <w:tc>
          <w:tcPr>
            <w:tcW w:w="1743" w:type="dxa"/>
            <w:vAlign w:val="top"/>
          </w:tcPr>
          <w:p w14:paraId="71655A31">
            <w:pPr>
              <w:pStyle w:val="7"/>
              <w:spacing w:before="78" w:line="360" w:lineRule="auto"/>
              <w:ind w:left="148"/>
              <w:rPr>
                <w:rFonts w:hint="eastAsia" w:ascii="仿宋" w:hAnsi="仿宋" w:eastAsia="仿宋" w:cs="仿宋"/>
              </w:rPr>
            </w:pPr>
          </w:p>
        </w:tc>
      </w:tr>
      <w:tr w14:paraId="69FCAC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8879" w:type="dxa"/>
            <w:gridSpan w:val="7"/>
            <w:vAlign w:val="top"/>
          </w:tcPr>
          <w:p w14:paraId="536997E6">
            <w:pPr>
              <w:pStyle w:val="7"/>
              <w:spacing w:before="133" w:line="360" w:lineRule="auto"/>
              <w:ind w:left="9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合计(大写):人民币</w:t>
            </w:r>
            <w:r>
              <w:rPr>
                <w:rFonts w:hint="eastAsia" w:ascii="仿宋" w:hAnsi="仿宋" w:eastAsia="仿宋" w:cs="仿宋"/>
                <w:spacing w:val="2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pacing w:val="2"/>
              </w:rPr>
              <w:t>元</w:t>
            </w:r>
            <w:r>
              <w:rPr>
                <w:rFonts w:hint="eastAsia" w:ascii="仿宋" w:hAnsi="仿宋" w:eastAsia="仿宋" w:cs="仿宋"/>
                <w:spacing w:val="-49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整</w:t>
            </w:r>
            <w:r>
              <w:rPr>
                <w:rFonts w:hint="eastAsia" w:ascii="仿宋" w:hAnsi="仿宋" w:eastAsia="仿宋" w:cs="仿宋"/>
                <w:spacing w:val="-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；</w:t>
            </w:r>
            <w:r>
              <w:rPr>
                <w:rFonts w:hint="eastAsia" w:ascii="仿宋" w:hAnsi="仿宋" w:eastAsia="仿宋" w:cs="仿宋"/>
                <w:spacing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2"/>
                <w:position w:val="-1"/>
              </w:rPr>
              <w:t>(小写):</w:t>
            </w:r>
          </w:p>
        </w:tc>
      </w:tr>
      <w:tr w14:paraId="6D242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8879" w:type="dxa"/>
            <w:gridSpan w:val="7"/>
            <w:vAlign w:val="top"/>
          </w:tcPr>
          <w:p w14:paraId="521554E7">
            <w:pPr>
              <w:pStyle w:val="7"/>
              <w:spacing w:before="103" w:line="360" w:lineRule="auto"/>
              <w:ind w:left="38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备注：</w:t>
            </w:r>
          </w:p>
        </w:tc>
      </w:tr>
    </w:tbl>
    <w:p w14:paraId="2801C1D6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第二条；合同期限及履行地</w:t>
      </w:r>
    </w:p>
    <w:p w14:paraId="432FB38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1、本合同期限为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年 ，自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 至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日终止。</w:t>
      </w:r>
    </w:p>
    <w:p w14:paraId="0D08D6CF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2、本合同履行地：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424DB182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第三条  合同价款和结算方式</w:t>
      </w:r>
    </w:p>
    <w:p w14:paraId="709ED770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1、根据维保范围和服务内容，甲方应支付设备维保费用共计人民币   该费用为固定费用，不可调整包括但不限于人工费、配件费、维修保养费用、食宿费、交通费及日常管理费用等及一切不可预 见的费用。</w:t>
      </w:r>
    </w:p>
    <w:p w14:paraId="46F30EB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2、付款方式：</w:t>
      </w:r>
    </w:p>
    <w:p w14:paraId="7E2CA989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3、乙方账户信息：</w:t>
      </w:r>
    </w:p>
    <w:p w14:paraId="106450D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账户名称：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</w:p>
    <w:p w14:paraId="7DA3264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 户 行 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</w:p>
    <w:p w14:paraId="320C637F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    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</w:t>
      </w:r>
    </w:p>
    <w:p w14:paraId="6A3D1F3F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第四条  维护保养内容</w:t>
      </w:r>
    </w:p>
    <w:p w14:paraId="6023F94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根据乙方提供的《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>维保方案》,确定本次合同维修保养服务内容如下：</w:t>
      </w:r>
    </w:p>
    <w:p w14:paraId="52B7B328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1、定期保养：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</w:rPr>
        <w:t>。定期维护服务间隔进行，具体内容包括：</w:t>
      </w:r>
    </w:p>
    <w:p w14:paraId="3D1D35F7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(1)系统基本情况检查；</w:t>
      </w:r>
    </w:p>
    <w:p w14:paraId="257E96EC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(2)图像质量检查；</w:t>
      </w:r>
    </w:p>
    <w:p w14:paraId="06FBFB90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(3)球管使用情况检查；</w:t>
      </w:r>
    </w:p>
    <w:p w14:paraId="1B165D08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(4)机械部分运动情况检查；</w:t>
      </w:r>
    </w:p>
    <w:p w14:paraId="7D7A484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(5)软件等等。</w:t>
      </w:r>
    </w:p>
    <w:p w14:paraId="0A455FA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2、技术服务</w:t>
      </w:r>
    </w:p>
    <w:p w14:paraId="67004A94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(1)维修时效：乙方报修电话保证每天24小时处于开机状态，当所保修设备出现故障时，投标方接到故障报修电话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内电话响应。若电话交流无法解决，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内(含周末及法定节假日)派遣资深工程师到达现场进行维修。机器不涉及零配件更换，应在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内修复完毕；涉及到零配件更换，维修备件在确认后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送达维修现场，当场更换备件，不可抗因素除外。若未在规定期限内修复设备造成使用方的直接和间接经济损失，由乙方承担。</w:t>
      </w:r>
    </w:p>
    <w:p w14:paraId="4DE3081A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零备件更换：保修服务期内免费提供所有保修所需备件及需定期更换的耗品，机器在合同有效期内进行约定服务所发生的费用(包含人工费，出差费，服务中更换零部件、系统升级费以及运输、装卸、安装、维护、税费等各项费用)由乙方承担。</w:t>
      </w:r>
    </w:p>
    <w:p w14:paraId="1EBA11B0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乙方需安排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技术工程师负责本项目的维修工作，提供免费的软件升级，提供完整的用于日后系统重装的安装软件，提供必要的维修软件，提供远程维修服务。并为用户培训维修工程师，培训要求达到：了解设备的基本原理、基本构造及能独立处理设备的一般性故障，并到场进行新功能培训。</w:t>
      </w:r>
    </w:p>
    <w:p w14:paraId="5FB87B47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3、备件保障：乙方应在甲方处设置常规维修备件库，以便应急使用。乙方必须具有中国境内的备件库，备件库内有该设备的相关备件。在保修服务期内维修所需的相关辅助设备和材料均由乙方提供。</w:t>
      </w:r>
    </w:p>
    <w:p w14:paraId="1281943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4、开机率保证：乙方必须保证所保修设备全年开机率达到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(全年按365天计算),即全年停机时间不超过15天，单次停机时间不超过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天，一般故障三日内修复，重大故障五日内修复，超过五天，每超过一天则维保期自动延长三天，并扣减维保费用人民币壹仟元整/天。服务期内，乙方在维修更换配件时引发医院CT其他新故障时，由乙方自行解决故障及配件，全部费用由乙方支付。</w:t>
      </w:r>
    </w:p>
    <w:p w14:paraId="35DE617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5、对设备提供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的定期维护与保养，并提供技术服务、保养报告单，此 项目在维保期内产生的所有费用均由乙方公司承担。</w:t>
      </w:r>
    </w:p>
    <w:p w14:paraId="60DA6008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第五条 甲方的权利义务</w:t>
      </w:r>
    </w:p>
    <w:p w14:paraId="08B485C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1、甲方协助乙方安排合理充分的停机维保时间和维保现场的安全警示。</w:t>
      </w:r>
    </w:p>
    <w:p w14:paraId="5F0F9263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2、甲方不能自行委托乙方维保人员从事本合同外的工作，如自行委托造成 的后果由甲方负责。</w:t>
      </w:r>
    </w:p>
    <w:p w14:paraId="601C890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3、甲方应当按照本合同约定向乙方支付维保费用。</w:t>
      </w:r>
    </w:p>
    <w:p w14:paraId="3D8D8DFC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第六条  乙方的权利义务</w:t>
      </w:r>
    </w:p>
    <w:p w14:paraId="08062F9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1、乙方必须严格按照《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</w:rPr>
        <w:t>维保方案》对设备进行定期保养、技术服务等工作，乙方必须派有专业技术的维保人员，以保持设备良好运行，延长设备的使用寿命。</w:t>
      </w:r>
    </w:p>
    <w:p w14:paraId="6EF67179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2、乙方应当加强与甲方的协调、联络与后台，经常征求甲方的意见。乙方 必须严格执行安全操作规程，防火、防意外及环境保护规定的有关工作要求。</w:t>
      </w:r>
    </w:p>
    <w:p w14:paraId="560E402C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3、设备发生故障时，应按照本合同第四条严格执行。</w:t>
      </w:r>
    </w:p>
    <w:p w14:paraId="66B1CAD2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4、设备发生故障需要应急处理是不受工作时间规定限制，并做到随叫随到(24小时全天候应急服务),接到召修电话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小时内赶到现场进行处理。</w:t>
      </w:r>
    </w:p>
    <w:p w14:paraId="04BAA3E4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5、在维保期间，如因自然灾害等不可抗力因素致使已经完成维保的设备造 成损坏的，乙方必须提供权威部门关于不可抗力的书面证明文件后，再重新进行 维保，由于不可抗力造成的再次维保费用由甲、乙双方另行商定，不能提供证明 文件的，重新进行的维保费用由乙方承担。除不可抗力造成的维保费用另行商定 外，其他维保行为均可适用本合同之规定。</w:t>
      </w:r>
    </w:p>
    <w:p w14:paraId="6743C4F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6、乙方接到甲方维保通知后，应立即赶赴现场向甲方提供书面维保单，维保单上应注明维护所需的时间和配件费用。</w:t>
      </w:r>
    </w:p>
    <w:p w14:paraId="17ED306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7、乙方在维保期间，如发生事故致使维保工人或第三人人身或财产受到损 害的，由乙方承担全部责任，甲方不承担任何责任。</w:t>
      </w:r>
    </w:p>
    <w:p w14:paraId="7F1CA239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8、经乙方维保后的设备应当能够正常运行、使用，当该设备投入正常运行使用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小时后，如再次发生故障，则乙方应在24小时内负责重新维保，费用由乙方承担。经两次维保后，如还不能正常运行、使用的，甲方有权选择第三方进 行维保，该费用由甲方从合同约定的年度维保费用中直接扣除；同时，由此给甲 方造成的损失由乙方全额负责赔偿。</w:t>
      </w:r>
    </w:p>
    <w:p w14:paraId="18FEE653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9、经乙方维保后的设备，如因维保行为而发生的所有事故(包括但不限于 安全事故)均由乙方承担全部赔偿责任，乙方赔偿责任包括但不限于甲方及受害 人因此造成的所有经济损失。</w:t>
      </w:r>
    </w:p>
    <w:p w14:paraId="7BD14F9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10、乙方必须保证所保修设备全年开机率达到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(全年按365天计算),即全年停机时间不超过15天，单次停机时间不超过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天，一般故障三日内修复，重大故障五日内修复，超过五天，每超过一天则维保期自动延长三天，并扣减维保费用人民币壹仟元整/天。</w:t>
      </w:r>
    </w:p>
    <w:p w14:paraId="7FDFBCCF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11、乙方负责维保的工作人员应严格遵守甲方单位有关规章制度</w:t>
      </w:r>
    </w:p>
    <w:p w14:paraId="0F7171D9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、乙方按照本合同约定履行合同义务，保证设备能够正常使用；乙方所更换零配件必须是原厂正品零配件，必须为与原型号一致的零配件，安装完毕后达到设备运行标准；乙方还应保证提供给甲方的所有零配件非他人所有或共有，未设有抵质押权、租赁权及任何司法查封、冻结情形，未侵犯他人的任何知识产权；如因此出现任何侵权情形，则由乙方承担全部责任，与甲方无关，并应支付因此 给甲方造成的一切损失。</w:t>
      </w:r>
    </w:p>
    <w:p w14:paraId="6728D264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第七条通知</w:t>
      </w:r>
    </w:p>
    <w:p w14:paraId="5174173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方发给另一方的通知或信件应是书面的，按本合同所示地址投送。上述通知或信件应由专人传递或通过传真传送，如由专人传送，则于送达至指定专人接收之日视为正式送交；如以传真发送，则以传真接收人收到该通知之日为准。任何一方变更地址或法定代表人或企业名称等相关信息时，应当在7个工作日内以书面形式通知对方。</w:t>
      </w:r>
    </w:p>
    <w:p w14:paraId="4A28DB58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双方通讯地址信息如下：</w:t>
      </w:r>
    </w:p>
    <w:p w14:paraId="55489484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甲方：                                       乙方：</w:t>
      </w:r>
    </w:p>
    <w:p w14:paraId="3000EF04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                                        地址：</w:t>
      </w:r>
    </w:p>
    <w:p w14:paraId="77FBB348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电话：                                        电话：</w:t>
      </w:r>
    </w:p>
    <w:p w14:paraId="05920E88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邮编：                                        邮编：</w:t>
      </w:r>
    </w:p>
    <w:p w14:paraId="3B54014E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指定收件人：                                  指定收件人：</w:t>
      </w:r>
    </w:p>
    <w:p w14:paraId="68B306BD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第八条违约责任</w:t>
      </w:r>
    </w:p>
    <w:p w14:paraId="1DA6226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1、乙方必须保证所保修设备全年开机率达到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(全年按365天计算),即全年停机时间不超过15天，单次停机时间不超过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天，一般故障三日内修复，重大故障五日内修复，超过五天，每超过一天则维保期自动延长三天，并扣减维保费用人民币壹任元整/天。服务期内，乙方在维修更换配件时引发医院其他设备或系统发生新故障时，由乙方自行解决故障及配件，全部费用由乙方支付。</w:t>
      </w:r>
    </w:p>
    <w:p w14:paraId="2B21269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在维保期间，如因自然灾害等不可抗力因素致使已经完成维保的设备造成损坏的，乙方必须提供权威部门关于不可抗力的书面证明文件后，再重新进行维保，由于不可抗力造成的再次维保费用由甲、乙双方另行商定，不能提供证明 文件的，重新进行的维保费用由乙方承担。</w:t>
      </w:r>
    </w:p>
    <w:p w14:paraId="748307B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3、经乙方维保后的设备应当能够正常运行、使用，当该设备投入正常运行使用24小时后，如再次发生故障，则乙方应在24小时内负责重新维保，费用由 乙方承担。经两次维保后，如还不能正常运行、使用的，甲方有权选择第三方进 行维保，该费用由甲方从合同约定的年度维保费用中直接扣除；同时，由此给甲 方造成的损失由乙方全额负责赔偿。</w:t>
      </w:r>
    </w:p>
    <w:p w14:paraId="4E12609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4、经乙方维保后的设备，如因维保行为而发生的所有事故(包括但不限于安全事故)均由乙方承担全部赔偿责任，乙方赔偿责任包括但不限于甲方及受害 人因此造成的所有经济损失。</w:t>
      </w:r>
    </w:p>
    <w:p w14:paraId="7F6E6E67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第九条：纠纷的解决：</w:t>
      </w:r>
    </w:p>
    <w:p w14:paraId="3FEE02BF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本合同在履行过程中发生的与本合同有关的任何争议，由甲、乙双方先行友好协商解决，协商不成的，任何一方有权向甲方所在地人民法院提起诉讼。</w:t>
      </w:r>
    </w:p>
    <w:p w14:paraId="008E1C9A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第十条：本合同一式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份，甲方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份、乙方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份，均具有同等法律效力。</w:t>
      </w:r>
    </w:p>
    <w:p w14:paraId="2CCC1FD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第十一条：本合同未尽事宜，由甲、乙双方另行签订补充协议，补充协议作为合同附件与本合同具有同等法律效力。</w:t>
      </w:r>
    </w:p>
    <w:p w14:paraId="0B23C638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第十二条：本合同自甲、乙双方正式授权代表签字并加盖公章之日起生效。</w:t>
      </w:r>
    </w:p>
    <w:p w14:paraId="21B1845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第十三条：本合同有效期自生效之日起至合同期限届满时止。</w:t>
      </w:r>
      <w:bookmarkStart w:id="0" w:name="_GoBack"/>
      <w:bookmarkEnd w:id="0"/>
    </w:p>
    <w:p w14:paraId="414749FC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第十四条：本合同应当按照中华人民共和国的现行法律、法规进行解释。</w:t>
      </w:r>
    </w:p>
    <w:p w14:paraId="53B47542">
      <w:pPr>
        <w:spacing w:before="25"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(本页以下无正文)</w:t>
      </w:r>
    </w:p>
    <w:p w14:paraId="0C204642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</w:p>
    <w:p w14:paraId="3C3FE51A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方：                                 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方：</w:t>
      </w:r>
    </w:p>
    <w:p w14:paraId="1D87E494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址：                                 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址：</w:t>
      </w:r>
    </w:p>
    <w:p w14:paraId="1410BC77">
      <w:pPr>
        <w:spacing w:before="25" w:line="360" w:lineRule="auto"/>
        <w:ind w:firstLine="1200" w:firstLineChars="5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法定代表人（签字或盖章）：             法定代表人（签字或盖章）：</w:t>
      </w:r>
    </w:p>
    <w:p w14:paraId="04FBE16D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委托代理人：                                 </w:t>
      </w:r>
    </w:p>
    <w:p w14:paraId="584F9925">
      <w:pPr>
        <w:spacing w:before="25" w:line="360" w:lineRule="auto"/>
        <w:ind w:firstLine="1200" w:firstLineChars="5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经 办 人：                               委托代理人：</w:t>
      </w:r>
    </w:p>
    <w:p w14:paraId="3E8B350F">
      <w:pPr>
        <w:spacing w:before="25" w:line="360" w:lineRule="auto"/>
        <w:ind w:firstLine="1200" w:firstLineChars="5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电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电  话：</w:t>
      </w:r>
    </w:p>
    <w:p w14:paraId="47352A22">
      <w:pPr>
        <w:spacing w:before="25" w:line="360" w:lineRule="auto"/>
        <w:ind w:firstLine="1200" w:firstLineChars="5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期：                                  日  期：</w:t>
      </w:r>
    </w:p>
    <w:sectPr>
      <w:footerReference r:id="rId5" w:type="default"/>
      <w:pgSz w:w="11920" w:h="16840"/>
      <w:pgMar w:top="1440" w:right="1080" w:bottom="1440" w:left="1080" w:header="0" w:footer="90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89E9B">
    <w:pPr>
      <w:spacing w:line="172" w:lineRule="auto"/>
      <w:rPr>
        <w:rFonts w:ascii="Times New Roman" w:hAnsi="Times New Roman" w:eastAsia="Times New Roman" w:cs="Times New Roman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9FF69FF"/>
    <w:rsid w:val="1BDE15DD"/>
    <w:rsid w:val="310218D5"/>
    <w:rsid w:val="47302671"/>
    <w:rsid w:val="4B8C5CC6"/>
    <w:rsid w:val="650638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3492</Words>
  <Characters>3531</Characters>
  <TotalTime>0</TotalTime>
  <ScaleCrop>false</ScaleCrop>
  <LinksUpToDate>false</LinksUpToDate>
  <CharactersWithSpaces>4393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2026-03-03T14:54:00Z</dcterms:created>
  <dc:creator>Administrator</dc:creator>
  <cp:lastModifiedBy>王岗</cp:lastModifiedBy>
  <dcterms:modified xsi:type="dcterms:W3CDTF">2026-03-03T07:50:20Z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2026-03-03T14:54:20Z</vt:filetime>
  </property>
  <property fmtid="{D5CDD505-2E9C-101B-9397-08002B2CF9AE}" pid="4" name="UsrData">
    <vt:lpwstr>69a68592a4d3c6001ff0ce53wl</vt:lpwstr>
  </property>
  <property fmtid="{D5CDD505-2E9C-101B-9397-08002B2CF9AE}" pid="5" name="KSOTemplateDocerSaveRecord">
    <vt:lpwstr>eyJoZGlkIjoiMjc4OGJjNDEwZjllMjEwYTZlYTJjNTMwNzM5ZTAxNGEiLCJ1c2VySWQiOiIzNzIzODE1MjEifQ==</vt:lpwstr>
  </property>
  <property fmtid="{D5CDD505-2E9C-101B-9397-08002B2CF9AE}" pid="6" name="KSOProductBuildVer">
    <vt:lpwstr>2052-12.1.0.25225</vt:lpwstr>
  </property>
  <property fmtid="{D5CDD505-2E9C-101B-9397-08002B2CF9AE}" pid="7" name="ICV">
    <vt:lpwstr>679251CE7A7F46078A6769C68727DA9A_12</vt:lpwstr>
  </property>
</Properties>
</file>