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3DF0">
      <w:pPr>
        <w:kinsoku/>
        <w:topLinePunct/>
        <w:autoSpaceDE/>
        <w:autoSpaceDN/>
        <w:spacing w:line="240" w:lineRule="auto"/>
        <w:jc w:val="center"/>
        <w:outlineLvl w:val="0"/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  <w:lang w:eastAsia="zh-CN"/>
        </w:rPr>
      </w:pPr>
      <w:bookmarkStart w:id="0" w:name="_Toc17059"/>
      <w:bookmarkStart w:id="1" w:name="_Toc25943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 xml:space="preserve">第三章 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招标项目施工、服务、商务及其他要求</w:t>
      </w:r>
      <w:bookmarkEnd w:id="1"/>
    </w:p>
    <w:p w14:paraId="1FE901E6">
      <w:pPr>
        <w:kinsoku/>
        <w:topLinePunct/>
        <w:autoSpaceDE/>
        <w:autoSpaceDN/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工程概况及要求</w:t>
      </w:r>
    </w:p>
    <w:p w14:paraId="57D2D647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2" w:name="OLE_LINK1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1、工程概况</w:t>
      </w:r>
    </w:p>
    <w:p w14:paraId="774CF4A4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通过将一体化微型净化装置将居民洗涤、洗浴和厨房等活动产生的灰水处理后引流至房前屋后菜园、花园、果园消纳，就地资源化利用，达到治理标准。</w:t>
      </w:r>
    </w:p>
    <w:p w14:paraId="09A67FB8">
      <w:pPr>
        <w:numPr>
          <w:ilvl w:val="0"/>
          <w:numId w:val="1"/>
        </w:num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项目地点</w:t>
      </w:r>
    </w:p>
    <w:p w14:paraId="7FB79E2F">
      <w:pPr>
        <w:numPr>
          <w:ilvl w:val="0"/>
          <w:numId w:val="0"/>
        </w:numPr>
        <w:kinsoku/>
        <w:topLinePunct/>
        <w:autoSpaceDE/>
        <w:autoSpaceDN/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秦渡街道父慈村</w:t>
      </w:r>
    </w:p>
    <w:p w14:paraId="2FD15EAD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3、技术要求</w:t>
      </w:r>
    </w:p>
    <w:p w14:paraId="5A202A9E">
      <w:pPr>
        <w:kinsoku/>
        <w:topLinePunct/>
        <w:autoSpaceDE/>
        <w:autoSpaceDN/>
        <w:spacing w:line="360" w:lineRule="auto"/>
        <w:ind w:firstLine="480" w:firstLineChars="200"/>
        <w:rPr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严格按规范、按设计施工，使污水治理标准符合中华人民共和国农田灌溉水质标准(标准GB5084-2021 )</w:t>
      </w:r>
    </w:p>
    <w:bookmarkEnd w:id="2"/>
    <w:p w14:paraId="65914C8F">
      <w:pPr>
        <w:pStyle w:val="2"/>
        <w:numPr>
          <w:ilvl w:val="0"/>
          <w:numId w:val="0"/>
        </w:numPr>
        <w:kinsoku/>
        <w:topLinePunct/>
        <w:autoSpaceDE/>
        <w:autoSpaceDN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清单编制说明（详见附件）</w:t>
      </w:r>
    </w:p>
    <w:p w14:paraId="0FBD121D">
      <w:pPr>
        <w:rPr>
          <w:rFonts w:eastAsia="宋体"/>
          <w:highlight w:val="none"/>
          <w:lang w:eastAsia="zh-CN"/>
        </w:rPr>
      </w:pPr>
    </w:p>
    <w:p w14:paraId="1F12FE4F">
      <w:pPr>
        <w:pStyle w:val="2"/>
        <w:kinsoku/>
        <w:topLinePunct/>
        <w:autoSpaceDE/>
        <w:autoSpaceDN/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三、图纸及工程量清单（详见附件）。</w:t>
      </w:r>
    </w:p>
    <w:p w14:paraId="30DEE3C0">
      <w:pPr>
        <w:kinsoku/>
        <w:topLinePunct/>
        <w:autoSpaceDE/>
        <w:autoSpaceDN/>
        <w:spacing w:line="68" w:lineRule="exact"/>
        <w:rPr>
          <w:rFonts w:hint="eastAsia" w:ascii="仿宋" w:hAnsi="仿宋" w:eastAsia="仿宋" w:cs="仿宋"/>
          <w:color w:val="auto"/>
          <w:highlight w:val="none"/>
          <w:lang w:eastAsia="zh-CN"/>
        </w:rPr>
      </w:pPr>
    </w:p>
    <w:p w14:paraId="2E767CD2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 w14:paraId="50B35AAC">
      <w:pPr>
        <w:kinsoku/>
        <w:topLinePunct/>
        <w:autoSpaceDE/>
        <w:autoSpaceDN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四、商务要求：</w:t>
      </w:r>
    </w:p>
    <w:p w14:paraId="5D0F0C99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1、工期：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日历天。</w:t>
      </w:r>
    </w:p>
    <w:p w14:paraId="71BB0626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2、</w:t>
      </w:r>
      <w:r>
        <w:rPr>
          <w:rFonts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工程质量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合格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。</w:t>
      </w:r>
    </w:p>
    <w:p w14:paraId="49634E1C">
      <w:pPr>
        <w:pStyle w:val="2"/>
        <w:kinsoku/>
        <w:topLinePunct/>
        <w:autoSpaceDE/>
        <w:autoSpaceDN/>
        <w:spacing w:line="360" w:lineRule="auto"/>
        <w:ind w:firstLine="520" w:firstLineChars="20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付款方式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：合同签订后支付预付款40%，项目完成后支付至合同额的70%，验收完成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支付至合同额的97%，剩余3%质保金待缺陷责任期1年结束后无质量问题一次性付清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eastAsia="zh-CN"/>
        </w:rPr>
        <w:t>。</w:t>
      </w:r>
    </w:p>
    <w:p w14:paraId="2DE70080">
      <w:pPr>
        <w:kinsoku/>
        <w:topLinePunct/>
        <w:autoSpaceDE/>
        <w:autoSpaceDN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bookmarkStart w:id="3" w:name="bookmark4"/>
      <w:bookmarkEnd w:id="3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五、其他要求</w:t>
      </w:r>
    </w:p>
    <w:p w14:paraId="0CD3E1EB">
      <w:pPr>
        <w:kinsoku/>
        <w:topLinePunct/>
        <w:autoSpaceDE/>
        <w:autoSpaceDN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中标公告发出后，中标人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需线下提交投标文件正本壹份、副本贰套、电子版壹套（U盘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【包含投标文件WORD版本和系统生成的PDF版本及已标价工程量清单（广联达云计价平台GCCP6.0版GBQ生成电子投标文件，格式为GBQ6及SXTB）、已标价工程量清单PDF版本】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326DA673"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所属行业为建筑业：营业收入80000万元以下或资产总额80000万元以下的为中小微型企业。其中，营业收入6000万元及以上，且资产总额5000万元及以上的为中型企业；营业收入300万元及以上，且资产总额300万元及以上的为小型企业；营业收入300万元以下或资产总额300万元以下的为微型企业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A7D75"/>
    <w:multiLevelType w:val="singleLevel"/>
    <w:tmpl w:val="793A7D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2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2026-04-17T08:28:16Z</dcterms:created>
  <dc:creator>Administrator</dc:creator>
  <cp:lastModifiedBy>┏ ☞岗か子™</cp:lastModifiedBy>
  <dcterms:modified xsi:type="dcterms:W3CDTF">2026-04-17T08:28:20Z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eyJoZGlkIjoiNjIxMDI2NjM3MzgyYzQ0NTJmZDVhODRjOWE1OTQyYWMiLCJ1c2VySWQiOiIyMzMyNDUzMjgifQ==</vt:lpwstr>
  </property>
  <property fmtid="{D5CDD505-2E9C-101B-9397-08002B2CF9AE}" pid="4" name="ICV">
    <vt:lpwstr>D7D420C2A94742F88C744798DA04FCFA_12</vt:lpwstr>
  </property>
</Properties>
</file>