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2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1FA2C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1" w:hRule="atLeast"/>
        </w:trPr>
        <w:tc>
          <w:tcPr>
            <w:tcW w:w="8620" w:type="dxa"/>
          </w:tcPr>
          <w:p w14:paraId="00E345A2">
            <w:pPr>
              <w:pStyle w:val="4"/>
              <w:rPr>
                <w:rFonts w:ascii="仿宋_GB2312" w:hAnsi="仿宋_GB2312" w:eastAsia="仿宋_GB2312" w:cs="仿宋_GB2312"/>
                <w:b/>
                <w:bCs/>
                <w:lang w:eastAsia="zh-CN"/>
              </w:rPr>
            </w:pPr>
            <w:bookmarkStart w:id="0" w:name="_Toc12047"/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一、招标要求</w:t>
            </w:r>
            <w:bookmarkEnd w:id="0"/>
          </w:p>
          <w:p w14:paraId="7109C665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1、编制“大雁塔不均匀沉降及变形监测”项目方案，并提供大雁塔监测专用测量设备工具。</w:t>
            </w:r>
          </w:p>
          <w:p w14:paraId="01F0D64A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2、本项目监测等级为“一等”，一年监测不少于</w:t>
            </w:r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二次</w:t>
            </w:r>
            <w:r>
              <w:rPr>
                <w:rFonts w:ascii="仿宋_GB2312" w:hAnsi="仿宋_GB2312" w:eastAsia="仿宋_GB2312" w:cs="仿宋_GB2312"/>
                <w:lang w:eastAsia="zh-CN"/>
              </w:rPr>
              <w:t>，特殊情况需随时加测，监测程序及监测技术科学合理，每次监测完成后及时向大雁塔管理机构提交专业技术报告，形成数据累计、对比分析，为综合研判提供监测依据。</w:t>
            </w:r>
          </w:p>
          <w:p w14:paraId="197E00B7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3、满足测绘内容：塔身轴线变化监测；塔身总体倾斜监测；塔身挠度监测；环塔路及其半径1公里范围内的地面沉降监测；塔身沉降监测；塔座及近处地面加密沉降点的监测；塔身结构稳定性的监测。</w:t>
            </w:r>
          </w:p>
          <w:p w14:paraId="5613879B">
            <w:pPr>
              <w:pStyle w:val="4"/>
              <w:rPr>
                <w:rFonts w:ascii="仿宋_GB2312" w:hAnsi="仿宋_GB2312" w:eastAsia="仿宋_GB2312" w:cs="仿宋_GB2312"/>
                <w:b/>
                <w:bCs/>
                <w:lang w:eastAsia="zh-CN"/>
              </w:rPr>
            </w:pPr>
            <w:bookmarkStart w:id="1" w:name="_Toc30426"/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二、技术要求</w:t>
            </w:r>
            <w:bookmarkEnd w:id="1"/>
          </w:p>
          <w:p w14:paraId="13E04629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依据本项目技术文件的要求，观测需达到但不限于下列现行主要的中华人民共和国以及 省、市或行业的沉降观测技术标准或规范的要求</w:t>
            </w:r>
          </w:p>
          <w:p w14:paraId="0E4F10E7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1、《中华人民共和国文物保护法》；</w:t>
            </w:r>
          </w:p>
          <w:p w14:paraId="3E65680C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2、《中国文物古迹保护准则》；</w:t>
            </w:r>
          </w:p>
          <w:p w14:paraId="55EEDBCF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 xml:space="preserve">3、《陕西省文物保护管理条例》； </w:t>
            </w:r>
          </w:p>
          <w:p w14:paraId="394D6C24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 xml:space="preserve">4、《西安市不可移动文物保护条例》； </w:t>
            </w:r>
          </w:p>
          <w:p w14:paraId="44AFCF78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 xml:space="preserve">5、《工程测量标准》（GB50026-2020）； </w:t>
            </w:r>
          </w:p>
          <w:p w14:paraId="75752994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 xml:space="preserve">6、《建筑变形测量规范》（JGJ8-2016）； </w:t>
            </w:r>
          </w:p>
          <w:p w14:paraId="0E5103AB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lang w:eastAsia="zh-CN"/>
              </w:rPr>
              <w:t>《全球定位系统（GPS）测量规范》（GB/T 18314-2009）；</w:t>
            </w:r>
          </w:p>
          <w:p w14:paraId="30F9CBEA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 xml:space="preserve">8、《国家一、二等水准测量规范》（GB/T 12897-2006）； </w:t>
            </w:r>
          </w:p>
          <w:p w14:paraId="4C11CF30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9、《岩土工程勘察规范》（GB5002</w:t>
            </w:r>
            <w:bookmarkStart w:id="3" w:name="_GoBack"/>
            <w:bookmarkEnd w:id="3"/>
            <w:r>
              <w:rPr>
                <w:rFonts w:ascii="仿宋_GB2312" w:hAnsi="仿宋_GB2312" w:eastAsia="仿宋_GB2312" w:cs="仿宋_GB2312"/>
                <w:lang w:eastAsia="zh-CN"/>
              </w:rPr>
              <w:t>1-2001）（2009 年版）；</w:t>
            </w:r>
          </w:p>
          <w:p w14:paraId="3FF9BD43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 xml:space="preserve">10、《供水水文地质勘察规范》GB50027-2001； </w:t>
            </w:r>
          </w:p>
          <w:p w14:paraId="071DDEF4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 xml:space="preserve">11、《公共安全视频监控联网系统信息传输、交换、控制技术要求》（GB/T28181-2016） ； </w:t>
            </w:r>
          </w:p>
          <w:p w14:paraId="689F8F20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</w:t>
            </w:r>
            <w:r>
              <w:rPr>
                <w:rFonts w:ascii="仿宋_GB2312" w:hAnsi="仿宋_GB2312" w:eastAsia="仿宋_GB2312" w:cs="仿宋_GB2312"/>
                <w:lang w:eastAsia="zh-CN"/>
              </w:rPr>
              <w:t>国家或行业其他相关规范、强制性标准</w:t>
            </w:r>
          </w:p>
          <w:p w14:paraId="124C6203">
            <w:pPr>
              <w:pStyle w:val="4"/>
              <w:rPr>
                <w:rFonts w:ascii="仿宋_GB2312" w:hAnsi="仿宋_GB2312" w:eastAsia="仿宋_GB2312" w:cs="仿宋_GB2312"/>
                <w:b/>
                <w:bCs/>
                <w:lang w:eastAsia="zh-CN"/>
              </w:rPr>
            </w:pPr>
            <w:bookmarkStart w:id="2" w:name="_Toc24615"/>
            <w:r>
              <w:rPr>
                <w:rFonts w:ascii="仿宋_GB2312" w:hAnsi="仿宋_GB2312" w:eastAsia="仿宋_GB2312" w:cs="仿宋_GB2312"/>
                <w:b/>
                <w:bCs/>
                <w:lang w:eastAsia="zh-CN"/>
              </w:rPr>
              <w:t>三、</w:t>
            </w:r>
            <w:bookmarkEnd w:id="2"/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人员配置要求</w:t>
            </w:r>
          </w:p>
          <w:p w14:paraId="21A90E90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lang w:eastAsia="zh-CN"/>
              </w:rPr>
              <w:t>、中标人须承诺根据招标人要求能够保证在临时因工作需要时，安排1名人员，在招标人指定的场所驻点工作。</w:t>
            </w:r>
          </w:p>
          <w:p w14:paraId="1462B943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lang w:eastAsia="zh-CN"/>
              </w:rPr>
              <w:t>、中标人须在投标文件中详细列清参与本项目人员的名单、资历、资格。项目执行期间，中标人须严格按照投标文件填报的项目人员进行考勤管理。</w:t>
            </w:r>
          </w:p>
          <w:p w14:paraId="3777813D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lang w:eastAsia="zh-CN"/>
              </w:rPr>
              <w:t>、中标人在投标文件中填报的项目人员不得随意更换，如确需更换须经招标人同意，且拟更换人员应具备同等或以上专业技术资格。</w:t>
            </w:r>
          </w:p>
          <w:p w14:paraId="1CF5404B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lang w:eastAsia="zh-CN"/>
              </w:rPr>
              <w:t>、中标人派出的人员不能胜任该项工作的，招标人有权要求调换。</w:t>
            </w:r>
          </w:p>
          <w:p w14:paraId="78C77AE1">
            <w:pPr>
              <w:pStyle w:val="4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lang w:eastAsia="zh-CN"/>
              </w:rPr>
              <w:t>、中标人派出的人员违反有关法律、法规或招标人制定的工作纪律、或被有效投诉的，招标人除相应扣减要支付给中标人的费用外，可视情节解除与中标人的服务协议。</w:t>
            </w:r>
          </w:p>
          <w:p w14:paraId="0148E17B">
            <w:pPr>
              <w:pStyle w:val="4"/>
              <w:rPr>
                <w:rFonts w:ascii="仿宋_GB2312" w:hAnsi="仿宋_GB2312" w:eastAsia="仿宋_GB2312" w:cs="仿宋_GB2312"/>
              </w:rPr>
            </w:pPr>
          </w:p>
        </w:tc>
      </w:tr>
    </w:tbl>
    <w:p w14:paraId="69DD83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376B0"/>
    <w:rsid w:val="5387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835</Words>
  <Characters>934</Characters>
  <Lines>0</Lines>
  <Paragraphs>0</Paragraphs>
  <TotalTime>0</TotalTime>
  <ScaleCrop>false</ScaleCrop>
  <LinksUpToDate>false</LinksUpToDate>
  <CharactersWithSpaces>948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2026-04-22T01:58:00Z</dcterms:created>
  <dc:creator>Lenovo</dc:creator>
  <cp:lastModifiedBy>123</cp:lastModifiedBy>
  <dcterms:modified xsi:type="dcterms:W3CDTF">2026-04-23T00:41:28Z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F7E4E1D28CF04265B4467BFF1F81A8AE_12</vt:lpwstr>
  </property>
</Properties>
</file>