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版本号：CGZC-2025-268（ZR20GN2025-CS-090）R20260316001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西安浐灞国际港公厕排污管道改造项目(二次)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CGZC-2025-268（ZR20GN2025-CS-090）R</w:t>
      </w:r>
      <w:r>
        <w:br/>
      </w:r>
      <w:r>
        <w:br/>
      </w:r>
      <w:r>
        <w:br/>
      </w:r>
    </w:p>
    <w:p>
      <w:pPr>
        <w:pStyle w:val="null3"/>
        <w:jc w:val="center"/>
        <w:outlineLvl w:val="2"/>
      </w:pPr>
      <w:r>
        <w:rPr>
          <w:rFonts w:ascii="仿宋_GB2312" w:hAnsi="仿宋_GB2312" w:cs="仿宋_GB2312" w:eastAsia="仿宋_GB2312"/>
          <w:sz w:val="28"/>
          <w:b/>
        </w:rPr>
        <w:t>西安浐灞国际港城市管理和综合执法局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西安浐灞国际港城市管理和综合执法局</w:t>
      </w:r>
      <w:r>
        <w:rPr>
          <w:rFonts w:ascii="仿宋_GB2312" w:hAnsi="仿宋_GB2312" w:cs="仿宋_GB2312" w:eastAsia="仿宋_GB2312"/>
        </w:rPr>
        <w:t>委托，拟对</w:t>
      </w:r>
      <w:r>
        <w:rPr>
          <w:rFonts w:ascii="仿宋_GB2312" w:hAnsi="仿宋_GB2312" w:cs="仿宋_GB2312" w:eastAsia="仿宋_GB2312"/>
        </w:rPr>
        <w:t>西安浐灞国际港公厕排污管道改造项目(二次)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CGZC-2025-268（ZR20GN2025-CS-090）R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西安浐灞国际港公厕排污管道改造项目(二次)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为方便公厕排污，确保公厕正常开放，按照市政污水接入规范，对青柳驿公厕、山几一方公厕、御锦城公厕、昭远驿公厕、秦汉大道公厕、启源一路公厕内、外排污管道进行改造，将公厕污水接入市政污水管网。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采购包1（西安浐灞国际港公厕排污管道改造项目）：属于专门面向中小企业采购。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1、供应商要求：供应商须具备建设行政主管部门颁发的建筑工程施工总承包三级（含）及以上资质或市政公用工程施工总承包三级（含）及以上资质，且具有有效的安全生产许可证；</w:t>
      </w:r>
    </w:p>
    <w:p>
      <w:pPr>
        <w:pStyle w:val="null3"/>
      </w:pPr>
      <w:r>
        <w:rPr>
          <w:rFonts w:ascii="仿宋_GB2312" w:hAnsi="仿宋_GB2312" w:cs="仿宋_GB2312" w:eastAsia="仿宋_GB2312"/>
        </w:rPr>
        <w:t>2、拟派项目经理资质和专业要求：项目经理须具备建筑工程专业二级（含）及以上注册建造师证书或市政公用工程专业二级（含）及以上注册建造师证书，且具有有效的安全生产考核合格证（建安B证），且未担任其他在建工程项目的声明；</w:t>
      </w:r>
    </w:p>
    <w:p>
      <w:pPr>
        <w:pStyle w:val="null3"/>
      </w:pPr>
      <w:r>
        <w:rPr>
          <w:rFonts w:ascii="仿宋_GB2312" w:hAnsi="仿宋_GB2312" w:cs="仿宋_GB2312" w:eastAsia="仿宋_GB2312"/>
        </w:rPr>
        <w:t>3、法定代表人授权委托书：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4、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5、联合体：本项目不接受联合体竞争性磋商。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029-83450819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采购包1：680,772.74元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西安浐灞国际港城市管理和综合执法局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符合采购文件和国家及行业规定的建筑工程质量检验评定“合格”标准。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680,772.74</w:t>
      </w:r>
    </w:p>
    <w:p>
      <w:pPr>
        <w:pStyle w:val="null3"/>
      </w:pPr>
      <w:r>
        <w:rPr>
          <w:rFonts w:ascii="仿宋_GB2312" w:hAnsi="仿宋_GB2312" w:cs="仿宋_GB2312" w:eastAsia="仿宋_GB2312"/>
        </w:rPr>
        <w:t>采购包最高限价（元）: 680,772.74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西安浐灞国际港公厕排污管道改造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680,772.74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标的名称：西安浐灞国际港公厕排污管道改造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jc w:val="left"/>
            </w:pPr>
            <w:r>
              <w:rPr>
                <w:rFonts w:ascii="仿宋_GB2312" w:hAnsi="仿宋_GB2312" w:cs="仿宋_GB2312" w:eastAsia="仿宋_GB2312"/>
              </w:rPr>
              <w:t>为方便公厕排污，确保公厕正常开放，按照市政污水接入规范，对青柳驿公厕、山几一方公厕、御锦城公厕、昭远驿公厕、秦汉大道公厕、启源一路公厕内、外排污管道进行改造，将公厕污水接入市政污水管网。</w:t>
            </w:r>
          </w:p>
          <w:p>
            <w:pPr>
              <w:pStyle w:val="null3"/>
              <w:jc w:val="left"/>
            </w:pPr>
            <w:r>
              <w:rPr>
                <w:rFonts w:ascii="仿宋_GB2312" w:hAnsi="仿宋_GB2312" w:cs="仿宋_GB2312" w:eastAsia="仿宋_GB2312"/>
              </w:rPr>
              <w:t>二、工程内容和施工地点、计划工期、缺陷责任期、质量保修期</w:t>
            </w:r>
          </w:p>
          <w:p>
            <w:pPr>
              <w:pStyle w:val="null3"/>
              <w:jc w:val="left"/>
            </w:pPr>
            <w:r>
              <w:rPr>
                <w:rFonts w:ascii="仿宋_GB2312" w:hAnsi="仿宋_GB2312" w:cs="仿宋_GB2312" w:eastAsia="仿宋_GB2312"/>
              </w:rPr>
              <w:t>1.</w:t>
            </w:r>
            <w:r>
              <w:rPr>
                <w:rFonts w:ascii="仿宋_GB2312" w:hAnsi="仿宋_GB2312" w:cs="仿宋_GB2312" w:eastAsia="仿宋_GB2312"/>
              </w:rPr>
              <w:t>工程内容：本项目主要对青柳驿公厕、山几一方公厕、御锦城公厕、昭远驿公厕、秦汉大道公厕、启源一路公厕内、外排污管道进行改造，将公厕污水接入市政污水管网。</w:t>
            </w:r>
          </w:p>
          <w:p>
            <w:pPr>
              <w:pStyle w:val="null3"/>
              <w:jc w:val="left"/>
            </w:pPr>
            <w:r>
              <w:rPr>
                <w:rFonts w:ascii="仿宋_GB2312" w:hAnsi="仿宋_GB2312" w:cs="仿宋_GB2312" w:eastAsia="仿宋_GB2312"/>
              </w:rPr>
              <w:t>2.</w:t>
            </w:r>
            <w:r>
              <w:rPr>
                <w:rFonts w:ascii="仿宋_GB2312" w:hAnsi="仿宋_GB2312" w:cs="仿宋_GB2312" w:eastAsia="仿宋_GB2312"/>
              </w:rPr>
              <w:t>工程地点：西安浐灞国际港辖区内。</w:t>
            </w:r>
          </w:p>
          <w:p>
            <w:pPr>
              <w:pStyle w:val="null3"/>
              <w:jc w:val="left"/>
            </w:pPr>
            <w:r>
              <w:rPr>
                <w:rFonts w:ascii="仿宋_GB2312" w:hAnsi="仿宋_GB2312" w:cs="仿宋_GB2312" w:eastAsia="仿宋_GB2312"/>
              </w:rPr>
              <w:t>3.</w:t>
            </w:r>
            <w:r>
              <w:rPr>
                <w:rFonts w:ascii="仿宋_GB2312" w:hAnsi="仿宋_GB2312" w:cs="仿宋_GB2312" w:eastAsia="仿宋_GB2312"/>
              </w:rPr>
              <w:t>计划工期：自进场之日起</w:t>
            </w:r>
            <w:r>
              <w:rPr>
                <w:rFonts w:ascii="仿宋_GB2312" w:hAnsi="仿宋_GB2312" w:cs="仿宋_GB2312" w:eastAsia="仿宋_GB2312"/>
              </w:rPr>
              <w:t>60</w:t>
            </w:r>
            <w:r>
              <w:rPr>
                <w:rFonts w:ascii="仿宋_GB2312" w:hAnsi="仿宋_GB2312" w:cs="仿宋_GB2312" w:eastAsia="仿宋_GB2312"/>
              </w:rPr>
              <w:t>个日历日内竣工。</w:t>
            </w:r>
          </w:p>
          <w:p>
            <w:pPr>
              <w:pStyle w:val="null3"/>
              <w:jc w:val="left"/>
            </w:pPr>
            <w:r>
              <w:rPr>
                <w:rFonts w:ascii="仿宋_GB2312" w:hAnsi="仿宋_GB2312" w:cs="仿宋_GB2312" w:eastAsia="仿宋_GB2312"/>
              </w:rPr>
              <w:t>4.</w:t>
            </w:r>
            <w:r>
              <w:rPr>
                <w:rFonts w:ascii="仿宋_GB2312" w:hAnsi="仿宋_GB2312" w:cs="仿宋_GB2312" w:eastAsia="仿宋_GB2312"/>
              </w:rPr>
              <w:t>质量保修期（与质保金的退还无关）：</w:t>
            </w:r>
            <w:r>
              <w:rPr>
                <w:rFonts w:ascii="仿宋_GB2312" w:hAnsi="仿宋_GB2312" w:cs="仿宋_GB2312" w:eastAsia="仿宋_GB2312"/>
              </w:rPr>
              <w:t>2年</w:t>
            </w:r>
            <w:r>
              <w:rPr>
                <w:rFonts w:ascii="仿宋_GB2312" w:hAnsi="仿宋_GB2312" w:cs="仿宋_GB2312" w:eastAsia="仿宋_GB2312"/>
              </w:rPr>
              <w:t>。</w:t>
            </w:r>
          </w:p>
          <w:p>
            <w:pPr>
              <w:pStyle w:val="null3"/>
            </w:pPr>
            <w:r>
              <w:rPr>
                <w:rFonts w:ascii="仿宋_GB2312" w:hAnsi="仿宋_GB2312" w:cs="仿宋_GB2312" w:eastAsia="仿宋_GB2312"/>
              </w:rPr>
              <w:t>三、工程量清单</w:t>
            </w:r>
          </w:p>
          <w:p>
            <w:pPr>
              <w:pStyle w:val="null3"/>
            </w:pPr>
            <w:r>
              <w:rPr>
                <w:rFonts w:ascii="仿宋_GB2312" w:hAnsi="仿宋_GB2312" w:cs="仿宋_GB2312" w:eastAsia="仿宋_GB2312"/>
              </w:rPr>
              <w:t>详见附件：工程量清单</w:t>
            </w:r>
          </w:p>
          <w:p>
            <w:pPr>
              <w:pStyle w:val="null3"/>
            </w:pPr>
            <w:r>
              <w:rPr>
                <w:rFonts w:ascii="仿宋_GB2312" w:hAnsi="仿宋_GB2312" w:cs="仿宋_GB2312" w:eastAsia="仿宋_GB2312"/>
              </w:rPr>
              <w:t>四</w:t>
            </w:r>
            <w:r>
              <w:rPr>
                <w:rFonts w:ascii="仿宋_GB2312" w:hAnsi="仿宋_GB2312" w:cs="仿宋_GB2312" w:eastAsia="仿宋_GB2312"/>
              </w:rPr>
              <w:t>、施工要求</w:t>
            </w:r>
          </w:p>
          <w:p>
            <w:pPr>
              <w:pStyle w:val="null3"/>
            </w:pPr>
            <w:r>
              <w:rPr>
                <w:rFonts w:ascii="仿宋_GB2312" w:hAnsi="仿宋_GB2312" w:cs="仿宋_GB2312" w:eastAsia="仿宋_GB2312"/>
                <w:sz w:val="21"/>
              </w:rPr>
              <w:t>在施工期间，中标供应商必须注意人员安全，加强安全措施，并对施工人员进行安全教育。施工人员必须持证上岗。因采购人工作的特殊性，要求中标供应商在施工中做到封闭性施工。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符合采购文件和国家及行业规定的“合格”标准。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3.3.3落实政府采购政策：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 ④、《陕西省财政厅关于加快推进我省中小企业政府采购信用融资工作的通知》（陕财办采〔2020〕15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⑤、国务院办公厅《关于建立政府强制采购节能产品制度的通知》（国办发〔2007〕51号）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 （2）提供供应商在递交响应文件截止时间前6个月内任意一个月已缴纳的完税凭证或税务机关开具的完税证明（任意税种）（银行出具的缴税凭证或税务机关出具的证明的复印件，并加盖本单位公章）。依法免税或无须缴纳税收的供应商，应提供相应文件证明其依法免税； （3）提供供应商在递交响应文件截止时间前6个月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 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供应商须具备建设行政主管部门颁发的建筑工程施工总承包三级（含）及以上资质或市政公用工程施工总承包三级（含）及以上资质，且具有有效的安全生产许可证；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项目经理须具备建筑工程专业二级（含）及以上注册建造师证书或市政公用工程专业二级（含）及以上注册建造师证书，且具有有效的安全生产考核合格证（建安B证），且未担任其他在建工程项目的声明；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业绩一览表.docx 已标价工程量清单 中小企业声明函 残疾人福利性单位声明函 施工方案.docx 首次磋商报价表及分项报价表.docx 技术服务合同条款及其他商务要求应答表 标的清单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响应文件封面 报价函 首次磋商报价表及分项报价表.docx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依据供应商提供的本项目的总体施工方案评审：内容完整、可实施、且有针对性得6分；内容完整、可实施得4分；方案基本完整得2分；未提供不得分。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依据供应商提供的本项目的安全管理方案评审，内容包含： ①施工人员安全管理方案（3分）：内容完整、可实施、且有针对性得3分；内容完整、可实施得2分；方案基本完整得1分；未提供不得分。 ②施工现场安全管理方案（3分）：内容完整、可实施、且有针对性得3分；内容完整、可实施得2分；方案基本完整得1分；未提供不得分。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根据项目情况配备实施团队，人员数量、专业结构合理，技术能力强，经验丰富。内容完整、可实施、且有针对性6分；方案基本完整得3分；未提供不得分。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确保工程质量和安全生产的技术组织措施</w:t>
            </w:r>
          </w:p>
        </w:tc>
        <w:tc>
          <w:tcPr>
            <w:tcW w:type="dxa" w:w="2492"/>
          </w:tcPr>
          <w:p>
            <w:pPr>
              <w:pStyle w:val="null3"/>
            </w:pPr>
            <w:r>
              <w:rPr>
                <w:rFonts w:ascii="仿宋_GB2312" w:hAnsi="仿宋_GB2312" w:cs="仿宋_GB2312" w:eastAsia="仿宋_GB2312"/>
              </w:rPr>
              <w:t>依据供应商提供的本项目的确保工程质量和安全生产的技术组织措施评审，内容包含： ①质量检查措施（3分）：内容完整、可实施、且有针对性得3分；内容完整、可实施得2分；方案基本完整得1分；未提供不得分。 ②质量预防及控制措施（3分）：内容完整、可实施、且有针对性得3分；内容完整、可实施得2分；方案基本完整得1分；未提供不得分； ③安全技术措施（3分）：内容完整、可实施、且有针对性得3分；内容完整、可实施得2分；方案基本完整得1分；未提供不得分。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确保文明施工和环境保护的的技术组织措施</w:t>
            </w:r>
          </w:p>
        </w:tc>
        <w:tc>
          <w:tcPr>
            <w:tcW w:type="dxa" w:w="2492"/>
          </w:tcPr>
          <w:p>
            <w:pPr>
              <w:pStyle w:val="null3"/>
            </w:pPr>
            <w:r>
              <w:rPr>
                <w:rFonts w:ascii="仿宋_GB2312" w:hAnsi="仿宋_GB2312" w:cs="仿宋_GB2312" w:eastAsia="仿宋_GB2312"/>
              </w:rPr>
              <w:t>依据供应商提供的本项目的确保文明施工的技术组织措施及环境保护措施评审，内容包含： ①文明施工目标（3分）：内容完整、可实施、且有针对性得3分；内容完整、可实施得2分；方案基本完整得1分；未提供不得分。 ②防扰民措施（3分）：内容完整、可实施、且有针对性得3分；内容完整、可实施得2分；方案基本完整得1分；未提供不得分。 ③治污减霾和防尘污染措施（3分）：内容完整、可实施、且有针对性得3分；内容完整、可实施得2分；方案基本完整得1分；未提供不得分。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依据供应商提供的本项目的确保工期的技术组织措施评审，内容包含： ①工期保障体系（3分）：内容完整、可实施、且有针对性得3分；内容完整、可实施得2分；方案基本完整得1分；未提供不得分。 ②控制方法（3分）：内容完整、可实施、且有针对性得3分；内容完整、可实施得2分；方案基本完整得1分；未提供不得分。 ③误期的补救措施：（3分）：内容完整、可实施、且有针对性得3分；内容完整、可实施得2分；方案基本完整得1分；未提供不得分。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项目的材料及机具配备保证措施</w:t>
            </w:r>
          </w:p>
        </w:tc>
        <w:tc>
          <w:tcPr>
            <w:tcW w:type="dxa" w:w="2492"/>
          </w:tcPr>
          <w:p>
            <w:pPr>
              <w:pStyle w:val="null3"/>
            </w:pPr>
            <w:r>
              <w:rPr>
                <w:rFonts w:ascii="仿宋_GB2312" w:hAnsi="仿宋_GB2312" w:cs="仿宋_GB2312" w:eastAsia="仿宋_GB2312"/>
              </w:rPr>
              <w:t>依据供应商提供的本项目的机具设备投入计划，且合理可行、有针对性、符合本工程特点，材料供应贴紧项目进度且数量充足，操作性强得5分；材料及机具配备较合理、基本符合本工程特点得3分；材料及机具配备内容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依据供应商提供的本项目的劳动力安排计划评审：内容完整、可实施、且有针对性得5分；内容完整、可实施得3分；方案基本完整得1分；未提供不得分。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依据供应商提供的本项目的项目风险预测与防范，事故应急预案；内容完整、可实施、且有针对性得5分；内容完整、可实施得3分；方案基本完整得1分；未提供不得分。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提供2023年1月（以合同签订时间为准）至今类似项目业绩合同，每份计2分，满分10分。（注：附业绩合同扫描件或复印件。）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首次磋商报价表及分项报价表.docx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政府采购供应商拒绝政府采购领域商业贿赂承诺书.docx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