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7B32F">
      <w:pPr>
        <w:bidi w:val="0"/>
        <w:ind w:left="0" w:leftChars="0" w:firstLine="0" w:firstLineChars="0"/>
        <w:jc w:val="center"/>
        <w:outlineLvl w:val="2"/>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项目建设主要内容</w:t>
      </w:r>
    </w:p>
    <w:p w14:paraId="38BB6C05">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仿宋" w:hAnsi="仿宋" w:eastAsia="仿宋" w:cs="仿宋"/>
          <w:b/>
          <w:bCs/>
          <w:sz w:val="28"/>
          <w:szCs w:val="28"/>
          <w:lang w:val="en-US" w:eastAsia="zh-CN"/>
        </w:rPr>
      </w:pPr>
      <w:bookmarkStart w:id="0" w:name="_Toc10495"/>
      <w:bookmarkStart w:id="1" w:name="_Toc5978"/>
      <w:bookmarkStart w:id="2" w:name="_Toc6250"/>
      <w:bookmarkStart w:id="3" w:name="_Toc7850"/>
      <w:bookmarkStart w:id="4" w:name="_Toc19547"/>
      <w:bookmarkStart w:id="5" w:name="_Toc15482"/>
      <w:bookmarkStart w:id="6" w:name="_Toc24013"/>
      <w:bookmarkStart w:id="7" w:name="OLE_LINK20"/>
      <w:bookmarkStart w:id="8" w:name="_Toc23394"/>
      <w:bookmarkStart w:id="9" w:name="_Toc15705"/>
      <w:bookmarkStart w:id="10" w:name="_Toc25935"/>
      <w:r>
        <w:rPr>
          <w:rFonts w:hint="eastAsia" w:ascii="仿宋" w:hAnsi="仿宋" w:eastAsia="仿宋" w:cs="仿宋"/>
          <w:b/>
          <w:bCs/>
          <w:sz w:val="28"/>
          <w:szCs w:val="28"/>
          <w:lang w:val="en-US" w:eastAsia="zh-CN"/>
        </w:rPr>
        <w:t>1</w:t>
      </w:r>
      <w:r>
        <w:rPr>
          <w:rFonts w:hint="eastAsia" w:ascii="仿宋" w:hAnsi="仿宋" w:cs="仿宋"/>
          <w:b/>
          <w:bCs/>
          <w:sz w:val="28"/>
          <w:szCs w:val="28"/>
          <w:lang w:val="en-US" w:eastAsia="zh-CN"/>
        </w:rPr>
        <w:t>、</w:t>
      </w:r>
      <w:r>
        <w:rPr>
          <w:rFonts w:hint="eastAsia" w:ascii="仿宋" w:hAnsi="仿宋" w:eastAsia="仿宋" w:cs="仿宋"/>
          <w:b/>
          <w:bCs/>
          <w:sz w:val="28"/>
          <w:szCs w:val="28"/>
          <w:lang w:val="en-US" w:eastAsia="zh-CN"/>
        </w:rPr>
        <w:t>项目目标及成效</w:t>
      </w:r>
    </w:p>
    <w:p w14:paraId="171D0B81">
      <w:pPr>
        <w:pageBreakBefore w:val="0"/>
        <w:widowControl w:val="0"/>
        <w:kinsoku/>
        <w:wordWrap/>
        <w:overflowPunct/>
        <w:topLinePunct w:val="0"/>
        <w:autoSpaceDE/>
        <w:autoSpaceDN/>
        <w:bidi w:val="0"/>
        <w:adjustRightInd/>
        <w:snapToGrid/>
        <w:spacing w:line="360" w:lineRule="auto"/>
        <w:ind w:left="0" w:leftChars="0" w:firstLine="604" w:firstLineChars="200"/>
        <w:textAlignment w:val="auto"/>
        <w:outlineLvl w:val="2"/>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以严厉打击与全面遏制秦岭重点线路非法穿越探险行为为核心抓手，以严守秦岭生态安全底线、保护生物多样性为根本任务，通过对现有监控管理系统，关键隔离点位的智能预警设施进行提升改造，补齐“发现慢、预警迟、阻拦弱、处置难”的防控短板，构建“物理隔离+智能监测+自动预警+快速处置”的一体化防控闭环。实现重点进山卡口、关键路段、核心保护区边界全域覆盖、全程可控、即时响应，从源头阻断非法进入核心保护区、重点保护区的路径，最大限度减少非法穿越对秦岭植被、土壤、水源地及野生动物栖息地的人为干扰与破坏，切实维护秦岭生态系统原真性、完整性，保障区域生态安全与公共安全。</w:t>
      </w:r>
    </w:p>
    <w:p w14:paraId="3B494548">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仿宋" w:hAnsi="仿宋" w:eastAsia="仿宋" w:cs="仿宋"/>
          <w:sz w:val="28"/>
          <w:szCs w:val="28"/>
          <w:lang w:val="en-US" w:eastAsia="zh-CN"/>
        </w:rPr>
      </w:pPr>
      <w:bookmarkStart w:id="11" w:name="_Toc7838"/>
      <w:bookmarkStart w:id="12" w:name="_Toc31158"/>
      <w:bookmarkStart w:id="13" w:name="_Toc11421"/>
      <w:bookmarkStart w:id="14" w:name="_Toc12083"/>
      <w:bookmarkStart w:id="15" w:name="_Toc3204"/>
      <w:bookmarkStart w:id="16" w:name="_Toc23511"/>
      <w:bookmarkStart w:id="17" w:name="_Toc2083"/>
      <w:bookmarkStart w:id="18" w:name="_Toc7679"/>
      <w:bookmarkStart w:id="19" w:name="_Toc13893"/>
      <w:r>
        <w:rPr>
          <w:rFonts w:hint="eastAsia" w:ascii="仿宋" w:hAnsi="仿宋" w:eastAsia="仿宋" w:cs="仿宋"/>
          <w:sz w:val="28"/>
          <w:szCs w:val="28"/>
          <w:lang w:val="en-US" w:eastAsia="zh-CN"/>
        </w:rPr>
        <w:t>2</w:t>
      </w:r>
      <w:r>
        <w:rPr>
          <w:rFonts w:hint="eastAsia" w:ascii="仿宋" w:hAnsi="仿宋" w:cs="仿宋"/>
          <w:sz w:val="28"/>
          <w:szCs w:val="28"/>
          <w:lang w:val="en-US" w:eastAsia="zh-CN"/>
        </w:rPr>
        <w:t>、</w:t>
      </w:r>
      <w:r>
        <w:rPr>
          <w:rFonts w:hint="eastAsia" w:ascii="仿宋" w:hAnsi="仿宋" w:eastAsia="仿宋" w:cs="仿宋"/>
          <w:sz w:val="28"/>
          <w:szCs w:val="28"/>
          <w:lang w:val="en-US" w:eastAsia="zh-CN"/>
        </w:rPr>
        <w:t>项目区概况</w:t>
      </w:r>
      <w:bookmarkEnd w:id="11"/>
      <w:bookmarkEnd w:id="12"/>
      <w:bookmarkEnd w:id="13"/>
      <w:bookmarkEnd w:id="14"/>
      <w:bookmarkEnd w:id="15"/>
      <w:bookmarkEnd w:id="16"/>
      <w:bookmarkEnd w:id="17"/>
      <w:bookmarkEnd w:id="18"/>
      <w:bookmarkEnd w:id="19"/>
    </w:p>
    <w:p w14:paraId="59FCECCD">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2"/>
        <w:rPr>
          <w:rFonts w:hint="eastAsia" w:ascii="仿宋" w:hAnsi="仿宋" w:eastAsia="仿宋" w:cs="仿宋"/>
          <w:sz w:val="28"/>
          <w:szCs w:val="28"/>
          <w:lang w:val="en-US" w:eastAsia="zh-CN"/>
        </w:rPr>
      </w:pPr>
      <w:bookmarkStart w:id="20" w:name="_Toc7183"/>
      <w:bookmarkStart w:id="21" w:name="_Toc11635"/>
      <w:bookmarkStart w:id="22" w:name="_Toc4184"/>
      <w:bookmarkStart w:id="23" w:name="_Toc3010"/>
      <w:bookmarkStart w:id="24" w:name="_Toc28709"/>
      <w:bookmarkStart w:id="25" w:name="_Toc16876"/>
      <w:bookmarkStart w:id="26" w:name="_Toc12376"/>
      <w:bookmarkStart w:id="27" w:name="_Toc13882"/>
      <w:bookmarkStart w:id="28" w:name="_Toc29514"/>
      <w:bookmarkStart w:id="29" w:name="_Toc15032"/>
      <w:bookmarkStart w:id="30" w:name="_Toc16133"/>
      <w:bookmarkStart w:id="31" w:name="_Toc27804"/>
      <w:bookmarkStart w:id="32" w:name="_Toc27060"/>
      <w:r>
        <w:rPr>
          <w:rFonts w:hint="eastAsia" w:ascii="仿宋" w:hAnsi="仿宋" w:eastAsia="仿宋" w:cs="仿宋"/>
          <w:sz w:val="28"/>
          <w:szCs w:val="28"/>
          <w:lang w:val="en-US" w:eastAsia="zh-CN"/>
        </w:rPr>
        <w:t>2.1</w:t>
      </w:r>
      <w:bookmarkEnd w:id="20"/>
      <w:bookmarkEnd w:id="21"/>
      <w:bookmarkEnd w:id="22"/>
      <w:bookmarkEnd w:id="23"/>
      <w:bookmarkEnd w:id="24"/>
      <w:bookmarkEnd w:id="25"/>
      <w:bookmarkEnd w:id="26"/>
      <w:bookmarkEnd w:id="27"/>
      <w:bookmarkEnd w:id="28"/>
      <w:bookmarkEnd w:id="29"/>
      <w:bookmarkEnd w:id="30"/>
      <w:bookmarkEnd w:id="31"/>
      <w:r>
        <w:rPr>
          <w:rFonts w:hint="eastAsia" w:ascii="仿宋" w:hAnsi="仿宋" w:eastAsia="仿宋" w:cs="仿宋"/>
          <w:sz w:val="28"/>
          <w:szCs w:val="28"/>
          <w:lang w:val="en-US" w:eastAsia="zh-CN"/>
        </w:rPr>
        <w:t>项目背景</w:t>
      </w:r>
      <w:bookmarkEnd w:id="32"/>
    </w:p>
    <w:p w14:paraId="68436EC7">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bookmarkStart w:id="33" w:name="_Toc8264"/>
      <w:bookmarkStart w:id="34" w:name="_Toc5493"/>
      <w:bookmarkStart w:id="35" w:name="_Toc3882"/>
      <w:bookmarkStart w:id="36" w:name="_Toc27683"/>
      <w:r>
        <w:rPr>
          <w:rFonts w:hint="eastAsia" w:ascii="仿宋" w:hAnsi="仿宋" w:eastAsia="仿宋" w:cs="仿宋"/>
          <w:color w:val="auto"/>
          <w:spacing w:val="11"/>
          <w:sz w:val="28"/>
          <w:szCs w:val="28"/>
          <w:lang w:val="en-US" w:eastAsia="zh-CN"/>
        </w:rPr>
        <w:t>秦岭是我国的“中央水塔”和重要的生态安全屏障，具有“国家绿肺”、“生物基因库”之称。生物多样性丰富，生态系统独特，保护好秦岭直接关系到全国的生态安全、水资源安全和生物多样性安全。近年来，随着户外运动的兴起，部分户外爱好者违规穿越探险秦岭核心保护区、重点保护区等敏感区域的现象屡禁不止，对秦岭生态环境造成破坏，干扰野生动物栖息，同时带来严重的森林火灾隐患和人身安全风险，其中最为有名的两条线路“光鹿跑兵冰”（光头山、鹿角梁、跑马梁兵马营、冰晶顶五座山峰的简称）、鳌太线（整山到太白山，沿途经过导航架、麦秸岭、水窝子、飞机梁、金字塔、东塬、拔仙台）分别涉及陕西牛背梁国家级自然保护区和陕西太白山国家级自然保护区。在省委、省政府高度重视和各级政府的共同努力下，秦岭违规穿越探险行为得到了一定程度整治，取得了一些效果，但随着网络水平的不断发展，人们对极限运动的过度追求，使秦岭违规穿越探险又呈现出“发现难、劝返难、管控难、救援难”的新特点、新问题，违规穿越活动仍时有发生，防控形势依然严峻。</w:t>
      </w:r>
    </w:p>
    <w:p w14:paraId="59C04753">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为深入贯彻落实党中央、国务院和省委、省政府关于秦岭违规穿越探险的重要批示精神，切实提升秦岭违规穿越探险行为的发现、预警、劝阻和处置能力，构建“人防、技防、物防”相结合的综合防控体系，针对“光鹿跑兵冰”、螯太线专项整治秦岭违规穿越探险在基础设施和物防、技防方面存在的短板弱项，结合秦岭保护实际和现代防控技术水平，建议实施“秦岭违规穿越探险重点线路综合防控能力提升项目”。通过该项目实施，全面陕西太白山国家级自然保护区在秦岭违规穿越探险专项整治方面的能力，还秦岭以宁静、和谐、美丽。</w:t>
      </w:r>
    </w:p>
    <w:bookmarkEnd w:id="33"/>
    <w:bookmarkEnd w:id="34"/>
    <w:bookmarkEnd w:id="35"/>
    <w:bookmarkEnd w:id="36"/>
    <w:p w14:paraId="1C4B693A">
      <w:pPr>
        <w:pageBreakBefore w:val="0"/>
        <w:widowControl w:val="0"/>
        <w:kinsoku/>
        <w:wordWrap/>
        <w:overflowPunct/>
        <w:topLinePunct w:val="0"/>
        <w:autoSpaceDE/>
        <w:autoSpaceDN/>
        <w:bidi w:val="0"/>
        <w:adjustRightInd/>
        <w:snapToGrid/>
        <w:spacing w:line="360" w:lineRule="auto"/>
        <w:ind w:left="0" w:leftChars="0" w:firstLine="560" w:firstLineChars="200"/>
        <w:textAlignment w:val="auto"/>
        <w:outlineLvl w:val="2"/>
        <w:rPr>
          <w:rFonts w:hint="eastAsia" w:ascii="仿宋" w:hAnsi="仿宋" w:eastAsia="仿宋" w:cs="仿宋"/>
          <w:sz w:val="28"/>
          <w:szCs w:val="28"/>
          <w:lang w:val="en-US" w:eastAsia="zh-CN"/>
        </w:rPr>
      </w:pPr>
      <w:bookmarkStart w:id="37" w:name="_Toc7518"/>
      <w:bookmarkStart w:id="38" w:name="_Toc19987"/>
      <w:bookmarkStart w:id="39" w:name="_Toc832"/>
      <w:bookmarkStart w:id="40" w:name="_Toc10280"/>
      <w:bookmarkStart w:id="41" w:name="_Toc10778"/>
      <w:bookmarkStart w:id="42" w:name="_Toc11148"/>
      <w:bookmarkStart w:id="43" w:name="_Toc15995"/>
      <w:bookmarkStart w:id="44" w:name="_Toc8944"/>
      <w:bookmarkStart w:id="45" w:name="_Toc23306"/>
      <w:bookmarkStart w:id="46" w:name="_Toc31276"/>
      <w:bookmarkStart w:id="47" w:name="_Toc31883"/>
      <w:r>
        <w:rPr>
          <w:rFonts w:hint="eastAsia" w:ascii="仿宋" w:hAnsi="仿宋" w:eastAsia="仿宋" w:cs="仿宋"/>
          <w:sz w:val="28"/>
          <w:szCs w:val="28"/>
          <w:lang w:val="en-US" w:eastAsia="zh-CN"/>
        </w:rPr>
        <w:t>2.2项目现状</w:t>
      </w:r>
      <w:bookmarkEnd w:id="37"/>
      <w:bookmarkEnd w:id="38"/>
      <w:bookmarkEnd w:id="39"/>
      <w:bookmarkEnd w:id="40"/>
      <w:bookmarkEnd w:id="41"/>
      <w:bookmarkEnd w:id="42"/>
      <w:bookmarkEnd w:id="43"/>
      <w:bookmarkEnd w:id="44"/>
      <w:bookmarkEnd w:id="45"/>
    </w:p>
    <w:p w14:paraId="21DA0D8F">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保护区内监控管理系统前期项目已经建设，在关键卡口和入山口也配置了相应功能的摄像机，但在功能上摄像机不具备自动识别、人脸抓拍、入侵跟踪等功能，都是靠仅有的越界预警功能，人工盯屏，发现滞后、预警不及时，难以第一时间掌握非法穿越行为；加上长年受恶劣天气的形象，部分摄像机硬件老化，画面模糊、夜视能力差、信号不稳定，夜间、雨雪雾等恶劣天气基本无法正常监控，形成大量监控盲区，亟需对摄像机进行更换升级。</w:t>
      </w:r>
    </w:p>
    <w:p w14:paraId="1218A69A">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在危险系数高或可能存在入口区域的边界，使用普通隔离栏在保护区边界进行隔离，仅具备基础物理阻拦作用，无预警、无报警、无震慑，非法人员可轻易翻越、破坏、绕行，防控效果极差。重点山口、沟口、核心区边界缺少智能预警手段，管护人员无法实时掌握隔离设施状态，设施被破坏后不能及时发现，长期处于“被动修补”状态。</w:t>
      </w:r>
    </w:p>
    <w:p w14:paraId="5ED5E423">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关键穿越点位无智能化拦截措施，无法形成有效封堵，非法穿越行为屡禁不止、屡劝屡返，亟需采取相应的措施进行有效的管理。</w:t>
      </w:r>
    </w:p>
    <w:bookmarkEnd w:id="46"/>
    <w:bookmarkEnd w:id="47"/>
    <w:p w14:paraId="001CCD14">
      <w:pPr>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1"/>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cs="仿宋"/>
          <w:sz w:val="28"/>
          <w:szCs w:val="28"/>
          <w:lang w:val="en-US" w:eastAsia="zh-CN"/>
        </w:rPr>
        <w:t>、</w:t>
      </w:r>
      <w:r>
        <w:rPr>
          <w:rFonts w:hint="eastAsia" w:ascii="仿宋" w:hAnsi="仿宋" w:eastAsia="仿宋" w:cs="仿宋"/>
          <w:sz w:val="28"/>
          <w:szCs w:val="28"/>
          <w:lang w:val="en-US" w:eastAsia="zh-CN"/>
        </w:rPr>
        <w:t>项目技术要求</w:t>
      </w:r>
    </w:p>
    <w:p w14:paraId="0BBE0BDA">
      <w:pPr>
        <w:pageBreakBefore w:val="0"/>
        <w:widowControl w:val="0"/>
        <w:kinsoku/>
        <w:wordWrap/>
        <w:overflowPunct/>
        <w:topLinePunct w:val="0"/>
        <w:autoSpaceDE/>
        <w:autoSpaceDN/>
        <w:bidi w:val="0"/>
        <w:adjustRightInd/>
        <w:snapToGrid/>
        <w:spacing w:line="360" w:lineRule="auto"/>
        <w:ind w:left="0" w:leftChars="0" w:firstLine="604" w:firstLineChars="200"/>
        <w:textAlignment w:val="auto"/>
        <w:outlineLvl w:val="2"/>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3.1监测管理系统升级改造</w:t>
      </w:r>
    </w:p>
    <w:bookmarkEnd w:id="0"/>
    <w:bookmarkEnd w:id="1"/>
    <w:bookmarkEnd w:id="2"/>
    <w:p w14:paraId="697466C3">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监测管理系统升级改造，主要是对保护区12处关键卡口和入山口处的监测设备进行能力提升，提高监测能力，为更好的监测区域内的人为活动。</w:t>
      </w:r>
    </w:p>
    <w:p w14:paraId="010E2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（1）监测设备更换</w:t>
      </w:r>
    </w:p>
    <w:p w14:paraId="6C7BC2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本次项目建设，主要对保护区的关键卡口和入山口处的监测摄像机，进行功能上的提升，共更换双光谱球机12套。</w:t>
      </w:r>
    </w:p>
    <w:p w14:paraId="32997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（2）监测立杆提升改造</w:t>
      </w:r>
    </w:p>
    <w:p w14:paraId="28BC9659">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本次监测立杆提升改造工作，主要针对蒿坪、铁甲树、下白云、平安寺及马台沟五大区域已建成的现有监测立杆及其它设施设备开展系统性维护与全方位升级优化。</w:t>
      </w:r>
    </w:p>
    <w:p w14:paraId="42324A9A">
      <w:pPr>
        <w:pageBreakBefore w:val="0"/>
        <w:widowControl w:val="0"/>
        <w:kinsoku/>
        <w:wordWrap/>
        <w:overflowPunct/>
        <w:topLinePunct w:val="0"/>
        <w:autoSpaceDE/>
        <w:autoSpaceDN/>
        <w:bidi w:val="0"/>
        <w:adjustRightInd/>
        <w:snapToGrid/>
        <w:spacing w:line="360" w:lineRule="auto"/>
        <w:ind w:firstLine="604" w:firstLineChars="200"/>
        <w:textAlignment w:val="auto"/>
        <w:outlineLvl w:val="9"/>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其中蒿坪片区共计维护改造6处监测立杆，铁甲树片区3处监测立杆及新增135米围栏，下白云片区1处监测立杆，平安寺片区2处监测立杆、马台沟新增远程喊话1套。</w:t>
      </w:r>
    </w:p>
    <w:p w14:paraId="68505F8E">
      <w:pPr>
        <w:pageBreakBefore w:val="0"/>
        <w:widowControl w:val="0"/>
        <w:kinsoku/>
        <w:wordWrap/>
        <w:overflowPunct/>
        <w:topLinePunct w:val="0"/>
        <w:autoSpaceDE/>
        <w:autoSpaceDN/>
        <w:bidi w:val="0"/>
        <w:adjustRightInd/>
        <w:snapToGrid/>
        <w:spacing w:line="360" w:lineRule="auto"/>
        <w:ind w:left="0" w:leftChars="0" w:firstLine="604" w:firstLineChars="200"/>
        <w:textAlignment w:val="auto"/>
        <w:outlineLvl w:val="2"/>
        <w:rPr>
          <w:rFonts w:hint="eastAsia" w:ascii="仿宋" w:hAnsi="仿宋" w:eastAsia="仿宋" w:cs="仿宋"/>
          <w:b w:val="0"/>
          <w:bCs w:val="0"/>
          <w:color w:val="auto"/>
          <w:spacing w:val="11"/>
          <w:kern w:val="2"/>
          <w:sz w:val="28"/>
          <w:szCs w:val="28"/>
          <w:lang w:val="en-US" w:eastAsia="zh-CN" w:bidi="ar-SA"/>
        </w:rPr>
      </w:pPr>
      <w:r>
        <w:rPr>
          <w:rFonts w:hint="eastAsia" w:ascii="仿宋" w:hAnsi="仿宋" w:eastAsia="仿宋" w:cs="仿宋"/>
          <w:b w:val="0"/>
          <w:bCs w:val="0"/>
          <w:color w:val="auto"/>
          <w:spacing w:val="11"/>
          <w:kern w:val="2"/>
          <w:sz w:val="28"/>
          <w:szCs w:val="28"/>
          <w:lang w:val="en-US" w:eastAsia="zh-CN" w:bidi="ar-SA"/>
        </w:rPr>
        <w:t>3.2振动光纤周界报警系统</w:t>
      </w:r>
    </w:p>
    <w:bookmarkEnd w:id="3"/>
    <w:bookmarkEnd w:id="4"/>
    <w:bookmarkEnd w:id="5"/>
    <w:bookmarkEnd w:id="6"/>
    <w:bookmarkEnd w:id="7"/>
    <w:bookmarkEnd w:id="8"/>
    <w:bookmarkEnd w:id="9"/>
    <w:bookmarkEnd w:id="10"/>
    <w:p w14:paraId="11E562A1">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b w:val="0"/>
          <w:bCs w:val="0"/>
          <w:color w:val="auto"/>
          <w:spacing w:val="11"/>
          <w:kern w:val="2"/>
          <w:sz w:val="28"/>
          <w:szCs w:val="28"/>
          <w:lang w:val="en-US" w:eastAsia="zh-CN" w:bidi="ar-SA"/>
        </w:rPr>
        <w:t>振动光纤周界报警系统建设，是在保护区危险系数高或可能存在入口区域边界，安装振动光纤，主要敷设在铁甲树、羊皮沟、蒿坪、小文公、马台沟检查站周围的</w:t>
      </w:r>
      <w:r>
        <w:rPr>
          <w:rFonts w:hint="eastAsia" w:ascii="仿宋" w:hAnsi="仿宋" w:eastAsia="仿宋" w:cs="仿宋"/>
          <w:color w:val="auto"/>
          <w:spacing w:val="11"/>
          <w:sz w:val="28"/>
          <w:szCs w:val="28"/>
          <w:lang w:val="en-US" w:eastAsia="zh-CN"/>
        </w:rPr>
        <w:t>围栏上，结合配套的主机、传输设备、声光报警喇叭、以及后端分析报警软件，来实现实时报警，通过主机内置的AI智能算法，分析出入侵事件发生的具体位置。</w:t>
      </w:r>
    </w:p>
    <w:p w14:paraId="7F8B3E2F">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eastAsia"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本项目振动光纤周界报警系统的建设，主要建设在铁甲树、羊皮沟、蒿坪、小文公4处区域，在危险系数高或可能存在的入口区域边界进行建设，主要安装在检查站周围的围栏上，各区域建设1套振动光纤周界报警系统。</w:t>
      </w:r>
    </w:p>
    <w:p w14:paraId="640D5EE9">
      <w:pPr>
        <w:keepNext w:val="0"/>
        <w:keepLines w:val="0"/>
        <w:pageBreakBefore w:val="0"/>
        <w:widowControl w:val="0"/>
        <w:kinsoku/>
        <w:wordWrap/>
        <w:overflowPunct/>
        <w:topLinePunct w:val="0"/>
        <w:autoSpaceDE/>
        <w:autoSpaceDN/>
        <w:bidi w:val="0"/>
        <w:adjustRightInd/>
        <w:snapToGrid/>
        <w:spacing w:line="360" w:lineRule="auto"/>
        <w:ind w:firstLine="604" w:firstLineChars="200"/>
        <w:jc w:val="left"/>
        <w:textAlignment w:val="auto"/>
        <w:rPr>
          <w:rFonts w:hint="default" w:ascii="仿宋" w:hAnsi="仿宋" w:eastAsia="仿宋" w:cs="仿宋"/>
          <w:color w:val="auto"/>
          <w:spacing w:val="11"/>
          <w:sz w:val="28"/>
          <w:szCs w:val="28"/>
          <w:lang w:val="en-US" w:eastAsia="zh-CN"/>
        </w:rPr>
      </w:pPr>
      <w:r>
        <w:rPr>
          <w:rFonts w:hint="eastAsia" w:ascii="仿宋" w:hAnsi="仿宋" w:eastAsia="仿宋" w:cs="仿宋"/>
          <w:color w:val="auto"/>
          <w:spacing w:val="11"/>
          <w:sz w:val="28"/>
          <w:szCs w:val="28"/>
          <w:lang w:val="en-US" w:eastAsia="zh-CN"/>
        </w:rPr>
        <w:t>其他信息详见招</w:t>
      </w:r>
      <w:bookmarkStart w:id="48" w:name="_GoBack"/>
      <w:bookmarkEnd w:id="48"/>
      <w:r>
        <w:rPr>
          <w:rFonts w:hint="eastAsia" w:ascii="仿宋" w:hAnsi="仿宋" w:eastAsia="仿宋" w:cs="仿宋"/>
          <w:color w:val="auto"/>
          <w:spacing w:val="11"/>
          <w:sz w:val="28"/>
          <w:szCs w:val="28"/>
          <w:lang w:val="en-US" w:eastAsia="zh-CN"/>
        </w:rPr>
        <w:t>标文件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953B1"/>
    <w:rsid w:val="29B95834"/>
    <w:rsid w:val="49EC55C0"/>
    <w:rsid w:val="6098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left"/>
    </w:pPr>
    <w:rPr>
      <w:rFonts w:ascii="Times New Roman" w:hAnsi="Times New Roman" w:eastAsia="仿宋" w:cs="Times New Roman"/>
      <w:kern w:val="2"/>
      <w:sz w:val="28"/>
      <w:szCs w:val="24"/>
      <w:lang w:val="en-US" w:eastAsia="zh-CN" w:bidi="ar-SA"/>
    </w:rPr>
  </w:style>
  <w:style w:type="paragraph" w:styleId="2">
    <w:name w:val="heading 4"/>
    <w:basedOn w:val="1"/>
    <w:next w:val="1"/>
    <w:qFormat/>
    <w:uiPriority w:val="0"/>
    <w:pPr>
      <w:keepNext/>
      <w:keepLines/>
      <w:ind w:firstLine="0" w:firstLineChars="0"/>
      <w:outlineLvl w:val="3"/>
    </w:pPr>
    <w:rPr>
      <w:rFonts w:eastAsia="仿宋"/>
      <w:b/>
      <w:bCs/>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1185</Words>
  <Characters>1189</Characters>
  <Lines>0</Lines>
  <Paragraphs>0</Paragraphs>
  <TotalTime>2</TotalTime>
  <ScaleCrop>false</ScaleCrop>
  <LinksUpToDate>false</LinksUpToDate>
  <CharactersWithSpaces>1189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2026-04-17T08:56:00Z</dcterms:created>
  <dc:creator>辛明</dc:creator>
  <cp:lastModifiedBy>王天鹏</cp:lastModifiedBy>
  <dcterms:modified xsi:type="dcterms:W3CDTF">2026-04-23T14:23:09Z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eyJoZGlkIjoiNDBjYzFmMWQzOTQxOWZlZWZlNGU0MzAyNTQzODJmZWMiLCJ1c2VySWQiOiIzOTg2MDAyMTkifQ==</vt:lpwstr>
  </property>
  <property fmtid="{D5CDD505-2E9C-101B-9397-08002B2CF9AE}" pid="4" name="ICV">
    <vt:lpwstr>84FEDDAD970F4D67BC45ADE646132142_12</vt:lpwstr>
  </property>
</Properties>
</file>