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1E05">
      <w:pPr>
        <w:pStyle w:val="4"/>
        <w:jc w:val="center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采购需求</w:t>
      </w:r>
    </w:p>
    <w:p w14:paraId="122CA024">
      <w:pPr>
        <w:pStyle w:val="4"/>
        <w:jc w:val="both"/>
        <w:rPr>
          <w:rFonts w:hint="eastAsia" w:ascii="仿宋_GB2312" w:hAnsi="仿宋_GB2312" w:eastAsia="仿宋_GB2312" w:cs="仿宋_GB2312"/>
          <w:b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lang w:val="en-US" w:eastAsia="zh-CN"/>
        </w:rPr>
        <w:t>一、项目概况</w:t>
      </w:r>
    </w:p>
    <w:p w14:paraId="29099971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通过开展会展业第三方统计工作，进一步提高西安市会展业统计数据的客观性和专业性，做到广泛收集、应统尽统，对相关数据进行深入分析和与其他副省级城市数据对比，全面呈现我市会展业发展情况，提出合理化和可行性建议，为政府行业主管部门及单位提供决策依据。</w:t>
      </w:r>
    </w:p>
    <w:p w14:paraId="3832FF55">
      <w:pPr>
        <w:pStyle w:val="4"/>
        <w:jc w:val="both"/>
      </w:pPr>
      <w:r>
        <w:rPr>
          <w:rFonts w:hint="eastAsia" w:ascii="仿宋_GB2312" w:hAnsi="仿宋_GB2312" w:eastAsia="仿宋_GB2312" w:cs="仿宋_GB2312"/>
          <w:b/>
          <w:lang w:val="en-US" w:eastAsia="zh-CN"/>
        </w:rPr>
        <w:t>二、</w:t>
      </w:r>
      <w:r>
        <w:rPr>
          <w:rFonts w:ascii="仿宋_GB2312" w:hAnsi="仿宋_GB2312" w:eastAsia="仿宋_GB2312" w:cs="仿宋_GB2312"/>
          <w:b/>
        </w:rPr>
        <w:t>服务内容</w:t>
      </w:r>
    </w:p>
    <w:p w14:paraId="2491FFB1">
      <w:pPr>
        <w:pStyle w:val="4"/>
        <w:jc w:val="both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（一）会展业基础统计</w:t>
      </w:r>
      <w:bookmarkStart w:id="0" w:name="_GoBack"/>
      <w:bookmarkEnd w:id="0"/>
    </w:p>
    <w:p w14:paraId="03449C3E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开展展会项目统计调查以展览项目统计调查为主，兼顾规模以上的会议活动和促销会。统计对象包括会展活动重点场所、会展活动组织单位、会展服务商、会展活动的延伸企业等。</w:t>
      </w:r>
    </w:p>
    <w:p w14:paraId="03CBCC72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1.展览项目统计调查指标包括展会名称、所在展馆、主承办单位、展出时间、总展览天数、展出面积、行业分类（一、二类）展出形式、参展公司数量、观众人数、意向成交额或实际成交额等。</w:t>
      </w:r>
    </w:p>
    <w:p w14:paraId="1FACFAAB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2.会议活动统计调查指标包括会议名称、举办地点、主承办单位、会议时间、参会人数、会议面积等。</w:t>
      </w:r>
    </w:p>
    <w:p w14:paraId="30AA96D4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3.促销会统计调查指标包括活动名称、举办地点、主承办单位、活动时间、参展公司数量、观众人数、成交额等。</w:t>
      </w:r>
    </w:p>
    <w:p w14:paraId="4D8EC16B">
      <w:pPr>
        <w:pStyle w:val="4"/>
        <w:jc w:val="both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（二）会展业延伸统计</w:t>
      </w:r>
    </w:p>
    <w:p w14:paraId="373D8B57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1.完善重点会展企业动态数据库：分类别优化骨干库、成长库、种子库3个重点会展企业库，实时更新企业数量、名称、所属区县、业务类型、营收情况、运营项目等数据，精准掌握企业发展态势。</w:t>
      </w:r>
    </w:p>
    <w:p w14:paraId="514DB966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2.科学测算会展带动效益：结合展会规模、参展人数、交易数据等指标，建立专业测算模型，核算会展业对我市住宿、餐饮、交通、旅游、零售等关联产业的拉动作用，量化会展经济综合贡献值。</w:t>
      </w:r>
    </w:p>
    <w:p w14:paraId="32CA6460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3.开展重点展会绩效评估：调研我市重点展会运作情况，从城市消费、产业发展、社会就业等维度开展绩效评估，全面反映展会综合带动作用。</w:t>
      </w:r>
    </w:p>
    <w:p w14:paraId="3B5F785C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4.推进重点会展城市对比分析：收集整理全国15个副省级城市会展核心数据，从展览数量、面积、展馆承载力、利用率、会议竞争力、政策出台情况等方面开展对比分析，精准定位我市会展业发展位次，挖掘优势与潜力。</w:t>
      </w:r>
    </w:p>
    <w:p w14:paraId="00E942C3">
      <w:pPr>
        <w:pStyle w:val="4"/>
        <w:jc w:val="both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三、技术要求</w:t>
      </w:r>
    </w:p>
    <w:p w14:paraId="061C04AC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对数据处理软件进行使用，解决数据处理软件在使用过程中出现的技术问题。</w:t>
      </w:r>
    </w:p>
    <w:p w14:paraId="0C1B330A">
      <w:pPr>
        <w:pStyle w:val="4"/>
        <w:jc w:val="both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四、服务要求</w:t>
      </w:r>
    </w:p>
    <w:p w14:paraId="229FE2E1">
      <w:pPr>
        <w:pStyle w:val="4"/>
        <w:ind w:firstLine="402" w:firstLineChars="200"/>
        <w:jc w:val="both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lang w:val="en-US" w:eastAsia="zh-CN"/>
        </w:rPr>
        <w:t>（一）服务标准</w:t>
      </w:r>
    </w:p>
    <w:p w14:paraId="2C176738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按照《西安市会展业统计报表制度》和省商务厅关于展览数据统计工作等要求，开展会展业统计服务，完成当年度西安市区域内举办展览、会议、展销等展会活动的统计工作，按时提供月度、季度、年度统计数据收集汇总，开展季度数据分析和年度统计分析报告。</w:t>
      </w:r>
    </w:p>
    <w:p w14:paraId="43E1B6E7">
      <w:pPr>
        <w:pStyle w:val="4"/>
        <w:ind w:firstLine="402" w:firstLineChars="200"/>
        <w:jc w:val="both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lang w:val="en-US" w:eastAsia="zh-CN"/>
        </w:rPr>
        <w:t>（二）人员配置</w:t>
      </w:r>
    </w:p>
    <w:p w14:paraId="22EC6C2A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成立项目工作小组，配备工作人员，制定服务方案。工作人员需熟悉会展行业和了解相关场馆、企业运作模式，并具备统计、调查及分析工作的经验。</w:t>
      </w:r>
    </w:p>
    <w:p w14:paraId="14E96F86">
      <w:pPr>
        <w:pStyle w:val="4"/>
        <w:jc w:val="both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五、商务要求</w:t>
      </w:r>
    </w:p>
    <w:p w14:paraId="386C40E4">
      <w:pPr>
        <w:pStyle w:val="4"/>
        <w:ind w:firstLine="402" w:firstLineChars="200"/>
        <w:jc w:val="both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lang w:val="en-US" w:eastAsia="zh-CN"/>
        </w:rPr>
        <w:t>（一）服务期限</w:t>
      </w:r>
    </w:p>
    <w:p w14:paraId="64327C1B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自合同签订之日至项目结束。</w:t>
      </w:r>
    </w:p>
    <w:p w14:paraId="261C62DC">
      <w:pPr>
        <w:pStyle w:val="4"/>
        <w:ind w:firstLine="402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（二）服务地点：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采购人指定地点。</w:t>
      </w:r>
    </w:p>
    <w:p w14:paraId="1BF18965">
      <w:pPr>
        <w:pStyle w:val="4"/>
        <w:ind w:firstLine="402" w:firstLineChars="200"/>
        <w:jc w:val="both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/>
          <w:bCs w:val="0"/>
          <w:lang w:val="en-US" w:eastAsia="zh-CN"/>
        </w:rPr>
        <w:t>）款项结算</w:t>
      </w:r>
    </w:p>
    <w:p w14:paraId="1E42B44B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付款条件说明： 合同签订后，供应商向采购方开具等额的增值税普通发票，采购方收到合规的发票 ，达到付款条件起 30日内，支付合同总金额的 60.00%。</w:t>
      </w:r>
    </w:p>
    <w:p w14:paraId="53B27A0C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付款条件说明： 供应商项目执行结束经验收合格后，向采购方开具等额的增值税普通发票，采购方收到合规的发票 ，达到付款条件起 30 日内，支付合同总金额的 40.00%。</w:t>
      </w:r>
    </w:p>
    <w:p w14:paraId="4E9DD372">
      <w:pPr>
        <w:pStyle w:val="4"/>
        <w:jc w:val="both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六、其他</w:t>
      </w:r>
    </w:p>
    <w:p w14:paraId="5EF5C0F6">
      <w:pPr>
        <w:pStyle w:val="4"/>
        <w:ind w:firstLine="402" w:firstLineChars="200"/>
        <w:jc w:val="both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（一）进度要求</w:t>
      </w:r>
    </w:p>
    <w:p w14:paraId="5C2C46D9">
      <w:pPr>
        <w:pStyle w:val="4"/>
        <w:ind w:firstLine="40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次月5个工作日内完成上月数据采集、整理，出具月度统计表；每季度结束后次月10个工作日内编制形成季度数据分析；年度统计报告根据项目进度按采购方要求按时提供。</w:t>
      </w:r>
    </w:p>
    <w:p w14:paraId="6667BF20">
      <w:pPr>
        <w:pStyle w:val="4"/>
        <w:ind w:firstLine="402" w:firstLineChars="200"/>
        <w:jc w:val="both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（二）成果交付要求</w:t>
      </w:r>
    </w:p>
    <w:p w14:paraId="382D76A6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1.提供会展业年度数据库，形成月度会展活动统计表12份、季度会展活动统计表4份、年度会展活动汇总表1份。</w:t>
      </w:r>
    </w:p>
    <w:p w14:paraId="089C20E2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2.提供重点会展企业骨干库、成长库和种子库3个数据库。</w:t>
      </w:r>
    </w:p>
    <w:p w14:paraId="3272FAA8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3.建立会展带动效益测算模型，形成测算分析报告1份。</w:t>
      </w:r>
    </w:p>
    <w:p w14:paraId="038956C3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3.撰写季度数据分析4份、年度统计报告1份。</w:t>
      </w:r>
    </w:p>
    <w:p w14:paraId="24B24F54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以上资料提供纸质版10份；电子版2份，并刻录U盘。</w:t>
      </w:r>
    </w:p>
    <w:p w14:paraId="7132E989">
      <w:pPr>
        <w:pStyle w:val="4"/>
        <w:ind w:firstLine="402" w:firstLineChars="200"/>
        <w:jc w:val="both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（三）质量验收标准或规范</w:t>
      </w:r>
    </w:p>
    <w:p w14:paraId="6A1295DB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参考《西安市会展业统计报表制度》和省商务厅关于展览数据统计工作等要求，在规定时间内完成方案设计、数据采集、数据处理、数据呈现、数据分析、报告撰写等各个环节的工作。统计报告做到图文并茂、科学详实，体现西安会展业发展情况、发展成果和前景优势，并按照甲方要求做好验收相关工作。</w:t>
      </w:r>
    </w:p>
    <w:p w14:paraId="2DA0765B">
      <w:pPr>
        <w:pStyle w:val="4"/>
        <w:ind w:firstLine="402" w:firstLineChars="200"/>
        <w:jc w:val="both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b/>
          <w:bCs w:val="0"/>
          <w:lang w:val="en-US" w:eastAsia="zh-CN"/>
        </w:rPr>
        <w:t>）违约责任</w:t>
      </w:r>
    </w:p>
    <w:p w14:paraId="46DB0403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1.按《中华人民共和国民法典》中的相关条款执行。</w:t>
      </w:r>
    </w:p>
    <w:p w14:paraId="1A0F737D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2.如任意一方不履行合同义务或者履行合同义务不符合约定的，应当承担继续履行、采取补救措施或者赔偿损失等违约责任。</w:t>
      </w:r>
    </w:p>
    <w:p w14:paraId="727D7CE6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3.因任何一方违约导致合同无法继续履行的，违约方需赔偿守约方合同金额20%的违约金，该违约金不足以弥补守约方实际损失的，违约方应赔偿守约方所有实际损失。</w:t>
      </w:r>
    </w:p>
    <w:p w14:paraId="581484F1">
      <w:pPr>
        <w:pStyle w:val="4"/>
        <w:ind w:firstLine="400" w:firstLineChars="200"/>
        <w:jc w:val="both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lang w:val="en-US" w:eastAsia="zh-CN"/>
        </w:rPr>
        <w:t>4.如碰到不可抗力因素造成无法按照原计划提供服务的，由甲乙双方协商解决。</w:t>
      </w:r>
    </w:p>
    <w:p w14:paraId="1AB5163D">
      <w:pPr>
        <w:pStyle w:val="4"/>
        <w:jc w:val="both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七、服务范围：本项目包含的所有服务。</w:t>
      </w:r>
    </w:p>
    <w:p w14:paraId="2E25C801"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八、服务标准：合格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92B13"/>
    <w:rsid w:val="4E09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2026-04-27T10:06:00Z</dcterms:created>
  <dc:creator>hi wang</dc:creator>
  <cp:lastModifiedBy>hi wang</cp:lastModifiedBy>
  <dcterms:modified xsi:type="dcterms:W3CDTF">2026-04-27T10:07:01Z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57D6C49EA6DF4F42BA0C7F647F0BB104_11</vt:lpwstr>
  </property>
  <property fmtid="{D5CDD505-2E9C-101B-9397-08002B2CF9AE}" pid="4" name="KSOTemplateDocerSaveRecord">
    <vt:lpwstr>eyJoZGlkIjoiZDIxMWVhM2Y3Mzk4YmMyZjRlY2Y5MTg1ZTVjOGFlMjAifQ==</vt:lpwstr>
  </property>
</Properties>
</file>