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9D367">
      <w:pPr>
        <w:spacing w:line="360" w:lineRule="auto"/>
        <w:jc w:val="both"/>
        <w:rPr>
          <w:rFonts w:hint="eastAsia" w:ascii="华文中宋" w:hAnsi="华文中宋" w:eastAsia="华文中宋"/>
          <w:b/>
          <w:sz w:val="44"/>
          <w:szCs w:val="44"/>
          <w:highlight w:val="none"/>
        </w:rPr>
      </w:pPr>
      <w:r>
        <w:drawing>
          <wp:anchor distT="0" distB="0" distL="114300" distR="114300" simplePos="0" relativeHeight="251660288" behindDoc="1" locked="0" layoutInCell="1" allowOverlap="1">
            <wp:simplePos x="0" y="0"/>
            <wp:positionH relativeFrom="column">
              <wp:posOffset>-64770</wp:posOffset>
            </wp:positionH>
            <wp:positionV relativeFrom="paragraph">
              <wp:posOffset>181610</wp:posOffset>
            </wp:positionV>
            <wp:extent cx="6058535" cy="8499475"/>
            <wp:effectExtent l="0" t="0" r="18415" b="15875"/>
            <wp:wrapTight wrapText="bothSides">
              <wp:wrapPolygon>
                <wp:start x="0" y="0"/>
                <wp:lineTo x="0" y="21544"/>
                <wp:lineTo x="21530" y="21544"/>
                <wp:lineTo x="21530"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6058535" cy="8499475"/>
                    </a:xfrm>
                    <a:prstGeom prst="rect">
                      <a:avLst/>
                    </a:prstGeom>
                    <a:noFill/>
                    <a:ln>
                      <a:noFill/>
                    </a:ln>
                  </pic:spPr>
                </pic:pic>
              </a:graphicData>
            </a:graphic>
          </wp:anchor>
        </w:drawing>
      </w:r>
      <w:r>
        <w:rPr>
          <w:rFonts w:hint="eastAsia" w:ascii="华文中宋" w:hAnsi="华文中宋" w:eastAsia="华文中宋"/>
          <w:b/>
          <w:sz w:val="44"/>
          <w:szCs w:val="44"/>
          <w:highlight w:val="none"/>
          <w:lang w:val="en-US" w:eastAsia="zh-CN"/>
        </w:rPr>
        <w:t xml:space="preserve"> </w:t>
      </w:r>
    </w:p>
    <w:p w14:paraId="3779E0B2">
      <w:pPr>
        <w:jc w:val="center"/>
      </w:pPr>
      <w:bookmarkStart w:id="0" w:name="_Toc18166"/>
      <w:bookmarkStart w:id="1" w:name="_Toc196474972"/>
    </w:p>
    <w:p w14:paraId="204550FD">
      <w:pPr>
        <w:jc w:val="center"/>
        <w:sectPr>
          <w:headerReference r:id="rId3" w:type="default"/>
          <w:footerReference r:id="rId4" w:type="default"/>
          <w:pgSz w:w="11906" w:h="16838"/>
          <w:pgMar w:top="1440" w:right="1417" w:bottom="1440" w:left="1417" w:header="851" w:footer="992" w:gutter="0"/>
          <w:pgNumType w:fmt="decimal" w:start="1"/>
          <w:cols w:space="720" w:num="1"/>
          <w:docGrid w:type="lines" w:linePitch="312" w:charSpace="0"/>
        </w:sectPr>
      </w:pPr>
    </w:p>
    <w:p w14:paraId="3215F437">
      <w:pPr>
        <w:jc w:val="center"/>
      </w:pPr>
    </w:p>
    <w:p w14:paraId="56DE7A8A">
      <w:pPr>
        <w:jc w:val="center"/>
      </w:pPr>
    </w:p>
    <w:p w14:paraId="4FBBEC2C">
      <w:pPr>
        <w:jc w:val="center"/>
      </w:pPr>
    </w:p>
    <w:p w14:paraId="196D80EB">
      <w:pPr>
        <w:jc w:val="center"/>
        <w:rPr>
          <w:rFonts w:hint="eastAsia"/>
          <w:lang w:val="zh-CN"/>
        </w:rPr>
      </w:pPr>
    </w:p>
    <w:p w14:paraId="4A2C51AB">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zh-CN"/>
        </w:rPr>
        <w:t>目   录</w:t>
      </w:r>
      <w:bookmarkEnd w:id="0"/>
    </w:p>
    <w:p w14:paraId="34E79EBF">
      <w:pPr>
        <w:pStyle w:val="29"/>
        <w:tabs>
          <w:tab w:val="right" w:leader="dot" w:pos="9433"/>
          <w:tab w:val="clear" w:pos="8280"/>
          <w:tab w:val="clear" w:pos="9360"/>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TOC \o "1-1" \h \u </w:instrText>
      </w:r>
      <w:r>
        <w:rPr>
          <w:rFonts w:hint="eastAsia" w:ascii="宋体" w:hAnsi="宋体" w:eastAsia="宋体" w:cs="宋体"/>
          <w:b w:val="0"/>
          <w:bCs/>
          <w:sz w:val="24"/>
          <w:szCs w:val="24"/>
          <w:highlight w:val="none"/>
        </w:rPr>
        <w:fldChar w:fldCharType="separate"/>
      </w:r>
    </w:p>
    <w:p w14:paraId="562D1C38"/>
    <w:p w14:paraId="4A8AB34D">
      <w:pPr>
        <w:pStyle w:val="29"/>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_Toc4554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第一章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招标公告</w:t>
      </w:r>
      <w:r>
        <w:tab/>
      </w:r>
      <w:r>
        <w:fldChar w:fldCharType="begin"/>
      </w:r>
      <w:r>
        <w:instrText xml:space="preserve"> PAGEREF _Toc4554 \h </w:instrText>
      </w:r>
      <w:r>
        <w:fldChar w:fldCharType="separate"/>
      </w:r>
      <w:r>
        <w:t>2</w:t>
      </w:r>
      <w:r>
        <w:fldChar w:fldCharType="end"/>
      </w:r>
      <w:r>
        <w:rPr>
          <w:rFonts w:hint="eastAsia" w:ascii="宋体" w:hAnsi="宋体" w:eastAsia="宋体" w:cs="宋体"/>
          <w:bCs/>
          <w:szCs w:val="24"/>
          <w:highlight w:val="none"/>
        </w:rPr>
        <w:fldChar w:fldCharType="end"/>
      </w:r>
    </w:p>
    <w:p w14:paraId="7299F462"/>
    <w:p w14:paraId="335E973C">
      <w:pPr>
        <w:pStyle w:val="29"/>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_Toc24230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第二章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投标人须知</w:t>
      </w:r>
      <w:r>
        <w:tab/>
      </w:r>
      <w:r>
        <w:rPr>
          <w:rFonts w:hint="eastAsia"/>
          <w:lang w:val="en-US" w:eastAsia="zh-CN"/>
        </w:rPr>
        <w:t>7</w:t>
      </w:r>
      <w:r>
        <w:rPr>
          <w:rFonts w:hint="eastAsia" w:ascii="宋体" w:hAnsi="宋体" w:eastAsia="宋体" w:cs="宋体"/>
          <w:bCs/>
          <w:szCs w:val="24"/>
          <w:highlight w:val="none"/>
        </w:rPr>
        <w:fldChar w:fldCharType="end"/>
      </w:r>
    </w:p>
    <w:p w14:paraId="1777767B"/>
    <w:p w14:paraId="2852C173">
      <w:pPr>
        <w:pStyle w:val="29"/>
        <w:tabs>
          <w:tab w:val="right" w:leader="dot" w:pos="9433"/>
          <w:tab w:val="clear" w:pos="8280"/>
          <w:tab w:val="clear" w:pos="9360"/>
        </w:tabs>
        <w:rPr>
          <w:rFonts w:hint="eastAsia"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_Toc18171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第三章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评标办法</w:t>
      </w:r>
      <w:r>
        <w:tab/>
      </w:r>
      <w:r>
        <w:rPr>
          <w:rFonts w:hint="eastAsia"/>
          <w:lang w:val="en-US" w:eastAsia="zh-CN"/>
        </w:rPr>
        <w:t>3</w:t>
      </w:r>
      <w:r>
        <w:rPr>
          <w:rFonts w:hint="eastAsia" w:ascii="宋体" w:hAnsi="宋体" w:eastAsia="宋体" w:cs="宋体"/>
          <w:bCs/>
          <w:szCs w:val="24"/>
          <w:highlight w:val="none"/>
        </w:rPr>
        <w:fldChar w:fldCharType="end"/>
      </w:r>
      <w:r>
        <w:rPr>
          <w:rFonts w:hint="eastAsia" w:cs="宋体"/>
          <w:bCs/>
          <w:szCs w:val="24"/>
          <w:highlight w:val="none"/>
          <w:lang w:val="en-US" w:eastAsia="zh-CN"/>
        </w:rPr>
        <w:t>0</w:t>
      </w:r>
    </w:p>
    <w:p w14:paraId="55367DA3">
      <w:pPr>
        <w:rPr>
          <w:rFonts w:hint="eastAsia"/>
          <w:lang w:val="en-US" w:eastAsia="zh-CN"/>
        </w:rPr>
      </w:pPr>
    </w:p>
    <w:p w14:paraId="5B272BE2">
      <w:pPr>
        <w:pStyle w:val="29"/>
        <w:tabs>
          <w:tab w:val="right" w:leader="dot" w:pos="9433"/>
          <w:tab w:val="clear" w:pos="8280"/>
          <w:tab w:val="clear" w:pos="9360"/>
        </w:tabs>
        <w:rPr>
          <w:rFonts w:hint="default" w:eastAsia="宋体"/>
          <w:lang w:val="en-US" w:eastAsia="zh-CN"/>
        </w:rPr>
      </w:pPr>
      <w:r>
        <w:rPr>
          <w:rFonts w:hint="eastAsia" w:cs="宋体"/>
          <w:bCs/>
          <w:szCs w:val="24"/>
          <w:highlight w:val="none"/>
          <w:lang w:val="en-US" w:eastAsia="zh-CN"/>
        </w:rPr>
        <w:t>第四章  采购</w:t>
      </w:r>
      <w:r>
        <w:rPr>
          <w:rFonts w:hint="eastAsia" w:ascii="宋体" w:hAnsi="宋体" w:eastAsia="宋体" w:cs="宋体"/>
          <w:bCs/>
          <w:szCs w:val="24"/>
          <w:highlight w:val="none"/>
          <w:lang w:val="en-US" w:eastAsia="zh-CN"/>
        </w:rPr>
        <w:t>内容及要求</w:t>
      </w:r>
      <w:r>
        <w:tab/>
      </w:r>
      <w:r>
        <w:rPr>
          <w:rFonts w:hint="eastAsia"/>
          <w:lang w:val="en-US" w:eastAsia="zh-CN"/>
        </w:rPr>
        <w:t>44</w:t>
      </w:r>
    </w:p>
    <w:p w14:paraId="0215AE12"/>
    <w:p w14:paraId="52DE0905">
      <w:pPr>
        <w:pStyle w:val="29"/>
        <w:tabs>
          <w:tab w:val="right" w:leader="dot" w:pos="9433"/>
          <w:tab w:val="clear" w:pos="8280"/>
          <w:tab w:val="clear" w:pos="9360"/>
        </w:tabs>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_Toc19379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第五章</w:t>
      </w:r>
      <w:r>
        <w:rPr>
          <w:rFonts w:hint="eastAsia" w:ascii="宋体" w:hAnsi="宋体" w:eastAsia="宋体" w:cs="宋体"/>
          <w:bCs/>
          <w:szCs w:val="36"/>
          <w:highlight w:val="none"/>
          <w:lang w:val="en-US" w:eastAsia="zh-CN"/>
        </w:rPr>
        <w:t xml:space="preserve">  </w:t>
      </w:r>
      <w:r>
        <w:rPr>
          <w:rFonts w:hint="eastAsia" w:cs="宋体"/>
          <w:bCs/>
          <w:szCs w:val="36"/>
          <w:highlight w:val="none"/>
          <w:lang w:eastAsia="zh-CN"/>
        </w:rPr>
        <w:t>主要合同条款</w:t>
      </w:r>
      <w:r>
        <w:tab/>
      </w:r>
      <w:r>
        <w:rPr>
          <w:rFonts w:hint="eastAsia"/>
          <w:lang w:val="en-US" w:eastAsia="zh-CN"/>
        </w:rPr>
        <w:t>4</w:t>
      </w:r>
      <w:r>
        <w:rPr>
          <w:rFonts w:hint="eastAsia" w:ascii="宋体" w:hAnsi="宋体" w:eastAsia="宋体" w:cs="宋体"/>
          <w:bCs/>
          <w:szCs w:val="24"/>
          <w:highlight w:val="none"/>
        </w:rPr>
        <w:fldChar w:fldCharType="end"/>
      </w:r>
      <w:r>
        <w:rPr>
          <w:rFonts w:hint="eastAsia" w:cs="宋体"/>
          <w:bCs/>
          <w:szCs w:val="24"/>
          <w:highlight w:val="none"/>
          <w:lang w:val="en-US" w:eastAsia="zh-CN"/>
        </w:rPr>
        <w:t>9</w:t>
      </w:r>
    </w:p>
    <w:p w14:paraId="0A7AD351"/>
    <w:p w14:paraId="3C370739">
      <w:pPr>
        <w:pStyle w:val="29"/>
        <w:tabs>
          <w:tab w:val="right" w:leader="dot" w:pos="9433"/>
          <w:tab w:val="clear" w:pos="8280"/>
          <w:tab w:val="clear" w:pos="9360"/>
        </w:tabs>
        <w:rPr>
          <w:rFonts w:hint="eastAsia" w:eastAsia="宋体"/>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_Toc17681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rPr>
        <w:t>第</w:t>
      </w:r>
      <w:r>
        <w:rPr>
          <w:rFonts w:hint="eastAsia" w:ascii="宋体" w:hAnsi="宋体" w:eastAsia="宋体" w:cs="宋体"/>
          <w:bCs/>
          <w:szCs w:val="36"/>
          <w:highlight w:val="none"/>
          <w:lang w:eastAsia="zh-CN"/>
        </w:rPr>
        <w:t>六</w:t>
      </w:r>
      <w:r>
        <w:rPr>
          <w:rFonts w:hint="eastAsia" w:ascii="宋体" w:hAnsi="宋体" w:eastAsia="宋体" w:cs="宋体"/>
          <w:bCs/>
          <w:szCs w:val="36"/>
          <w:highlight w:val="none"/>
        </w:rPr>
        <w:t>章  投标文件格式</w:t>
      </w:r>
      <w:r>
        <w:tab/>
      </w:r>
      <w:r>
        <w:rPr>
          <w:rFonts w:hint="eastAsia"/>
          <w:lang w:val="en-US" w:eastAsia="zh-CN"/>
        </w:rPr>
        <w:t>6</w:t>
      </w:r>
      <w:r>
        <w:rPr>
          <w:rFonts w:hint="eastAsia" w:ascii="宋体" w:hAnsi="宋体" w:eastAsia="宋体" w:cs="宋体"/>
          <w:bCs/>
          <w:szCs w:val="24"/>
          <w:highlight w:val="none"/>
        </w:rPr>
        <w:fldChar w:fldCharType="end"/>
      </w:r>
      <w:r>
        <w:rPr>
          <w:rFonts w:hint="eastAsia" w:cs="宋体"/>
          <w:bCs/>
          <w:szCs w:val="24"/>
          <w:highlight w:val="none"/>
          <w:lang w:val="en-US" w:eastAsia="zh-CN"/>
        </w:rPr>
        <w:t>0</w:t>
      </w:r>
    </w:p>
    <w:p w14:paraId="4C358782">
      <w:pPr>
        <w:pStyle w:val="18"/>
        <w:keepNext w:val="0"/>
        <w:keepLines w:val="0"/>
        <w:pageBreakBefore w:val="0"/>
        <w:widowControl w:val="0"/>
        <w:tabs>
          <w:tab w:val="right" w:leader="dot" w:pos="9458"/>
        </w:tabs>
        <w:kinsoku/>
        <w:wordWrap/>
        <w:overflowPunct/>
        <w:topLinePunct w:val="0"/>
        <w:autoSpaceDE/>
        <w:autoSpaceDN/>
        <w:bidi w:val="0"/>
        <w:spacing w:line="600" w:lineRule="exact"/>
        <w:ind w:left="0" w:leftChars="0" w:right="0" w:rightChars="0"/>
        <w:jc w:val="both"/>
        <w:textAlignment w:val="auto"/>
        <w:outlineLvl w:val="9"/>
        <w:rPr>
          <w:rFonts w:hint="eastAsia" w:ascii="新宋体" w:hAnsi="新宋体" w:eastAsia="新宋体" w:cs="新宋体"/>
          <w:szCs w:val="21"/>
          <w:highlight w:val="none"/>
        </w:rPr>
      </w:pPr>
      <w:r>
        <w:rPr>
          <w:rFonts w:hint="eastAsia" w:ascii="宋体" w:hAnsi="宋体" w:eastAsia="宋体" w:cs="宋体"/>
          <w:bCs/>
          <w:szCs w:val="24"/>
          <w:highlight w:val="none"/>
        </w:rPr>
        <w:fldChar w:fldCharType="end"/>
      </w:r>
    </w:p>
    <w:p w14:paraId="7591A928">
      <w:pPr>
        <w:pStyle w:val="18"/>
        <w:tabs>
          <w:tab w:val="right" w:leader="dot" w:pos="9458"/>
        </w:tabs>
        <w:spacing w:line="600" w:lineRule="exact"/>
        <w:ind w:left="0" w:leftChars="0"/>
        <w:rPr>
          <w:rFonts w:hint="eastAsia" w:ascii="新宋体" w:hAnsi="新宋体" w:eastAsia="新宋体" w:cs="新宋体"/>
          <w:szCs w:val="21"/>
          <w:highlight w:val="none"/>
        </w:rPr>
      </w:pPr>
    </w:p>
    <w:p w14:paraId="142BBB01">
      <w:pPr>
        <w:pStyle w:val="18"/>
        <w:tabs>
          <w:tab w:val="right" w:leader="dot" w:pos="9458"/>
        </w:tabs>
        <w:spacing w:line="600" w:lineRule="exact"/>
        <w:ind w:left="0" w:leftChars="0"/>
        <w:rPr>
          <w:rFonts w:hint="eastAsia" w:ascii="新宋体" w:hAnsi="新宋体" w:eastAsia="新宋体" w:cs="新宋体"/>
          <w:szCs w:val="21"/>
          <w:highlight w:val="none"/>
        </w:rPr>
      </w:pPr>
    </w:p>
    <w:p w14:paraId="3310D3E5">
      <w:pPr>
        <w:pStyle w:val="18"/>
        <w:tabs>
          <w:tab w:val="right" w:leader="dot" w:pos="9458"/>
        </w:tabs>
        <w:spacing w:line="600" w:lineRule="exact"/>
        <w:ind w:left="0" w:leftChars="0"/>
        <w:rPr>
          <w:rFonts w:hint="eastAsia" w:ascii="新宋体" w:hAnsi="新宋体" w:eastAsia="新宋体" w:cs="新宋体"/>
          <w:szCs w:val="21"/>
          <w:highlight w:val="none"/>
        </w:rPr>
      </w:pPr>
      <w:bookmarkStart w:id="35" w:name="_GoBack"/>
      <w:bookmarkEnd w:id="35"/>
    </w:p>
    <w:p w14:paraId="26595584">
      <w:pPr>
        <w:pStyle w:val="18"/>
        <w:tabs>
          <w:tab w:val="right" w:leader="dot" w:pos="9458"/>
        </w:tabs>
        <w:spacing w:line="600" w:lineRule="exact"/>
        <w:ind w:left="0" w:leftChars="0"/>
        <w:rPr>
          <w:rFonts w:hint="eastAsia" w:ascii="新宋体" w:hAnsi="新宋体" w:eastAsia="新宋体" w:cs="新宋体"/>
          <w:szCs w:val="21"/>
          <w:highlight w:val="none"/>
        </w:rPr>
      </w:pPr>
    </w:p>
    <w:p w14:paraId="1E49B35D">
      <w:pPr>
        <w:pStyle w:val="18"/>
        <w:tabs>
          <w:tab w:val="right" w:leader="dot" w:pos="9458"/>
        </w:tabs>
        <w:spacing w:line="600" w:lineRule="exact"/>
        <w:ind w:left="0" w:leftChars="0"/>
        <w:rPr>
          <w:rFonts w:hint="eastAsia" w:ascii="新宋体" w:hAnsi="新宋体" w:eastAsia="新宋体" w:cs="新宋体"/>
          <w:szCs w:val="21"/>
          <w:highlight w:val="none"/>
        </w:rPr>
      </w:pPr>
    </w:p>
    <w:p w14:paraId="5A3DF960">
      <w:pPr>
        <w:pStyle w:val="18"/>
        <w:tabs>
          <w:tab w:val="right" w:leader="dot" w:pos="9458"/>
        </w:tabs>
        <w:spacing w:line="600" w:lineRule="exact"/>
        <w:ind w:left="0" w:leftChars="0"/>
        <w:rPr>
          <w:rFonts w:hint="eastAsia" w:ascii="新宋体" w:hAnsi="新宋体" w:eastAsia="新宋体" w:cs="新宋体"/>
          <w:szCs w:val="21"/>
          <w:highlight w:val="none"/>
        </w:rPr>
      </w:pPr>
    </w:p>
    <w:p w14:paraId="54359166">
      <w:pPr>
        <w:pStyle w:val="18"/>
        <w:tabs>
          <w:tab w:val="right" w:leader="dot" w:pos="9458"/>
        </w:tabs>
        <w:spacing w:line="600" w:lineRule="exact"/>
        <w:ind w:left="0" w:leftChars="0"/>
        <w:rPr>
          <w:rFonts w:hint="eastAsia" w:ascii="新宋体" w:hAnsi="新宋体" w:eastAsia="新宋体" w:cs="新宋体"/>
          <w:szCs w:val="21"/>
          <w:highlight w:val="none"/>
        </w:rPr>
      </w:pPr>
    </w:p>
    <w:p w14:paraId="683B6074">
      <w:pPr>
        <w:pStyle w:val="18"/>
        <w:tabs>
          <w:tab w:val="right" w:leader="dot" w:pos="9458"/>
        </w:tabs>
        <w:spacing w:line="600" w:lineRule="exact"/>
        <w:ind w:left="0" w:leftChars="0"/>
        <w:rPr>
          <w:rFonts w:hint="eastAsia" w:ascii="新宋体" w:hAnsi="新宋体" w:eastAsia="新宋体" w:cs="新宋体"/>
          <w:szCs w:val="21"/>
          <w:highlight w:val="none"/>
        </w:rPr>
      </w:pPr>
    </w:p>
    <w:p w14:paraId="119DBACB">
      <w:pPr>
        <w:pStyle w:val="18"/>
        <w:tabs>
          <w:tab w:val="right" w:leader="dot" w:pos="9458"/>
        </w:tabs>
        <w:spacing w:line="600" w:lineRule="exact"/>
        <w:ind w:left="0" w:leftChars="0"/>
        <w:rPr>
          <w:rFonts w:hint="eastAsia"/>
          <w:sz w:val="36"/>
          <w:szCs w:val="36"/>
          <w:highlight w:val="none"/>
        </w:rPr>
      </w:pPr>
      <w:bookmarkStart w:id="2" w:name="_Toc204055778"/>
      <w:bookmarkStart w:id="3" w:name="_Toc222740105"/>
    </w:p>
    <w:p w14:paraId="05122998">
      <w:pPr>
        <w:rPr>
          <w:rFonts w:hint="eastAsia"/>
          <w:sz w:val="36"/>
          <w:szCs w:val="36"/>
          <w:highlight w:val="none"/>
        </w:rPr>
      </w:pPr>
    </w:p>
    <w:p w14:paraId="6044F86C">
      <w:pPr>
        <w:rPr>
          <w:rFonts w:hint="eastAsia"/>
          <w:sz w:val="36"/>
          <w:szCs w:val="36"/>
          <w:highlight w:val="none"/>
        </w:rPr>
      </w:pPr>
    </w:p>
    <w:p w14:paraId="70719CB1">
      <w:pPr>
        <w:rPr>
          <w:rFonts w:hint="eastAsia"/>
          <w:sz w:val="36"/>
          <w:szCs w:val="36"/>
          <w:highlight w:val="none"/>
        </w:rPr>
      </w:pPr>
    </w:p>
    <w:p w14:paraId="33664FE5">
      <w:pPr>
        <w:rPr>
          <w:rFonts w:hint="eastAsia"/>
          <w:sz w:val="36"/>
          <w:szCs w:val="36"/>
          <w:highlight w:val="none"/>
        </w:rPr>
      </w:pPr>
    </w:p>
    <w:p w14:paraId="3B33CF76">
      <w:pPr>
        <w:bidi w:val="0"/>
        <w:rPr>
          <w:rFonts w:hint="eastAsia"/>
          <w:highlight w:val="none"/>
        </w:rPr>
      </w:pPr>
    </w:p>
    <w:p w14:paraId="4A59688B">
      <w:pPr>
        <w:pStyle w:val="11"/>
        <w:rPr>
          <w:rFonts w:hint="eastAsia"/>
          <w:highlight w:val="none"/>
        </w:rPr>
      </w:pPr>
    </w:p>
    <w:p w14:paraId="6DDC9AE9">
      <w:pPr>
        <w:pStyle w:val="11"/>
        <w:rPr>
          <w:rFonts w:hint="eastAsia"/>
          <w:highlight w:val="none"/>
        </w:rPr>
      </w:pPr>
    </w:p>
    <w:p w14:paraId="42CC4E0A">
      <w:pPr>
        <w:pStyle w:val="11"/>
        <w:rPr>
          <w:rFonts w:hint="eastAsia"/>
          <w:highlight w:val="none"/>
        </w:rPr>
      </w:pPr>
    </w:p>
    <w:p w14:paraId="6D96815C">
      <w:pPr>
        <w:bidi w:val="0"/>
        <w:rPr>
          <w:rFonts w:hint="eastAsia"/>
          <w:highlight w:val="none"/>
        </w:rPr>
      </w:pPr>
    </w:p>
    <w:p w14:paraId="58F96CEA">
      <w:pPr>
        <w:pStyle w:val="15"/>
        <w:rPr>
          <w:rFonts w:hint="eastAsia"/>
          <w:highlight w:val="none"/>
        </w:rPr>
      </w:pPr>
    </w:p>
    <w:p w14:paraId="57D0C5C3">
      <w:pPr>
        <w:rPr>
          <w:rFonts w:hint="eastAsia"/>
          <w:highlight w:val="none"/>
        </w:rPr>
      </w:pPr>
    </w:p>
    <w:bookmarkEnd w:id="1"/>
    <w:bookmarkEnd w:id="2"/>
    <w:bookmarkEnd w:id="3"/>
    <w:p w14:paraId="2949E1F3">
      <w:pPr>
        <w:bidi w:val="0"/>
        <w:rPr>
          <w:rFonts w:hint="eastAsia"/>
          <w:highlight w:val="none"/>
        </w:rPr>
      </w:pPr>
    </w:p>
    <w:p w14:paraId="0EEC47CB">
      <w:pPr>
        <w:bidi w:val="0"/>
        <w:rPr>
          <w:rFonts w:hint="eastAsia"/>
          <w:highlight w:val="none"/>
        </w:rPr>
      </w:pPr>
    </w:p>
    <w:p w14:paraId="2C2318C9">
      <w:pPr>
        <w:bidi w:val="0"/>
        <w:rPr>
          <w:rFonts w:hint="eastAsia"/>
          <w:highlight w:val="none"/>
        </w:rPr>
      </w:pPr>
    </w:p>
    <w:p w14:paraId="1F645A6E">
      <w:pPr>
        <w:bidi w:val="0"/>
        <w:rPr>
          <w:rFonts w:hint="eastAsia"/>
          <w:highlight w:val="none"/>
        </w:rPr>
      </w:pPr>
    </w:p>
    <w:p w14:paraId="25F68E19">
      <w:pPr>
        <w:bidi w:val="0"/>
        <w:rPr>
          <w:rFonts w:hint="eastAsia"/>
          <w:highlight w:val="none"/>
        </w:rPr>
      </w:pPr>
    </w:p>
    <w:p w14:paraId="2D93B648">
      <w:pPr>
        <w:pStyle w:val="2"/>
        <w:numPr>
          <w:ilvl w:val="0"/>
          <w:numId w:val="0"/>
        </w:numPr>
        <w:tabs>
          <w:tab w:val="clear" w:pos="324"/>
        </w:tabs>
        <w:ind w:leftChars="0"/>
        <w:jc w:val="center"/>
        <w:rPr>
          <w:rFonts w:hint="eastAsia" w:ascii="宋体" w:hAnsi="宋体" w:eastAsia="宋体" w:cs="宋体"/>
          <w:b/>
          <w:bCs/>
          <w:sz w:val="36"/>
          <w:szCs w:val="36"/>
          <w:highlight w:val="none"/>
        </w:rPr>
      </w:pPr>
      <w:bookmarkStart w:id="4" w:name="_Toc4554"/>
      <w:r>
        <w:rPr>
          <w:rFonts w:hint="eastAsia" w:ascii="宋体" w:hAnsi="宋体" w:eastAsia="宋体" w:cs="宋体"/>
          <w:b/>
          <w:bCs/>
          <w:sz w:val="36"/>
          <w:szCs w:val="36"/>
          <w:highlight w:val="none"/>
          <w:lang w:eastAsia="zh-CN"/>
        </w:rPr>
        <w:t>第一章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招标公告</w:t>
      </w:r>
      <w:bookmarkEnd w:id="4"/>
    </w:p>
    <w:p w14:paraId="4EBBF803">
      <w:pPr>
        <w:bidi w:val="0"/>
        <w:rPr>
          <w:rFonts w:hint="eastAsia"/>
          <w:highlight w:val="none"/>
        </w:rPr>
      </w:pPr>
    </w:p>
    <w:p w14:paraId="0BB650FB">
      <w:pPr>
        <w:bidi w:val="0"/>
        <w:rPr>
          <w:rFonts w:hint="eastAsia"/>
          <w:highlight w:val="none"/>
        </w:rPr>
      </w:pPr>
    </w:p>
    <w:p w14:paraId="124FE1CE">
      <w:pPr>
        <w:bidi w:val="0"/>
        <w:rPr>
          <w:rFonts w:hint="eastAsia"/>
          <w:highlight w:val="none"/>
        </w:rPr>
      </w:pPr>
    </w:p>
    <w:p w14:paraId="68F2CC71">
      <w:pPr>
        <w:bidi w:val="0"/>
        <w:rPr>
          <w:rFonts w:hint="eastAsia"/>
          <w:highlight w:val="none"/>
        </w:rPr>
      </w:pPr>
    </w:p>
    <w:p w14:paraId="5657D0DC">
      <w:pPr>
        <w:rPr>
          <w:rFonts w:hint="eastAsia"/>
          <w:highlight w:val="none"/>
        </w:rPr>
      </w:pPr>
      <w:r>
        <w:rPr>
          <w:rFonts w:hint="eastAsia"/>
          <w:highlight w:val="none"/>
        </w:rPr>
        <w:br w:type="page"/>
      </w:r>
    </w:p>
    <w:p w14:paraId="45647504">
      <w:pPr>
        <w:keepNext w:val="0"/>
        <w:keepLines w:val="0"/>
        <w:pageBreakBefore w:val="0"/>
        <w:widowControl/>
        <w:kinsoku/>
        <w:overflowPunct/>
        <w:topLinePunct w:val="0"/>
        <w:bidi w:val="0"/>
        <w:snapToGrid w:val="0"/>
        <w:spacing w:line="360" w:lineRule="exact"/>
        <w:jc w:val="center"/>
        <w:textAlignment w:val="auto"/>
        <w:rPr>
          <w:rFonts w:hint="eastAsia" w:ascii="宋体" w:hAnsi="宋体" w:eastAsia="宋体" w:cs="宋体"/>
          <w:b/>
          <w:color w:val="auto"/>
          <w:sz w:val="28"/>
          <w:szCs w:val="28"/>
          <w:highlight w:val="none"/>
          <w:lang w:eastAsia="zh-CN"/>
        </w:rPr>
      </w:pPr>
      <w:bookmarkStart w:id="5" w:name="_Toc196474973"/>
      <w:bookmarkStart w:id="6" w:name="_Toc222740108"/>
      <w:bookmarkStart w:id="7" w:name="_Toc204055781"/>
      <w:bookmarkStart w:id="8" w:name="_Toc404444231"/>
      <w:r>
        <w:rPr>
          <w:rFonts w:hint="eastAsia" w:ascii="宋体" w:hAnsi="宋体" w:cs="宋体"/>
          <w:b/>
          <w:color w:val="auto"/>
          <w:sz w:val="28"/>
          <w:szCs w:val="28"/>
          <w:highlight w:val="none"/>
          <w:lang w:val="en-US" w:eastAsia="zh-CN"/>
        </w:rPr>
        <w:t>汉滨五里高级中学2026年食材采购项目</w:t>
      </w:r>
    </w:p>
    <w:p w14:paraId="0089DD5F">
      <w:pPr>
        <w:keepNext w:val="0"/>
        <w:keepLines w:val="0"/>
        <w:pageBreakBefore w:val="0"/>
        <w:widowControl/>
        <w:kinsoku/>
        <w:overflowPunct/>
        <w:topLinePunct w:val="0"/>
        <w:bidi w:val="0"/>
        <w:snapToGrid w:val="0"/>
        <w:spacing w:line="3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公开招标公告</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1557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2BE27E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150" w:beforeAutospacing="0" w:after="150" w:afterAutospacing="0" w:line="400" w:lineRule="exact"/>
              <w:ind w:left="1317" w:leftChars="228" w:right="0" w:hanging="838" w:hangingChars="348"/>
              <w:jc w:val="left"/>
              <w:textAlignment w:val="baseline"/>
              <w:rPr>
                <w:rFonts w:hint="eastAsia" w:ascii="宋体" w:hAnsi="宋体" w:eastAsia="宋体" w:cs="宋体"/>
                <w:b w:val="0"/>
                <w:bCs w:val="0"/>
                <w:sz w:val="24"/>
                <w:szCs w:val="24"/>
              </w:rPr>
            </w:pPr>
            <w:r>
              <w:rPr>
                <w:rStyle w:val="43"/>
                <w:rFonts w:hint="eastAsia" w:ascii="宋体" w:hAnsi="宋体" w:eastAsia="宋体" w:cs="宋体"/>
                <w:b/>
                <w:bCs/>
                <w:i w:val="0"/>
                <w:iCs w:val="0"/>
                <w:caps w:val="0"/>
                <w:color w:val="333333"/>
                <w:spacing w:val="0"/>
                <w:sz w:val="24"/>
                <w:szCs w:val="24"/>
                <w:shd w:val="clear" w:fill="FFFFFF"/>
                <w:vertAlign w:val="baseline"/>
              </w:rPr>
              <w:t>项目概况</w:t>
            </w:r>
          </w:p>
          <w:p w14:paraId="02C7ACB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150" w:beforeAutospacing="0" w:after="150" w:afterAutospacing="0" w:line="400" w:lineRule="exact"/>
              <w:ind w:left="0" w:right="0" w:firstLine="480"/>
              <w:jc w:val="both"/>
              <w:textAlignment w:val="baseline"/>
              <w:rPr>
                <w:rStyle w:val="43"/>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汉滨五里高级中学2026年食材采购项目招标项目的潜在投标人应在全国公共资源交易平台（陕西省·安康市）获取招标文件，并于2026年04月27日09时00分（北京时间）前递交投标文件。</w:t>
            </w:r>
          </w:p>
        </w:tc>
      </w:tr>
    </w:tbl>
    <w:p w14:paraId="2502504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3"/>
          <w:rFonts w:hint="eastAsia" w:ascii="宋体" w:hAnsi="宋体" w:eastAsia="宋体" w:cs="宋体"/>
          <w:b/>
          <w:bCs/>
          <w:i w:val="0"/>
          <w:iCs w:val="0"/>
          <w:caps w:val="0"/>
          <w:color w:val="333333"/>
          <w:spacing w:val="0"/>
          <w:sz w:val="24"/>
          <w:szCs w:val="24"/>
          <w:shd w:val="clear" w:fill="FFFFFF"/>
          <w:vertAlign w:val="baseline"/>
        </w:rPr>
        <w:t>一、项目基本情况</w:t>
      </w:r>
    </w:p>
    <w:p w14:paraId="50C5EED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项目编号：RHAKCG-20260403</w:t>
      </w:r>
    </w:p>
    <w:p w14:paraId="6899AAE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项目名称：汉滨五里高级中学2026年食材采购项目</w:t>
      </w:r>
    </w:p>
    <w:p w14:paraId="308AE4E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4BD03DB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预算金额：1,600,000.00元</w:t>
      </w:r>
    </w:p>
    <w:p w14:paraId="3B6F097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6CD5555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合同包1(汉滨五里高级中学2026年食材采购项目):</w:t>
      </w:r>
    </w:p>
    <w:p w14:paraId="3B46AC2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合同包预算金额：1,600,000.00元</w:t>
      </w:r>
    </w:p>
    <w:p w14:paraId="32D432D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合同包最高限价：1,600,000.00元</w:t>
      </w:r>
    </w:p>
    <w:tbl>
      <w:tblPr>
        <w:tblStyle w:val="40"/>
        <w:tblW w:w="9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0"/>
        <w:gridCol w:w="1254"/>
        <w:gridCol w:w="2534"/>
        <w:gridCol w:w="1573"/>
        <w:gridCol w:w="1762"/>
        <w:gridCol w:w="1694"/>
      </w:tblGrid>
      <w:tr w14:paraId="15AE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6" w:hRule="atLeast"/>
          <w:tblHeader/>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3308CE">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E0EB73">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46722B">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AC3DD7">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C0540F">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D986CA">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664E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5" w:hRule="atLeast"/>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7066EC">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059ACA">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蔬菜</w:t>
            </w:r>
          </w:p>
        </w:tc>
        <w:tc>
          <w:tcPr>
            <w:tcW w:w="2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095CC2">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汉滨五里高级中学2026年食材采购项目</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47421D">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EEB4ED">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7B3C43">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1,600,000.00</w:t>
            </w:r>
          </w:p>
        </w:tc>
      </w:tr>
    </w:tbl>
    <w:p w14:paraId="5EF02BF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5AE680D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合同履行期限：自合同签订之日起1年。</w:t>
      </w:r>
    </w:p>
    <w:p w14:paraId="72AA43A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3"/>
          <w:rFonts w:hint="eastAsia" w:ascii="宋体" w:hAnsi="宋体" w:eastAsia="宋体" w:cs="宋体"/>
          <w:b/>
          <w:bCs/>
          <w:i w:val="0"/>
          <w:iCs w:val="0"/>
          <w:caps w:val="0"/>
          <w:color w:val="333333"/>
          <w:spacing w:val="0"/>
          <w:sz w:val="24"/>
          <w:szCs w:val="24"/>
          <w:shd w:val="clear" w:fill="FFFFFF"/>
          <w:vertAlign w:val="baseline"/>
        </w:rPr>
        <w:t>二、申请人的资格要求：</w:t>
      </w:r>
    </w:p>
    <w:p w14:paraId="26A9389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2185996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1C5E5A2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合同包1(汉滨五里高级中学2026年食材采购项目)落实政府采购政策需满足的资格要求如下:</w:t>
      </w:r>
    </w:p>
    <w:p w14:paraId="5567424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本项目非专门面向中小企业采购。</w:t>
      </w:r>
    </w:p>
    <w:p w14:paraId="4C45520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4AFEAF4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合同包1(汉滨五里高级中学2026年食材采购项目)特定资格要求如下:</w:t>
      </w:r>
    </w:p>
    <w:p w14:paraId="4A420E44">
      <w:pPr>
        <w:pStyle w:val="3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在中华人民共和国境内注册，依法取得并有效存续的营业执照（含电子营业执照）/事业单位法人证书/民办非企业单位登记证书/非企业专业服务机构执业许可/自然人的提供身份证明文件。</w:t>
      </w:r>
    </w:p>
    <w:p w14:paraId="236DA1B8">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right="0" w:rightChars="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财务状况报告：提供2024年度或2025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4）税收缴纳证明：提供投标响应文件截止时间一年内至少一个月的纳税证明或完税证明（任意税种），纳税证明或完税证明上应有代收机构或税务机关的公章或业务专用章（依法不需要缴纳税收的供应商应提供相关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（6）具有履行合同所必需的设备和专业技术能力书面声明函。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（7）参加政府采购活动前三年内，在经营活动中没有重大违法记录的书面声明。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（8）供应商须提供有效的《食品经营许可证》或《预包装食品经营者备案表》（蔬菜除外）。</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（9）本项目不接受联合体投标。</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10）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7617D9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3"/>
          <w:rFonts w:hint="eastAsia" w:ascii="宋体" w:hAnsi="宋体" w:eastAsia="宋体" w:cs="宋体"/>
          <w:b/>
          <w:bCs/>
          <w:i w:val="0"/>
          <w:iCs w:val="0"/>
          <w:caps w:val="0"/>
          <w:color w:val="333333"/>
          <w:spacing w:val="0"/>
          <w:sz w:val="24"/>
          <w:szCs w:val="24"/>
          <w:shd w:val="clear" w:fill="FFFFFF"/>
          <w:vertAlign w:val="baseline"/>
        </w:rPr>
        <w:t>三、获取招标文件</w:t>
      </w:r>
    </w:p>
    <w:p w14:paraId="221992B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时间：2026年04月03日至2026年04月10日，每天上午00:00:00至12:00:00，下午12:00:00至23:59:59（北京时间）</w:t>
      </w:r>
    </w:p>
    <w:p w14:paraId="3C27515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途径：全国公共资源交易平台（陕西省·安康市）</w:t>
      </w:r>
    </w:p>
    <w:p w14:paraId="3172F3B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0A10C482">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48E1054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3"/>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002F20C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时间：2026年04月27日 09时00分00秒（北京时间）</w:t>
      </w:r>
    </w:p>
    <w:p w14:paraId="04179A3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提交投标文件地点：全国公共资源交易平台（陕西省·安康市）</w:t>
      </w:r>
    </w:p>
    <w:p w14:paraId="0DCCF1B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开标地点：不见面开标大厅</w:t>
      </w:r>
    </w:p>
    <w:p w14:paraId="5638B63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3"/>
          <w:rFonts w:hint="eastAsia" w:ascii="宋体" w:hAnsi="宋体" w:eastAsia="宋体" w:cs="宋体"/>
          <w:b/>
          <w:bCs/>
          <w:i w:val="0"/>
          <w:iCs w:val="0"/>
          <w:caps w:val="0"/>
          <w:color w:val="333333"/>
          <w:spacing w:val="0"/>
          <w:sz w:val="24"/>
          <w:szCs w:val="24"/>
          <w:shd w:val="clear" w:fill="FFFFFF"/>
          <w:vertAlign w:val="baseline"/>
        </w:rPr>
        <w:t>五、公告期限</w:t>
      </w:r>
    </w:p>
    <w:p w14:paraId="115C881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5305F28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3"/>
          <w:rFonts w:hint="eastAsia" w:ascii="宋体" w:hAnsi="宋体" w:eastAsia="宋体" w:cs="宋体"/>
          <w:b/>
          <w:bCs/>
          <w:i w:val="0"/>
          <w:iCs w:val="0"/>
          <w:caps w:val="0"/>
          <w:color w:val="333333"/>
          <w:spacing w:val="0"/>
          <w:sz w:val="24"/>
          <w:szCs w:val="24"/>
          <w:shd w:val="clear" w:fill="FFFFFF"/>
          <w:vertAlign w:val="baseline"/>
        </w:rPr>
        <w:t>六、其他补充事宜</w:t>
      </w:r>
    </w:p>
    <w:p w14:paraId="7DB7576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落实政府采购政策需满足的资格要求如下:</w:t>
      </w:r>
    </w:p>
    <w:p w14:paraId="372EA8EF">
      <w:pPr>
        <w:pStyle w:val="34"/>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20"/>
        <w:jc w:val="both"/>
        <w:textAlignment w:val="baseline"/>
        <w:rPr>
          <w:rFonts w:hint="eastAsia" w:ascii="宋体" w:hAnsi="宋体" w:eastAsia="宋体" w:cs="宋体"/>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10499577">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right="0" w:rightChars="0" w:firstLine="480" w:firstLineChars="200"/>
        <w:jc w:val="both"/>
        <w:textAlignment w:val="baseline"/>
        <w:rPr>
          <w:rFonts w:hint="eastAsia" w:ascii="宋体" w:hAnsi="宋体" w:eastAsia="宋体" w:cs="宋体"/>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注：（1）使用捆绑省交易平台的CA锁登录电子交易平台，通过政府采购系统企业端进入，点击我要投标，完善相关投标信息，下载采购文件。（2）本项目采购公告同时在全国公共资源交易平台（陕西省·安康市）安康市公共资源交易中心（网址：http://ak.sxggzyjy.cn/）、陕西省政府采购网（网址：http://www.ccgp-shaanxi.gov.cn/）发布。请供应商按照陕西省财政厅关于政府采购供应商注册登记有关事项的通知中的要求，通过陕西省政府采购网（http://www.ccgp-shaanxi.gov.cn/）注册登记加入陕西省政府采购供应商库。（3）本项目采用电子化投标及远程不见面开标方式，相关操作流程详见全国公共资源交易平台（陕西省）网站[服务指南-下载专区]中的《陕西省公共资源交易中心政府采购项目投标指南》；（4）电子招标文件技术支持：4009280095、4009980000；（5）未及时下载招标文件或未经招标代理机构确认的将会影响后续开评标活动。如无进行线上操作，导致无法参与投标的，责任自负。（6）本项目采用电子化投标及远程不见面开标方式。供应商须使用数字认证证书（CA锁）对电子响应文件进行签章、加密、递交及开启时解密等相关招投标事宜。开标前，供应商需登录网络开标大厅。开启时，按照工作人员要求进行远程解密，如因供应商自身原因造成无法在规定时间内解密响应文件的，按无效投标对待。</w:t>
      </w:r>
    </w:p>
    <w:p w14:paraId="7283546E">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right="0" w:rightChars="0"/>
        <w:jc w:val="both"/>
        <w:textAlignment w:val="baseline"/>
        <w:rPr>
          <w:rFonts w:hint="eastAsia" w:ascii="宋体" w:hAnsi="宋体" w:eastAsia="宋体" w:cs="宋体"/>
          <w:b w:val="0"/>
          <w:bCs w:val="0"/>
          <w:i w:val="0"/>
          <w:iCs w:val="0"/>
          <w:caps w:val="0"/>
          <w:color w:val="333333"/>
          <w:spacing w:val="0"/>
          <w:sz w:val="24"/>
          <w:szCs w:val="24"/>
        </w:rPr>
      </w:pPr>
      <w:r>
        <w:rPr>
          <w:rStyle w:val="43"/>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482728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478650F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名称：汉滨区五里高级中学</w:t>
      </w:r>
    </w:p>
    <w:p w14:paraId="061D4CA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地址：汉滨区五里镇团结村一组</w:t>
      </w:r>
    </w:p>
    <w:p w14:paraId="124BF7C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联系方式：0915-3917970</w:t>
      </w:r>
    </w:p>
    <w:p w14:paraId="396452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6D79F80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名称：瑞恒项目管理有限公司</w:t>
      </w:r>
    </w:p>
    <w:p w14:paraId="475A914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地址：安康市汉滨区水景湾15幢1单元门面房</w:t>
      </w:r>
    </w:p>
    <w:p w14:paraId="796CBBA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联系方式：13309156131</w:t>
      </w:r>
    </w:p>
    <w:p w14:paraId="69D103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39E18E9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项目联系人：王莹</w:t>
      </w:r>
    </w:p>
    <w:p w14:paraId="328A37B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电话：13309156131</w:t>
      </w:r>
    </w:p>
    <w:p w14:paraId="5FE5B22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瑞恒项目管理有限公司</w:t>
      </w:r>
    </w:p>
    <w:p w14:paraId="3B46799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2026年04月02日</w:t>
      </w:r>
    </w:p>
    <w:p w14:paraId="504BC7F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center"/>
        <w:textAlignment w:val="baseline"/>
        <w:rPr>
          <w:rFonts w:hint="eastAsia" w:ascii="宋体" w:hAnsi="宋体" w:eastAsia="宋体" w:cs="宋体"/>
          <w:i w:val="0"/>
          <w:iCs w:val="0"/>
          <w:caps w:val="0"/>
          <w:color w:val="333333"/>
          <w:spacing w:val="0"/>
          <w:sz w:val="24"/>
          <w:szCs w:val="24"/>
        </w:rPr>
      </w:pPr>
    </w:p>
    <w:p w14:paraId="319AAC0E">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szCs w:val="24"/>
          <w:highlight w:val="none"/>
        </w:rPr>
      </w:pPr>
    </w:p>
    <w:p w14:paraId="7F35650D">
      <w:pPr>
        <w:keepNext w:val="0"/>
        <w:keepLines w:val="0"/>
        <w:pageBreakBefore w:val="0"/>
        <w:widowControl w:val="0"/>
        <w:kinsoku/>
        <w:wordWrap/>
        <w:overflowPunct/>
        <w:topLinePunct w:val="0"/>
        <w:autoSpaceDE/>
        <w:autoSpaceDN/>
        <w:bidi w:val="0"/>
        <w:adjustRightInd/>
        <w:snapToGrid/>
        <w:spacing w:line="400" w:lineRule="exact"/>
        <w:ind w:right="0" w:rightChars="0" w:firstLine="1680" w:firstLineChars="700"/>
        <w:jc w:val="both"/>
        <w:textAlignment w:val="auto"/>
        <w:outlineLvl w:val="9"/>
        <w:rPr>
          <w:rFonts w:hint="eastAsia" w:ascii="宋体" w:hAnsi="宋体" w:eastAsia="宋体" w:cs="宋体"/>
          <w:color w:val="auto"/>
          <w:sz w:val="24"/>
          <w:szCs w:val="24"/>
          <w:highlight w:val="none"/>
        </w:rPr>
      </w:pPr>
    </w:p>
    <w:p w14:paraId="626DC33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p>
    <w:p w14:paraId="473F36A1">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117F25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F7D3CE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3EAE066">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E1F93A8">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B8713E0">
      <w:pPr>
        <w:rPr>
          <w:rFonts w:hint="eastAsia" w:ascii="宋体" w:hAnsi="宋体" w:eastAsia="宋体" w:cs="宋体"/>
          <w:b/>
          <w:bCs/>
          <w:sz w:val="36"/>
          <w:szCs w:val="36"/>
          <w:highlight w:val="none"/>
          <w:lang w:eastAsia="zh-CN"/>
        </w:rPr>
      </w:pPr>
    </w:p>
    <w:p w14:paraId="540CDDD7">
      <w:pPr>
        <w:pStyle w:val="38"/>
        <w:rPr>
          <w:rFonts w:hint="eastAsia" w:ascii="宋体" w:hAnsi="宋体" w:eastAsia="宋体" w:cs="宋体"/>
          <w:b/>
          <w:bCs/>
          <w:sz w:val="36"/>
          <w:szCs w:val="36"/>
          <w:highlight w:val="none"/>
          <w:lang w:eastAsia="zh-CN"/>
        </w:rPr>
      </w:pPr>
    </w:p>
    <w:p w14:paraId="708F5B6F">
      <w:pPr>
        <w:pStyle w:val="38"/>
        <w:rPr>
          <w:rFonts w:hint="eastAsia" w:ascii="宋体" w:hAnsi="宋体" w:eastAsia="宋体" w:cs="宋体"/>
          <w:b/>
          <w:bCs/>
          <w:sz w:val="36"/>
          <w:szCs w:val="36"/>
          <w:highlight w:val="none"/>
          <w:lang w:eastAsia="zh-CN"/>
        </w:rPr>
      </w:pPr>
    </w:p>
    <w:p w14:paraId="23701262">
      <w:pPr>
        <w:pStyle w:val="38"/>
        <w:rPr>
          <w:rFonts w:hint="eastAsia" w:ascii="宋体" w:hAnsi="宋体" w:eastAsia="宋体" w:cs="宋体"/>
          <w:b/>
          <w:bCs/>
          <w:sz w:val="36"/>
          <w:szCs w:val="36"/>
          <w:highlight w:val="none"/>
          <w:lang w:eastAsia="zh-CN"/>
        </w:rPr>
      </w:pPr>
    </w:p>
    <w:p w14:paraId="0487491D">
      <w:pPr>
        <w:pStyle w:val="38"/>
        <w:rPr>
          <w:rFonts w:hint="eastAsia" w:ascii="宋体" w:hAnsi="宋体" w:eastAsia="宋体" w:cs="宋体"/>
          <w:b/>
          <w:bCs/>
          <w:sz w:val="36"/>
          <w:szCs w:val="36"/>
          <w:highlight w:val="none"/>
          <w:lang w:eastAsia="zh-CN"/>
        </w:rPr>
      </w:pPr>
    </w:p>
    <w:p w14:paraId="0DCD8559">
      <w:pPr>
        <w:pStyle w:val="38"/>
        <w:rPr>
          <w:rFonts w:hint="eastAsia" w:ascii="宋体" w:hAnsi="宋体" w:eastAsia="宋体" w:cs="宋体"/>
          <w:b/>
          <w:bCs/>
          <w:sz w:val="36"/>
          <w:szCs w:val="36"/>
          <w:highlight w:val="none"/>
          <w:lang w:eastAsia="zh-CN"/>
        </w:rPr>
      </w:pPr>
    </w:p>
    <w:p w14:paraId="7F0CA6FA">
      <w:pPr>
        <w:rPr>
          <w:rFonts w:hint="eastAsia"/>
          <w:lang w:eastAsia="zh-CN"/>
        </w:rPr>
      </w:pPr>
    </w:p>
    <w:p w14:paraId="48713AE1">
      <w:pPr>
        <w:pStyle w:val="16"/>
        <w:rPr>
          <w:rFonts w:hint="eastAsia"/>
          <w:lang w:eastAsia="zh-CN"/>
        </w:rPr>
      </w:pPr>
    </w:p>
    <w:p w14:paraId="763CF7C3">
      <w:pPr>
        <w:pStyle w:val="17"/>
        <w:rPr>
          <w:rFonts w:hint="eastAsia"/>
          <w:lang w:eastAsia="zh-CN"/>
        </w:rPr>
      </w:pPr>
    </w:p>
    <w:p w14:paraId="37F51F49">
      <w:pPr>
        <w:pStyle w:val="18"/>
        <w:rPr>
          <w:rFonts w:hint="eastAsia"/>
          <w:lang w:eastAsia="zh-CN"/>
        </w:rPr>
      </w:pPr>
    </w:p>
    <w:p w14:paraId="4C7A7EED">
      <w:pPr>
        <w:rPr>
          <w:rFonts w:hint="eastAsia"/>
          <w:lang w:eastAsia="zh-CN"/>
        </w:rPr>
      </w:pPr>
    </w:p>
    <w:p w14:paraId="7D13C13E">
      <w:pPr>
        <w:rPr>
          <w:rFonts w:hint="eastAsia"/>
          <w:lang w:eastAsia="zh-CN"/>
        </w:rPr>
      </w:pPr>
    </w:p>
    <w:p w14:paraId="691B3155">
      <w:pPr>
        <w:rPr>
          <w:rFonts w:hint="eastAsia"/>
          <w:lang w:eastAsia="zh-CN"/>
        </w:rPr>
      </w:pPr>
    </w:p>
    <w:p w14:paraId="054F8E7E">
      <w:pPr>
        <w:rPr>
          <w:rFonts w:hint="eastAsia"/>
          <w:lang w:eastAsia="zh-CN"/>
        </w:rPr>
      </w:pPr>
    </w:p>
    <w:p w14:paraId="3F1C560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bookmarkStart w:id="9" w:name="_Toc24230"/>
    </w:p>
    <w:p w14:paraId="4AB898EB">
      <w:pPr>
        <w:pStyle w:val="2"/>
        <w:numPr>
          <w:ilvl w:val="0"/>
          <w:numId w:val="0"/>
        </w:numPr>
        <w:tabs>
          <w:tab w:val="clear" w:pos="324"/>
        </w:tabs>
        <w:ind w:leftChars="0"/>
        <w:jc w:val="center"/>
        <w:rPr>
          <w:highlight w:val="none"/>
        </w:rPr>
      </w:pPr>
      <w:r>
        <w:rPr>
          <w:rFonts w:hint="eastAsia" w:ascii="宋体" w:hAnsi="宋体" w:eastAsia="宋体" w:cs="宋体"/>
          <w:b/>
          <w:bCs/>
          <w:sz w:val="36"/>
          <w:szCs w:val="36"/>
          <w:highlight w:val="none"/>
          <w:lang w:eastAsia="zh-CN"/>
        </w:rPr>
        <w:t>第二章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投标人须知</w:t>
      </w:r>
      <w:bookmarkEnd w:id="9"/>
    </w:p>
    <w:bookmarkEnd w:id="5"/>
    <w:bookmarkEnd w:id="6"/>
    <w:bookmarkEnd w:id="7"/>
    <w:p w14:paraId="78EBCCC3">
      <w:pPr>
        <w:rPr>
          <w:rFonts w:hint="eastAsia" w:ascii="宋体" w:hAnsi="宋体" w:eastAsia="宋体" w:cs="宋体"/>
          <w:b/>
          <w:bCs/>
          <w:sz w:val="28"/>
          <w:szCs w:val="28"/>
          <w:highlight w:val="none"/>
        </w:rPr>
      </w:pPr>
      <w:bookmarkStart w:id="10" w:name="_Toc222740109"/>
      <w:r>
        <w:rPr>
          <w:rFonts w:hint="eastAsia" w:ascii="宋体" w:hAnsi="宋体" w:eastAsia="宋体" w:cs="宋体"/>
          <w:b/>
          <w:bCs/>
          <w:sz w:val="28"/>
          <w:szCs w:val="28"/>
          <w:highlight w:val="none"/>
        </w:rPr>
        <w:br w:type="page"/>
      </w:r>
    </w:p>
    <w:p w14:paraId="5FEF979C">
      <w:pPr>
        <w:pStyle w:val="4"/>
        <w:numPr>
          <w:ilvl w:val="0"/>
          <w:numId w:val="0"/>
        </w:numPr>
        <w:jc w:val="center"/>
        <w:rPr>
          <w:rFonts w:hint="eastAsia"/>
          <w:szCs w:val="21"/>
          <w:highlight w:val="none"/>
        </w:rPr>
      </w:pPr>
      <w:r>
        <w:rPr>
          <w:rFonts w:hint="eastAsia" w:ascii="宋体" w:hAnsi="宋体" w:eastAsia="宋体" w:cs="宋体"/>
          <w:b/>
          <w:bCs/>
          <w:sz w:val="28"/>
          <w:szCs w:val="28"/>
          <w:highlight w:val="none"/>
        </w:rPr>
        <w:t>投标人须知前附表</w:t>
      </w:r>
      <w:bookmarkEnd w:id="10"/>
    </w:p>
    <w:tbl>
      <w:tblPr>
        <w:tblStyle w:val="40"/>
        <w:tblW w:w="4992"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77"/>
        <w:gridCol w:w="2870"/>
        <w:gridCol w:w="5726"/>
      </w:tblGrid>
      <w:tr w14:paraId="522410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tcPr>
          <w:p w14:paraId="206A0B7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序号</w:t>
            </w:r>
          </w:p>
        </w:tc>
        <w:tc>
          <w:tcPr>
            <w:tcW w:w="1547" w:type="pct"/>
          </w:tcPr>
          <w:p w14:paraId="3CDFA07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条款名称</w:t>
            </w:r>
          </w:p>
        </w:tc>
        <w:tc>
          <w:tcPr>
            <w:tcW w:w="3086" w:type="pct"/>
            <w:vAlign w:val="center"/>
          </w:tcPr>
          <w:p w14:paraId="2FD16965">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具体信息</w:t>
            </w:r>
          </w:p>
        </w:tc>
      </w:tr>
      <w:tr w14:paraId="24F575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365" w:type="pct"/>
            <w:vAlign w:val="center"/>
          </w:tcPr>
          <w:p w14:paraId="448DB91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w:t>
            </w:r>
          </w:p>
        </w:tc>
        <w:tc>
          <w:tcPr>
            <w:tcW w:w="1547" w:type="pct"/>
            <w:vAlign w:val="center"/>
          </w:tcPr>
          <w:p w14:paraId="72882EF1">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color w:val="auto"/>
                <w:sz w:val="21"/>
                <w:szCs w:val="21"/>
                <w:highlight w:val="none"/>
              </w:rPr>
              <w:t>采购人</w:t>
            </w:r>
          </w:p>
        </w:tc>
        <w:tc>
          <w:tcPr>
            <w:tcW w:w="3086" w:type="pct"/>
            <w:vAlign w:val="center"/>
          </w:tcPr>
          <w:p w14:paraId="2227376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val="en-US" w:eastAsia="zh-CN"/>
              </w:rPr>
              <w:t>汉滨区五里高级中学</w:t>
            </w:r>
            <w:r>
              <w:rPr>
                <w:rFonts w:hint="eastAsia" w:ascii="宋体" w:hAnsi="宋体" w:eastAsia="宋体" w:cs="宋体"/>
                <w:color w:val="auto"/>
                <w:sz w:val="21"/>
                <w:szCs w:val="21"/>
                <w:highlight w:val="none"/>
                <w:lang w:val="en-US" w:eastAsia="zh-CN"/>
              </w:rPr>
              <w:t xml:space="preserve"> </w:t>
            </w:r>
          </w:p>
          <w:p w14:paraId="1DC40C7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val="en-US" w:eastAsia="zh-CN"/>
              </w:rPr>
              <w:t>汉滨区五里镇团结村一组</w:t>
            </w:r>
            <w:r>
              <w:rPr>
                <w:rFonts w:hint="eastAsia" w:ascii="宋体" w:hAnsi="宋体" w:eastAsia="宋体" w:cs="宋体"/>
                <w:color w:val="auto"/>
                <w:sz w:val="21"/>
                <w:szCs w:val="21"/>
                <w:highlight w:val="none"/>
              </w:rPr>
              <w:t xml:space="preserve"> </w:t>
            </w:r>
          </w:p>
          <w:p w14:paraId="12B0E9A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话</w:t>
            </w:r>
            <w:r>
              <w:rPr>
                <w:rFonts w:hint="eastAsia" w:ascii="宋体" w:hAnsi="宋体" w:eastAsia="宋体" w:cs="宋体"/>
                <w:color w:val="auto"/>
                <w:sz w:val="21"/>
                <w:szCs w:val="21"/>
                <w:highlight w:val="none"/>
              </w:rPr>
              <w:t>：</w:t>
            </w:r>
            <w:r>
              <w:rPr>
                <w:rFonts w:hint="eastAsia" w:ascii="宋体" w:hAnsi="宋体" w:cs="宋体"/>
                <w:color w:val="auto"/>
                <w:szCs w:val="21"/>
                <w:highlight w:val="none"/>
                <w:lang w:val="en-US" w:eastAsia="zh-CN"/>
              </w:rPr>
              <w:t xml:space="preserve">0915-3917970  </w:t>
            </w:r>
          </w:p>
        </w:tc>
      </w:tr>
      <w:tr w14:paraId="75639F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trPr>
        <w:tc>
          <w:tcPr>
            <w:tcW w:w="365" w:type="pct"/>
            <w:vAlign w:val="center"/>
          </w:tcPr>
          <w:p w14:paraId="00AEF0D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w:t>
            </w:r>
          </w:p>
        </w:tc>
        <w:tc>
          <w:tcPr>
            <w:tcW w:w="1547" w:type="pct"/>
            <w:vAlign w:val="center"/>
          </w:tcPr>
          <w:p w14:paraId="6F95B75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采购代理机构</w:t>
            </w:r>
          </w:p>
        </w:tc>
        <w:tc>
          <w:tcPr>
            <w:tcW w:w="3086" w:type="pct"/>
            <w:vAlign w:val="center"/>
          </w:tcPr>
          <w:p w14:paraId="49B96291">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瑞恒项目管理有限公司</w:t>
            </w:r>
          </w:p>
          <w:p w14:paraId="47B700D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安康市汉滨区水景湾15幢1单元门面房</w:t>
            </w:r>
          </w:p>
          <w:p w14:paraId="77ACBBB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王莹</w:t>
            </w:r>
          </w:p>
          <w:p w14:paraId="358807D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电话/传真：</w:t>
            </w:r>
            <w:r>
              <w:rPr>
                <w:rFonts w:hint="eastAsia" w:ascii="宋体" w:hAnsi="宋体" w:cs="宋体"/>
                <w:color w:val="auto"/>
                <w:sz w:val="21"/>
                <w:szCs w:val="21"/>
                <w:highlight w:val="none"/>
                <w:lang w:eastAsia="zh-CN"/>
              </w:rPr>
              <w:t>13309156131</w:t>
            </w:r>
          </w:p>
          <w:p w14:paraId="7DD4F13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电子邮箱：</w:t>
            </w:r>
            <w:r>
              <w:rPr>
                <w:rFonts w:hint="eastAsia" w:ascii="宋体" w:hAnsi="宋体" w:cs="宋体"/>
                <w:color w:val="auto"/>
                <w:sz w:val="21"/>
                <w:szCs w:val="21"/>
                <w:highlight w:val="none"/>
                <w:lang w:eastAsia="zh-CN"/>
              </w:rPr>
              <w:t>1042118297@qq.com</w:t>
            </w:r>
          </w:p>
        </w:tc>
      </w:tr>
      <w:tr w14:paraId="676764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2" w:hRule="atLeast"/>
        </w:trPr>
        <w:tc>
          <w:tcPr>
            <w:tcW w:w="365" w:type="pct"/>
            <w:vAlign w:val="center"/>
          </w:tcPr>
          <w:p w14:paraId="474E637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w:t>
            </w:r>
          </w:p>
        </w:tc>
        <w:tc>
          <w:tcPr>
            <w:tcW w:w="1547" w:type="pct"/>
            <w:vAlign w:val="center"/>
          </w:tcPr>
          <w:p w14:paraId="458BB1D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采购项目名称</w:t>
            </w:r>
          </w:p>
        </w:tc>
        <w:tc>
          <w:tcPr>
            <w:tcW w:w="3086" w:type="pct"/>
            <w:vAlign w:val="center"/>
          </w:tcPr>
          <w:p w14:paraId="5CF4804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汉滨五里高级中学2026年食材采购项目</w:t>
            </w:r>
          </w:p>
        </w:tc>
      </w:tr>
      <w:tr w14:paraId="726136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7262837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4</w:t>
            </w:r>
          </w:p>
        </w:tc>
        <w:tc>
          <w:tcPr>
            <w:tcW w:w="1547" w:type="pct"/>
            <w:vAlign w:val="center"/>
          </w:tcPr>
          <w:p w14:paraId="3E7DC08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采购项目编号</w:t>
            </w:r>
          </w:p>
        </w:tc>
        <w:tc>
          <w:tcPr>
            <w:tcW w:w="3086" w:type="pct"/>
            <w:vAlign w:val="center"/>
          </w:tcPr>
          <w:p w14:paraId="703DF01A">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lang w:eastAsia="zh-CN"/>
              </w:rPr>
              <w:t>RHAKCG-20260403</w:t>
            </w:r>
          </w:p>
        </w:tc>
      </w:tr>
      <w:tr w14:paraId="122089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5" w:hRule="atLeast"/>
        </w:trPr>
        <w:tc>
          <w:tcPr>
            <w:tcW w:w="365" w:type="pct"/>
            <w:vAlign w:val="center"/>
          </w:tcPr>
          <w:p w14:paraId="3BA4269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5</w:t>
            </w:r>
          </w:p>
        </w:tc>
        <w:tc>
          <w:tcPr>
            <w:tcW w:w="1547" w:type="pct"/>
            <w:vAlign w:val="center"/>
          </w:tcPr>
          <w:p w14:paraId="76FEB141">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采购预算</w:t>
            </w:r>
          </w:p>
        </w:tc>
        <w:tc>
          <w:tcPr>
            <w:tcW w:w="3086" w:type="pct"/>
            <w:vAlign w:val="center"/>
          </w:tcPr>
          <w:p w14:paraId="2405800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w:t>
            </w:r>
            <w:r>
              <w:rPr>
                <w:rFonts w:hint="eastAsia" w:ascii="宋体" w:hAnsi="宋体" w:cs="宋体"/>
                <w:color w:val="auto"/>
                <w:sz w:val="21"/>
                <w:szCs w:val="21"/>
                <w:highlight w:val="none"/>
                <w:lang w:eastAsia="zh-CN"/>
              </w:rPr>
              <w:t>1600000.00</w:t>
            </w:r>
            <w:r>
              <w:rPr>
                <w:rFonts w:hint="eastAsia" w:ascii="宋体" w:hAnsi="宋体" w:eastAsia="宋体" w:cs="宋体"/>
                <w:color w:val="auto"/>
                <w:sz w:val="21"/>
                <w:szCs w:val="21"/>
                <w:highlight w:val="none"/>
                <w:lang w:val="en-US" w:eastAsia="zh-CN"/>
              </w:rPr>
              <w:t>元</w:t>
            </w:r>
          </w:p>
        </w:tc>
      </w:tr>
      <w:tr w14:paraId="33DFA7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65" w:type="pct"/>
            <w:vAlign w:val="center"/>
          </w:tcPr>
          <w:p w14:paraId="53EF00A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47" w:type="pct"/>
            <w:vAlign w:val="center"/>
          </w:tcPr>
          <w:p w14:paraId="058203B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3086" w:type="pct"/>
            <w:vAlign w:val="center"/>
          </w:tcPr>
          <w:p w14:paraId="55BEBF2C">
            <w:pPr>
              <w:pStyle w:val="11"/>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1600000.00元</w:t>
            </w:r>
          </w:p>
          <w:p w14:paraId="27FAD961">
            <w:pPr>
              <w:pStyle w:val="11"/>
              <w:ind w:left="0" w:leftChars="0" w:firstLine="0" w:firstLineChars="0"/>
              <w:rPr>
                <w:rFonts w:hint="default"/>
                <w:lang w:val="en-US" w:eastAsia="zh-CN"/>
              </w:rPr>
            </w:pPr>
            <w:r>
              <w:rPr>
                <w:rFonts w:hint="eastAsia" w:ascii="宋体" w:hAnsi="宋体" w:cs="宋体"/>
                <w:b/>
                <w:bCs/>
                <w:color w:val="auto"/>
                <w:sz w:val="21"/>
                <w:szCs w:val="21"/>
                <w:highlight w:val="none"/>
                <w:lang w:val="en-US" w:eastAsia="zh-CN"/>
              </w:rPr>
              <w:t>本次采购预算仅供参考，不作为后期结算依据；合同执行时以实际供货数量为准，据实结算。</w:t>
            </w:r>
          </w:p>
        </w:tc>
      </w:tr>
      <w:tr w14:paraId="7D719B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5" w:type="pct"/>
            <w:vAlign w:val="center"/>
          </w:tcPr>
          <w:p w14:paraId="21005F7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547" w:type="pct"/>
            <w:vAlign w:val="center"/>
          </w:tcPr>
          <w:p w14:paraId="10C893A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项目用途</w:t>
            </w:r>
          </w:p>
        </w:tc>
        <w:tc>
          <w:tcPr>
            <w:tcW w:w="3086" w:type="pct"/>
            <w:vAlign w:val="center"/>
          </w:tcPr>
          <w:p w14:paraId="6FD99EC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default" w:ascii="宋体" w:hAnsi="宋体" w:eastAsia="宋体" w:cs="宋体"/>
                <w:sz w:val="21"/>
                <w:szCs w:val="21"/>
                <w:highlight w:val="none"/>
                <w:lang w:val="en-US" w:eastAsia="zh-CN"/>
              </w:rPr>
            </w:pPr>
            <w:r>
              <w:rPr>
                <w:rFonts w:hint="eastAsia"/>
                <w:lang w:val="en-US" w:eastAsia="zh-CN"/>
              </w:rPr>
              <w:t>汉滨五里高级中学2026年食材采购项目</w:t>
            </w:r>
          </w:p>
        </w:tc>
      </w:tr>
      <w:tr w14:paraId="7555CE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365" w:type="pct"/>
            <w:vAlign w:val="center"/>
          </w:tcPr>
          <w:p w14:paraId="394025F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47" w:type="pct"/>
            <w:vAlign w:val="center"/>
          </w:tcPr>
          <w:p w14:paraId="6261986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3086" w:type="pct"/>
            <w:vAlign w:val="center"/>
          </w:tcPr>
          <w:p w14:paraId="3190C6F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公开招标</w:t>
            </w:r>
          </w:p>
        </w:tc>
      </w:tr>
      <w:tr w14:paraId="25250C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365" w:type="pct"/>
            <w:vAlign w:val="center"/>
          </w:tcPr>
          <w:p w14:paraId="2D07A98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47" w:type="pct"/>
            <w:vAlign w:val="center"/>
          </w:tcPr>
          <w:p w14:paraId="1766CE9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是否专门面向中小企业或小微型企业</w:t>
            </w:r>
          </w:p>
        </w:tc>
        <w:tc>
          <w:tcPr>
            <w:tcW w:w="3086" w:type="pct"/>
            <w:vAlign w:val="center"/>
          </w:tcPr>
          <w:p w14:paraId="5133A1F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否 </w:t>
            </w:r>
          </w:p>
        </w:tc>
      </w:tr>
      <w:tr w14:paraId="52C7E2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3" w:hRule="atLeast"/>
        </w:trPr>
        <w:tc>
          <w:tcPr>
            <w:tcW w:w="365" w:type="pct"/>
            <w:vAlign w:val="center"/>
          </w:tcPr>
          <w:p w14:paraId="6D97F5B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47" w:type="pct"/>
            <w:vAlign w:val="center"/>
          </w:tcPr>
          <w:p w14:paraId="11572F8A">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w:t>
            </w:r>
          </w:p>
        </w:tc>
        <w:tc>
          <w:tcPr>
            <w:tcW w:w="3086" w:type="pct"/>
            <w:vAlign w:val="center"/>
          </w:tcPr>
          <w:p w14:paraId="2E5C604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汉滨五里高级中学2026年食材采购项目</w:t>
            </w:r>
            <w:r>
              <w:rPr>
                <w:rFonts w:hint="eastAsia" w:ascii="宋体" w:hAnsi="宋体" w:eastAsia="宋体" w:cs="宋体"/>
                <w:color w:val="auto"/>
                <w:sz w:val="21"/>
                <w:szCs w:val="21"/>
                <w:highlight w:val="none"/>
                <w:lang w:val="en-US" w:eastAsia="zh-CN"/>
              </w:rPr>
              <w:t xml:space="preserve">，详见招标文件“第四章 </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内容及要求”。</w:t>
            </w:r>
          </w:p>
        </w:tc>
      </w:tr>
      <w:tr w14:paraId="564529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092F8C40">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47" w:type="pct"/>
            <w:vAlign w:val="center"/>
          </w:tcPr>
          <w:p w14:paraId="2942237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合同履行期限</w:t>
            </w:r>
          </w:p>
        </w:tc>
        <w:tc>
          <w:tcPr>
            <w:tcW w:w="3086" w:type="pct"/>
            <w:vAlign w:val="center"/>
          </w:tcPr>
          <w:p w14:paraId="0EF5176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default"/>
                <w:highlight w:val="none"/>
                <w:lang w:val="en-US"/>
              </w:rPr>
            </w:pPr>
            <w:r>
              <w:rPr>
                <w:rFonts w:hint="eastAsia" w:ascii="宋体" w:hAnsi="宋体" w:cs="宋体"/>
                <w:b/>
                <w:bCs/>
                <w:kern w:val="2"/>
                <w:sz w:val="21"/>
                <w:szCs w:val="21"/>
                <w:highlight w:val="none"/>
                <w:shd w:val="clear" w:color="auto" w:fill="FFFFFF"/>
                <w:lang w:val="en-US" w:eastAsia="zh-CN" w:bidi="ar-SA"/>
              </w:rPr>
              <w:t>自合同签订之日起1年。</w:t>
            </w:r>
          </w:p>
        </w:tc>
      </w:tr>
      <w:tr w14:paraId="7E900A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D78423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982" w:type="dxa"/>
            <w:vAlign w:val="center"/>
          </w:tcPr>
          <w:p w14:paraId="5BB14A3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5949" w:type="dxa"/>
            <w:vAlign w:val="center"/>
          </w:tcPr>
          <w:p w14:paraId="713B348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eastAsia="zh-CN"/>
              </w:rPr>
              <w:t>采购人指定地点</w:t>
            </w:r>
          </w:p>
        </w:tc>
      </w:tr>
      <w:tr w14:paraId="28F19E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365" w:type="pct"/>
            <w:vAlign w:val="center"/>
          </w:tcPr>
          <w:p w14:paraId="1DD83AF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p>
        </w:tc>
        <w:tc>
          <w:tcPr>
            <w:tcW w:w="1547" w:type="pct"/>
            <w:vAlign w:val="center"/>
          </w:tcPr>
          <w:p w14:paraId="024D91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质量要求及验收标准</w:t>
            </w:r>
          </w:p>
        </w:tc>
        <w:tc>
          <w:tcPr>
            <w:tcW w:w="3086" w:type="pct"/>
            <w:vAlign w:val="center"/>
          </w:tcPr>
          <w:p w14:paraId="0C10507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color w:val="auto"/>
                <w:sz w:val="21"/>
                <w:szCs w:val="21"/>
                <w:highlight w:val="none"/>
                <w:lang w:eastAsia="zh-CN"/>
              </w:rPr>
              <w:t>中标人配送的全部食材须符合国家食品安全标准及学校采购验收标准，包装完好、无变质污染，并按要求提供SC证、第三方质检报告、合格证明等溯源凭证；采购单位可适时抽检并建档，抽检费用由中标人承担，若抽检不合格，采购单位有权终止合同，因产品质量问题引发安全事故的，全部责任由中标人承担。</w:t>
            </w:r>
          </w:p>
        </w:tc>
      </w:tr>
      <w:tr w14:paraId="1DFF19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365" w:type="pct"/>
            <w:vAlign w:val="center"/>
          </w:tcPr>
          <w:p w14:paraId="2E3F0E0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547" w:type="pct"/>
            <w:vAlign w:val="center"/>
          </w:tcPr>
          <w:p w14:paraId="1429726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资格证明文件</w:t>
            </w:r>
          </w:p>
        </w:tc>
        <w:tc>
          <w:tcPr>
            <w:tcW w:w="3086" w:type="pct"/>
            <w:vAlign w:val="center"/>
          </w:tcPr>
          <w:p w14:paraId="66A4A791">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或2025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供应商须提供有效的《食品经营许可证》或《预包装食品经营者备案表》（蔬菜除外）。（9）本项目不接受联合体投标。（10）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宋体" w:cs="宋体"/>
                <w:b/>
                <w:bCs/>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p>
        </w:tc>
      </w:tr>
      <w:tr w14:paraId="685F8B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365" w:type="pct"/>
            <w:vAlign w:val="center"/>
          </w:tcPr>
          <w:p w14:paraId="28BF715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547" w:type="pct"/>
          </w:tcPr>
          <w:p w14:paraId="3CA38F6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3086" w:type="pct"/>
            <w:vAlign w:val="center"/>
          </w:tcPr>
          <w:p w14:paraId="2A132A6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否</w:t>
            </w:r>
          </w:p>
        </w:tc>
      </w:tr>
      <w:tr w14:paraId="49A488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1" w:hRule="atLeast"/>
        </w:trPr>
        <w:tc>
          <w:tcPr>
            <w:tcW w:w="365" w:type="pct"/>
            <w:vAlign w:val="center"/>
          </w:tcPr>
          <w:p w14:paraId="63ADCFB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547" w:type="pct"/>
            <w:vAlign w:val="center"/>
          </w:tcPr>
          <w:p w14:paraId="06923A7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现场踏勘及答疑</w:t>
            </w:r>
          </w:p>
        </w:tc>
        <w:tc>
          <w:tcPr>
            <w:tcW w:w="3086" w:type="pct"/>
            <w:vAlign w:val="center"/>
          </w:tcPr>
          <w:p w14:paraId="3F7F7A4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不组织</w:t>
            </w:r>
          </w:p>
        </w:tc>
      </w:tr>
      <w:tr w14:paraId="529CC0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80" w:hRule="atLeast"/>
        </w:trPr>
        <w:tc>
          <w:tcPr>
            <w:tcW w:w="365" w:type="pct"/>
            <w:vAlign w:val="center"/>
          </w:tcPr>
          <w:p w14:paraId="1CAB60A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547" w:type="pct"/>
            <w:vAlign w:val="center"/>
          </w:tcPr>
          <w:p w14:paraId="21A68C9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提出询问和质疑的时间</w:t>
            </w:r>
          </w:p>
        </w:tc>
        <w:tc>
          <w:tcPr>
            <w:tcW w:w="3086" w:type="pct"/>
            <w:vAlign w:val="center"/>
          </w:tcPr>
          <w:p w14:paraId="3DBE660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已经</w:t>
            </w:r>
            <w:r>
              <w:rPr>
                <w:rFonts w:hint="eastAsia" w:ascii="宋体" w:hAnsi="宋体" w:cs="宋体"/>
                <w:snapToGrid w:val="0"/>
                <w:color w:val="auto"/>
                <w:sz w:val="21"/>
                <w:szCs w:val="21"/>
                <w:highlight w:val="none"/>
                <w:lang w:val="en-US" w:eastAsia="zh-CN"/>
              </w:rPr>
              <w:t>获取</w:t>
            </w:r>
            <w:r>
              <w:rPr>
                <w:rFonts w:hint="eastAsia" w:ascii="宋体" w:hAnsi="宋体" w:eastAsia="宋体" w:cs="宋体"/>
                <w:snapToGrid w:val="0"/>
                <w:color w:val="auto"/>
                <w:sz w:val="21"/>
                <w:szCs w:val="21"/>
                <w:highlight w:val="none"/>
                <w:lang w:eastAsia="zh-CN"/>
              </w:rPr>
              <w:t>招标文件的投标人对招标文件有询问或者质疑的，可以在本项目采购文件公告期限届满之日起</w:t>
            </w: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个工作日内，以书面形式</w:t>
            </w:r>
            <w:r>
              <w:rPr>
                <w:rFonts w:hint="eastAsia" w:ascii="宋体" w:hAnsi="宋体" w:eastAsia="宋体" w:cs="宋体"/>
                <w:snapToGrid w:val="0"/>
                <w:color w:val="auto"/>
                <w:sz w:val="21"/>
                <w:szCs w:val="21"/>
                <w:highlight w:val="none"/>
              </w:rPr>
              <w:t>（陕西省政府采购网上政府采购</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质疑函范本</w:t>
            </w:r>
            <w:r>
              <w:rPr>
                <w:rFonts w:hint="eastAsia" w:ascii="宋体" w:hAnsi="宋体" w:eastAsia="宋体" w:cs="宋体"/>
                <w:snapToGrid w:val="0"/>
                <w:color w:val="auto"/>
                <w:sz w:val="21"/>
                <w:szCs w:val="21"/>
                <w:highlight w:val="none"/>
                <w:lang w:eastAsia="zh-CN"/>
              </w:rPr>
              <w:t>）一次性向采购代理机构提出，在此之后提出的询问和质疑均为无效，采购代理机构不予受理。</w:t>
            </w:r>
          </w:p>
        </w:tc>
      </w:tr>
      <w:tr w14:paraId="1250A9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365" w:type="pct"/>
            <w:vAlign w:val="center"/>
          </w:tcPr>
          <w:p w14:paraId="38481A6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547" w:type="pct"/>
            <w:vAlign w:val="center"/>
          </w:tcPr>
          <w:p w14:paraId="4CA0A5D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采购代理机构答疑的时间</w:t>
            </w:r>
          </w:p>
        </w:tc>
        <w:tc>
          <w:tcPr>
            <w:tcW w:w="3086" w:type="pct"/>
            <w:vAlign w:val="center"/>
          </w:tcPr>
          <w:p w14:paraId="4D3A9CC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对于投标人在规定时间内依法提出的询问和质疑，采购代理机构将在</w:t>
            </w: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个工作日内答复询问，</w:t>
            </w:r>
            <w:r>
              <w:rPr>
                <w:rFonts w:hint="eastAsia" w:ascii="宋体" w:hAnsi="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个工作日内答复质疑。若对招标文件做出实质性变动，则按照相关规定延长投标截止时间。</w:t>
            </w:r>
          </w:p>
        </w:tc>
      </w:tr>
      <w:tr w14:paraId="423D5A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9BBB22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18</w:t>
            </w:r>
          </w:p>
        </w:tc>
        <w:tc>
          <w:tcPr>
            <w:tcW w:w="1547" w:type="pct"/>
            <w:vAlign w:val="center"/>
          </w:tcPr>
          <w:p w14:paraId="432C2C5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投标有效期</w:t>
            </w:r>
          </w:p>
        </w:tc>
        <w:tc>
          <w:tcPr>
            <w:tcW w:w="3086" w:type="pct"/>
            <w:vAlign w:val="center"/>
          </w:tcPr>
          <w:p w14:paraId="31AE942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90个日历日（从</w:t>
            </w:r>
            <w:r>
              <w:rPr>
                <w:rFonts w:hint="eastAsia" w:ascii="宋体" w:hAnsi="宋体" w:eastAsia="宋体" w:cs="宋体"/>
                <w:color w:val="auto"/>
                <w:sz w:val="21"/>
                <w:szCs w:val="21"/>
                <w:highlight w:val="none"/>
                <w:lang w:eastAsia="zh-CN"/>
              </w:rPr>
              <w:t>提交</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截止之日算起）</w:t>
            </w:r>
          </w:p>
        </w:tc>
      </w:tr>
      <w:tr w14:paraId="4D756C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084ABC5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19</w:t>
            </w:r>
          </w:p>
        </w:tc>
        <w:tc>
          <w:tcPr>
            <w:tcW w:w="1547" w:type="pct"/>
            <w:vAlign w:val="center"/>
          </w:tcPr>
          <w:p w14:paraId="362C4E1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转包与分包履约</w:t>
            </w:r>
          </w:p>
        </w:tc>
        <w:tc>
          <w:tcPr>
            <w:tcW w:w="3086" w:type="pct"/>
            <w:vAlign w:val="center"/>
          </w:tcPr>
          <w:p w14:paraId="06BB7AB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lang w:val="en-US" w:eastAsia="zh-CN"/>
              </w:rPr>
              <w:t>本项目不允许采取转包</w:t>
            </w:r>
            <w:r>
              <w:rPr>
                <w:rFonts w:hint="eastAsia" w:ascii="宋体" w:hAnsi="宋体" w:cs="宋体"/>
                <w:color w:val="000000"/>
                <w:sz w:val="21"/>
                <w:szCs w:val="21"/>
                <w:highlight w:val="none"/>
                <w:lang w:val="en-US" w:eastAsia="zh-CN"/>
              </w:rPr>
              <w:t>与分包</w:t>
            </w:r>
            <w:r>
              <w:rPr>
                <w:rFonts w:hint="eastAsia" w:ascii="宋体" w:hAnsi="宋体" w:eastAsia="宋体" w:cs="宋体"/>
                <w:color w:val="000000"/>
                <w:sz w:val="21"/>
                <w:szCs w:val="21"/>
                <w:highlight w:val="none"/>
                <w:lang w:val="en-US" w:eastAsia="zh-CN"/>
              </w:rPr>
              <w:t>方式履行合同</w:t>
            </w:r>
            <w:r>
              <w:rPr>
                <w:rFonts w:hint="eastAsia" w:ascii="宋体" w:hAnsi="宋体" w:eastAsia="宋体" w:cs="宋体"/>
                <w:color w:val="auto"/>
                <w:sz w:val="21"/>
                <w:szCs w:val="21"/>
                <w:highlight w:val="none"/>
              </w:rPr>
              <w:t>。</w:t>
            </w:r>
          </w:p>
        </w:tc>
      </w:tr>
      <w:tr w14:paraId="579B44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9" w:hRule="atLeast"/>
        </w:trPr>
        <w:tc>
          <w:tcPr>
            <w:tcW w:w="365" w:type="pct"/>
            <w:vAlign w:val="center"/>
          </w:tcPr>
          <w:p w14:paraId="12FAE6D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547" w:type="pct"/>
            <w:vAlign w:val="center"/>
          </w:tcPr>
          <w:p w14:paraId="28A7489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投标保证金金额及递交时间</w:t>
            </w:r>
          </w:p>
        </w:tc>
        <w:tc>
          <w:tcPr>
            <w:tcW w:w="3086" w:type="pct"/>
            <w:vAlign w:val="center"/>
          </w:tcPr>
          <w:p w14:paraId="3B73055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本项目不收取投标保证金。</w:t>
            </w:r>
          </w:p>
        </w:tc>
      </w:tr>
      <w:tr w14:paraId="29A8D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65" w:type="pct"/>
            <w:vAlign w:val="center"/>
          </w:tcPr>
          <w:p w14:paraId="59EAC9B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547" w:type="pct"/>
            <w:vAlign w:val="center"/>
          </w:tcPr>
          <w:p w14:paraId="4E84236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发售</w:t>
            </w:r>
          </w:p>
        </w:tc>
        <w:tc>
          <w:tcPr>
            <w:tcW w:w="3086" w:type="pct"/>
            <w:vAlign w:val="center"/>
          </w:tcPr>
          <w:p w14:paraId="490CEC7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szCs w:val="21"/>
                <w:highlight w:val="none"/>
                <w:lang w:eastAsia="zh-CN"/>
              </w:rPr>
              <w:t>2026年</w:t>
            </w:r>
            <w:r>
              <w:rPr>
                <w:rFonts w:hint="eastAsia" w:ascii="宋体" w:hAnsi="宋体" w:cs="宋体"/>
                <w:szCs w:val="21"/>
                <w:highlight w:val="none"/>
                <w:lang w:val="en-US" w:eastAsia="zh-CN"/>
              </w:rPr>
              <w:t>4</w:t>
            </w:r>
            <w:r>
              <w:rPr>
                <w:rFonts w:hint="eastAsia" w:ascii="宋体" w:hAnsi="宋体" w:cs="宋体"/>
                <w:szCs w:val="21"/>
                <w:highlight w:val="none"/>
                <w:lang w:eastAsia="zh-CN"/>
              </w:rPr>
              <w:t>月</w:t>
            </w:r>
            <w:r>
              <w:rPr>
                <w:rFonts w:hint="eastAsia" w:ascii="宋体" w:hAnsi="宋体" w:cs="宋体"/>
                <w:szCs w:val="21"/>
                <w:highlight w:val="none"/>
                <w:lang w:val="en-US" w:eastAsia="zh-CN"/>
              </w:rPr>
              <w:t>3</w:t>
            </w:r>
            <w:r>
              <w:rPr>
                <w:rFonts w:hint="eastAsia" w:ascii="宋体" w:hAnsi="宋体" w:cs="宋体"/>
                <w:szCs w:val="21"/>
                <w:highlight w:val="none"/>
                <w:lang w:eastAsia="zh-CN"/>
              </w:rPr>
              <w:t>日至2026年</w:t>
            </w:r>
            <w:r>
              <w:rPr>
                <w:rFonts w:hint="eastAsia" w:ascii="宋体" w:hAnsi="宋体" w:cs="宋体"/>
                <w:szCs w:val="21"/>
                <w:highlight w:val="none"/>
                <w:lang w:val="en-US" w:eastAsia="zh-CN"/>
              </w:rPr>
              <w:t>4</w:t>
            </w:r>
            <w:r>
              <w:rPr>
                <w:rFonts w:hint="eastAsia" w:ascii="宋体" w:hAnsi="宋体" w:cs="宋体"/>
                <w:szCs w:val="21"/>
                <w:highlight w:val="none"/>
                <w:lang w:eastAsia="zh-CN"/>
              </w:rPr>
              <w:t>月</w:t>
            </w:r>
            <w:r>
              <w:rPr>
                <w:rFonts w:hint="eastAsia" w:ascii="宋体" w:hAnsi="宋体" w:cs="宋体"/>
                <w:szCs w:val="21"/>
                <w:highlight w:val="none"/>
                <w:lang w:val="en-US" w:eastAsia="zh-CN"/>
              </w:rPr>
              <w:t>10</w:t>
            </w:r>
            <w:r>
              <w:rPr>
                <w:rFonts w:hint="eastAsia" w:ascii="宋体" w:hAnsi="宋体" w:cs="宋体"/>
                <w:szCs w:val="21"/>
                <w:highlight w:val="none"/>
                <w:lang w:eastAsia="zh-CN"/>
              </w:rPr>
              <w:t>日，每天上午00:00:00至12:00:00，下午12:00:00至23:59:59（北京时间）</w:t>
            </w:r>
            <w:r>
              <w:rPr>
                <w:rFonts w:hint="eastAsia" w:ascii="宋体" w:hAnsi="宋体" w:eastAsia="宋体" w:cs="宋体"/>
                <w:color w:val="auto"/>
                <w:sz w:val="21"/>
                <w:szCs w:val="21"/>
                <w:highlight w:val="none"/>
                <w:lang w:val="en-US" w:eastAsia="zh-CN"/>
              </w:rPr>
              <w:t>途径</w:t>
            </w:r>
            <w:r>
              <w:rPr>
                <w:rFonts w:hint="eastAsia" w:ascii="宋体" w:hAnsi="宋体" w:eastAsia="宋体" w:cs="宋体"/>
                <w:color w:val="auto"/>
                <w:sz w:val="21"/>
                <w:szCs w:val="21"/>
                <w:highlight w:val="none"/>
                <w:lang w:eastAsia="zh-CN"/>
              </w:rPr>
              <w:t>：</w:t>
            </w:r>
            <w:r>
              <w:rPr>
                <w:rFonts w:hint="eastAsia" w:ascii="宋体" w:hAnsi="宋体" w:cs="宋体"/>
                <w:szCs w:val="21"/>
                <w:highlight w:val="none"/>
                <w:lang w:val="en-US" w:eastAsia="zh-CN"/>
              </w:rPr>
              <w:t>安康市公共资源交易平台</w:t>
            </w:r>
          </w:p>
          <w:p w14:paraId="69BD609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方式：在线获取</w:t>
            </w:r>
          </w:p>
          <w:p w14:paraId="3D19F38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售价：免费获取</w:t>
            </w:r>
          </w:p>
        </w:tc>
      </w:tr>
      <w:tr w14:paraId="74089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7B17F4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22</w:t>
            </w:r>
          </w:p>
        </w:tc>
        <w:tc>
          <w:tcPr>
            <w:tcW w:w="1547" w:type="pct"/>
            <w:vAlign w:val="center"/>
          </w:tcPr>
          <w:p w14:paraId="0E6F678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备选投标方案和报价</w:t>
            </w:r>
          </w:p>
        </w:tc>
        <w:tc>
          <w:tcPr>
            <w:tcW w:w="3086" w:type="pct"/>
            <w:vAlign w:val="center"/>
          </w:tcPr>
          <w:p w14:paraId="0E9EA60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本项目不接受备选投标方案和多个报价。</w:t>
            </w:r>
          </w:p>
        </w:tc>
      </w:tr>
      <w:tr w14:paraId="371BA3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8A0406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23</w:t>
            </w:r>
          </w:p>
        </w:tc>
        <w:tc>
          <w:tcPr>
            <w:tcW w:w="1547" w:type="pct"/>
            <w:vAlign w:val="center"/>
          </w:tcPr>
          <w:p w14:paraId="2CE4943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投标文件提交地点及截止时间</w:t>
            </w:r>
          </w:p>
        </w:tc>
        <w:tc>
          <w:tcPr>
            <w:tcW w:w="3086" w:type="pct"/>
            <w:vAlign w:val="center"/>
          </w:tcPr>
          <w:p w14:paraId="1DD25A1E">
            <w:pPr>
              <w:keepNext w:val="0"/>
              <w:keepLines w:val="0"/>
              <w:pageBreakBefore w:val="0"/>
              <w:widowControl w:val="0"/>
              <w:tabs>
                <w:tab w:val="left" w:pos="9720"/>
              </w:tabs>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截止时间：</w:t>
            </w:r>
            <w:r>
              <w:rPr>
                <w:rFonts w:hint="eastAsia" w:ascii="宋体" w:hAnsi="宋体" w:cs="宋体"/>
                <w:color w:val="auto"/>
                <w:sz w:val="21"/>
                <w:szCs w:val="21"/>
                <w:highlight w:val="none"/>
                <w:u w:val="none"/>
                <w:lang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27</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分00秒（北京时间）</w:t>
            </w:r>
          </w:p>
          <w:p w14:paraId="4FE516E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w:t>
            </w:r>
            <w:r>
              <w:rPr>
                <w:rFonts w:hint="eastAsia" w:ascii="宋体" w:hAnsi="宋体" w:cs="宋体"/>
                <w:szCs w:val="21"/>
                <w:highlight w:val="none"/>
                <w:lang w:val="en-US" w:eastAsia="zh-CN"/>
              </w:rPr>
              <w:t>安康市公共资源交易平台</w:t>
            </w:r>
          </w:p>
        </w:tc>
      </w:tr>
      <w:tr w14:paraId="326AB3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D6998C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24</w:t>
            </w:r>
          </w:p>
        </w:tc>
        <w:tc>
          <w:tcPr>
            <w:tcW w:w="1547" w:type="pct"/>
            <w:vAlign w:val="center"/>
          </w:tcPr>
          <w:p w14:paraId="28EE754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开标</w:t>
            </w:r>
          </w:p>
        </w:tc>
        <w:tc>
          <w:tcPr>
            <w:tcW w:w="3086" w:type="pct"/>
            <w:vAlign w:val="center"/>
          </w:tcPr>
          <w:p w14:paraId="6041279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时间：</w:t>
            </w:r>
            <w:r>
              <w:rPr>
                <w:rFonts w:hint="eastAsia" w:ascii="宋体" w:hAnsi="宋体" w:cs="宋体"/>
                <w:color w:val="auto"/>
                <w:sz w:val="21"/>
                <w:szCs w:val="21"/>
                <w:highlight w:val="none"/>
                <w:u w:val="none"/>
                <w:lang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27</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分00秒（北京时间）</w:t>
            </w:r>
          </w:p>
          <w:p w14:paraId="248D368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w:t>
            </w:r>
            <w:r>
              <w:rPr>
                <w:rFonts w:hint="eastAsia" w:ascii="宋体" w:hAnsi="宋体" w:cs="宋体"/>
                <w:color w:val="auto"/>
                <w:sz w:val="21"/>
                <w:szCs w:val="21"/>
                <w:highlight w:val="none"/>
                <w:u w:val="none"/>
                <w:lang w:val="en-US" w:eastAsia="zh-CN"/>
              </w:rPr>
              <w:t>不见面开标大厅</w:t>
            </w:r>
          </w:p>
        </w:tc>
      </w:tr>
      <w:tr w14:paraId="34DC9C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trPr>
        <w:tc>
          <w:tcPr>
            <w:tcW w:w="365" w:type="pct"/>
            <w:vAlign w:val="center"/>
          </w:tcPr>
          <w:p w14:paraId="3AFC1AC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25</w:t>
            </w:r>
          </w:p>
        </w:tc>
        <w:tc>
          <w:tcPr>
            <w:tcW w:w="1547" w:type="pct"/>
            <w:vAlign w:val="center"/>
          </w:tcPr>
          <w:p w14:paraId="507983C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评标办法及标准</w:t>
            </w:r>
          </w:p>
        </w:tc>
        <w:tc>
          <w:tcPr>
            <w:tcW w:w="3086" w:type="pct"/>
            <w:vAlign w:val="center"/>
          </w:tcPr>
          <w:p w14:paraId="4B3E1C4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u w:val="none"/>
              </w:rPr>
            </w:pPr>
            <w:r>
              <w:rPr>
                <w:rFonts w:hint="eastAsia" w:ascii="宋体" w:hAnsi="宋体" w:eastAsia="宋体" w:cs="宋体"/>
                <w:color w:val="auto"/>
                <w:sz w:val="21"/>
                <w:szCs w:val="21"/>
                <w:highlight w:val="none"/>
                <w:u w:val="none"/>
              </w:rPr>
              <w:t>详见招标文件</w:t>
            </w:r>
            <w:r>
              <w:rPr>
                <w:rFonts w:hint="eastAsia" w:ascii="宋体" w:hAnsi="宋体" w:eastAsia="宋体" w:cs="宋体"/>
                <w:color w:val="auto"/>
                <w:sz w:val="21"/>
                <w:szCs w:val="21"/>
                <w:highlight w:val="none"/>
                <w:u w:val="none"/>
                <w:lang w:eastAsia="zh-CN"/>
              </w:rPr>
              <w:t>第三章</w:t>
            </w:r>
            <w:r>
              <w:rPr>
                <w:rFonts w:hint="eastAsia" w:ascii="宋体" w:hAnsi="宋体" w:eastAsia="宋体" w:cs="宋体"/>
                <w:color w:val="auto"/>
                <w:sz w:val="21"/>
                <w:szCs w:val="21"/>
                <w:highlight w:val="none"/>
                <w:u w:val="none"/>
              </w:rPr>
              <w:t>评标办法</w:t>
            </w:r>
          </w:p>
        </w:tc>
      </w:tr>
      <w:tr w14:paraId="1A988E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365" w:type="pct"/>
            <w:vAlign w:val="center"/>
          </w:tcPr>
          <w:p w14:paraId="160C6CA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547" w:type="pct"/>
            <w:vAlign w:val="center"/>
          </w:tcPr>
          <w:p w14:paraId="45CB2F24">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履约担保</w:t>
            </w:r>
          </w:p>
        </w:tc>
        <w:tc>
          <w:tcPr>
            <w:tcW w:w="3086" w:type="pct"/>
            <w:vAlign w:val="center"/>
          </w:tcPr>
          <w:p w14:paraId="736DE036">
            <w:pPr>
              <w:spacing w:line="420" w:lineRule="exac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无</w:t>
            </w:r>
          </w:p>
        </w:tc>
      </w:tr>
      <w:tr w14:paraId="6D1CF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62ED3B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27</w:t>
            </w:r>
          </w:p>
        </w:tc>
        <w:tc>
          <w:tcPr>
            <w:tcW w:w="1547" w:type="pct"/>
            <w:vAlign w:val="center"/>
          </w:tcPr>
          <w:p w14:paraId="0BA690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采购代理服务费</w:t>
            </w:r>
          </w:p>
        </w:tc>
        <w:tc>
          <w:tcPr>
            <w:tcW w:w="3086" w:type="pct"/>
            <w:vAlign w:val="center"/>
          </w:tcPr>
          <w:p w14:paraId="02CB4903">
            <w:pPr>
              <w:spacing w:line="500" w:lineRule="exac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lang w:val="en-US" w:eastAsia="zh-CN"/>
              </w:rPr>
              <w:t>采购代理服务费的金额参照《国家计委关于印发&lt;招标代理服务收费管理暂行办法&gt;的通知》（计价格[2002]1980号）和国家发改委办公厅颁发的《关于招标代理服务收费有关问题的通知》（发改办价格【2003】857号）的有关规定收取招标代理服务费</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由</w:t>
            </w:r>
            <w:r>
              <w:rPr>
                <w:rFonts w:hint="eastAsia" w:ascii="宋体" w:hAnsi="宋体" w:cs="宋体"/>
                <w:sz w:val="21"/>
                <w:szCs w:val="21"/>
                <w:highlight w:val="none"/>
                <w:lang w:val="en-US" w:eastAsia="zh-CN"/>
              </w:rPr>
              <w:t>中标供应商</w:t>
            </w:r>
            <w:r>
              <w:rPr>
                <w:rFonts w:hint="eastAsia" w:ascii="宋体" w:hAnsi="宋体" w:eastAsia="宋体" w:cs="宋体"/>
                <w:sz w:val="21"/>
                <w:szCs w:val="21"/>
                <w:highlight w:val="none"/>
                <w:lang w:val="en-US" w:eastAsia="zh-CN"/>
              </w:rPr>
              <w:t>支付。</w:t>
            </w:r>
          </w:p>
        </w:tc>
      </w:tr>
      <w:tr w14:paraId="43E6E9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3ED092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bookmarkStart w:id="11" w:name="_Toc222740110"/>
            <w:r>
              <w:rPr>
                <w:rFonts w:hint="eastAsia" w:ascii="宋体" w:hAnsi="宋体" w:eastAsia="宋体" w:cs="宋体"/>
                <w:color w:val="auto"/>
                <w:sz w:val="21"/>
                <w:szCs w:val="21"/>
                <w:highlight w:val="none"/>
                <w:lang w:val="en-US" w:eastAsia="zh-CN"/>
              </w:rPr>
              <w:t>28</w:t>
            </w:r>
          </w:p>
        </w:tc>
        <w:tc>
          <w:tcPr>
            <w:tcW w:w="1547" w:type="pct"/>
            <w:vAlign w:val="center"/>
          </w:tcPr>
          <w:p w14:paraId="602EC1E0">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采购标对应的中小企业划分标准所属行业</w:t>
            </w:r>
          </w:p>
        </w:tc>
        <w:tc>
          <w:tcPr>
            <w:tcW w:w="3086" w:type="pct"/>
            <w:vAlign w:val="center"/>
          </w:tcPr>
          <w:p w14:paraId="0306B2C5">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z w:val="21"/>
                <w:szCs w:val="21"/>
                <w:highlight w:val="none"/>
              </w:rPr>
            </w:pPr>
            <w:r>
              <w:rPr>
                <w:rFonts w:hint="eastAsia" w:ascii="宋体" w:hAnsi="宋体" w:cs="宋体"/>
                <w:b/>
                <w:bCs/>
                <w:sz w:val="21"/>
                <w:szCs w:val="21"/>
                <w:highlight w:val="none"/>
                <w:lang w:val="en-US" w:eastAsia="zh-CN"/>
              </w:rPr>
              <w:t>批发业。</w:t>
            </w:r>
            <w:r>
              <w:rPr>
                <w:rFonts w:hint="eastAsia" w:ascii="宋体" w:hAnsi="宋体" w:cs="宋体"/>
                <w:b w:val="0"/>
                <w:bCs w:val="0"/>
                <w:sz w:val="21"/>
                <w:szCs w:val="21"/>
                <w:highlight w:val="none"/>
                <w:lang w:val="en-US"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14:paraId="4B5658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59F115C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547" w:type="pct"/>
            <w:vAlign w:val="center"/>
          </w:tcPr>
          <w:p w14:paraId="4B506F7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tc>
        <w:tc>
          <w:tcPr>
            <w:tcW w:w="3086" w:type="pct"/>
            <w:vAlign w:val="center"/>
          </w:tcPr>
          <w:p w14:paraId="08FE1E9A">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sz w:val="21"/>
                <w:szCs w:val="21"/>
                <w:highlight w:val="none"/>
              </w:rPr>
              <w:t>本招标文件未明确的其他事项，按照有关法律、法规或省市有关规定执行。</w:t>
            </w:r>
          </w:p>
        </w:tc>
      </w:tr>
      <w:bookmarkEnd w:id="8"/>
    </w:tbl>
    <w:p w14:paraId="0C424670">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p>
    <w:p w14:paraId="76732AE9">
      <w:pPr>
        <w:rPr>
          <w:rFonts w:hint="default" w:ascii="Times New Roman" w:hAnsi="Times New Roman" w:cs="Times New Roman"/>
          <w:spacing w:val="0"/>
          <w:sz w:val="21"/>
          <w:szCs w:val="21"/>
          <w:highlight w:val="none"/>
        </w:rPr>
      </w:pPr>
    </w:p>
    <w:p w14:paraId="4E0BA4F1">
      <w:pPr>
        <w:rPr>
          <w:rFonts w:hint="default" w:ascii="Times New Roman" w:hAnsi="Times New Roman" w:cs="Times New Roman"/>
          <w:spacing w:val="0"/>
          <w:sz w:val="21"/>
          <w:szCs w:val="21"/>
          <w:highlight w:val="none"/>
        </w:rPr>
      </w:pPr>
    </w:p>
    <w:p w14:paraId="4C724C87">
      <w:pPr>
        <w:rPr>
          <w:rFonts w:hint="default" w:ascii="Times New Roman" w:hAnsi="Times New Roman" w:cs="Times New Roman"/>
          <w:spacing w:val="0"/>
          <w:sz w:val="21"/>
          <w:szCs w:val="21"/>
          <w:highlight w:val="none"/>
        </w:rPr>
      </w:pPr>
    </w:p>
    <w:p w14:paraId="3C932AA6">
      <w:pPr>
        <w:rPr>
          <w:rFonts w:hint="default" w:ascii="Times New Roman" w:hAnsi="Times New Roman" w:cs="Times New Roman"/>
          <w:spacing w:val="0"/>
          <w:sz w:val="21"/>
          <w:szCs w:val="21"/>
          <w:highlight w:val="none"/>
        </w:rPr>
      </w:pPr>
    </w:p>
    <w:p w14:paraId="28FC64E7">
      <w:pPr>
        <w:rPr>
          <w:rFonts w:hint="default" w:ascii="Times New Roman" w:hAnsi="Times New Roman" w:cs="Times New Roman"/>
          <w:spacing w:val="0"/>
          <w:sz w:val="21"/>
          <w:szCs w:val="21"/>
          <w:highlight w:val="none"/>
        </w:rPr>
      </w:pPr>
    </w:p>
    <w:p w14:paraId="1285C696">
      <w:pPr>
        <w:rPr>
          <w:rFonts w:hint="default" w:ascii="Times New Roman" w:hAnsi="Times New Roman" w:cs="Times New Roman"/>
          <w:spacing w:val="0"/>
          <w:sz w:val="21"/>
          <w:szCs w:val="21"/>
          <w:highlight w:val="none"/>
        </w:rPr>
      </w:pPr>
    </w:p>
    <w:p w14:paraId="0E6B3F59">
      <w:pPr>
        <w:rPr>
          <w:rFonts w:hint="default" w:ascii="Times New Roman" w:hAnsi="Times New Roman" w:cs="Times New Roman"/>
          <w:spacing w:val="0"/>
          <w:sz w:val="21"/>
          <w:szCs w:val="21"/>
          <w:highlight w:val="none"/>
        </w:rPr>
      </w:pPr>
    </w:p>
    <w:p w14:paraId="3342B7D3">
      <w:pPr>
        <w:rPr>
          <w:rFonts w:hint="default" w:ascii="Times New Roman" w:hAnsi="Times New Roman" w:cs="Times New Roman"/>
          <w:spacing w:val="0"/>
          <w:sz w:val="21"/>
          <w:szCs w:val="21"/>
          <w:highlight w:val="none"/>
        </w:rPr>
      </w:pPr>
    </w:p>
    <w:p w14:paraId="678F3228">
      <w:pPr>
        <w:rPr>
          <w:rFonts w:hint="default" w:ascii="Times New Roman" w:hAnsi="Times New Roman" w:cs="Times New Roman"/>
          <w:spacing w:val="0"/>
          <w:sz w:val="21"/>
          <w:szCs w:val="21"/>
          <w:highlight w:val="none"/>
        </w:rPr>
      </w:pPr>
    </w:p>
    <w:p w14:paraId="3691AC09">
      <w:pPr>
        <w:rPr>
          <w:rFonts w:hint="default" w:ascii="Times New Roman" w:hAnsi="Times New Roman" w:cs="Times New Roman"/>
          <w:spacing w:val="0"/>
          <w:sz w:val="21"/>
          <w:szCs w:val="21"/>
          <w:highlight w:val="none"/>
        </w:rPr>
      </w:pPr>
    </w:p>
    <w:p w14:paraId="78660099">
      <w:pPr>
        <w:rPr>
          <w:rFonts w:hint="default" w:ascii="Times New Roman" w:hAnsi="Times New Roman" w:cs="Times New Roman"/>
          <w:spacing w:val="0"/>
          <w:sz w:val="21"/>
          <w:szCs w:val="21"/>
          <w:highlight w:val="none"/>
        </w:rPr>
      </w:pPr>
    </w:p>
    <w:p w14:paraId="2F2927D8">
      <w:pPr>
        <w:rPr>
          <w:rFonts w:hint="default" w:ascii="Times New Roman" w:hAnsi="Times New Roman" w:cs="Times New Roman"/>
          <w:spacing w:val="0"/>
          <w:sz w:val="21"/>
          <w:szCs w:val="21"/>
          <w:highlight w:val="none"/>
        </w:rPr>
      </w:pPr>
    </w:p>
    <w:p w14:paraId="176352C9">
      <w:pPr>
        <w:rPr>
          <w:rFonts w:hint="default" w:ascii="Times New Roman" w:hAnsi="Times New Roman" w:cs="Times New Roman"/>
          <w:spacing w:val="0"/>
          <w:sz w:val="21"/>
          <w:szCs w:val="21"/>
          <w:highlight w:val="none"/>
        </w:rPr>
      </w:pPr>
    </w:p>
    <w:p w14:paraId="2BC0780C">
      <w:pPr>
        <w:rPr>
          <w:rFonts w:hint="default" w:ascii="Times New Roman" w:hAnsi="Times New Roman" w:cs="Times New Roman"/>
          <w:spacing w:val="0"/>
          <w:sz w:val="21"/>
          <w:szCs w:val="21"/>
          <w:highlight w:val="none"/>
        </w:rPr>
      </w:pPr>
    </w:p>
    <w:p w14:paraId="3168B29F">
      <w:pPr>
        <w:rPr>
          <w:rFonts w:hint="default" w:ascii="Times New Roman" w:hAnsi="Times New Roman" w:cs="Times New Roman"/>
          <w:spacing w:val="0"/>
          <w:sz w:val="21"/>
          <w:szCs w:val="21"/>
          <w:highlight w:val="none"/>
        </w:rPr>
      </w:pPr>
    </w:p>
    <w:p w14:paraId="5C70EDDD">
      <w:pPr>
        <w:rPr>
          <w:rFonts w:hint="default" w:ascii="Times New Roman" w:hAnsi="Times New Roman" w:cs="Times New Roman"/>
          <w:spacing w:val="0"/>
          <w:sz w:val="21"/>
          <w:szCs w:val="21"/>
          <w:highlight w:val="none"/>
        </w:rPr>
      </w:pPr>
    </w:p>
    <w:p w14:paraId="6FC51605">
      <w:pPr>
        <w:rPr>
          <w:rFonts w:hint="default" w:ascii="Times New Roman" w:hAnsi="Times New Roman" w:cs="Times New Roman"/>
          <w:spacing w:val="0"/>
          <w:sz w:val="21"/>
          <w:szCs w:val="21"/>
          <w:highlight w:val="none"/>
        </w:rPr>
      </w:pPr>
    </w:p>
    <w:p w14:paraId="31AED06E">
      <w:pPr>
        <w:rPr>
          <w:rFonts w:hint="default" w:ascii="Times New Roman" w:hAnsi="Times New Roman" w:cs="Times New Roman"/>
          <w:spacing w:val="0"/>
          <w:sz w:val="21"/>
          <w:szCs w:val="21"/>
          <w:highlight w:val="none"/>
        </w:rPr>
      </w:pPr>
    </w:p>
    <w:p w14:paraId="0B9C8E48">
      <w:pPr>
        <w:rPr>
          <w:rFonts w:hint="default" w:ascii="Times New Roman" w:hAnsi="Times New Roman" w:cs="Times New Roman"/>
          <w:spacing w:val="0"/>
          <w:sz w:val="21"/>
          <w:szCs w:val="21"/>
          <w:highlight w:val="none"/>
        </w:rPr>
      </w:pPr>
    </w:p>
    <w:p w14:paraId="25B04CEB">
      <w:pPr>
        <w:rPr>
          <w:rFonts w:hint="default" w:ascii="Times New Roman" w:hAnsi="Times New Roman" w:cs="Times New Roman"/>
          <w:spacing w:val="0"/>
          <w:sz w:val="21"/>
          <w:szCs w:val="21"/>
          <w:highlight w:val="none"/>
        </w:rPr>
      </w:pPr>
    </w:p>
    <w:p w14:paraId="3D8FD7BF">
      <w:pPr>
        <w:rPr>
          <w:rFonts w:hint="default" w:ascii="Times New Roman" w:hAnsi="Times New Roman" w:cs="Times New Roman"/>
          <w:spacing w:val="0"/>
          <w:sz w:val="21"/>
          <w:szCs w:val="21"/>
          <w:highlight w:val="none"/>
        </w:rPr>
      </w:pPr>
    </w:p>
    <w:p w14:paraId="2C0A36A6">
      <w:pPr>
        <w:rPr>
          <w:rFonts w:hint="default" w:ascii="Times New Roman" w:hAnsi="Times New Roman" w:cs="Times New Roman"/>
          <w:spacing w:val="0"/>
          <w:sz w:val="21"/>
          <w:szCs w:val="21"/>
          <w:highlight w:val="none"/>
        </w:rPr>
      </w:pPr>
    </w:p>
    <w:p w14:paraId="0CFEFD35">
      <w:pPr>
        <w:rPr>
          <w:rFonts w:hint="default" w:ascii="Times New Roman" w:hAnsi="Times New Roman" w:cs="Times New Roman"/>
          <w:spacing w:val="0"/>
          <w:sz w:val="21"/>
          <w:szCs w:val="21"/>
          <w:highlight w:val="none"/>
        </w:rPr>
      </w:pPr>
    </w:p>
    <w:p w14:paraId="322B1AD3">
      <w:pPr>
        <w:rPr>
          <w:rFonts w:hint="default" w:ascii="Times New Roman" w:hAnsi="Times New Roman" w:cs="Times New Roman"/>
          <w:spacing w:val="0"/>
          <w:sz w:val="21"/>
          <w:szCs w:val="21"/>
          <w:highlight w:val="none"/>
        </w:rPr>
      </w:pPr>
    </w:p>
    <w:p w14:paraId="5FA3EAA3">
      <w:pPr>
        <w:rPr>
          <w:rFonts w:hint="default" w:ascii="Times New Roman" w:hAnsi="Times New Roman" w:cs="Times New Roman"/>
          <w:spacing w:val="0"/>
          <w:sz w:val="21"/>
          <w:szCs w:val="21"/>
          <w:highlight w:val="none"/>
        </w:rPr>
      </w:pPr>
    </w:p>
    <w:p w14:paraId="5D26F27C">
      <w:pPr>
        <w:rPr>
          <w:rFonts w:hint="default" w:ascii="Times New Roman" w:hAnsi="Times New Roman" w:cs="Times New Roman"/>
          <w:spacing w:val="0"/>
          <w:sz w:val="21"/>
          <w:szCs w:val="21"/>
          <w:highlight w:val="none"/>
        </w:rPr>
      </w:pPr>
    </w:p>
    <w:p w14:paraId="7F0E4802">
      <w:pPr>
        <w:rPr>
          <w:rFonts w:hint="default" w:ascii="Times New Roman" w:hAnsi="Times New Roman" w:cs="Times New Roman"/>
          <w:spacing w:val="0"/>
          <w:sz w:val="21"/>
          <w:szCs w:val="21"/>
          <w:highlight w:val="none"/>
        </w:rPr>
      </w:pPr>
    </w:p>
    <w:p w14:paraId="624620D4">
      <w:pPr>
        <w:rPr>
          <w:rFonts w:hint="default" w:ascii="Times New Roman" w:hAnsi="Times New Roman" w:cs="Times New Roman"/>
          <w:spacing w:val="0"/>
          <w:sz w:val="21"/>
          <w:szCs w:val="21"/>
          <w:highlight w:val="none"/>
        </w:rPr>
      </w:pPr>
    </w:p>
    <w:p w14:paraId="0DB0381B">
      <w:pPr>
        <w:rPr>
          <w:rFonts w:hint="default" w:ascii="Times New Roman" w:hAnsi="Times New Roman" w:cs="Times New Roman"/>
          <w:spacing w:val="0"/>
          <w:sz w:val="21"/>
          <w:szCs w:val="21"/>
          <w:highlight w:val="none"/>
        </w:rPr>
      </w:pPr>
    </w:p>
    <w:p w14:paraId="0FA2ADC2">
      <w:pPr>
        <w:rPr>
          <w:rFonts w:hint="default" w:ascii="Times New Roman" w:hAnsi="Times New Roman" w:cs="Times New Roman"/>
          <w:spacing w:val="0"/>
          <w:sz w:val="21"/>
          <w:szCs w:val="21"/>
          <w:highlight w:val="none"/>
        </w:rPr>
      </w:pPr>
    </w:p>
    <w:p w14:paraId="066056ED">
      <w:pPr>
        <w:rPr>
          <w:rFonts w:hint="default" w:ascii="Times New Roman" w:hAnsi="Times New Roman" w:cs="Times New Roman"/>
          <w:spacing w:val="0"/>
          <w:sz w:val="21"/>
          <w:szCs w:val="21"/>
          <w:highlight w:val="none"/>
        </w:rPr>
      </w:pPr>
    </w:p>
    <w:p w14:paraId="53BA86CC">
      <w:pPr>
        <w:rPr>
          <w:rFonts w:hint="default" w:ascii="Times New Roman" w:hAnsi="Times New Roman" w:cs="Times New Roman"/>
          <w:spacing w:val="0"/>
          <w:sz w:val="21"/>
          <w:szCs w:val="21"/>
          <w:highlight w:val="none"/>
        </w:rPr>
      </w:pPr>
    </w:p>
    <w:p w14:paraId="5DA7C8E6">
      <w:pPr>
        <w:rPr>
          <w:rFonts w:hint="default" w:ascii="Times New Roman" w:hAnsi="Times New Roman" w:cs="Times New Roman"/>
          <w:spacing w:val="0"/>
          <w:sz w:val="21"/>
          <w:szCs w:val="21"/>
          <w:highlight w:val="none"/>
        </w:rPr>
      </w:pPr>
    </w:p>
    <w:p w14:paraId="2EC01FD0">
      <w:pPr>
        <w:rPr>
          <w:rFonts w:hint="default" w:ascii="Times New Roman" w:hAnsi="Times New Roman" w:cs="Times New Roman"/>
          <w:spacing w:val="0"/>
          <w:sz w:val="21"/>
          <w:szCs w:val="21"/>
          <w:highlight w:val="none"/>
        </w:rPr>
      </w:pPr>
    </w:p>
    <w:p w14:paraId="3D5D719F">
      <w:pPr>
        <w:rPr>
          <w:rFonts w:hint="default" w:ascii="Times New Roman" w:hAnsi="Times New Roman" w:cs="Times New Roman"/>
          <w:spacing w:val="0"/>
          <w:sz w:val="21"/>
          <w:szCs w:val="21"/>
          <w:highlight w:val="none"/>
        </w:rPr>
      </w:pPr>
    </w:p>
    <w:p w14:paraId="19403F3E">
      <w:pPr>
        <w:rPr>
          <w:rFonts w:ascii="宋体" w:hAnsi="宋体"/>
          <w:spacing w:val="0"/>
          <w:sz w:val="21"/>
          <w:szCs w:val="21"/>
          <w:highlight w:val="none"/>
        </w:rPr>
      </w:pPr>
      <w:r>
        <w:rPr>
          <w:rFonts w:hint="default" w:ascii="Times New Roman" w:hAnsi="Times New Roman" w:cs="Times New Roman"/>
          <w:spacing w:val="0"/>
          <w:sz w:val="21"/>
          <w:szCs w:val="21"/>
          <w:highlight w:val="none"/>
        </w:rPr>
        <w:t>附件</w:t>
      </w:r>
      <w:r>
        <w:rPr>
          <w:rFonts w:hint="eastAsia" w:cs="Times New Roman"/>
          <w:spacing w:val="0"/>
          <w:sz w:val="21"/>
          <w:szCs w:val="21"/>
          <w:highlight w:val="none"/>
          <w:lang w:eastAsia="zh-CN"/>
        </w:rPr>
        <w:t>一</w:t>
      </w:r>
      <w:r>
        <w:rPr>
          <w:rFonts w:hint="default" w:ascii="Times New Roman" w:hAnsi="Times New Roman" w:cs="Times New Roman"/>
          <w:spacing w:val="0"/>
          <w:sz w:val="21"/>
          <w:szCs w:val="21"/>
          <w:highlight w:val="none"/>
        </w:rPr>
        <w:t>：</w:t>
      </w:r>
    </w:p>
    <w:p w14:paraId="43919471">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center"/>
        <w:textAlignment w:val="auto"/>
        <w:outlineLvl w:val="9"/>
        <w:rPr>
          <w:rFonts w:ascii="宋体" w:hAnsi="宋体"/>
          <w:spacing w:val="0"/>
          <w:sz w:val="21"/>
          <w:szCs w:val="21"/>
          <w:highlight w:val="none"/>
        </w:rPr>
      </w:pPr>
      <w:r>
        <w:rPr>
          <w:rFonts w:hint="eastAsia" w:ascii="宋体" w:hAnsi="宋体"/>
          <w:b/>
          <w:spacing w:val="0"/>
          <w:sz w:val="28"/>
          <w:szCs w:val="28"/>
          <w:highlight w:val="none"/>
          <w:lang w:val="en-US" w:eastAsia="zh-CN"/>
        </w:rPr>
        <w:t>代理服务</w:t>
      </w:r>
      <w:r>
        <w:rPr>
          <w:rFonts w:hint="eastAsia" w:ascii="宋体" w:hAnsi="宋体"/>
          <w:b/>
          <w:spacing w:val="0"/>
          <w:sz w:val="28"/>
          <w:szCs w:val="28"/>
          <w:highlight w:val="none"/>
        </w:rPr>
        <w:t>费收取说明</w:t>
      </w:r>
    </w:p>
    <w:p w14:paraId="471FD02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r>
        <w:rPr>
          <w:rFonts w:hint="eastAsia" w:ascii="宋体" w:hAnsi="宋体"/>
          <w:spacing w:val="0"/>
          <w:sz w:val="21"/>
          <w:szCs w:val="21"/>
          <w:highlight w:val="none"/>
          <w:lang w:val="en-US" w:eastAsia="zh-CN"/>
        </w:rPr>
        <w:t xml:space="preserve">    一</w:t>
      </w:r>
      <w:r>
        <w:rPr>
          <w:rFonts w:hint="eastAsia" w:ascii="宋体" w:hAnsi="宋体"/>
          <w:spacing w:val="0"/>
          <w:sz w:val="21"/>
          <w:szCs w:val="21"/>
          <w:highlight w:val="none"/>
        </w:rPr>
        <w:t>、请将款项汇至以下指定的银行账户内（须从公司基本账户转出）：</w:t>
      </w:r>
    </w:p>
    <w:tbl>
      <w:tblPr>
        <w:tblStyle w:val="40"/>
        <w:tblW w:w="870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14:paraId="5E5CE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00" w:type="dxa"/>
            <w:tcBorders>
              <w:tl2br w:val="nil"/>
              <w:tr2bl w:val="nil"/>
            </w:tcBorders>
            <w:vAlign w:val="center"/>
          </w:tcPr>
          <w:p w14:paraId="6FCEE1C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r>
              <w:rPr>
                <w:rFonts w:hint="default" w:ascii="Times New Roman" w:hAnsi="Times New Roman" w:cs="Times New Roman"/>
                <w:spacing w:val="0"/>
                <w:sz w:val="21"/>
                <w:szCs w:val="21"/>
                <w:highlight w:val="none"/>
              </w:rPr>
              <w:t>招标</w:t>
            </w:r>
            <w:r>
              <w:rPr>
                <w:rFonts w:hint="default" w:ascii="Times New Roman" w:hAnsi="Times New Roman" w:cs="Times New Roman"/>
                <w:spacing w:val="0"/>
                <w:sz w:val="21"/>
                <w:szCs w:val="21"/>
                <w:highlight w:val="none"/>
                <w:lang w:eastAsia="zh-CN"/>
              </w:rPr>
              <w:t>代理</w:t>
            </w:r>
            <w:r>
              <w:rPr>
                <w:rFonts w:hint="default" w:ascii="Times New Roman" w:hAnsi="Times New Roman" w:cs="Times New Roman"/>
                <w:spacing w:val="0"/>
                <w:sz w:val="21"/>
                <w:szCs w:val="21"/>
                <w:highlight w:val="none"/>
              </w:rPr>
              <w:t>服务费</w:t>
            </w:r>
            <w:r>
              <w:rPr>
                <w:rFonts w:hint="default" w:ascii="Times New Roman" w:hAnsi="Times New Roman" w:cs="Times New Roman"/>
                <w:spacing w:val="0"/>
                <w:sz w:val="21"/>
                <w:szCs w:val="21"/>
                <w:highlight w:val="none"/>
                <w:lang w:eastAsia="zh-CN"/>
              </w:rPr>
              <w:t>专</w:t>
            </w:r>
            <w:r>
              <w:rPr>
                <w:rFonts w:hint="eastAsia" w:cs="Times New Roman"/>
                <w:spacing w:val="0"/>
                <w:sz w:val="21"/>
                <w:szCs w:val="21"/>
                <w:highlight w:val="none"/>
                <w:lang w:eastAsia="zh-CN"/>
              </w:rPr>
              <w:t>项目</w:t>
            </w:r>
          </w:p>
        </w:tc>
      </w:tr>
      <w:tr w14:paraId="49074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700" w:type="dxa"/>
            <w:tcBorders>
              <w:tl2br w:val="nil"/>
              <w:tr2bl w:val="nil"/>
            </w:tcBorders>
            <w:vAlign w:val="center"/>
          </w:tcPr>
          <w:p w14:paraId="6B251BDA">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lang w:val="en-US"/>
              </w:rPr>
            </w:pPr>
            <w:r>
              <w:rPr>
                <w:rFonts w:hint="default" w:ascii="Times New Roman" w:hAnsi="Times New Roman" w:cs="Times New Roman"/>
                <w:spacing w:val="0"/>
                <w:sz w:val="21"/>
                <w:szCs w:val="21"/>
                <w:highlight w:val="none"/>
              </w:rPr>
              <w:t>名  称：</w:t>
            </w:r>
            <w:r>
              <w:rPr>
                <w:rFonts w:hint="eastAsia" w:cs="Times New Roman"/>
                <w:szCs w:val="21"/>
                <w:highlight w:val="none"/>
                <w:lang w:val="en-US" w:eastAsia="zh-CN"/>
              </w:rPr>
              <w:t>瑞恒项目管理有限公司安康市分公司</w:t>
            </w:r>
          </w:p>
          <w:p w14:paraId="3C562446">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lang w:val="en-US"/>
              </w:rPr>
            </w:pPr>
            <w:r>
              <w:rPr>
                <w:rFonts w:hint="default" w:ascii="Times New Roman" w:hAnsi="Times New Roman" w:cs="Times New Roman"/>
                <w:spacing w:val="0"/>
                <w:sz w:val="21"/>
                <w:szCs w:val="21"/>
                <w:highlight w:val="none"/>
              </w:rPr>
              <w:t>开户行：</w:t>
            </w:r>
            <w:r>
              <w:rPr>
                <w:rFonts w:hint="eastAsia" w:cs="Times New Roman"/>
                <w:szCs w:val="21"/>
                <w:highlight w:val="none"/>
                <w:lang w:val="en-US" w:eastAsia="zh-CN"/>
              </w:rPr>
              <w:t>工行安康解放路支行</w:t>
            </w:r>
          </w:p>
          <w:p w14:paraId="40869D96">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宋体" w:hAnsi="宋体" w:eastAsia="宋体" w:cs="宋体"/>
                <w:szCs w:val="21"/>
                <w:highlight w:val="none"/>
                <w:lang w:val="en-US" w:eastAsia="zh-CN"/>
              </w:rPr>
            </w:pPr>
            <w:r>
              <w:rPr>
                <w:rFonts w:hint="default" w:ascii="Times New Roman" w:hAnsi="Times New Roman" w:cs="Times New Roman"/>
                <w:szCs w:val="21"/>
                <w:highlight w:val="none"/>
                <w:lang w:val="en-US" w:eastAsia="zh-CN"/>
              </w:rPr>
              <w:t>帐  号：</w:t>
            </w:r>
            <w:r>
              <w:rPr>
                <w:rFonts w:hint="eastAsia" w:ascii="宋体" w:hAnsi="宋体" w:cs="宋体"/>
                <w:szCs w:val="21"/>
                <w:highlight w:val="none"/>
                <w:lang w:val="en-US" w:eastAsia="zh-CN"/>
              </w:rPr>
              <w:t>2607065009200111267</w:t>
            </w:r>
          </w:p>
          <w:p w14:paraId="19876A54">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rPr>
            </w:pPr>
            <w:r>
              <w:rPr>
                <w:rFonts w:hint="default" w:ascii="Times New Roman" w:hAnsi="Times New Roman" w:cs="Times New Roman"/>
                <w:spacing w:val="0"/>
                <w:sz w:val="21"/>
                <w:szCs w:val="21"/>
                <w:highlight w:val="none"/>
              </w:rPr>
              <w:t>备</w:t>
            </w:r>
            <w:r>
              <w:rPr>
                <w:rFonts w:hint="eastAsia" w:ascii="Times New Roman" w:hAnsi="Times New Roman" w:cs="Times New Roman"/>
                <w:spacing w:val="0"/>
                <w:sz w:val="21"/>
                <w:szCs w:val="21"/>
                <w:highlight w:val="none"/>
                <w:lang w:val="en-US" w:eastAsia="zh-CN"/>
              </w:rPr>
              <w:t xml:space="preserve">  </w:t>
            </w:r>
            <w:r>
              <w:rPr>
                <w:rFonts w:hint="default" w:ascii="Times New Roman" w:hAnsi="Times New Roman" w:cs="Times New Roman"/>
                <w:spacing w:val="0"/>
                <w:sz w:val="21"/>
                <w:szCs w:val="21"/>
                <w:highlight w:val="none"/>
              </w:rPr>
              <w:t>注：</w:t>
            </w:r>
            <w:r>
              <w:rPr>
                <w:rFonts w:hint="default" w:ascii="Times New Roman" w:hAnsi="Times New Roman" w:cs="Times New Roman"/>
                <w:spacing w:val="0"/>
                <w:sz w:val="21"/>
                <w:szCs w:val="21"/>
                <w:highlight w:val="none"/>
                <w:lang w:eastAsia="zh-CN"/>
              </w:rPr>
              <w:t>转账</w:t>
            </w:r>
            <w:r>
              <w:rPr>
                <w:rFonts w:hint="default" w:ascii="Times New Roman" w:hAnsi="Times New Roman" w:cs="Times New Roman"/>
                <w:spacing w:val="0"/>
                <w:sz w:val="21"/>
                <w:szCs w:val="21"/>
                <w:highlight w:val="none"/>
              </w:rPr>
              <w:t>时请注明项目编号</w:t>
            </w:r>
            <w:r>
              <w:rPr>
                <w:rFonts w:hint="eastAsia" w:ascii="宋体" w:hAnsi="宋体" w:eastAsia="宋体" w:cs="宋体"/>
                <w:spacing w:val="0"/>
                <w:sz w:val="21"/>
                <w:szCs w:val="21"/>
                <w:highlight w:val="none"/>
              </w:rPr>
              <w:t>信息</w:t>
            </w:r>
            <w:r>
              <w:rPr>
                <w:rFonts w:hint="eastAsia" w:ascii="宋体" w:hAnsi="宋体" w:eastAsia="宋体" w:cs="宋体"/>
                <w:color w:val="000000"/>
                <w:spacing w:val="0"/>
                <w:sz w:val="21"/>
                <w:szCs w:val="21"/>
                <w:highlight w:val="none"/>
                <w:lang w:eastAsia="zh-CN"/>
              </w:rPr>
              <w:t>“</w:t>
            </w:r>
            <w:r>
              <w:rPr>
                <w:rFonts w:hint="eastAsia" w:ascii="宋体" w:hAnsi="宋体" w:cs="宋体"/>
                <w:szCs w:val="21"/>
                <w:highlight w:val="none"/>
                <w:lang w:val="en-US" w:eastAsia="zh-CN"/>
              </w:rPr>
              <w:t xml:space="preserve">         </w:t>
            </w:r>
            <w:r>
              <w:rPr>
                <w:rFonts w:hint="default" w:ascii="Times New Roman" w:hAnsi="Times New Roman" w:cs="Times New Roman"/>
                <w:color w:val="000000"/>
                <w:spacing w:val="0"/>
                <w:sz w:val="21"/>
                <w:szCs w:val="21"/>
                <w:highlight w:val="none"/>
              </w:rPr>
              <w:t>项</w:t>
            </w:r>
            <w:r>
              <w:rPr>
                <w:rFonts w:hint="default" w:ascii="Times New Roman" w:hAnsi="Times New Roman" w:cs="Times New Roman"/>
                <w:spacing w:val="0"/>
                <w:sz w:val="21"/>
                <w:szCs w:val="21"/>
                <w:highlight w:val="none"/>
              </w:rPr>
              <w:t>目</w:t>
            </w:r>
            <w:r>
              <w:rPr>
                <w:rFonts w:hint="default" w:ascii="Times New Roman" w:hAnsi="Times New Roman" w:cs="Times New Roman"/>
                <w:spacing w:val="0"/>
                <w:sz w:val="21"/>
                <w:szCs w:val="21"/>
                <w:highlight w:val="none"/>
                <w:lang w:eastAsia="zh-CN"/>
              </w:rPr>
              <w:t>招标代理服务费</w:t>
            </w:r>
            <w:r>
              <w:rPr>
                <w:rFonts w:hint="eastAsia" w:ascii="Times New Roman" w:hAnsi="Times New Roman" w:cs="Times New Roman"/>
                <w:spacing w:val="0"/>
                <w:sz w:val="21"/>
                <w:szCs w:val="21"/>
                <w:highlight w:val="none"/>
                <w:lang w:eastAsia="zh-CN"/>
              </w:rPr>
              <w:t>”</w:t>
            </w:r>
          </w:p>
        </w:tc>
      </w:tr>
    </w:tbl>
    <w:p w14:paraId="19D2D153">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r>
        <w:rPr>
          <w:rFonts w:hint="eastAsia" w:ascii="宋体" w:hAnsi="宋体"/>
          <w:spacing w:val="0"/>
          <w:sz w:val="21"/>
          <w:szCs w:val="21"/>
          <w:highlight w:val="none"/>
          <w:lang w:eastAsia="zh-CN"/>
        </w:rPr>
        <w:t>二</w:t>
      </w:r>
      <w:r>
        <w:rPr>
          <w:rFonts w:hint="eastAsia" w:ascii="宋体" w:hAnsi="宋体"/>
          <w:spacing w:val="0"/>
          <w:sz w:val="21"/>
          <w:szCs w:val="21"/>
          <w:highlight w:val="none"/>
        </w:rPr>
        <w:t>、投标人需要办理完税发票（招标</w:t>
      </w:r>
      <w:r>
        <w:rPr>
          <w:rFonts w:hint="eastAsia" w:ascii="宋体" w:hAnsi="宋体"/>
          <w:spacing w:val="0"/>
          <w:sz w:val="21"/>
          <w:szCs w:val="21"/>
          <w:highlight w:val="none"/>
          <w:lang w:eastAsia="zh-CN"/>
        </w:rPr>
        <w:t>代理</w:t>
      </w:r>
      <w:r>
        <w:rPr>
          <w:rFonts w:hint="eastAsia" w:ascii="宋体" w:hAnsi="宋体"/>
          <w:spacing w:val="0"/>
          <w:sz w:val="21"/>
          <w:szCs w:val="21"/>
          <w:highlight w:val="none"/>
        </w:rPr>
        <w:t>服务费）的，须在</w:t>
      </w:r>
      <w:r>
        <w:rPr>
          <w:rFonts w:hint="eastAsia"/>
          <w:szCs w:val="21"/>
          <w:highlight w:val="none"/>
          <w:lang w:val="en-US" w:eastAsia="zh-CN"/>
        </w:rPr>
        <w:t>瑞恒项目管理有限公司</w:t>
      </w:r>
      <w:r>
        <w:rPr>
          <w:rFonts w:hint="eastAsia" w:ascii="宋体" w:hAnsi="宋体"/>
          <w:spacing w:val="0"/>
          <w:sz w:val="21"/>
          <w:szCs w:val="21"/>
          <w:highlight w:val="none"/>
        </w:rPr>
        <w:t>财务部的收款收据</w:t>
      </w:r>
      <w:r>
        <w:rPr>
          <w:rFonts w:hint="eastAsia" w:ascii="宋体" w:hAnsi="宋体"/>
          <w:spacing w:val="0"/>
          <w:sz w:val="21"/>
          <w:szCs w:val="21"/>
          <w:highlight w:val="none"/>
          <w:lang w:eastAsia="zh-CN"/>
        </w:rPr>
        <w:t>或发票</w:t>
      </w:r>
      <w:r>
        <w:rPr>
          <w:rFonts w:hint="eastAsia" w:ascii="宋体" w:hAnsi="宋体"/>
          <w:spacing w:val="0"/>
          <w:sz w:val="21"/>
          <w:szCs w:val="21"/>
          <w:highlight w:val="none"/>
        </w:rPr>
        <w:t>开具之日起</w:t>
      </w:r>
      <w:r>
        <w:rPr>
          <w:rFonts w:hint="default" w:ascii="Times New Roman" w:hAnsi="Times New Roman" w:cs="Times New Roman"/>
          <w:spacing w:val="0"/>
          <w:sz w:val="21"/>
          <w:szCs w:val="21"/>
          <w:highlight w:val="none"/>
        </w:rPr>
        <w:t>90</w:t>
      </w:r>
      <w:r>
        <w:rPr>
          <w:rFonts w:hint="eastAsia" w:ascii="宋体" w:hAnsi="宋体"/>
          <w:spacing w:val="0"/>
          <w:sz w:val="21"/>
          <w:szCs w:val="21"/>
          <w:highlight w:val="none"/>
        </w:rPr>
        <w:t>日内换领，逾期不予办理。</w:t>
      </w:r>
    </w:p>
    <w:p w14:paraId="7A45715D">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6337ED6E">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6D957094">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2F5BE294">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3097FD8B">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18C9BD6E">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4CC6C2E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E7B3B3D">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5ED86A9">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00CE845">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78039B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FA8D40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49728E10">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CFBA168">
      <w:pPr>
        <w:pStyle w:val="38"/>
        <w:rPr>
          <w:rFonts w:hint="default" w:ascii="Times New Roman" w:hAnsi="Times New Roman" w:cs="Times New Roman"/>
          <w:sz w:val="21"/>
          <w:szCs w:val="21"/>
          <w:highlight w:val="none"/>
        </w:rPr>
      </w:pPr>
    </w:p>
    <w:p w14:paraId="38A28CDE">
      <w:pPr>
        <w:pStyle w:val="38"/>
        <w:rPr>
          <w:rFonts w:hint="default" w:ascii="Times New Roman" w:hAnsi="Times New Roman" w:cs="Times New Roman"/>
          <w:sz w:val="21"/>
          <w:szCs w:val="21"/>
          <w:highlight w:val="none"/>
        </w:rPr>
      </w:pPr>
    </w:p>
    <w:p w14:paraId="797E2465">
      <w:pPr>
        <w:pStyle w:val="38"/>
        <w:rPr>
          <w:rFonts w:hint="default" w:ascii="Times New Roman" w:hAnsi="Times New Roman" w:cs="Times New Roman"/>
          <w:sz w:val="21"/>
          <w:szCs w:val="21"/>
          <w:highlight w:val="none"/>
        </w:rPr>
      </w:pPr>
    </w:p>
    <w:p w14:paraId="0695EFE7">
      <w:pPr>
        <w:pStyle w:val="38"/>
        <w:rPr>
          <w:rFonts w:hint="default" w:ascii="Times New Roman" w:hAnsi="Times New Roman" w:cs="Times New Roman"/>
          <w:sz w:val="21"/>
          <w:szCs w:val="21"/>
          <w:highlight w:val="none"/>
        </w:rPr>
      </w:pPr>
    </w:p>
    <w:p w14:paraId="00616999">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3755F29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附件</w:t>
      </w:r>
      <w:r>
        <w:rPr>
          <w:rFonts w:hint="eastAsia" w:cs="Times New Roman"/>
          <w:sz w:val="21"/>
          <w:szCs w:val="21"/>
          <w:highlight w:val="none"/>
          <w:lang w:eastAsia="zh-CN"/>
        </w:rPr>
        <w:t>二</w:t>
      </w:r>
      <w:r>
        <w:rPr>
          <w:rFonts w:hint="default" w:ascii="Times New Roman" w:hAnsi="Times New Roman" w:cs="Times New Roman"/>
          <w:sz w:val="21"/>
          <w:szCs w:val="21"/>
          <w:highlight w:val="none"/>
        </w:rPr>
        <w:t>：</w:t>
      </w:r>
    </w:p>
    <w:p w14:paraId="228ECB08">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sz w:val="32"/>
          <w:szCs w:val="32"/>
          <w:highlight w:val="none"/>
        </w:rPr>
        <w:t>陕西省政府采购信用担保实施说明</w:t>
      </w:r>
    </w:p>
    <w:p w14:paraId="5BE335AA">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为支持和促进中小企业发展，进一步发挥政府采购政策功能作用，有效缓解中小企业融资难等问题，根据有关规定，为参与陕西省政府采购项目的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提供政府采购信用担保，并按照程序确定了合作的担保机构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投标担保是为了确保本次</w:t>
      </w:r>
      <w:r>
        <w:rPr>
          <w:rFonts w:hint="eastAsia" w:ascii="宋体" w:hAnsi="宋体" w:eastAsia="宋体" w:cs="宋体"/>
          <w:sz w:val="21"/>
          <w:szCs w:val="21"/>
          <w:highlight w:val="none"/>
          <w:lang w:eastAsia="zh-CN"/>
        </w:rPr>
        <w:t>采购项目</w:t>
      </w:r>
      <w:r>
        <w:rPr>
          <w:rFonts w:hint="eastAsia" w:ascii="宋体" w:hAnsi="宋体" w:eastAsia="宋体" w:cs="宋体"/>
          <w:sz w:val="21"/>
          <w:szCs w:val="21"/>
          <w:highlight w:val="none"/>
        </w:rPr>
        <w:t>顺利进行而对投标单位的约束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投标保证金与投标担保函具有同等担保效力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担保函由陕西省财政厅公布的担保机构出具</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在缴纳投标保证金及中标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缴纳履约保证金时可自愿选择通过担保机构保函的形式缴纳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申请信用融资时，提供政府采购中标（成交）通知书、合同、融资等信息；具体按照陕西省财政厅关于印发《陕西省中小企业政府采购信用融资办法》（陕财办采〔2018〕23号）及陕西省财政厅《关于加快推进我省中小企业政府采购信用融资工作的通知》（陕财办采〔2020〕15 号）文件规定的程序申请办理，具体规定可登陆陕西省政府采购网(www.ccgp-shaanxi.gov.cn)重要通知专栏中查询了解。</w:t>
      </w:r>
    </w:p>
    <w:p w14:paraId="790EB033">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outlineLvl w:val="9"/>
        <w:rPr>
          <w:rFonts w:hint="eastAsia" w:ascii="宋体" w:hAnsi="宋体" w:eastAsia="宋体" w:cs="宋体"/>
          <w:sz w:val="21"/>
          <w:szCs w:val="21"/>
          <w:highlight w:val="none"/>
        </w:rPr>
      </w:pPr>
    </w:p>
    <w:p w14:paraId="0749B6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79455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9DCDE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1BE37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76551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242B68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87BE6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CE722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3F90BA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D19B4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7FA6A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2D48FF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0C7F767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center"/>
        <w:textAlignment w:val="auto"/>
        <w:outlineLvl w:val="9"/>
        <w:rPr>
          <w:rFonts w:hint="eastAsia" w:ascii="宋体" w:hAnsi="宋体" w:eastAsia="宋体" w:cs="宋体"/>
          <w:b/>
          <w:bCs/>
          <w:highlight w:val="none"/>
        </w:rPr>
      </w:pPr>
      <w:r>
        <w:rPr>
          <w:rFonts w:ascii="宋体" w:hAnsi="宋体" w:eastAsia="宋体" w:cs="宋体"/>
          <w:color w:val="auto"/>
          <w:sz w:val="24"/>
          <w:highlight w:val="none"/>
        </w:rPr>
        <w:br w:type="page"/>
      </w:r>
      <w:r>
        <w:rPr>
          <w:rFonts w:hint="eastAsia" w:ascii="宋体" w:hAnsi="宋体" w:eastAsia="宋体" w:cs="宋体"/>
          <w:b/>
          <w:bCs/>
          <w:sz w:val="28"/>
          <w:szCs w:val="28"/>
          <w:highlight w:val="none"/>
        </w:rPr>
        <w:t>投标人须知</w:t>
      </w:r>
      <w:bookmarkEnd w:id="11"/>
    </w:p>
    <w:p w14:paraId="52C722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cs="宋体"/>
          <w:b/>
          <w:bCs/>
          <w:sz w:val="28"/>
          <w:highlight w:val="none"/>
        </w:rPr>
      </w:pPr>
      <w:r>
        <w:rPr>
          <w:rFonts w:hint="eastAsia" w:ascii="宋体" w:hAnsi="宋体" w:cs="宋体"/>
          <w:b/>
          <w:bCs/>
          <w:sz w:val="28"/>
          <w:highlight w:val="none"/>
        </w:rPr>
        <w:t>一、总则</w:t>
      </w:r>
    </w:p>
    <w:p w14:paraId="3753D3E9">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1、适用范围</w:t>
      </w:r>
    </w:p>
    <w:p w14:paraId="1D87547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highlight w:val="none"/>
        </w:rPr>
      </w:pPr>
      <w:r>
        <w:rPr>
          <w:rFonts w:hint="eastAsia"/>
          <w:highlight w:val="none"/>
        </w:rPr>
        <w:t>本招标文件仅适用于本次公开招标所叙述的服务项目采购活动。</w:t>
      </w:r>
    </w:p>
    <w:p w14:paraId="0CD598AD">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2、名词解释</w:t>
      </w:r>
    </w:p>
    <w:p w14:paraId="0C6B05B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2.1</w:t>
      </w:r>
      <w:r>
        <w:rPr>
          <w:rFonts w:hint="eastAsia"/>
          <w:highlight w:val="none"/>
          <w:lang w:val="en-US" w:eastAsia="zh-CN"/>
        </w:rPr>
        <w:t xml:space="preserve">  </w:t>
      </w:r>
      <w:r>
        <w:rPr>
          <w:rFonts w:hint="eastAsia"/>
          <w:highlight w:val="none"/>
          <w:lang w:eastAsia="zh-CN"/>
        </w:rPr>
        <w:t>“</w:t>
      </w:r>
      <w:r>
        <w:rPr>
          <w:rFonts w:hint="eastAsia"/>
          <w:highlight w:val="none"/>
        </w:rPr>
        <w:t>采购人</w:t>
      </w:r>
      <w:r>
        <w:rPr>
          <w:rFonts w:hint="eastAsia"/>
          <w:highlight w:val="none"/>
          <w:lang w:eastAsia="zh-CN"/>
        </w:rPr>
        <w:t>”</w:t>
      </w:r>
      <w:r>
        <w:rPr>
          <w:rFonts w:hint="eastAsia"/>
          <w:highlight w:val="none"/>
        </w:rPr>
        <w:t>系指依法进行政府采购的国家机关、事业单位、团体组织。本次招标的采购人是</w:t>
      </w:r>
      <w:r>
        <w:rPr>
          <w:rFonts w:hint="eastAsia" w:ascii="宋体" w:hAnsi="宋体" w:cs="宋体"/>
          <w:color w:val="auto"/>
          <w:szCs w:val="21"/>
          <w:highlight w:val="none"/>
          <w:lang w:val="en-US" w:eastAsia="zh-CN"/>
        </w:rPr>
        <w:t>汉滨区五里高级中学</w:t>
      </w:r>
      <w:r>
        <w:rPr>
          <w:rFonts w:hint="eastAsia"/>
          <w:color w:val="auto"/>
          <w:highlight w:val="none"/>
          <w:lang w:eastAsia="zh-CN"/>
        </w:rPr>
        <w:t>。</w:t>
      </w:r>
    </w:p>
    <w:p w14:paraId="1D193F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2.2</w:t>
      </w:r>
      <w:r>
        <w:rPr>
          <w:rFonts w:hint="eastAsia"/>
          <w:highlight w:val="none"/>
          <w:lang w:val="en-US" w:eastAsia="zh-CN"/>
        </w:rPr>
        <w:t xml:space="preserve">  </w:t>
      </w:r>
      <w:r>
        <w:rPr>
          <w:rFonts w:hint="eastAsia"/>
          <w:highlight w:val="none"/>
          <w:lang w:eastAsia="zh-CN"/>
        </w:rPr>
        <w:t>“</w:t>
      </w:r>
      <w:r>
        <w:rPr>
          <w:rFonts w:hint="eastAsia"/>
          <w:highlight w:val="none"/>
        </w:rPr>
        <w:t>采购代理机构</w:t>
      </w:r>
      <w:r>
        <w:rPr>
          <w:rFonts w:hint="eastAsia"/>
          <w:highlight w:val="none"/>
          <w:lang w:eastAsia="zh-CN"/>
        </w:rPr>
        <w:t>”</w:t>
      </w:r>
      <w:r>
        <w:rPr>
          <w:rFonts w:hint="eastAsia"/>
          <w:highlight w:val="none"/>
        </w:rPr>
        <w:t>系指根据采购人的委托依法办理招标事宜的</w:t>
      </w:r>
      <w:r>
        <w:rPr>
          <w:rFonts w:hint="eastAsia"/>
          <w:highlight w:val="none"/>
          <w:lang w:eastAsia="zh-CN"/>
        </w:rPr>
        <w:t>代理</w:t>
      </w:r>
      <w:r>
        <w:rPr>
          <w:rFonts w:hint="eastAsia"/>
          <w:highlight w:val="none"/>
        </w:rPr>
        <w:t>机构。本次招标的采购代理机构是</w:t>
      </w:r>
      <w:r>
        <w:rPr>
          <w:rFonts w:hint="eastAsia"/>
          <w:highlight w:val="none"/>
          <w:lang w:eastAsia="zh-CN"/>
        </w:rPr>
        <w:t>瑞恒项目管理有限公司</w:t>
      </w:r>
      <w:r>
        <w:rPr>
          <w:rFonts w:hint="eastAsia"/>
          <w:highlight w:val="none"/>
        </w:rPr>
        <w:t>。</w:t>
      </w:r>
    </w:p>
    <w:p w14:paraId="6D32DF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default" w:eastAsia="宋体"/>
          <w:color w:val="auto"/>
          <w:highlight w:val="none"/>
          <w:lang w:val="en-US" w:eastAsia="zh-CN"/>
        </w:rPr>
      </w:pPr>
      <w:r>
        <w:rPr>
          <w:rFonts w:hint="eastAsia"/>
          <w:highlight w:val="none"/>
          <w:lang w:val="en-US" w:eastAsia="zh-CN"/>
        </w:rPr>
        <w:t xml:space="preserve">    </w:t>
      </w:r>
      <w:r>
        <w:rPr>
          <w:rFonts w:hint="eastAsia"/>
          <w:highlight w:val="none"/>
        </w:rPr>
        <w:t xml:space="preserve">2.3 </w:t>
      </w:r>
      <w:r>
        <w:rPr>
          <w:rFonts w:hint="eastAsia"/>
          <w:highlight w:val="none"/>
          <w:lang w:val="en-US" w:eastAsia="zh-CN"/>
        </w:rPr>
        <w:t xml:space="preserve"> </w:t>
      </w:r>
      <w:r>
        <w:rPr>
          <w:rFonts w:hint="eastAsia"/>
          <w:highlight w:val="none"/>
          <w:lang w:eastAsia="zh-CN"/>
        </w:rPr>
        <w:t>“</w:t>
      </w:r>
      <w:r>
        <w:rPr>
          <w:rFonts w:hint="eastAsia"/>
          <w:highlight w:val="none"/>
        </w:rPr>
        <w:t>投标人</w:t>
      </w:r>
      <w:r>
        <w:rPr>
          <w:rFonts w:hint="eastAsia"/>
          <w:highlight w:val="none"/>
          <w:lang w:eastAsia="zh-CN"/>
        </w:rPr>
        <w:t>”</w:t>
      </w:r>
      <w:r>
        <w:rPr>
          <w:rFonts w:hint="eastAsia"/>
          <w:highlight w:val="none"/>
        </w:rPr>
        <w:t>系指</w:t>
      </w:r>
      <w:r>
        <w:rPr>
          <w:rFonts w:hint="eastAsia"/>
          <w:highlight w:val="none"/>
          <w:lang w:val="en-US" w:eastAsia="zh-CN"/>
        </w:rPr>
        <w:t>下载</w:t>
      </w:r>
      <w:r>
        <w:rPr>
          <w:rFonts w:hint="eastAsia"/>
          <w:highlight w:val="none"/>
        </w:rPr>
        <w:t>了招标文件拟参加投标和向采购人提供相应服务的投标单位。</w:t>
      </w:r>
    </w:p>
    <w:p w14:paraId="0D45BCFD">
      <w:pPr>
        <w:spacing w:before="240" w:after="120"/>
        <w:jc w:val="left"/>
        <w:outlineLvl w:val="2"/>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3、合格的投标人</w:t>
      </w:r>
    </w:p>
    <w:p w14:paraId="3BFFE5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highlight w:val="none"/>
          <w:lang w:val="en-US" w:eastAsia="zh-CN"/>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3.1</w:t>
      </w:r>
      <w:r>
        <w:rPr>
          <w:rFonts w:hint="eastAsia" w:ascii="宋体" w:hAnsi="宋体" w:eastAsia="宋体" w:cs="宋体"/>
          <w:highlight w:val="none"/>
          <w:lang w:val="en-US" w:eastAsia="zh-CN"/>
        </w:rPr>
        <w:t xml:space="preserve">  </w:t>
      </w:r>
      <w:r>
        <w:rPr>
          <w:rFonts w:hint="eastAsia" w:ascii="宋体" w:hAnsi="宋体" w:eastAsia="宋体" w:cs="宋体"/>
          <w:highlight w:val="none"/>
        </w:rPr>
        <w:t>合格的投标人应具备以下条件：</w:t>
      </w:r>
    </w:p>
    <w:p w14:paraId="2470943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（1）具备且满足</w:t>
      </w:r>
      <w:r>
        <w:rPr>
          <w:rFonts w:hint="eastAsia" w:ascii="宋体" w:hAnsi="宋体" w:eastAsia="宋体" w:cs="宋体"/>
          <w:highlight w:val="none"/>
          <w:lang w:eastAsia="zh-CN"/>
        </w:rPr>
        <w:t>“</w:t>
      </w:r>
      <w:r>
        <w:rPr>
          <w:rFonts w:hint="eastAsia" w:ascii="宋体" w:hAnsi="宋体" w:eastAsia="宋体" w:cs="宋体"/>
          <w:highlight w:val="none"/>
        </w:rPr>
        <w:t>招标公告</w:t>
      </w:r>
      <w:r>
        <w:rPr>
          <w:rFonts w:hint="eastAsia" w:ascii="宋体" w:hAnsi="宋体" w:eastAsia="宋体" w:cs="宋体"/>
          <w:highlight w:val="none"/>
          <w:lang w:eastAsia="zh-CN"/>
        </w:rPr>
        <w:t>”第二条的1、3条要求</w:t>
      </w:r>
      <w:r>
        <w:rPr>
          <w:rFonts w:hint="eastAsia" w:ascii="宋体" w:hAnsi="宋体" w:eastAsia="宋体" w:cs="宋体"/>
          <w:highlight w:val="none"/>
        </w:rPr>
        <w:t>；</w:t>
      </w:r>
    </w:p>
    <w:p w14:paraId="6131E37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（2）</w:t>
      </w:r>
      <w:r>
        <w:rPr>
          <w:rFonts w:hint="eastAsia" w:ascii="宋体" w:hAnsi="宋体" w:eastAsia="宋体" w:cs="宋体"/>
          <w:highlight w:val="none"/>
          <w:lang w:val="en-US" w:eastAsia="zh-CN"/>
        </w:rPr>
        <w:t>获得</w:t>
      </w:r>
      <w:r>
        <w:rPr>
          <w:rFonts w:hint="eastAsia" w:ascii="宋体" w:hAnsi="宋体" w:eastAsia="宋体" w:cs="宋体"/>
          <w:highlight w:val="none"/>
        </w:rPr>
        <w:t>了招标文件并登记备案；</w:t>
      </w:r>
    </w:p>
    <w:p w14:paraId="1D3F13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）一个投标</w:t>
      </w:r>
      <w:r>
        <w:rPr>
          <w:rFonts w:hint="eastAsia" w:ascii="宋体" w:hAnsi="宋体" w:eastAsia="宋体" w:cs="宋体"/>
          <w:highlight w:val="none"/>
          <w:lang w:eastAsia="zh-CN"/>
        </w:rPr>
        <w:t>人</w:t>
      </w:r>
      <w:r>
        <w:rPr>
          <w:rFonts w:hint="eastAsia" w:ascii="宋体" w:hAnsi="宋体" w:eastAsia="宋体" w:cs="宋体"/>
          <w:highlight w:val="none"/>
        </w:rPr>
        <w:t>只能提交一个投标文件，法定代表人为同一人的两个及两个以上法人，不得同时参加本项目投标；</w:t>
      </w:r>
    </w:p>
    <w:p w14:paraId="38DF983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）有隶属关系的两个公司或有控股关系的两个公司不能同时参加同一项目的投标；</w:t>
      </w:r>
      <w:r>
        <w:rPr>
          <w:rFonts w:hint="eastAsia" w:ascii="宋体" w:hAnsi="宋体" w:eastAsia="宋体" w:cs="宋体"/>
          <w:highlight w:val="none"/>
          <w:lang w:val="en-US" w:eastAsia="zh-CN"/>
        </w:rPr>
        <w:t xml:space="preserve"> </w:t>
      </w:r>
    </w:p>
    <w:p w14:paraId="791190F7">
      <w:pPr>
        <w:pageBreakBefore w:val="0"/>
        <w:tabs>
          <w:tab w:val="left" w:pos="7665"/>
        </w:tabs>
        <w:kinsoku/>
        <w:wordWrap/>
        <w:overflowPunct/>
        <w:topLinePunct w:val="0"/>
        <w:bidi w:val="0"/>
        <w:snapToGrid/>
        <w:spacing w:line="5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）参加政府采购活动前三年内，在经营活动中没有重大违法纪录；</w:t>
      </w:r>
    </w:p>
    <w:p w14:paraId="27F6A0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）中华人民共和国法律、行政法规规定的其他条件（见投标人须知前附表）；</w:t>
      </w:r>
    </w:p>
    <w:p w14:paraId="23BF0A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val="0"/>
          <w:bCs w:val="0"/>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）招标文件和法律、行政法规规定的其他条件。</w:t>
      </w:r>
    </w:p>
    <w:p w14:paraId="37E83B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单位负责人为同一人或者存在直接控股、管理关系的不同</w:t>
      </w:r>
      <w:r>
        <w:rPr>
          <w:rFonts w:hint="eastAsia" w:ascii="宋体" w:hAnsi="宋体" w:eastAsia="宋体" w:cs="宋体"/>
          <w:highlight w:val="none"/>
          <w:lang w:eastAsia="zh-CN"/>
        </w:rPr>
        <w:t>投标人</w:t>
      </w:r>
      <w:r>
        <w:rPr>
          <w:rFonts w:hint="eastAsia" w:ascii="宋体" w:hAnsi="宋体" w:eastAsia="宋体" w:cs="宋体"/>
          <w:highlight w:val="none"/>
        </w:rPr>
        <w:t>，不得参加本项目同一合同项下的投标。如果投标人在投标中隐瞒了上述关系，则该投标无效。</w:t>
      </w:r>
    </w:p>
    <w:p w14:paraId="30B319A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为本采购项目提供整体设计、规范编制或者项目管理、监理、检测等服务的</w:t>
      </w:r>
      <w:r>
        <w:rPr>
          <w:rFonts w:hint="eastAsia" w:ascii="宋体" w:hAnsi="宋体" w:eastAsia="宋体" w:cs="宋体"/>
          <w:highlight w:val="none"/>
          <w:lang w:eastAsia="zh-CN"/>
        </w:rPr>
        <w:t>投标人</w:t>
      </w:r>
      <w:r>
        <w:rPr>
          <w:rFonts w:hint="eastAsia" w:ascii="宋体" w:hAnsi="宋体" w:eastAsia="宋体" w:cs="宋体"/>
          <w:highlight w:val="none"/>
        </w:rPr>
        <w:t>，不得再参加本采购项目的投标。如果投标人在投标中隐瞒了上述事实，则该投标无效。</w:t>
      </w:r>
    </w:p>
    <w:p w14:paraId="43B39E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4</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如果在招标文件中接受联合体投标（见投标人须知前附表），则两个以上</w:t>
      </w:r>
      <w:r>
        <w:rPr>
          <w:rFonts w:hint="eastAsia" w:ascii="宋体" w:hAnsi="宋体" w:eastAsia="宋体" w:cs="宋体"/>
          <w:highlight w:val="none"/>
          <w:lang w:eastAsia="zh-CN"/>
        </w:rPr>
        <w:t>投标人</w:t>
      </w:r>
      <w:r>
        <w:rPr>
          <w:rFonts w:hint="eastAsia" w:ascii="宋体" w:hAnsi="宋体" w:eastAsia="宋体" w:cs="宋体"/>
          <w:highlight w:val="none"/>
        </w:rPr>
        <w:t>可以组成一个投标联合体，以一个投标人的身份投标。以联合体形式参加投标的，联合体各方均应当符合政府采购法第二十二条第一款规定的条件。采购人根据采购项目的特殊要求规定投标人特定条件的，联合体各方中至少应当有一方符合采购人规定的特定条件。联合体中有同类资质的</w:t>
      </w:r>
      <w:r>
        <w:rPr>
          <w:rFonts w:hint="eastAsia" w:ascii="宋体" w:hAnsi="宋体" w:eastAsia="宋体" w:cs="宋体"/>
          <w:highlight w:val="none"/>
          <w:lang w:eastAsia="zh-CN"/>
        </w:rPr>
        <w:t>投标人</w:t>
      </w:r>
      <w:r>
        <w:rPr>
          <w:rFonts w:hint="eastAsia" w:ascii="宋体" w:hAnsi="宋体" w:eastAsia="宋体" w:cs="宋体"/>
          <w:highlight w:val="none"/>
        </w:rPr>
        <w:t>按照联合体分工承担相同工作的，按照资质等级较低的</w:t>
      </w:r>
      <w:r>
        <w:rPr>
          <w:rFonts w:hint="eastAsia" w:ascii="宋体" w:hAnsi="宋体" w:eastAsia="宋体" w:cs="宋体"/>
          <w:highlight w:val="none"/>
          <w:lang w:eastAsia="zh-CN"/>
        </w:rPr>
        <w:t>投标人</w:t>
      </w:r>
      <w:r>
        <w:rPr>
          <w:rFonts w:hint="eastAsia" w:ascii="宋体" w:hAnsi="宋体" w:eastAsia="宋体" w:cs="宋体"/>
          <w:highlight w:val="none"/>
        </w:rPr>
        <w:t>确定资质等级</w:t>
      </w:r>
      <w:r>
        <w:rPr>
          <w:rFonts w:hint="eastAsia" w:ascii="宋体" w:hAnsi="宋体" w:eastAsia="宋体" w:cs="宋体"/>
          <w:highlight w:val="none"/>
          <w:lang w:eastAsia="zh-CN"/>
        </w:rPr>
        <w:t>。</w:t>
      </w:r>
    </w:p>
    <w:p w14:paraId="4325DA2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联合体各方之间应当签订共同投标协议，明确约定联合体各方承担的工作和相应的责任，并将共同投标协议附在投标文件中一并提交。联合体各方签订共同投标协议后，不得再以自己名义单独在同一项目中投标，也不得组成新的联合体参加同一项目投标</w:t>
      </w:r>
      <w:r>
        <w:rPr>
          <w:rFonts w:hint="eastAsia" w:ascii="宋体" w:hAnsi="宋体" w:eastAsia="宋体" w:cs="宋体"/>
          <w:highlight w:val="none"/>
          <w:lang w:eastAsia="zh-CN"/>
        </w:rPr>
        <w:t>，否则，其相关投标均为无效。</w:t>
      </w:r>
    </w:p>
    <w:p w14:paraId="639D5F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3.5 </w:t>
      </w:r>
      <w:r>
        <w:rPr>
          <w:rFonts w:hint="eastAsia" w:ascii="宋体" w:hAnsi="宋体" w:eastAsia="宋体" w:cs="宋体"/>
          <w:highlight w:val="none"/>
          <w:lang w:val="en-US" w:eastAsia="zh-CN"/>
        </w:rPr>
        <w:t>“信用中国”（www.creditchina.gov.cn）及“中国政府采购网”（www.ccgp.gov.cn）为供应商信用信息查询渠道，如果</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被查实在</w:t>
      </w:r>
      <w:r>
        <w:rPr>
          <w:rFonts w:hint="eastAsia" w:ascii="宋体" w:hAnsi="宋体" w:cs="宋体"/>
          <w:highlight w:val="none"/>
          <w:lang w:val="en-US" w:eastAsia="zh-CN"/>
        </w:rPr>
        <w:t>投标</w:t>
      </w:r>
      <w:r>
        <w:rPr>
          <w:rFonts w:hint="eastAsia" w:ascii="宋体" w:hAnsi="宋体" w:eastAsia="宋体" w:cs="宋体"/>
          <w:highlight w:val="none"/>
          <w:lang w:val="en-US" w:eastAsia="zh-CN"/>
        </w:rPr>
        <w:t>截止到日前已列入失信被执行人，重大税收违法案件当事人名单、政府采购严重违法失信行为记录名单，</w:t>
      </w:r>
      <w:r>
        <w:rPr>
          <w:rFonts w:hint="eastAsia" w:ascii="宋体" w:hAnsi="宋体" w:eastAsia="宋体" w:cs="宋体"/>
          <w:b/>
          <w:bCs/>
          <w:color w:val="auto"/>
          <w:highlight w:val="none"/>
          <w:lang w:val="en-US" w:eastAsia="zh-CN"/>
        </w:rPr>
        <w:t>其投标为无效。</w:t>
      </w:r>
    </w:p>
    <w:p w14:paraId="1C068B4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ascii="宋体" w:hAnsi="宋体" w:cs="宋体"/>
          <w:b/>
          <w:bCs/>
          <w:kern w:val="0"/>
          <w:sz w:val="24"/>
          <w:highlight w:val="none"/>
        </w:rPr>
        <w:t>4、投标货物和服务的合格性和合法性</w:t>
      </w:r>
    </w:p>
    <w:p w14:paraId="14079F0F">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4.1  投标货物和服务应满足招标文件的要求，并应符合国家法律法规、行业管理部门所要求的其他强制性标准。</w:t>
      </w:r>
    </w:p>
    <w:p w14:paraId="4FE22738">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4.2 合同中提供的货物及其有关服务的原产地，均应来自国家有关政府采购规定的工程、货物和服务的合法来源国，本合同的支付也仅限于这些货物和服务；</w:t>
      </w:r>
    </w:p>
    <w:p w14:paraId="565D06E7">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4.3 本款所述的“原产地”是指货物设计、生产和提供有关服务的来源地。所述的“货物”是指制造、加工或实质上装配了主要部件而形成的货物，商业上公认的产品是指在基本特征、性能或功能上与部件有着实质性区别的产品；</w:t>
      </w:r>
    </w:p>
    <w:p w14:paraId="5BCFC947">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4.4  通过签署投标文件，投标人应确认其为所供货物和服务的知识产权的合法所有人，或已经从其所有人那里得到了适当的授权。在此方面恶意地提供错误事实，将导致投标被拒绝。</w:t>
      </w:r>
    </w:p>
    <w:p w14:paraId="29E6556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5、投标文件内容的真实性</w:t>
      </w:r>
    </w:p>
    <w:p w14:paraId="46B9029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投标人应保证其投标文件中所提供的所有有关投标的资料、信息是真实的，并且来源于合法的渠道。因投标文件中所提供的有关投标的资料、信息不真实，或者其来源不合法而导致的所有法律责任，由投标人自行承担。</w:t>
      </w:r>
    </w:p>
    <w:p w14:paraId="693BE5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6、招标过程的监督和管理</w:t>
      </w:r>
    </w:p>
    <w:p w14:paraId="2E93CD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同级人民政府财政部门及有关部门依法履行对招标过程的监督管理职责。</w:t>
      </w:r>
    </w:p>
    <w:p w14:paraId="40D912A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7、费用</w:t>
      </w:r>
    </w:p>
    <w:p w14:paraId="33DA2A7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rPr>
        <w:t xml:space="preserve">    7.1</w:t>
      </w:r>
      <w:r>
        <w:rPr>
          <w:rFonts w:hint="eastAsia"/>
          <w:highlight w:val="none"/>
          <w:lang w:val="en-US" w:eastAsia="zh-CN"/>
        </w:rPr>
        <w:t xml:space="preserve">  </w:t>
      </w:r>
      <w:r>
        <w:rPr>
          <w:rFonts w:hint="eastAsia"/>
          <w:highlight w:val="none"/>
        </w:rPr>
        <w:t>投标人应承担所有与编写和提交投标文件有关的费用，无论投标过程中的做法和结果如何，采购人和采购代理机构在任何情况下均无义务和责任承担这些费用。</w:t>
      </w:r>
    </w:p>
    <w:p w14:paraId="30FB96DA">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二、招标文件</w:t>
      </w:r>
    </w:p>
    <w:p w14:paraId="3981FE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8</w:t>
      </w:r>
      <w:r>
        <w:rPr>
          <w:rFonts w:hint="eastAsia" w:ascii="宋体" w:hAnsi="宋体" w:cs="宋体"/>
          <w:b/>
          <w:bCs/>
          <w:kern w:val="0"/>
          <w:sz w:val="24"/>
          <w:highlight w:val="none"/>
        </w:rPr>
        <w:t>、招标文件的构成</w:t>
      </w:r>
    </w:p>
    <w:p w14:paraId="02AFBA6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8</w:t>
      </w:r>
      <w:r>
        <w:rPr>
          <w:rFonts w:hint="eastAsia"/>
          <w:highlight w:val="none"/>
        </w:rPr>
        <w:t>.1</w:t>
      </w:r>
      <w:r>
        <w:rPr>
          <w:rFonts w:hint="eastAsia"/>
          <w:highlight w:val="none"/>
          <w:lang w:val="en-US" w:eastAsia="zh-CN"/>
        </w:rPr>
        <w:t xml:space="preserve">  </w:t>
      </w:r>
      <w:r>
        <w:rPr>
          <w:rFonts w:hint="eastAsia"/>
          <w:highlight w:val="none"/>
        </w:rPr>
        <w:t>招标文件是投标人准备投标文件和参加开标会议的依据，同时也是评标的重要依据。招标文件用以阐明采购项目所需的资质、技术、服务及报价等要求、招标投标程序、评标办法与标准、有关规定和注意事项以及合同主要条款等。本招标文件包括以下内容：</w:t>
      </w:r>
    </w:p>
    <w:p w14:paraId="09F301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（1）招标公告；</w:t>
      </w:r>
    </w:p>
    <w:p w14:paraId="2B9598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（2）投标人须知；</w:t>
      </w:r>
    </w:p>
    <w:p w14:paraId="38C832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（3）评标办法；</w:t>
      </w:r>
    </w:p>
    <w:p w14:paraId="19CA11F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（4）</w:t>
      </w:r>
      <w:r>
        <w:rPr>
          <w:rFonts w:hint="eastAsia"/>
          <w:highlight w:val="none"/>
          <w:lang w:val="en-US" w:eastAsia="zh-CN"/>
        </w:rPr>
        <w:t>采购</w:t>
      </w:r>
      <w:r>
        <w:rPr>
          <w:rFonts w:hint="eastAsia"/>
          <w:highlight w:val="none"/>
        </w:rPr>
        <w:t>内容及要求；</w:t>
      </w:r>
    </w:p>
    <w:p w14:paraId="6E19FB0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（5）</w:t>
      </w:r>
      <w:r>
        <w:rPr>
          <w:rFonts w:hint="eastAsia"/>
          <w:highlight w:val="none"/>
          <w:lang w:eastAsia="zh-CN"/>
        </w:rPr>
        <w:t>主要合同条款</w:t>
      </w:r>
      <w:r>
        <w:rPr>
          <w:rFonts w:hint="eastAsia"/>
          <w:highlight w:val="none"/>
        </w:rPr>
        <w:t>；</w:t>
      </w:r>
    </w:p>
    <w:p w14:paraId="3E6B3E4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（6）投标文件格式</w:t>
      </w:r>
      <w:r>
        <w:rPr>
          <w:rFonts w:hint="eastAsia"/>
          <w:highlight w:val="none"/>
          <w:lang w:eastAsia="zh-CN"/>
        </w:rPr>
        <w:t>。</w:t>
      </w:r>
    </w:p>
    <w:p w14:paraId="3A52A3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8</w:t>
      </w:r>
      <w:r>
        <w:rPr>
          <w:rFonts w:hint="eastAsia"/>
          <w:highlight w:val="none"/>
        </w:rPr>
        <w:t>.2</w:t>
      </w:r>
      <w:r>
        <w:rPr>
          <w:rFonts w:hint="eastAsia"/>
          <w:highlight w:val="none"/>
          <w:lang w:val="en-US" w:eastAsia="zh-CN"/>
        </w:rPr>
        <w:t xml:space="preserve">  </w:t>
      </w:r>
      <w:r>
        <w:rPr>
          <w:rFonts w:hint="eastAsia"/>
          <w:highlight w:val="none"/>
        </w:rPr>
        <w:t>投标人应认真阅读和充分理解招标文件中所有的事项、格式条款和规范要求。如果投标人没有按照招标文件要求提交全部资料，或者投标文件没有对招标文件在各方面都做出实质性响应，由此带来的不利于投标人的评标结果，其风险由投标人承担。</w:t>
      </w:r>
    </w:p>
    <w:p w14:paraId="1A9C7D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 xml:space="preserve">8.3  </w:t>
      </w:r>
      <w:r>
        <w:rPr>
          <w:rFonts w:hint="eastAsia"/>
          <w:highlight w:val="none"/>
        </w:rPr>
        <w:t>本招标文件的解释权归</w:t>
      </w:r>
      <w:r>
        <w:rPr>
          <w:rFonts w:hint="eastAsia"/>
          <w:color w:val="auto"/>
          <w:highlight w:val="none"/>
          <w:lang w:eastAsia="zh-CN"/>
        </w:rPr>
        <w:t>瑞恒项目管理有限公司</w:t>
      </w:r>
      <w:r>
        <w:rPr>
          <w:rFonts w:hint="eastAsia"/>
          <w:highlight w:val="none"/>
        </w:rPr>
        <w:t>。</w:t>
      </w:r>
    </w:p>
    <w:p w14:paraId="3AA7F06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9</w:t>
      </w:r>
      <w:r>
        <w:rPr>
          <w:rFonts w:hint="eastAsia" w:ascii="宋体" w:hAnsi="宋体" w:cs="宋体"/>
          <w:b/>
          <w:bCs/>
          <w:kern w:val="0"/>
          <w:sz w:val="24"/>
          <w:highlight w:val="none"/>
        </w:rPr>
        <w:t>、招标文件的澄清和修改</w:t>
      </w:r>
    </w:p>
    <w:p w14:paraId="07D2EC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9</w:t>
      </w:r>
      <w:r>
        <w:rPr>
          <w:rFonts w:hint="eastAsia"/>
          <w:highlight w:val="none"/>
        </w:rPr>
        <w:t xml:space="preserve">.1 </w:t>
      </w:r>
      <w:r>
        <w:rPr>
          <w:rFonts w:hint="eastAsia"/>
          <w:highlight w:val="none"/>
          <w:lang w:val="en-US" w:eastAsia="zh-CN"/>
        </w:rPr>
        <w:t xml:space="preserve"> </w:t>
      </w:r>
      <w:r>
        <w:rPr>
          <w:rFonts w:hint="eastAsia"/>
          <w:highlight w:val="none"/>
        </w:rPr>
        <w:t>在投标截止时间前，采购人或者采购代理机构无论出于何种原因，可以对招标文件进行澄清或者修改。</w:t>
      </w:r>
    </w:p>
    <w:p w14:paraId="7485658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9</w:t>
      </w:r>
      <w:r>
        <w:rPr>
          <w:rFonts w:hint="eastAsia"/>
          <w:highlight w:val="none"/>
        </w:rPr>
        <w:t xml:space="preserve">.2 </w:t>
      </w:r>
      <w:r>
        <w:rPr>
          <w:rFonts w:hint="eastAsia"/>
          <w:highlight w:val="none"/>
          <w:lang w:val="en-US" w:eastAsia="zh-CN"/>
        </w:rPr>
        <w:t xml:space="preserve"> </w:t>
      </w:r>
      <w:r>
        <w:rPr>
          <w:rFonts w:hint="eastAsia"/>
          <w:highlight w:val="none"/>
        </w:rPr>
        <w:t>采购人或者采购代理机构</w:t>
      </w:r>
      <w:r>
        <w:rPr>
          <w:rFonts w:hint="eastAsia"/>
          <w:highlight w:val="none"/>
          <w:lang w:eastAsia="zh-CN"/>
        </w:rPr>
        <w:t>如果</w:t>
      </w:r>
      <w:r>
        <w:rPr>
          <w:rFonts w:hint="eastAsia"/>
          <w:highlight w:val="none"/>
        </w:rPr>
        <w:t>对已发出的招标文件进行澄清或者修改，将在招标文件要求提交投标文件截止时间15日前，以书面形式将澄清或者修改的内容通知所有</w:t>
      </w:r>
      <w:r>
        <w:rPr>
          <w:rFonts w:hint="eastAsia"/>
          <w:highlight w:val="none"/>
          <w:lang w:val="en-US" w:eastAsia="zh-CN"/>
        </w:rPr>
        <w:t>下载</w:t>
      </w:r>
      <w:r>
        <w:rPr>
          <w:rFonts w:hint="eastAsia"/>
          <w:highlight w:val="none"/>
        </w:rPr>
        <w:t>了招标文件的投标人，同时在原信息发布媒体上发布更正公告。该澄清或者修改的内容为招标文件的组成部分。投标人在收到上述通知后，应立即以书面形式（传真或邮件）向采购代理机构确认。</w:t>
      </w:r>
    </w:p>
    <w:p w14:paraId="0B7F2DB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9</w:t>
      </w:r>
      <w:r>
        <w:rPr>
          <w:rFonts w:hint="eastAsia"/>
          <w:highlight w:val="none"/>
        </w:rPr>
        <w:t>.</w:t>
      </w:r>
      <w:r>
        <w:rPr>
          <w:rFonts w:hint="eastAsia"/>
          <w:highlight w:val="none"/>
          <w:lang w:val="en-US" w:eastAsia="zh-CN"/>
        </w:rPr>
        <w:t xml:space="preserve">3  </w:t>
      </w:r>
      <w:r>
        <w:rPr>
          <w:rFonts w:hint="eastAsia"/>
          <w:highlight w:val="none"/>
        </w:rPr>
        <w:t>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14:paraId="5AA60CA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9</w:t>
      </w:r>
      <w:r>
        <w:rPr>
          <w:rFonts w:hint="eastAsia"/>
          <w:highlight w:val="none"/>
        </w:rPr>
        <w:t>.</w:t>
      </w:r>
      <w:r>
        <w:rPr>
          <w:rFonts w:hint="eastAsia"/>
          <w:highlight w:val="none"/>
          <w:lang w:val="en-US" w:eastAsia="zh-CN"/>
        </w:rPr>
        <w:t>4</w:t>
      </w:r>
      <w:r>
        <w:rPr>
          <w:rFonts w:hint="eastAsia"/>
          <w:highlight w:val="none"/>
        </w:rPr>
        <w:t xml:space="preserve"> </w:t>
      </w:r>
      <w:r>
        <w:rPr>
          <w:rFonts w:hint="eastAsia"/>
          <w:highlight w:val="none"/>
          <w:lang w:val="en-US" w:eastAsia="zh-CN"/>
        </w:rPr>
        <w:t xml:space="preserve"> 投标截止时间和开标时间的延长：</w:t>
      </w:r>
      <w:r>
        <w:rPr>
          <w:rFonts w:hint="eastAsia"/>
          <w:highlight w:val="none"/>
        </w:rPr>
        <w:t>在投标截止时间</w:t>
      </w:r>
      <w:r>
        <w:rPr>
          <w:rFonts w:hint="eastAsia"/>
          <w:highlight w:val="none"/>
          <w:lang w:val="en-US" w:eastAsia="zh-CN"/>
        </w:rPr>
        <w:t>3</w:t>
      </w:r>
      <w:r>
        <w:rPr>
          <w:rFonts w:hint="eastAsia"/>
          <w:highlight w:val="none"/>
        </w:rPr>
        <w:t>日前，采购代理机构可以视采购具体情况，延长投标截止时间和开标时间。延长投标截止时间和开标时间将在财政部门指定的媒体上发布变更公告，同时将变更时间书面通知所有</w:t>
      </w:r>
      <w:r>
        <w:rPr>
          <w:rFonts w:hint="eastAsia"/>
          <w:highlight w:val="none"/>
          <w:lang w:val="en-US" w:eastAsia="zh-CN"/>
        </w:rPr>
        <w:t>下载</w:t>
      </w:r>
      <w:r>
        <w:rPr>
          <w:rFonts w:hint="eastAsia"/>
          <w:highlight w:val="none"/>
        </w:rPr>
        <w:t>招标文件的单位。</w:t>
      </w:r>
    </w:p>
    <w:p w14:paraId="439CB4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0</w:t>
      </w:r>
      <w:r>
        <w:rPr>
          <w:rFonts w:hint="eastAsia" w:ascii="宋体" w:hAnsi="宋体" w:cs="宋体"/>
          <w:b/>
          <w:bCs/>
          <w:kern w:val="0"/>
          <w:sz w:val="24"/>
          <w:highlight w:val="none"/>
        </w:rPr>
        <w:t>、答疑会和现场考察（视项目具体情况而定）</w:t>
      </w:r>
    </w:p>
    <w:p w14:paraId="667AB43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.1 </w:t>
      </w:r>
      <w:r>
        <w:rPr>
          <w:rFonts w:hint="eastAsia"/>
          <w:highlight w:val="none"/>
          <w:lang w:val="en-US" w:eastAsia="zh-CN"/>
        </w:rPr>
        <w:t xml:space="preserve"> </w:t>
      </w:r>
      <w:r>
        <w:rPr>
          <w:rFonts w:hint="eastAsia"/>
          <w:highlight w:val="none"/>
        </w:rPr>
        <w:t>根据采购项目和具体情况，采购代理机构认为有必要，可以组织召开标前答疑会，或投标单位可根据自身情况及需要，自行组织踏勘。答疑会或进行现场踏勘的时间，采购人将以书面形式通知所有</w:t>
      </w:r>
      <w:r>
        <w:rPr>
          <w:rFonts w:hint="eastAsia"/>
          <w:highlight w:val="none"/>
          <w:lang w:val="en-US" w:eastAsia="zh-CN"/>
        </w:rPr>
        <w:t>下载</w:t>
      </w:r>
      <w:r>
        <w:rPr>
          <w:rFonts w:hint="eastAsia"/>
          <w:highlight w:val="none"/>
        </w:rPr>
        <w:t>了招标文件的投标人。</w:t>
      </w:r>
    </w:p>
    <w:p w14:paraId="0D597D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.2 </w:t>
      </w:r>
      <w:r>
        <w:rPr>
          <w:rFonts w:hint="eastAsia"/>
          <w:highlight w:val="none"/>
          <w:lang w:val="en-US" w:eastAsia="zh-CN"/>
        </w:rPr>
        <w:t xml:space="preserve"> </w:t>
      </w:r>
      <w:r>
        <w:rPr>
          <w:rFonts w:hint="eastAsia"/>
          <w:highlight w:val="none"/>
        </w:rPr>
        <w:t>投标人踏勘现场所发生的一切费用由投标人自己承担。</w:t>
      </w:r>
    </w:p>
    <w:p w14:paraId="201C3C0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.3 </w:t>
      </w:r>
      <w:r>
        <w:rPr>
          <w:rFonts w:hint="eastAsia"/>
          <w:highlight w:val="none"/>
          <w:lang w:val="en-US" w:eastAsia="zh-CN"/>
        </w:rPr>
        <w:t xml:space="preserve"> </w:t>
      </w:r>
      <w:r>
        <w:rPr>
          <w:rFonts w:hint="eastAsia"/>
          <w:highlight w:val="none"/>
        </w:rPr>
        <w:t>采购人向投标人提供的有关现场的数据和资料，是采购人现有的能被投标人利用的资料，采购人对投标人做出的任何推论、理解和结论均不负责任。一旦中标，中标</w:t>
      </w:r>
      <w:r>
        <w:rPr>
          <w:rFonts w:hint="eastAsia"/>
          <w:highlight w:val="none"/>
          <w:lang w:eastAsia="zh-CN"/>
        </w:rPr>
        <w:t>人</w:t>
      </w:r>
      <w:r>
        <w:rPr>
          <w:rFonts w:hint="eastAsia"/>
          <w:highlight w:val="none"/>
        </w:rPr>
        <w:t>不得以任何借口，提出额外补偿，或延长合同期限的要求。</w:t>
      </w:r>
    </w:p>
    <w:p w14:paraId="36C50813">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三、投标文件</w:t>
      </w:r>
    </w:p>
    <w:p w14:paraId="0ADD1F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、投标文件编制的原则</w:t>
      </w:r>
    </w:p>
    <w:p w14:paraId="77A54EA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1</w:t>
      </w:r>
      <w:r>
        <w:rPr>
          <w:rFonts w:hint="eastAsia"/>
          <w:highlight w:val="none"/>
        </w:rPr>
        <w:t>.1</w:t>
      </w:r>
      <w:r>
        <w:rPr>
          <w:rFonts w:hint="eastAsia"/>
          <w:highlight w:val="none"/>
          <w:lang w:val="en-US" w:eastAsia="zh-CN"/>
        </w:rPr>
        <w:t xml:space="preserve">  </w:t>
      </w:r>
      <w:r>
        <w:rPr>
          <w:rFonts w:hint="eastAsia"/>
          <w:highlight w:val="none"/>
        </w:rPr>
        <w:t>投标人应在认真阅读招标文件所有内容的基础上，按照招标文件的要求编制完整的投标文件。</w:t>
      </w:r>
      <w:r>
        <w:rPr>
          <w:rFonts w:hint="eastAsia"/>
          <w:color w:val="000000"/>
          <w:highlight w:val="none"/>
        </w:rPr>
        <w:t>招标文件中</w:t>
      </w:r>
      <w:r>
        <w:rPr>
          <w:rFonts w:hint="eastAsia"/>
          <w:color w:val="000000"/>
          <w:highlight w:val="none"/>
          <w:lang w:eastAsia="zh-CN"/>
        </w:rPr>
        <w:t>除</w:t>
      </w:r>
      <w:r>
        <w:rPr>
          <w:rFonts w:hint="eastAsia"/>
          <w:color w:val="000000"/>
          <w:highlight w:val="none"/>
        </w:rPr>
        <w:t>对投标文件格式有要求的，</w:t>
      </w:r>
      <w:r>
        <w:rPr>
          <w:rFonts w:hint="eastAsia"/>
          <w:color w:val="000000"/>
          <w:highlight w:val="none"/>
          <w:lang w:eastAsia="zh-CN"/>
        </w:rPr>
        <w:t>其余内容均按招标文件要求填写</w:t>
      </w:r>
      <w:r>
        <w:rPr>
          <w:rFonts w:hint="eastAsia"/>
          <w:color w:val="000000"/>
          <w:highlight w:val="none"/>
        </w:rPr>
        <w:t>，无相应内容可填的项应填写</w:t>
      </w:r>
      <w:r>
        <w:rPr>
          <w:rFonts w:hint="eastAsia"/>
          <w:color w:val="000000"/>
          <w:highlight w:val="none"/>
          <w:lang w:eastAsia="zh-CN"/>
        </w:rPr>
        <w:t>“</w:t>
      </w:r>
      <w:r>
        <w:rPr>
          <w:rFonts w:hint="eastAsia"/>
          <w:color w:val="000000"/>
          <w:highlight w:val="none"/>
        </w:rPr>
        <w:t>无</w:t>
      </w:r>
      <w:r>
        <w:rPr>
          <w:rFonts w:hint="eastAsia"/>
          <w:color w:val="000000"/>
          <w:highlight w:val="none"/>
          <w:lang w:eastAsia="zh-CN"/>
        </w:rPr>
        <w:t>”</w:t>
      </w:r>
      <w:r>
        <w:rPr>
          <w:rFonts w:hint="eastAsia"/>
          <w:color w:val="000000"/>
          <w:highlight w:val="none"/>
        </w:rPr>
        <w:t>、</w:t>
      </w:r>
      <w:r>
        <w:rPr>
          <w:rFonts w:hint="eastAsia"/>
          <w:color w:val="000000"/>
          <w:highlight w:val="none"/>
          <w:lang w:eastAsia="zh-CN"/>
        </w:rPr>
        <w:t>“</w:t>
      </w:r>
      <w:r>
        <w:rPr>
          <w:rFonts w:hint="eastAsia"/>
          <w:color w:val="000000"/>
          <w:highlight w:val="none"/>
        </w:rPr>
        <w:t>没有相应指标</w:t>
      </w:r>
      <w:r>
        <w:rPr>
          <w:rFonts w:hint="eastAsia"/>
          <w:color w:val="000000"/>
          <w:highlight w:val="none"/>
          <w:lang w:eastAsia="zh-CN"/>
        </w:rPr>
        <w:t>”</w:t>
      </w:r>
      <w:r>
        <w:rPr>
          <w:rFonts w:hint="eastAsia"/>
          <w:color w:val="000000"/>
          <w:highlight w:val="none"/>
        </w:rPr>
        <w:t>等明确的回答文字。投标文件中</w:t>
      </w:r>
      <w:r>
        <w:rPr>
          <w:rFonts w:hint="eastAsia"/>
          <w:color w:val="000000"/>
          <w:highlight w:val="none"/>
          <w:lang w:eastAsia="zh-CN"/>
        </w:rPr>
        <w:t>未按招标文件要求</w:t>
      </w:r>
      <w:r>
        <w:rPr>
          <w:rFonts w:hint="eastAsia"/>
          <w:color w:val="000000"/>
          <w:highlight w:val="none"/>
        </w:rPr>
        <w:t>的，将被视为不完整响应的投标文件，其投标将有可能被拒绝。</w:t>
      </w:r>
    </w:p>
    <w:p w14:paraId="6BADC7D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1</w:t>
      </w:r>
      <w:r>
        <w:rPr>
          <w:rFonts w:hint="eastAsia"/>
          <w:highlight w:val="none"/>
          <w:lang w:val="en-US" w:eastAsia="zh-CN"/>
        </w:rPr>
        <w:t>1</w:t>
      </w:r>
      <w:r>
        <w:rPr>
          <w:rFonts w:hint="eastAsia"/>
          <w:highlight w:val="none"/>
        </w:rPr>
        <w:t>.2</w:t>
      </w:r>
      <w:r>
        <w:rPr>
          <w:rFonts w:hint="eastAsia"/>
          <w:highlight w:val="none"/>
          <w:lang w:val="en-US" w:eastAsia="zh-CN"/>
        </w:rPr>
        <w:t xml:space="preserve">  </w:t>
      </w:r>
      <w:r>
        <w:rPr>
          <w:rFonts w:hint="eastAsia"/>
          <w:highlight w:val="none"/>
        </w:rPr>
        <w:t>投标人必须保证投标文件所提供的全部资料真实可靠，并接受对其中任何资料进一步审查的要求。投标人在政府采购过程中提供不真实的材料，无论其材料是否重要，采购人均有权拒绝，并取消其投标资格，投标人需承担相应的后果及法律责任。</w:t>
      </w:r>
    </w:p>
    <w:p w14:paraId="51052DC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1</w:t>
      </w:r>
      <w:r>
        <w:rPr>
          <w:rFonts w:hint="eastAsia"/>
          <w:highlight w:val="none"/>
        </w:rPr>
        <w:t>.3</w:t>
      </w:r>
      <w:r>
        <w:rPr>
          <w:rFonts w:hint="eastAsia"/>
          <w:highlight w:val="none"/>
          <w:lang w:val="en-US" w:eastAsia="zh-CN"/>
        </w:rPr>
        <w:t xml:space="preserve">  </w:t>
      </w:r>
      <w:r>
        <w:rPr>
          <w:rFonts w:hint="eastAsia"/>
          <w:highlight w:val="none"/>
        </w:rPr>
        <w:t>投标文件须对招标文件中的内容做出实质性和完整的响应，否则其投标将被拒绝。</w:t>
      </w:r>
    </w:p>
    <w:p w14:paraId="0FE2BB6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、投标文件的语言</w:t>
      </w:r>
    </w:p>
    <w:p w14:paraId="3D34C79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2</w:t>
      </w:r>
      <w:r>
        <w:rPr>
          <w:rFonts w:hint="eastAsia"/>
          <w:highlight w:val="none"/>
        </w:rPr>
        <w:t xml:space="preserve">.1 </w:t>
      </w:r>
      <w:r>
        <w:rPr>
          <w:rFonts w:hint="eastAsia"/>
          <w:highlight w:val="none"/>
          <w:lang w:val="en-US" w:eastAsia="zh-CN"/>
        </w:rPr>
        <w:t xml:space="preserve"> </w:t>
      </w:r>
      <w:r>
        <w:rPr>
          <w:rFonts w:hint="eastAsia"/>
          <w:highlight w:val="none"/>
        </w:rPr>
        <w:t>投标人提交的投标文件和往来信件均须使用中文书写。投标文件中如附有外文资料，必须逐一对应翻译成中文并加盖投标人</w:t>
      </w:r>
      <w:r>
        <w:rPr>
          <w:rFonts w:hint="eastAsia"/>
          <w:highlight w:val="none"/>
          <w:lang w:eastAsia="zh-CN"/>
        </w:rPr>
        <w:t>盖章</w:t>
      </w:r>
      <w:r>
        <w:rPr>
          <w:rFonts w:hint="eastAsia"/>
          <w:highlight w:val="none"/>
        </w:rPr>
        <w:t>后附在相关外文资料后面，否则，投标人的投标文件将作为无效投标</w:t>
      </w:r>
      <w:r>
        <w:rPr>
          <w:rFonts w:hint="eastAsia"/>
          <w:highlight w:val="none"/>
          <w:lang w:eastAsia="zh-CN"/>
        </w:rPr>
        <w:t>文件</w:t>
      </w:r>
      <w:r>
        <w:rPr>
          <w:rFonts w:hint="eastAsia"/>
          <w:highlight w:val="none"/>
        </w:rPr>
        <w:t>处理。</w:t>
      </w:r>
    </w:p>
    <w:p w14:paraId="5CC3432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2</w:t>
      </w:r>
      <w:r>
        <w:rPr>
          <w:rFonts w:hint="eastAsia"/>
          <w:highlight w:val="none"/>
        </w:rPr>
        <w:t>.2</w:t>
      </w:r>
      <w:r>
        <w:rPr>
          <w:rFonts w:hint="eastAsia"/>
          <w:highlight w:val="none"/>
          <w:lang w:val="en-US" w:eastAsia="zh-CN"/>
        </w:rPr>
        <w:t xml:space="preserve"> </w:t>
      </w:r>
      <w:r>
        <w:rPr>
          <w:rFonts w:hint="eastAsia"/>
          <w:highlight w:val="none"/>
        </w:rPr>
        <w:t xml:space="preserve"> 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14:paraId="46C1C82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、计量单位</w:t>
      </w:r>
    </w:p>
    <w:p w14:paraId="6C93CB0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除技术规格及要求中另有规定外，本</w:t>
      </w:r>
      <w:r>
        <w:rPr>
          <w:rFonts w:hint="eastAsia"/>
          <w:highlight w:val="none"/>
          <w:lang w:eastAsia="zh-CN"/>
        </w:rPr>
        <w:t>次</w:t>
      </w:r>
      <w:r>
        <w:rPr>
          <w:rFonts w:hint="eastAsia"/>
          <w:highlight w:val="none"/>
        </w:rPr>
        <w:t>采购项目下的投标均采用国家法定的计量单位。</w:t>
      </w:r>
    </w:p>
    <w:p w14:paraId="374392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4</w:t>
      </w:r>
      <w:r>
        <w:rPr>
          <w:rFonts w:hint="eastAsia" w:ascii="宋体" w:hAnsi="宋体" w:cs="宋体"/>
          <w:b/>
          <w:bCs/>
          <w:kern w:val="0"/>
          <w:sz w:val="24"/>
          <w:highlight w:val="none"/>
        </w:rPr>
        <w:t>、投标货币</w:t>
      </w:r>
    </w:p>
    <w:p w14:paraId="4CA619F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本次</w:t>
      </w:r>
      <w:r>
        <w:rPr>
          <w:rFonts w:hint="eastAsia"/>
          <w:highlight w:val="none"/>
          <w:lang w:eastAsia="zh-CN"/>
        </w:rPr>
        <w:t>采购</w:t>
      </w:r>
      <w:r>
        <w:rPr>
          <w:rFonts w:hint="eastAsia"/>
          <w:highlight w:val="none"/>
        </w:rPr>
        <w:t>项目的投标均以人民币报价，单位：元。任何包含非人民币报价的</w:t>
      </w:r>
      <w:r>
        <w:rPr>
          <w:rFonts w:hint="eastAsia"/>
          <w:highlight w:val="none"/>
          <w:lang w:eastAsia="zh-CN"/>
        </w:rPr>
        <w:t>投标</w:t>
      </w:r>
      <w:r>
        <w:rPr>
          <w:rFonts w:hint="eastAsia"/>
          <w:highlight w:val="none"/>
        </w:rPr>
        <w:t>文件均按无效处理。</w:t>
      </w:r>
    </w:p>
    <w:p w14:paraId="0958BC7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、知识产权</w:t>
      </w:r>
    </w:p>
    <w:p w14:paraId="6502A79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15</w:t>
      </w:r>
      <w:r>
        <w:rPr>
          <w:rFonts w:hint="eastAsia"/>
          <w:highlight w:val="none"/>
        </w:rPr>
        <w:t>.1</w:t>
      </w:r>
      <w:r>
        <w:rPr>
          <w:rFonts w:hint="eastAsia"/>
          <w:highlight w:val="none"/>
          <w:lang w:val="en-US" w:eastAsia="zh-CN"/>
        </w:rPr>
        <w:t xml:space="preserve">  </w:t>
      </w:r>
      <w:r>
        <w:rPr>
          <w:rFonts w:hint="eastAsia"/>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99BFF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15</w:t>
      </w:r>
      <w:r>
        <w:rPr>
          <w:rFonts w:hint="eastAsia"/>
          <w:highlight w:val="none"/>
        </w:rPr>
        <w:t xml:space="preserve">.2 </w:t>
      </w:r>
      <w:r>
        <w:rPr>
          <w:rFonts w:hint="eastAsia"/>
          <w:highlight w:val="none"/>
          <w:lang w:val="en-US" w:eastAsia="zh-CN"/>
        </w:rPr>
        <w:t xml:space="preserve"> </w:t>
      </w:r>
      <w:r>
        <w:rPr>
          <w:rFonts w:hint="eastAsia"/>
          <w:highlight w:val="none"/>
        </w:rPr>
        <w:t>采购人享有本项目实施过程中产生的知识成果及知识产权。</w:t>
      </w:r>
    </w:p>
    <w:p w14:paraId="4AF857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5</w:t>
      </w:r>
      <w:r>
        <w:rPr>
          <w:rFonts w:hint="eastAsia"/>
          <w:highlight w:val="none"/>
        </w:rPr>
        <w:t xml:space="preserve">.3 </w:t>
      </w:r>
      <w:r>
        <w:rPr>
          <w:rFonts w:hint="eastAsia"/>
          <w:highlight w:val="none"/>
          <w:lang w:val="en-US" w:eastAsia="zh-CN"/>
        </w:rPr>
        <w:t xml:space="preserve"> </w:t>
      </w:r>
      <w:r>
        <w:rPr>
          <w:rFonts w:hint="eastAsia"/>
          <w:highlight w:val="none"/>
        </w:rPr>
        <w:t>投标</w:t>
      </w:r>
      <w:r>
        <w:rPr>
          <w:rFonts w:hint="eastAsia"/>
          <w:highlight w:val="none"/>
          <w:lang w:eastAsia="zh-CN"/>
        </w:rPr>
        <w:t>人</w:t>
      </w:r>
      <w:r>
        <w:rPr>
          <w:rFonts w:hint="eastAsia"/>
          <w:highlight w:val="none"/>
        </w:rPr>
        <w:t>如欲在项目实施过程中采用自有知识成果，需在投标文件中声明，并提供相关知识产权证明文件。使用该知识成果后，投标</w:t>
      </w:r>
      <w:r>
        <w:rPr>
          <w:rFonts w:hint="eastAsia"/>
          <w:highlight w:val="none"/>
          <w:lang w:eastAsia="zh-CN"/>
        </w:rPr>
        <w:t>人</w:t>
      </w:r>
      <w:r>
        <w:rPr>
          <w:rFonts w:hint="eastAsia"/>
          <w:highlight w:val="none"/>
        </w:rPr>
        <w:t>需提供开发接口和开发手册等技术文档，并承诺提供无限期技术支持，采购人享有永久使用权。</w:t>
      </w:r>
    </w:p>
    <w:p w14:paraId="3E790AE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5</w:t>
      </w:r>
      <w:r>
        <w:rPr>
          <w:rFonts w:hint="eastAsia"/>
          <w:highlight w:val="none"/>
        </w:rPr>
        <w:t xml:space="preserve">.4 </w:t>
      </w:r>
      <w:r>
        <w:rPr>
          <w:rFonts w:hint="eastAsia"/>
          <w:highlight w:val="none"/>
          <w:lang w:val="en-US" w:eastAsia="zh-CN"/>
        </w:rPr>
        <w:t xml:space="preserve"> </w:t>
      </w:r>
      <w:r>
        <w:rPr>
          <w:rFonts w:hint="eastAsia"/>
          <w:highlight w:val="none"/>
        </w:rPr>
        <w:t>如采用投标</w:t>
      </w:r>
      <w:r>
        <w:rPr>
          <w:rFonts w:hint="eastAsia"/>
          <w:highlight w:val="none"/>
          <w:lang w:eastAsia="zh-CN"/>
        </w:rPr>
        <w:t>人</w:t>
      </w:r>
      <w:r>
        <w:rPr>
          <w:rFonts w:hint="eastAsia"/>
          <w:highlight w:val="none"/>
        </w:rPr>
        <w:t>所不拥有的知识产权，则在投标报价中必须包括合法获取该知识产权的相关费用。</w:t>
      </w:r>
    </w:p>
    <w:p w14:paraId="6D6ED26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1</w:t>
      </w:r>
      <w:r>
        <w:rPr>
          <w:rFonts w:hint="eastAsia" w:ascii="宋体" w:hAnsi="宋体" w:cs="宋体"/>
          <w:b/>
          <w:bCs/>
          <w:color w:val="000000"/>
          <w:kern w:val="0"/>
          <w:sz w:val="24"/>
          <w:highlight w:val="none"/>
          <w:lang w:val="en-US" w:eastAsia="zh-CN"/>
        </w:rPr>
        <w:t>6</w:t>
      </w:r>
      <w:r>
        <w:rPr>
          <w:rFonts w:hint="eastAsia" w:ascii="宋体" w:hAnsi="宋体" w:cs="宋体"/>
          <w:b/>
          <w:bCs/>
          <w:color w:val="000000"/>
          <w:kern w:val="0"/>
          <w:sz w:val="24"/>
          <w:highlight w:val="none"/>
        </w:rPr>
        <w:t>、投标文件的组成</w:t>
      </w:r>
    </w:p>
    <w:p w14:paraId="44D0D2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所有采购</w:t>
      </w:r>
      <w:r>
        <w:rPr>
          <w:rFonts w:hint="eastAsia"/>
          <w:highlight w:val="none"/>
          <w:lang w:eastAsia="zh-CN"/>
        </w:rPr>
        <w:t>服务</w:t>
      </w:r>
      <w:r>
        <w:rPr>
          <w:rFonts w:hint="eastAsia"/>
          <w:highlight w:val="none"/>
        </w:rPr>
        <w:t>只允许投标人有一个投标方案，不接受任何有选择的方案和报价（包括有条件的折扣）。投标人未按要求，提供了选择方案报价的，其投标将被拒绝。</w:t>
      </w:r>
    </w:p>
    <w:p w14:paraId="1201C75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商务部分。投标人按照招标文件要求做出完全响应，提供的有关资质证明文件。包括以下内容：</w:t>
      </w:r>
    </w:p>
    <w:p w14:paraId="746769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color w:val="auto"/>
          <w:highlight w:val="none"/>
          <w:lang w:val="en-US" w:eastAsia="zh-CN"/>
        </w:rPr>
        <w:t xml:space="preserve">    </w:t>
      </w:r>
      <w:r>
        <w:rPr>
          <w:rFonts w:hint="eastAsia"/>
          <w:b/>
          <w:bCs/>
          <w:color w:val="auto"/>
          <w:highlight w:val="none"/>
        </w:rPr>
        <w:t>（1）投标函；</w:t>
      </w:r>
    </w:p>
    <w:p w14:paraId="5038FC6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b/>
          <w:bCs/>
          <w:color w:val="auto"/>
          <w:highlight w:val="none"/>
        </w:rPr>
        <w:t xml:space="preserve">    （2）</w:t>
      </w:r>
      <w:r>
        <w:rPr>
          <w:rFonts w:hint="eastAsia"/>
          <w:b/>
          <w:bCs/>
          <w:color w:val="auto"/>
          <w:highlight w:val="none"/>
          <w:lang w:eastAsia="zh-CN"/>
        </w:rPr>
        <w:t>开标一览表</w:t>
      </w:r>
      <w:r>
        <w:rPr>
          <w:rFonts w:hint="eastAsia"/>
          <w:b/>
          <w:bCs/>
          <w:color w:val="auto"/>
          <w:highlight w:val="none"/>
        </w:rPr>
        <w:t>；</w:t>
      </w:r>
    </w:p>
    <w:p w14:paraId="4235EC8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3</w:t>
      </w:r>
      <w:r>
        <w:rPr>
          <w:rFonts w:hint="eastAsia" w:ascii="Times New Roman" w:hAnsi="Times New Roman" w:eastAsia="宋体" w:cs="Times New Roman"/>
          <w:b/>
          <w:bCs/>
          <w:color w:val="auto"/>
          <w:highlight w:val="none"/>
          <w:lang w:eastAsia="zh-CN"/>
        </w:rPr>
        <w:t>）资格文件；</w:t>
      </w:r>
    </w:p>
    <w:p w14:paraId="768DB7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4</w:t>
      </w: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投标</w:t>
      </w:r>
      <w:r>
        <w:rPr>
          <w:rFonts w:hint="eastAsia" w:cs="Times New Roman"/>
          <w:b/>
          <w:bCs/>
          <w:color w:val="auto"/>
          <w:highlight w:val="none"/>
          <w:lang w:eastAsia="zh-CN"/>
        </w:rPr>
        <w:t>方案</w:t>
      </w:r>
      <w:r>
        <w:rPr>
          <w:rFonts w:hint="eastAsia" w:ascii="Times New Roman" w:hAnsi="Times New Roman" w:eastAsia="宋体" w:cs="Times New Roman"/>
          <w:b/>
          <w:bCs/>
          <w:color w:val="auto"/>
          <w:highlight w:val="none"/>
          <w:lang w:eastAsia="zh-CN"/>
        </w:rPr>
        <w:t>说明书</w:t>
      </w:r>
      <w:r>
        <w:rPr>
          <w:rFonts w:hint="eastAsia" w:ascii="Times New Roman" w:hAnsi="Times New Roman" w:eastAsia="宋体" w:cs="Times New Roman"/>
          <w:b/>
          <w:bCs/>
          <w:color w:val="auto"/>
          <w:highlight w:val="none"/>
        </w:rPr>
        <w:t>；</w:t>
      </w:r>
    </w:p>
    <w:p w14:paraId="633E720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b/>
          <w:bCs/>
          <w:color w:val="auto"/>
          <w:highlight w:val="none"/>
        </w:rPr>
        <w:t xml:space="preserve">    （</w:t>
      </w:r>
      <w:r>
        <w:rPr>
          <w:rFonts w:hint="eastAsia"/>
          <w:b/>
          <w:bCs/>
          <w:color w:val="auto"/>
          <w:highlight w:val="none"/>
          <w:lang w:val="en-US" w:eastAsia="zh-CN"/>
        </w:rPr>
        <w:t>5</w:t>
      </w:r>
      <w:r>
        <w:rPr>
          <w:rFonts w:hint="eastAsia"/>
          <w:b/>
          <w:bCs/>
          <w:color w:val="auto"/>
          <w:highlight w:val="none"/>
        </w:rPr>
        <w:t>）投标人认为有必要补充说明的事宜。</w:t>
      </w:r>
    </w:p>
    <w:p w14:paraId="119DC50B">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jc w:val="both"/>
        <w:textAlignment w:val="auto"/>
        <w:outlineLvl w:val="9"/>
        <w:rPr>
          <w:rFonts w:hint="eastAsia"/>
          <w:highlight w:val="none"/>
          <w:lang w:eastAsia="zh-CN"/>
        </w:rPr>
      </w:pPr>
      <w:r>
        <w:rPr>
          <w:rFonts w:hint="eastAsia"/>
          <w:color w:val="000000"/>
          <w:highlight w:val="none"/>
        </w:rPr>
        <w:t xml:space="preserve">    1</w:t>
      </w:r>
      <w:r>
        <w:rPr>
          <w:rFonts w:hint="eastAsia"/>
          <w:color w:val="000000"/>
          <w:highlight w:val="none"/>
          <w:lang w:val="en-US" w:eastAsia="zh-CN"/>
        </w:rPr>
        <w:t>6</w:t>
      </w:r>
      <w:r>
        <w:rPr>
          <w:rFonts w:hint="eastAsia"/>
          <w:color w:val="000000"/>
          <w:highlight w:val="none"/>
        </w:rPr>
        <w:t>.2</w:t>
      </w:r>
      <w:r>
        <w:rPr>
          <w:rFonts w:hint="eastAsia"/>
          <w:color w:val="000000"/>
          <w:highlight w:val="none"/>
          <w:lang w:val="en-US" w:eastAsia="zh-CN"/>
        </w:rPr>
        <w:t xml:space="preserve">  </w:t>
      </w:r>
      <w:r>
        <w:rPr>
          <w:rFonts w:hint="eastAsia"/>
          <w:highlight w:val="none"/>
          <w:lang w:eastAsia="zh-CN"/>
        </w:rPr>
        <w:t>技术部分（</w:t>
      </w:r>
      <w:r>
        <w:rPr>
          <w:rFonts w:hint="eastAsia"/>
          <w:highlight w:val="none"/>
          <w:lang w:val="en-US" w:eastAsia="zh-CN"/>
        </w:rPr>
        <w:t>投标</w:t>
      </w:r>
      <w:r>
        <w:rPr>
          <w:rFonts w:hint="eastAsia"/>
          <w:highlight w:val="none"/>
          <w:lang w:eastAsia="zh-CN"/>
        </w:rPr>
        <w:t>方案说明书）：主要内容详见第四章</w:t>
      </w:r>
      <w:r>
        <w:rPr>
          <w:rFonts w:hint="eastAsia"/>
          <w:highlight w:val="none"/>
          <w:lang w:val="en-US" w:eastAsia="zh-CN"/>
        </w:rPr>
        <w:t>采购</w:t>
      </w:r>
      <w:r>
        <w:rPr>
          <w:rFonts w:hint="eastAsia"/>
          <w:highlight w:val="none"/>
          <w:lang w:eastAsia="zh-CN"/>
        </w:rPr>
        <w:t>内容及</w:t>
      </w:r>
      <w:r>
        <w:rPr>
          <w:rFonts w:hint="eastAsia"/>
          <w:highlight w:val="none"/>
          <w:lang w:val="en-US" w:eastAsia="zh-CN"/>
        </w:rPr>
        <w:t>要求</w:t>
      </w:r>
      <w:r>
        <w:rPr>
          <w:rFonts w:hint="eastAsia"/>
          <w:highlight w:val="none"/>
          <w:lang w:eastAsia="zh-CN"/>
        </w:rPr>
        <w:t>。</w:t>
      </w:r>
    </w:p>
    <w:p w14:paraId="2A56560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color w:val="auto"/>
          <w:highlight w:val="none"/>
        </w:rPr>
      </w:pPr>
      <w:r>
        <w:rPr>
          <w:rFonts w:hint="eastAsia"/>
          <w:highlight w:val="none"/>
          <w:lang w:eastAsia="zh-CN"/>
        </w:rPr>
        <w:t>投标人按照招标文件要求做出完全响应，主要是针对</w:t>
      </w:r>
      <w:r>
        <w:rPr>
          <w:rFonts w:hint="eastAsia"/>
          <w:highlight w:val="none"/>
          <w:lang w:val="en-US" w:eastAsia="zh-CN"/>
        </w:rPr>
        <w:t>招标</w:t>
      </w:r>
      <w:r>
        <w:rPr>
          <w:rFonts w:hint="eastAsia"/>
          <w:highlight w:val="none"/>
          <w:lang w:eastAsia="zh-CN"/>
        </w:rPr>
        <w:t>项目服务内容的详细说明，合同履行期限、实施方案，质量保证和后续服务承诺等做出的实质性响应和满足。</w:t>
      </w:r>
    </w:p>
    <w:p w14:paraId="541B381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 xml:space="preserve">6.3 </w:t>
      </w:r>
      <w:r>
        <w:rPr>
          <w:rFonts w:hint="eastAsia"/>
          <w:highlight w:val="none"/>
        </w:rPr>
        <w:t>投标文件填写说明</w:t>
      </w:r>
    </w:p>
    <w:p w14:paraId="6DC372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（1）投标文件格式：投标人提交的投标文件应当使用招标文件规定的全部格式（表格可以按同样格式扩展）编写。</w:t>
      </w:r>
    </w:p>
    <w:p w14:paraId="62FB9BB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（2）投标人应按招标文件中提供的投标文件格式填写</w:t>
      </w:r>
      <w:r>
        <w:rPr>
          <w:rFonts w:hint="eastAsia"/>
          <w:highlight w:val="none"/>
          <w:lang w:eastAsia="zh-CN"/>
        </w:rPr>
        <w:t>“</w:t>
      </w:r>
      <w:r>
        <w:rPr>
          <w:rFonts w:hint="eastAsia"/>
          <w:highlight w:val="none"/>
        </w:rPr>
        <w:t>投标</w:t>
      </w:r>
      <w:r>
        <w:rPr>
          <w:rFonts w:hint="eastAsia"/>
          <w:highlight w:val="none"/>
          <w:lang w:eastAsia="zh-CN"/>
        </w:rPr>
        <w:t>函”</w:t>
      </w:r>
      <w:r>
        <w:rPr>
          <w:rFonts w:hint="eastAsia"/>
          <w:highlight w:val="none"/>
        </w:rPr>
        <w:t>、</w:t>
      </w:r>
      <w:r>
        <w:rPr>
          <w:rFonts w:hint="eastAsia"/>
          <w:highlight w:val="none"/>
          <w:lang w:eastAsia="zh-CN"/>
        </w:rPr>
        <w:t>“</w:t>
      </w:r>
      <w:r>
        <w:rPr>
          <w:rFonts w:hint="eastAsia"/>
          <w:highlight w:val="none"/>
        </w:rPr>
        <w:t>开标一览表</w:t>
      </w:r>
      <w:r>
        <w:rPr>
          <w:rFonts w:hint="eastAsia"/>
          <w:highlight w:val="none"/>
          <w:lang w:eastAsia="zh-CN"/>
        </w:rPr>
        <w:t>”</w:t>
      </w:r>
      <w:r>
        <w:rPr>
          <w:rFonts w:hint="eastAsia"/>
          <w:highlight w:val="none"/>
        </w:rPr>
        <w:t>以及其他相关文件。</w:t>
      </w:r>
    </w:p>
    <w:p w14:paraId="1CB53F2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b/>
          <w:bCs/>
          <w:kern w:val="0"/>
          <w:sz w:val="24"/>
          <w:highlight w:val="none"/>
        </w:rPr>
        <w:t>1</w:t>
      </w:r>
      <w:r>
        <w:rPr>
          <w:rFonts w:hint="eastAsia" w:ascii="宋体" w:hAnsi="宋体" w:eastAsia="宋体" w:cs="宋体"/>
          <w:b/>
          <w:bCs/>
          <w:kern w:val="0"/>
          <w:sz w:val="24"/>
          <w:highlight w:val="none"/>
          <w:lang w:val="en-US" w:eastAsia="zh-CN"/>
        </w:rPr>
        <w:t>7</w:t>
      </w:r>
      <w:r>
        <w:rPr>
          <w:rFonts w:hint="eastAsia" w:ascii="宋体" w:hAnsi="宋体" w:eastAsia="宋体" w:cs="宋体"/>
          <w:b/>
          <w:bCs/>
          <w:kern w:val="0"/>
          <w:sz w:val="24"/>
          <w:highlight w:val="none"/>
        </w:rPr>
        <w:t>、投标报价</w:t>
      </w:r>
    </w:p>
    <w:p w14:paraId="4E25A5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17.1  </w:t>
      </w:r>
      <w:r>
        <w:rPr>
          <w:rFonts w:hint="eastAsia" w:ascii="宋体" w:hAnsi="宋体" w:eastAsia="宋体" w:cs="宋体"/>
          <w:color w:val="auto"/>
          <w:highlight w:val="none"/>
        </w:rPr>
        <w:t>投标人应按照“投标人须知前附表”中的规定和要求报价，</w:t>
      </w:r>
      <w:r>
        <w:rPr>
          <w:rFonts w:hint="eastAsia" w:ascii="宋体" w:hAnsi="宋体" w:eastAsia="宋体" w:cs="宋体"/>
          <w:b/>
          <w:bCs/>
          <w:i w:val="0"/>
          <w:caps w:val="0"/>
          <w:color w:val="000000"/>
          <w:spacing w:val="0"/>
          <w:sz w:val="21"/>
          <w:szCs w:val="21"/>
          <w:highlight w:val="none"/>
          <w:shd w:val="clear" w:color="auto" w:fill="FFFFFF"/>
        </w:rPr>
        <w:t>报价超过招标文件中规定的预算金额或者最高限价的</w:t>
      </w:r>
      <w:r>
        <w:rPr>
          <w:rFonts w:hint="eastAsia" w:ascii="宋体" w:hAnsi="宋体" w:eastAsia="宋体" w:cs="宋体"/>
          <w:b/>
          <w:bCs/>
          <w:color w:val="000000"/>
          <w:highlight w:val="none"/>
        </w:rPr>
        <w:t>将按照无效投标处理</w:t>
      </w:r>
      <w:r>
        <w:rPr>
          <w:rFonts w:hint="eastAsia" w:ascii="宋体" w:hAnsi="宋体" w:eastAsia="宋体" w:cs="宋体"/>
          <w:b/>
          <w:bCs/>
          <w:color w:val="auto"/>
          <w:highlight w:val="none"/>
        </w:rPr>
        <w:t>。</w:t>
      </w:r>
    </w:p>
    <w:p w14:paraId="5AC683AF">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17.2  </w:t>
      </w:r>
      <w:r>
        <w:rPr>
          <w:rFonts w:hint="eastAsia" w:ascii="宋体" w:hAnsi="宋体" w:eastAsia="宋体" w:cs="宋体"/>
          <w:color w:val="auto"/>
          <w:highlight w:val="none"/>
        </w:rPr>
        <w:t>投标人应按照投标报价表的内容标明投标的所有单项价格和总价。投标报价是完成招标内容所需的全部费用。</w:t>
      </w:r>
      <w:r>
        <w:rPr>
          <w:rFonts w:hint="eastAsia" w:ascii="宋体" w:hAnsi="宋体" w:cs="宋体"/>
          <w:color w:val="auto"/>
          <w:highlight w:val="none"/>
          <w:lang w:val="en-US" w:eastAsia="zh-CN"/>
        </w:rPr>
        <w:t>未按照招标文件要求提交的报价</w:t>
      </w:r>
      <w:r>
        <w:rPr>
          <w:rFonts w:hint="eastAsia" w:ascii="宋体" w:hAnsi="宋体" w:eastAsia="宋体" w:cs="宋体"/>
          <w:color w:val="auto"/>
          <w:highlight w:val="none"/>
        </w:rPr>
        <w:t>均按照无效投标处理。</w:t>
      </w:r>
    </w:p>
    <w:p w14:paraId="5ADEFF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17.3  </w:t>
      </w:r>
      <w:r>
        <w:rPr>
          <w:rFonts w:hint="eastAsia" w:ascii="宋体" w:hAnsi="宋体" w:eastAsia="宋体" w:cs="宋体"/>
          <w:color w:val="auto"/>
          <w:highlight w:val="none"/>
        </w:rPr>
        <w:t>如果在招标文件中没有允许提供备选方案，则每个投标人只允许提交一个投标方案，否则，其投标按照无效投标处理。如果允许提供备选方案，则按照评标方法中的规定对备选方案进行评审。</w:t>
      </w:r>
    </w:p>
    <w:p w14:paraId="77A25C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17.4  </w:t>
      </w:r>
      <w:r>
        <w:rPr>
          <w:rFonts w:hint="eastAsia" w:ascii="宋体" w:hAnsi="宋体" w:eastAsia="宋体" w:cs="宋体"/>
          <w:color w:val="auto"/>
          <w:highlight w:val="none"/>
        </w:rPr>
        <w:t>凡因投标人对招标文件阅读不深、理解不透、误解、疏漏、或因市场行情了解不清造成的后果和风险均由投标人自行负责。</w:t>
      </w:r>
    </w:p>
    <w:p w14:paraId="3B28DF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17.5  </w:t>
      </w:r>
      <w:r>
        <w:rPr>
          <w:rFonts w:hint="eastAsia" w:ascii="宋体" w:hAnsi="宋体" w:eastAsia="宋体" w:cs="宋体"/>
          <w:color w:val="auto"/>
          <w:highlight w:val="none"/>
        </w:rPr>
        <w:t>投标过程中所产生的一切费用由投标人自行承担。</w:t>
      </w:r>
    </w:p>
    <w:p w14:paraId="73F0C58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8</w:t>
      </w:r>
      <w:r>
        <w:rPr>
          <w:rFonts w:hint="eastAsia" w:ascii="宋体" w:hAnsi="宋体" w:cs="宋体"/>
          <w:b/>
          <w:bCs/>
          <w:kern w:val="0"/>
          <w:sz w:val="24"/>
          <w:highlight w:val="none"/>
        </w:rPr>
        <w:t>、证明投标人资格的证明文件</w:t>
      </w:r>
    </w:p>
    <w:p w14:paraId="755C1A2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eastAsia="宋体"/>
          <w:color w:val="FF0000"/>
          <w:highlight w:val="none"/>
          <w:lang w:eastAsia="zh-CN"/>
        </w:rPr>
      </w:pPr>
      <w:r>
        <w:rPr>
          <w:rFonts w:hint="eastAsia"/>
          <w:highlight w:val="none"/>
        </w:rPr>
        <w:t>1</w:t>
      </w:r>
      <w:r>
        <w:rPr>
          <w:rFonts w:hint="eastAsia"/>
          <w:highlight w:val="none"/>
          <w:lang w:val="en-US" w:eastAsia="zh-CN"/>
        </w:rPr>
        <w:t>8</w:t>
      </w:r>
      <w:r>
        <w:rPr>
          <w:rFonts w:hint="eastAsia"/>
          <w:highlight w:val="none"/>
        </w:rPr>
        <w:t>.1</w:t>
      </w:r>
      <w:r>
        <w:rPr>
          <w:rFonts w:hint="eastAsia"/>
          <w:highlight w:val="none"/>
          <w:lang w:val="en-US" w:eastAsia="zh-CN"/>
        </w:rPr>
        <w:t xml:space="preserve"> </w:t>
      </w:r>
      <w:r>
        <w:rPr>
          <w:rFonts w:hint="eastAsia"/>
          <w:highlight w:val="none"/>
        </w:rPr>
        <w:t>投标人须按招标文件</w:t>
      </w:r>
      <w:r>
        <w:rPr>
          <w:rFonts w:hint="eastAsia"/>
          <w:highlight w:val="none"/>
          <w:lang w:eastAsia="zh-CN"/>
        </w:rPr>
        <w:t>“投标人须知前附表”</w:t>
      </w:r>
      <w:r>
        <w:rPr>
          <w:rFonts w:hint="eastAsia"/>
          <w:highlight w:val="none"/>
        </w:rPr>
        <w:t>的要求，提交证明文件（在投标文件中提交合格的资格证明文件加盖</w:t>
      </w:r>
      <w:r>
        <w:rPr>
          <w:rFonts w:hint="eastAsia"/>
          <w:highlight w:val="none"/>
          <w:lang w:eastAsia="zh-CN"/>
        </w:rPr>
        <w:t>盖章</w:t>
      </w:r>
      <w:r>
        <w:rPr>
          <w:rFonts w:hint="eastAsia"/>
          <w:highlight w:val="none"/>
        </w:rPr>
        <w:t>的复印件），以证明其有资格参加投标和中标后有履行合同的能力，并作为其投标文件的一部分。如果资格证明文件不全或不合格的，其投标将按无效投标</w:t>
      </w:r>
      <w:r>
        <w:rPr>
          <w:rFonts w:hint="eastAsia"/>
          <w:highlight w:val="none"/>
          <w:lang w:eastAsia="zh-CN"/>
        </w:rPr>
        <w:t>文件</w:t>
      </w:r>
      <w:r>
        <w:rPr>
          <w:rFonts w:hint="eastAsia"/>
          <w:highlight w:val="none"/>
        </w:rPr>
        <w:t>处理</w:t>
      </w:r>
      <w:r>
        <w:rPr>
          <w:rFonts w:hint="eastAsia"/>
          <w:highlight w:val="none"/>
          <w:lang w:eastAsia="zh-CN"/>
        </w:rPr>
        <w:t>。</w:t>
      </w:r>
    </w:p>
    <w:p w14:paraId="720747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lang w:eastAsia="zh-CN"/>
        </w:rPr>
      </w:pPr>
      <w:r>
        <w:rPr>
          <w:rFonts w:hint="eastAsia"/>
          <w:highlight w:val="none"/>
        </w:rPr>
        <w:t>1</w:t>
      </w:r>
      <w:r>
        <w:rPr>
          <w:rFonts w:hint="eastAsia"/>
          <w:highlight w:val="none"/>
          <w:lang w:val="en-US" w:eastAsia="zh-CN"/>
        </w:rPr>
        <w:t>8</w:t>
      </w:r>
      <w:r>
        <w:rPr>
          <w:rFonts w:hint="eastAsia"/>
          <w:highlight w:val="none"/>
        </w:rPr>
        <w:t>.2</w:t>
      </w:r>
      <w:r>
        <w:rPr>
          <w:rFonts w:hint="eastAsia"/>
          <w:highlight w:val="none"/>
          <w:lang w:val="en-US" w:eastAsia="zh-CN"/>
        </w:rPr>
        <w:t xml:space="preserve"> </w:t>
      </w:r>
      <w:r>
        <w:rPr>
          <w:rFonts w:hint="eastAsia"/>
          <w:highlight w:val="none"/>
        </w:rPr>
        <w:t>投标人还应按照招标文件的要求，提交其他的证明其实力、信誉、业绩等的证明文件。</w:t>
      </w:r>
    </w:p>
    <w:p w14:paraId="620A96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1</w:t>
      </w:r>
      <w:r>
        <w:rPr>
          <w:rFonts w:hint="eastAsia"/>
          <w:highlight w:val="none"/>
          <w:lang w:val="en-US" w:eastAsia="zh-CN"/>
        </w:rPr>
        <w:t>8</w:t>
      </w:r>
      <w:r>
        <w:rPr>
          <w:rFonts w:hint="eastAsia"/>
          <w:highlight w:val="none"/>
        </w:rPr>
        <w:t>.3</w:t>
      </w:r>
      <w:r>
        <w:rPr>
          <w:rFonts w:hint="eastAsia"/>
          <w:highlight w:val="none"/>
          <w:lang w:val="en-US" w:eastAsia="zh-CN"/>
        </w:rPr>
        <w:t xml:space="preserve"> </w:t>
      </w:r>
      <w:r>
        <w:rPr>
          <w:rFonts w:hint="eastAsia"/>
          <w:highlight w:val="none"/>
        </w:rPr>
        <w:t>如果“投标人须知前附表”有要求，投标人还应按照要求提交资格或其他证明文件的原件。如果未能提供原件或者提供原件不全的，其投标按照无效投标处理。</w:t>
      </w:r>
    </w:p>
    <w:p w14:paraId="7E6368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19</w:t>
      </w:r>
      <w:r>
        <w:rPr>
          <w:rFonts w:hint="eastAsia" w:ascii="宋体" w:hAnsi="宋体" w:cs="宋体"/>
          <w:b/>
          <w:bCs/>
          <w:kern w:val="0"/>
          <w:sz w:val="24"/>
          <w:highlight w:val="none"/>
        </w:rPr>
        <w:t>、证明</w:t>
      </w:r>
      <w:r>
        <w:rPr>
          <w:rFonts w:hint="eastAsia" w:ascii="宋体" w:hAnsi="宋体" w:cs="宋体"/>
          <w:b/>
          <w:bCs/>
          <w:kern w:val="0"/>
          <w:sz w:val="24"/>
          <w:highlight w:val="none"/>
          <w:lang w:val="en-US" w:eastAsia="zh-CN"/>
        </w:rPr>
        <w:t>服务</w:t>
      </w:r>
      <w:r>
        <w:rPr>
          <w:rFonts w:hint="eastAsia" w:ascii="宋体" w:hAnsi="宋体" w:cs="宋体"/>
          <w:b/>
          <w:bCs/>
          <w:kern w:val="0"/>
          <w:sz w:val="24"/>
          <w:highlight w:val="none"/>
        </w:rPr>
        <w:t>的合格性和符合招标文件规定的文件</w:t>
      </w:r>
    </w:p>
    <w:p w14:paraId="28F9BFC7">
      <w:pPr>
        <w:autoSpaceDE w:val="0"/>
        <w:autoSpaceDN w:val="0"/>
        <w:adjustRightInd w:val="0"/>
        <w:spacing w:line="500" w:lineRule="exact"/>
        <w:ind w:right="6"/>
        <w:rPr>
          <w:rFonts w:hint="eastAsia" w:ascii="宋体" w:hAnsi="宋体" w:eastAsia="宋体" w:cs="宋体"/>
          <w:highlight w:val="none"/>
        </w:rPr>
      </w:pPr>
      <w:r>
        <w:rPr>
          <w:rFonts w:hint="eastAsia"/>
          <w:highlight w:val="none"/>
          <w:lang w:val="en-US" w:eastAsia="zh-CN"/>
        </w:rPr>
        <w:t xml:space="preserve">    </w:t>
      </w:r>
      <w:r>
        <w:rPr>
          <w:rFonts w:hint="eastAsia" w:ascii="宋体" w:hAnsi="宋体" w:eastAsia="宋体" w:cs="宋体"/>
          <w:highlight w:val="none"/>
        </w:rPr>
        <w:t xml:space="preserve"> </w:t>
      </w:r>
      <w:r>
        <w:rPr>
          <w:rFonts w:hint="eastAsia" w:ascii="宋体" w:hAnsi="宋体" w:cs="宋体"/>
          <w:highlight w:val="none"/>
          <w:lang w:val="en-US" w:eastAsia="zh-CN"/>
        </w:rPr>
        <w:t>19</w:t>
      </w:r>
      <w:r>
        <w:rPr>
          <w:rFonts w:hint="eastAsia" w:ascii="宋体" w:hAnsi="宋体" w:eastAsia="宋体" w:cs="宋体"/>
          <w:highlight w:val="none"/>
        </w:rPr>
        <w:t>.1 投标人应在投标文件中提交所提供服务满足招标文件要求并符合国家法律法规、行业管理部门要求的其他强制性标准的证明文件。缺少证明文件或证明文件不合格的响应文件，与招标文件要求有重大偏离的投标文件，不符合国家法律法规、行业管理部门要求的其他强制性标准的投标文件将按照无效处理。</w:t>
      </w:r>
    </w:p>
    <w:p w14:paraId="68524DEC">
      <w:pPr>
        <w:autoSpaceDE w:val="0"/>
        <w:autoSpaceDN w:val="0"/>
        <w:adjustRightInd w:val="0"/>
        <w:spacing w:line="500" w:lineRule="exact"/>
        <w:ind w:right="6" w:firstLine="420"/>
        <w:rPr>
          <w:rFonts w:hint="eastAsia" w:ascii="宋体" w:hAnsi="宋体" w:eastAsia="宋体" w:cs="宋体"/>
          <w:highlight w:val="none"/>
        </w:rPr>
      </w:pPr>
      <w:r>
        <w:rPr>
          <w:rFonts w:hint="eastAsia" w:ascii="宋体" w:hAnsi="宋体" w:cs="宋体"/>
          <w:highlight w:val="none"/>
          <w:lang w:val="en-US" w:eastAsia="zh-CN"/>
        </w:rPr>
        <w:t>19</w:t>
      </w:r>
      <w:r>
        <w:rPr>
          <w:rFonts w:hint="eastAsia" w:ascii="宋体" w:hAnsi="宋体" w:eastAsia="宋体" w:cs="宋体"/>
          <w:highlight w:val="none"/>
        </w:rPr>
        <w:t>.2 证明服务与招标文件的要求相一致的文件，它可以是文字资料、图表、数据、证书、业主证明等（支撑材料应能令</w:t>
      </w:r>
      <w:r>
        <w:rPr>
          <w:rFonts w:hint="eastAsia" w:ascii="宋体" w:hAnsi="宋体" w:cs="宋体"/>
          <w:highlight w:val="none"/>
          <w:lang w:val="en-US" w:eastAsia="zh-CN"/>
        </w:rPr>
        <w:t>采购</w:t>
      </w:r>
      <w:r>
        <w:rPr>
          <w:rFonts w:hint="eastAsia" w:ascii="宋体" w:hAnsi="宋体" w:eastAsia="宋体" w:cs="宋体"/>
          <w:highlight w:val="none"/>
        </w:rPr>
        <w:t>人相信投标产品或服务是全新未经使用且属于常规提供的，不是为了满足投标而临时定制的产品或服务），包括：</w:t>
      </w:r>
    </w:p>
    <w:p w14:paraId="07392215">
      <w:pPr>
        <w:autoSpaceDE w:val="0"/>
        <w:autoSpaceDN w:val="0"/>
        <w:adjustRightInd w:val="0"/>
        <w:spacing w:line="500" w:lineRule="exact"/>
        <w:ind w:right="6"/>
        <w:rPr>
          <w:rFonts w:hint="eastAsia" w:ascii="宋体" w:hAnsi="宋体" w:eastAsia="宋体" w:cs="宋体"/>
          <w:highlight w:val="none"/>
        </w:rPr>
      </w:pPr>
      <w:r>
        <w:rPr>
          <w:rFonts w:hint="eastAsia" w:ascii="宋体" w:hAnsi="宋体" w:eastAsia="宋体" w:cs="宋体"/>
          <w:highlight w:val="none"/>
        </w:rPr>
        <w:t xml:space="preserve">    （1）逐条对招标文件提出的技术要求和商务要求进行应答，说明所提供的服务对投标要求的技术和商务要求是否做出了实质性响应并提供支持文件；</w:t>
      </w:r>
    </w:p>
    <w:p w14:paraId="7DED42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eastAsia="宋体"/>
          <w:highlight w:val="none"/>
          <w:lang w:val="en-US" w:eastAsia="zh-CN"/>
        </w:rPr>
      </w:pPr>
      <w:r>
        <w:rPr>
          <w:rFonts w:hint="eastAsia" w:ascii="宋体" w:hAnsi="宋体" w:eastAsia="宋体" w:cs="宋体"/>
          <w:highlight w:val="none"/>
        </w:rPr>
        <w:t>（2）服务内容、服务程序设计和实施方案的详细说明。</w:t>
      </w:r>
    </w:p>
    <w:p w14:paraId="0364F9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ascii="宋体" w:hAnsi="宋体" w:cs="宋体"/>
          <w:b/>
          <w:bCs/>
          <w:color w:val="auto"/>
          <w:kern w:val="0"/>
          <w:sz w:val="24"/>
          <w:highlight w:val="none"/>
        </w:rPr>
        <w:t>2</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、投标保证金（本项目不收取投标保证金）</w:t>
      </w:r>
    </w:p>
    <w:p w14:paraId="6DCC230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、投标有效期</w:t>
      </w:r>
    </w:p>
    <w:p w14:paraId="08D929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ascii="宋体" w:hAnsi="宋体" w:eastAsia="宋体" w:cs="宋体"/>
          <w:highlight w:val="none"/>
          <w:lang w:val="en-US" w:eastAsia="zh-CN"/>
        </w:rPr>
        <w:t xml:space="preserve">21.1 </w:t>
      </w:r>
      <w:r>
        <w:rPr>
          <w:rFonts w:hint="eastAsia"/>
          <w:highlight w:val="none"/>
          <w:lang w:val="en-US" w:eastAsia="zh-CN"/>
        </w:rPr>
        <w:t xml:space="preserve"> </w:t>
      </w:r>
      <w:r>
        <w:rPr>
          <w:rFonts w:hint="eastAsia"/>
          <w:highlight w:val="none"/>
        </w:rPr>
        <w:t>投标有效期见投标人须知前附表。投标有效期短于此规定期限的投标，将被拒绝。在有效期内投标文件对投标人具有法律约束力，以保证采购人完成评标、定标以及合同签订事项。中标</w:t>
      </w:r>
      <w:r>
        <w:rPr>
          <w:rFonts w:hint="eastAsia"/>
          <w:highlight w:val="none"/>
          <w:lang w:eastAsia="zh-CN"/>
        </w:rPr>
        <w:t>单位</w:t>
      </w:r>
      <w:r>
        <w:rPr>
          <w:rFonts w:hint="eastAsia"/>
          <w:highlight w:val="none"/>
        </w:rPr>
        <w:t>的投标文件有效期自动延长至合同执行完毕。</w:t>
      </w:r>
    </w:p>
    <w:p w14:paraId="3ED5FEDC">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2</w:t>
      </w:r>
      <w:r>
        <w:rPr>
          <w:rFonts w:hint="eastAsia" w:ascii="宋体" w:hAnsi="宋体" w:eastAsia="宋体" w:cs="宋体"/>
          <w:b/>
          <w:bCs/>
          <w:kern w:val="0"/>
          <w:sz w:val="24"/>
          <w:highlight w:val="none"/>
          <w:lang w:val="en-US" w:eastAsia="zh-CN"/>
        </w:rPr>
        <w:t>、投标文件的编制要求</w:t>
      </w:r>
    </w:p>
    <w:p w14:paraId="2EE4B47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.1 </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应按第六章“</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格式”进行编写，如有必要，可以增加附页，作为</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 xml:space="preserve">的组成部分。 </w:t>
      </w:r>
    </w:p>
    <w:p w14:paraId="630A2F8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.2 </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应当对</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有关服务期、</w:t>
      </w:r>
      <w:r>
        <w:rPr>
          <w:rFonts w:hint="eastAsia" w:ascii="宋体" w:hAnsi="宋体" w:cs="宋体"/>
          <w:highlight w:val="none"/>
          <w:lang w:val="en-US" w:eastAsia="zh-CN"/>
        </w:rPr>
        <w:t>投标</w:t>
      </w:r>
      <w:r>
        <w:rPr>
          <w:rFonts w:hint="eastAsia" w:ascii="宋体" w:hAnsi="宋体" w:eastAsia="宋体" w:cs="宋体"/>
          <w:highlight w:val="none"/>
          <w:lang w:val="en-US" w:eastAsia="zh-CN"/>
        </w:rPr>
        <w:t>有效期、服务要求、采购内容等实质性内容作出响应。</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在满足</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实质性要求的基础上，可以提出比</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 xml:space="preserve">要求更有利于采购人的承诺。 </w:t>
      </w:r>
    </w:p>
    <w:p w14:paraId="25847EB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.3 本项目采用不见面开标模式，采用电子化</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，供应商不需要提供纸质</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。供应商应在投标截止时间前登录</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载明的“不见面开标大厅”（http://bjmkb.akggzyjy.cn/BidOpeningHall/bidopeninghallaction/hall/login）网址，按系统提示完成开标流程。因</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自身设施故障或自身原因导致无法完成投标的，由</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 xml:space="preserve">自行承担后果。 </w:t>
      </w:r>
    </w:p>
    <w:p w14:paraId="0913AC2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.4 </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须在全国公共资源交易平台（陕西省·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公共资源交易平台登记企业信息，然后使用数字认证 CA 锁获取</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及其他文件。</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应使用电子投标书制作工具制作、加密</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，并在规定时间上传经过数字证书加密的电子</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 xml:space="preserve">为.SXSTF 格式）。 </w:t>
      </w:r>
    </w:p>
    <w:p w14:paraId="452B878F">
      <w:pPr>
        <w:autoSpaceDE w:val="0"/>
        <w:autoSpaceDN w:val="0"/>
        <w:adjustRightInd w:val="0"/>
        <w:spacing w:line="500" w:lineRule="exact"/>
        <w:ind w:right="6"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.5 其他需要说明的事项：本项目招标所使用的交易平台为全国公共资源交易平台（陕西省·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）(sxggzyjy.cn)不见面开标系统，如有疑问，请及时与全国公共资源交易平台（陕西省·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）中心业务取得联系。（中心业务电话：029-33585731、在线技术支持客服热线：4009980000）。</w:t>
      </w:r>
    </w:p>
    <w:p w14:paraId="3BB8A5DF">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四、投标</w:t>
      </w:r>
    </w:p>
    <w:p w14:paraId="679D0FF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eastAsia="宋体"/>
          <w:highlight w:val="none"/>
          <w:lang w:eastAsia="zh-CN"/>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、投标文件的</w:t>
      </w:r>
      <w:r>
        <w:rPr>
          <w:rFonts w:hint="eastAsia" w:ascii="宋体" w:hAnsi="宋体" w:cs="宋体"/>
          <w:b/>
          <w:bCs/>
          <w:kern w:val="0"/>
          <w:sz w:val="24"/>
          <w:highlight w:val="none"/>
          <w:lang w:val="en-US" w:eastAsia="zh-CN"/>
        </w:rPr>
        <w:t>递交</w:t>
      </w:r>
    </w:p>
    <w:p w14:paraId="66EB66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highlight w:val="none"/>
        </w:rPr>
      </w:pPr>
      <w:r>
        <w:rPr>
          <w:rFonts w:hint="eastAsia" w:ascii="宋体" w:hAnsi="宋体" w:eastAsia="宋体" w:cs="宋体"/>
          <w:highlight w:val="none"/>
          <w:lang w:val="en-US" w:eastAsia="zh-CN"/>
        </w:rPr>
        <w:t>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文件可于提交</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文件截止时间前任意时段登录全国公共资源交易平台（陕西省 ˙</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）网站“电子交易平台&gt;企业端”进行提交，逾期系统将拒绝接收。提交时，</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应登录全国公共资源交易中心平台（陕西省˙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），选择“首页&gt;电子交易平台&gt;企业端&gt;我的项目”，点击“项目流程”，在打开的“项目管理”对话框中选择“上传</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文件”，上传加密的电子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文件（*.SXSTF）。上传成功后，电子化平台将予以记录。</w:t>
      </w:r>
    </w:p>
    <w:p w14:paraId="14DE86F7">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4</w:t>
      </w:r>
      <w:r>
        <w:rPr>
          <w:rFonts w:hint="eastAsia" w:ascii="宋体" w:hAnsi="宋体" w:eastAsia="宋体" w:cs="宋体"/>
          <w:b/>
          <w:bCs/>
          <w:kern w:val="0"/>
          <w:sz w:val="24"/>
          <w:highlight w:val="none"/>
          <w:lang w:val="en-US" w:eastAsia="zh-CN"/>
        </w:rPr>
        <w:t xml:space="preserve">、投标文件的加密和提交 </w:t>
      </w:r>
    </w:p>
    <w:p w14:paraId="787CB1FB">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4</w:t>
      </w:r>
      <w:r>
        <w:rPr>
          <w:rFonts w:hint="eastAsia" w:ascii="宋体" w:hAnsi="宋体" w:eastAsia="宋体" w:cs="宋体"/>
          <w:highlight w:val="none"/>
        </w:rPr>
        <w:t>.1 在生成电子投标文件时，需要使用CA锁对投标文件进行加密。</w:t>
      </w:r>
    </w:p>
    <w:p w14:paraId="431D0C5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注意：加密投标文件和开标时解密投标文件应当使用同一CA，否则将会导致解密失败。</w:t>
      </w:r>
    </w:p>
    <w:p w14:paraId="793BEFC0">
      <w:pPr>
        <w:autoSpaceDE w:val="0"/>
        <w:autoSpaceDN w:val="0"/>
        <w:adjustRightInd w:val="0"/>
        <w:spacing w:line="500" w:lineRule="exact"/>
        <w:ind w:right="6" w:firstLine="420" w:firstLineChars="200"/>
        <w:rPr>
          <w:rFonts w:hint="eastAsia" w:ascii="宋体" w:hAnsi="宋体" w:eastAsia="宋体" w:cs="宋体"/>
        </w:rPr>
      </w:pPr>
      <w:r>
        <w:rPr>
          <w:rFonts w:hint="eastAsia" w:ascii="宋体" w:hAnsi="宋体" w:eastAsia="宋体" w:cs="宋体"/>
          <w:lang w:val="en-US" w:eastAsia="zh-CN"/>
        </w:rPr>
        <w:t xml:space="preserve">24.2 </w:t>
      </w:r>
      <w:r>
        <w:rPr>
          <w:rFonts w:hint="eastAsia" w:ascii="宋体" w:hAnsi="宋体" w:eastAsia="宋体" w:cs="宋体"/>
        </w:rPr>
        <w:t>电子投标文件可于提交投标文件截止时间前任意时段，登录全国公共资源交易平台（陕西省·</w:t>
      </w:r>
      <w:r>
        <w:rPr>
          <w:rFonts w:hint="eastAsia" w:ascii="宋体" w:hAnsi="宋体" w:cs="宋体"/>
          <w:lang w:val="en-US" w:eastAsia="zh-CN"/>
        </w:rPr>
        <w:t>安康市</w:t>
      </w:r>
      <w:r>
        <w:rPr>
          <w:rFonts w:hint="eastAsia" w:ascii="宋体" w:hAnsi="宋体" w:eastAsia="宋体" w:cs="宋体"/>
        </w:rPr>
        <w:t>）〖首页·〉电子交易平台·〉〗，登录后切换到〖我的项目〗模块下，依次点选〖项 目流程·〉项目管理·〉上传响应文件〗，上传加密后的电子投标文件（*.SXSTF）。上传成功后，全国公共资源交易平台（陕西省·</w:t>
      </w:r>
      <w:r>
        <w:rPr>
          <w:rFonts w:hint="eastAsia" w:ascii="宋体" w:hAnsi="宋体" w:cs="宋体"/>
          <w:lang w:val="en-US" w:eastAsia="zh-CN"/>
        </w:rPr>
        <w:t>安康市</w:t>
      </w:r>
      <w:r>
        <w:rPr>
          <w:rFonts w:hint="eastAsia" w:ascii="宋体" w:hAnsi="宋体" w:eastAsia="宋体" w:cs="宋体"/>
        </w:rPr>
        <w:t xml:space="preserve">）系统将予以记录。 </w:t>
      </w:r>
    </w:p>
    <w:p w14:paraId="0DD2CC1C">
      <w:pPr>
        <w:autoSpaceDE w:val="0"/>
        <w:autoSpaceDN w:val="0"/>
        <w:adjustRightInd w:val="0"/>
        <w:spacing w:line="500" w:lineRule="exact"/>
        <w:ind w:right="6" w:firstLine="420" w:firstLineChars="200"/>
        <w:rPr>
          <w:rFonts w:hint="eastAsia" w:ascii="宋体" w:hAnsi="宋体" w:eastAsia="宋体" w:cs="宋体"/>
        </w:rPr>
      </w:pPr>
      <w:r>
        <w:rPr>
          <w:rFonts w:hint="eastAsia" w:ascii="宋体" w:hAnsi="宋体" w:eastAsia="宋体" w:cs="宋体"/>
          <w:lang w:val="en-US" w:eastAsia="zh-CN"/>
        </w:rPr>
        <w:t xml:space="preserve">24.3 </w:t>
      </w:r>
      <w:r>
        <w:rPr>
          <w:rFonts w:hint="eastAsia" w:ascii="宋体" w:hAnsi="宋体" w:eastAsia="宋体" w:cs="宋体"/>
        </w:rPr>
        <w:t xml:space="preserve">上传文件有误或需要重新提交的，可先撤销已经上传的文件，然后重新上传新文件。 </w:t>
      </w:r>
    </w:p>
    <w:p w14:paraId="09E4EAE5">
      <w:pPr>
        <w:autoSpaceDE w:val="0"/>
        <w:autoSpaceDN w:val="0"/>
        <w:adjustRightInd w:val="0"/>
        <w:spacing w:line="500" w:lineRule="exact"/>
        <w:ind w:right="6" w:firstLine="420" w:firstLineChars="200"/>
        <w:rPr>
          <w:rFonts w:hint="eastAsia" w:ascii="宋体" w:hAnsi="宋体" w:eastAsia="宋体" w:cs="宋体"/>
          <w:lang w:eastAsia="zh-CN"/>
        </w:rPr>
      </w:pPr>
      <w:r>
        <w:rPr>
          <w:rFonts w:hint="eastAsia" w:ascii="宋体" w:hAnsi="宋体" w:eastAsia="宋体" w:cs="宋体"/>
          <w:lang w:val="en-US" w:eastAsia="zh-CN"/>
        </w:rPr>
        <w:t xml:space="preserve">24.4 </w:t>
      </w:r>
      <w:r>
        <w:rPr>
          <w:rFonts w:hint="eastAsia" w:ascii="宋体" w:hAnsi="宋体" w:eastAsia="宋体" w:cs="宋体"/>
        </w:rPr>
        <w:t>投标人编制投标文件时，涉及的有关原件应在投标文件中提供电子版</w:t>
      </w:r>
      <w:r>
        <w:rPr>
          <w:rFonts w:hint="eastAsia" w:ascii="宋体" w:hAnsi="宋体" w:eastAsia="宋体" w:cs="宋体"/>
          <w:lang w:eastAsia="zh-CN"/>
        </w:rPr>
        <w:t>。</w:t>
      </w:r>
    </w:p>
    <w:p w14:paraId="51985E5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lang w:eastAsia="zh-CN"/>
        </w:rPr>
      </w:pPr>
      <w:r>
        <w:rPr>
          <w:rFonts w:hint="eastAsia" w:ascii="宋体" w:hAnsi="宋体" w:eastAsia="宋体" w:cs="宋体"/>
          <w:lang w:val="en-US" w:eastAsia="zh-CN"/>
        </w:rPr>
        <w:t xml:space="preserve">24.5 </w:t>
      </w:r>
      <w:r>
        <w:rPr>
          <w:rFonts w:hint="eastAsia" w:ascii="宋体" w:hAnsi="宋体" w:eastAsia="宋体" w:cs="宋体"/>
          <w:lang w:eastAsia="zh-CN"/>
        </w:rPr>
        <w:t>如因投标人自身原因造成无法解密投标文件，按无效投标对待。</w:t>
      </w:r>
    </w:p>
    <w:p w14:paraId="66A6501C">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jc w:val="both"/>
        <w:textAlignment w:val="auto"/>
        <w:outlineLvl w:val="9"/>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5</w:t>
      </w:r>
      <w:r>
        <w:rPr>
          <w:rFonts w:hint="eastAsia" w:ascii="宋体" w:hAnsi="宋体" w:eastAsia="宋体" w:cs="宋体"/>
          <w:b/>
          <w:bCs/>
          <w:kern w:val="0"/>
          <w:sz w:val="24"/>
          <w:highlight w:val="none"/>
          <w:lang w:val="en-US" w:eastAsia="zh-CN"/>
        </w:rPr>
        <w:t>、</w:t>
      </w:r>
      <w:r>
        <w:rPr>
          <w:rFonts w:hint="eastAsia" w:ascii="宋体" w:hAnsi="宋体" w:cs="宋体"/>
          <w:b/>
          <w:bCs/>
          <w:kern w:val="0"/>
          <w:sz w:val="24"/>
          <w:highlight w:val="none"/>
          <w:lang w:val="en-US" w:eastAsia="zh-CN"/>
        </w:rPr>
        <w:t>投标人</w:t>
      </w:r>
      <w:r>
        <w:rPr>
          <w:rFonts w:hint="eastAsia" w:ascii="宋体" w:hAnsi="宋体" w:eastAsia="宋体" w:cs="宋体"/>
          <w:b/>
          <w:bCs/>
          <w:kern w:val="0"/>
          <w:sz w:val="24"/>
          <w:highlight w:val="none"/>
          <w:lang w:val="en-US" w:eastAsia="zh-CN"/>
        </w:rPr>
        <w:t>提交投标文件时，出现下列情况之一的，其</w:t>
      </w:r>
      <w:r>
        <w:rPr>
          <w:rFonts w:hint="eastAsia" w:ascii="宋体" w:hAnsi="宋体" w:cs="宋体"/>
          <w:b/>
          <w:bCs/>
          <w:kern w:val="0"/>
          <w:sz w:val="24"/>
          <w:highlight w:val="none"/>
          <w:lang w:val="en-US" w:eastAsia="zh-CN"/>
        </w:rPr>
        <w:t>投标</w:t>
      </w:r>
      <w:r>
        <w:rPr>
          <w:rFonts w:hint="eastAsia" w:ascii="宋体" w:hAnsi="宋体" w:eastAsia="宋体" w:cs="宋体"/>
          <w:b/>
          <w:bCs/>
          <w:kern w:val="0"/>
          <w:sz w:val="24"/>
          <w:highlight w:val="none"/>
          <w:lang w:val="en-US" w:eastAsia="zh-CN"/>
        </w:rPr>
        <w:t>文件将被拒绝接收：</w:t>
      </w:r>
    </w:p>
    <w:p w14:paraId="4A3AE96C">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5</w:t>
      </w:r>
      <w:r>
        <w:rPr>
          <w:rFonts w:hint="eastAsia" w:ascii="宋体" w:hAnsi="宋体" w:eastAsia="宋体" w:cs="宋体"/>
          <w:highlight w:val="none"/>
          <w:lang w:val="en-US" w:eastAsia="zh-CN"/>
        </w:rPr>
        <w:t>.1 逾期提交电子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 xml:space="preserve">文件的； </w:t>
      </w:r>
    </w:p>
    <w:p w14:paraId="0D03218C">
      <w:pPr>
        <w:autoSpaceDE w:val="0"/>
        <w:autoSpaceDN w:val="0"/>
        <w:adjustRightInd w:val="0"/>
        <w:spacing w:line="500" w:lineRule="exact"/>
        <w:ind w:right="6" w:firstLine="42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5</w:t>
      </w:r>
      <w:r>
        <w:rPr>
          <w:rFonts w:hint="eastAsia" w:ascii="宋体" w:hAnsi="宋体" w:eastAsia="宋体" w:cs="宋体"/>
          <w:highlight w:val="none"/>
          <w:lang w:val="en-US" w:eastAsia="zh-CN"/>
        </w:rPr>
        <w:t>.2 提交的</w:t>
      </w:r>
      <w:r>
        <w:rPr>
          <w:rFonts w:hint="eastAsia" w:ascii="宋体" w:hAnsi="宋体" w:cs="宋体"/>
          <w:highlight w:val="none"/>
          <w:lang w:val="en-US" w:eastAsia="zh-CN"/>
        </w:rPr>
        <w:t>投标</w:t>
      </w:r>
      <w:r>
        <w:rPr>
          <w:rFonts w:hint="eastAsia" w:ascii="宋体" w:hAnsi="宋体" w:eastAsia="宋体" w:cs="宋体"/>
          <w:highlight w:val="none"/>
          <w:lang w:val="en-US" w:eastAsia="zh-CN"/>
        </w:rPr>
        <w:t xml:space="preserve">文件与本项目不相符的 </w:t>
      </w:r>
    </w:p>
    <w:p w14:paraId="3491CA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、投标纪律要求</w:t>
      </w:r>
    </w:p>
    <w:p w14:paraId="1B61BD8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w:t>
      </w:r>
      <w:r>
        <w:rPr>
          <w:rFonts w:hint="eastAsia"/>
          <w:highlight w:val="none"/>
          <w:lang w:val="en-US" w:eastAsia="zh-CN"/>
        </w:rPr>
        <w:t>6</w:t>
      </w:r>
      <w:r>
        <w:rPr>
          <w:rFonts w:hint="eastAsia"/>
          <w:highlight w:val="none"/>
        </w:rPr>
        <w:t>.1</w:t>
      </w:r>
      <w:r>
        <w:rPr>
          <w:rFonts w:hint="eastAsia"/>
          <w:highlight w:val="none"/>
          <w:lang w:val="en-US" w:eastAsia="zh-CN"/>
        </w:rPr>
        <w:t xml:space="preserve">  </w:t>
      </w:r>
      <w:r>
        <w:rPr>
          <w:rFonts w:hint="eastAsia"/>
          <w:highlight w:val="none"/>
        </w:rPr>
        <w:t>投标人参加投标不得有下列情形：</w:t>
      </w:r>
    </w:p>
    <w:p w14:paraId="5AB0116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（1）提供虚假材料谋取中标；</w:t>
      </w:r>
    </w:p>
    <w:p w14:paraId="4DC849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（2）采取不正当手段诋毁、排挤其他投标人；</w:t>
      </w:r>
    </w:p>
    <w:p w14:paraId="5D05EF9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（3）与采购单位、其他投标人恶意串通；</w:t>
      </w:r>
    </w:p>
    <w:p w14:paraId="2A1ABBC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（4）向采购人、采购代理机构单位、评标委员会成员行贿或者提供其他不正当利益；</w:t>
      </w:r>
    </w:p>
    <w:p w14:paraId="0144AFF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（5）在采购过程中与采购单位进行协商谈判；</w:t>
      </w:r>
    </w:p>
    <w:p w14:paraId="6E9985C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（6）拒绝有关部门的监督检查或者向监督检查部门提供虚假情况。</w:t>
      </w:r>
    </w:p>
    <w:p w14:paraId="30AB546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有上述情形之一的投标人，属于不合格投标人，其投标或中标资格将被取消。</w:t>
      </w:r>
    </w:p>
    <w:p w14:paraId="07B56D78">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五、开标</w:t>
      </w:r>
    </w:p>
    <w:p w14:paraId="52CB0F33">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7</w:t>
      </w:r>
      <w:r>
        <w:rPr>
          <w:rFonts w:hint="eastAsia" w:ascii="宋体" w:hAnsi="宋体" w:eastAsia="宋体" w:cs="宋体"/>
          <w:b/>
          <w:bCs/>
          <w:kern w:val="0"/>
          <w:sz w:val="24"/>
          <w:highlight w:val="none"/>
          <w:lang w:val="en-US" w:eastAsia="zh-CN"/>
        </w:rPr>
        <w:t>、开标</w:t>
      </w:r>
    </w:p>
    <w:p w14:paraId="1A17272C">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7</w:t>
      </w:r>
      <w:r>
        <w:rPr>
          <w:rFonts w:hint="eastAsia" w:ascii="宋体" w:hAnsi="宋体" w:eastAsia="宋体" w:cs="宋体"/>
          <w:highlight w:val="none"/>
        </w:rPr>
        <w:t xml:space="preserve">.1 代理机构按招标文件规定的时间在规定的时间和地点组织开标活动。 </w:t>
      </w:r>
    </w:p>
    <w:p w14:paraId="16A249D6">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 xml:space="preserve">2 </w:t>
      </w:r>
      <w:r>
        <w:rPr>
          <w:rFonts w:hint="eastAsia" w:ascii="宋体" w:hAnsi="宋体" w:eastAsia="宋体" w:cs="宋体"/>
          <w:highlight w:val="none"/>
        </w:rPr>
        <w:t>开标由代理机构主持，</w:t>
      </w:r>
      <w:r>
        <w:rPr>
          <w:rFonts w:hint="eastAsia" w:ascii="宋体" w:hAnsi="宋体" w:eastAsia="宋体" w:cs="宋体"/>
          <w:highlight w:val="none"/>
          <w:lang w:val="en-US" w:eastAsia="zh-CN"/>
        </w:rPr>
        <w:t>招标</w:t>
      </w:r>
      <w:r>
        <w:rPr>
          <w:rFonts w:hint="eastAsia" w:ascii="宋体" w:hAnsi="宋体" w:eastAsia="宋体" w:cs="宋体"/>
          <w:highlight w:val="none"/>
        </w:rPr>
        <w:t xml:space="preserve">人、投标人（线上）和有关方面代表参加。开标截止时间后投标人不足 3 家的，不进行开标。 </w:t>
      </w:r>
    </w:p>
    <w:p w14:paraId="682A87F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 </w:t>
      </w:r>
      <w:r>
        <w:rPr>
          <w:rFonts w:hint="eastAsia" w:ascii="宋体" w:hAnsi="宋体" w:eastAsia="宋体" w:cs="宋体"/>
          <w:highlight w:val="none"/>
        </w:rPr>
        <w:t>开标程序</w:t>
      </w:r>
    </w:p>
    <w:p w14:paraId="525246EA">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.3.</w:t>
      </w:r>
      <w:r>
        <w:rPr>
          <w:rFonts w:hint="eastAsia" w:ascii="宋体" w:hAnsi="宋体" w:eastAsia="宋体" w:cs="宋体"/>
          <w:highlight w:val="none"/>
        </w:rPr>
        <w:t>1</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投标人登录：开标前，请各投标人至少提前半小时登录全国公共资源交易平台（陕西省·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rPr>
        <w:t>）〖首页·〉不见面开标〗系统。</w:t>
      </w:r>
    </w:p>
    <w:p w14:paraId="4ECE0D70">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.3.2 </w:t>
      </w:r>
      <w:r>
        <w:rPr>
          <w:rFonts w:hint="eastAsia" w:ascii="宋体" w:hAnsi="宋体" w:eastAsia="宋体" w:cs="宋体"/>
          <w:highlight w:val="none"/>
        </w:rPr>
        <w:t>主持人宣布开标：提交投标文件截止时间过后，系统将不再接收任何投标文件。</w:t>
      </w:r>
    </w:p>
    <w:p w14:paraId="42E4745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.3.3 </w:t>
      </w:r>
      <w:r>
        <w:rPr>
          <w:rFonts w:hint="eastAsia" w:ascii="宋体" w:hAnsi="宋体" w:eastAsia="宋体" w:cs="宋体"/>
          <w:highlight w:val="none"/>
        </w:rPr>
        <w:t>解密投标文件：投标人在收到主持人“开始解密”指令后，应使用“加密该投标文件的 CA 锁（必须是同一把锁）”在线完成投标文件解密。除因【</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rPr>
        <w:t xml:space="preserve">公共资源交易中心】断电、断网、系统故障及其他不可抗力等因素，导致“不见面开标”系统无法正常运行外，投标人应在规定的解密时间内完成解密。 </w:t>
      </w:r>
    </w:p>
    <w:p w14:paraId="11132782">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.3.4 </w:t>
      </w:r>
      <w:r>
        <w:rPr>
          <w:rFonts w:hint="eastAsia" w:ascii="宋体" w:hAnsi="宋体" w:eastAsia="宋体" w:cs="宋体"/>
          <w:highlight w:val="none"/>
        </w:rPr>
        <w:t>唱标：对于公开招标项目，“不见面开标”系统将自动展示</w:t>
      </w:r>
      <w:r>
        <w:rPr>
          <w:rFonts w:hint="eastAsia" w:ascii="宋体" w:hAnsi="宋体" w:eastAsia="宋体" w:cs="宋体"/>
          <w:highlight w:val="none"/>
          <w:lang w:val="en-US" w:eastAsia="zh-CN"/>
        </w:rPr>
        <w:t>投标人</w:t>
      </w:r>
      <w:r>
        <w:rPr>
          <w:rFonts w:hint="eastAsia" w:ascii="宋体" w:hAnsi="宋体" w:eastAsia="宋体" w:cs="宋体"/>
          <w:highlight w:val="none"/>
        </w:rPr>
        <w:t xml:space="preserve">名单及其投标报价。 </w:t>
      </w:r>
    </w:p>
    <w:p w14:paraId="03393DE1">
      <w:pPr>
        <w:autoSpaceDE w:val="0"/>
        <w:autoSpaceDN w:val="0"/>
        <w:adjustRightInd w:val="0"/>
        <w:spacing w:line="500" w:lineRule="exact"/>
        <w:ind w:right="6"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.3.5 </w:t>
      </w:r>
      <w:r>
        <w:rPr>
          <w:rFonts w:hint="eastAsia" w:ascii="宋体" w:hAnsi="宋体" w:eastAsia="宋体" w:cs="宋体"/>
          <w:highlight w:val="none"/>
        </w:rPr>
        <w:t>开标结束：进入评审环节。</w:t>
      </w:r>
      <w:r>
        <w:rPr>
          <w:rFonts w:hint="eastAsia" w:ascii="宋体" w:hAnsi="宋体" w:eastAsia="宋体" w:cs="宋体"/>
          <w:highlight w:val="none"/>
          <w:lang w:val="en-US" w:eastAsia="zh-CN"/>
        </w:rPr>
        <w:t>投标人</w:t>
      </w:r>
      <w:r>
        <w:rPr>
          <w:rFonts w:hint="eastAsia" w:ascii="宋体" w:hAnsi="宋体" w:eastAsia="宋体" w:cs="宋体"/>
          <w:highlight w:val="none"/>
        </w:rPr>
        <w:t>请保持在线，评审期间评标委员会可能会要求</w:t>
      </w:r>
      <w:r>
        <w:rPr>
          <w:rFonts w:hint="eastAsia" w:ascii="宋体" w:hAnsi="宋体" w:eastAsia="宋体" w:cs="宋体"/>
          <w:highlight w:val="none"/>
          <w:lang w:val="en-US" w:eastAsia="zh-CN"/>
        </w:rPr>
        <w:t>投标人</w:t>
      </w:r>
      <w:r>
        <w:rPr>
          <w:rFonts w:hint="eastAsia" w:ascii="宋体" w:hAnsi="宋体" w:eastAsia="宋体" w:cs="宋体"/>
          <w:highlight w:val="none"/>
        </w:rPr>
        <w:t>做相</w:t>
      </w:r>
      <w:r>
        <w:rPr>
          <w:rFonts w:hint="eastAsia" w:ascii="宋体" w:hAnsi="宋体" w:eastAsia="宋体" w:cs="宋体"/>
          <w:highlight w:val="none"/>
          <w:lang w:val="en-US" w:eastAsia="zh-CN"/>
        </w:rPr>
        <w:t>应的澄清。因</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擅自离席造成的不利后果，由投标人自行承担。</w:t>
      </w:r>
    </w:p>
    <w:p w14:paraId="3C09C496">
      <w:pPr>
        <w:autoSpaceDE w:val="0"/>
        <w:autoSpaceDN w:val="0"/>
        <w:adjustRightInd w:val="0"/>
        <w:spacing w:line="500" w:lineRule="exact"/>
        <w:ind w:right="6"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“不见面开标”系统操作说明：详见全国公共资源交易平台（陕西省·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lang w:val="en-US" w:eastAsia="zh-CN"/>
        </w:rPr>
        <w:t>）〖首页·〉服务指南·〉下载专区〗中的《政府采购不见面开标大厅</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操作手册》。</w:t>
      </w:r>
    </w:p>
    <w:p w14:paraId="73887361">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 xml:space="preserve">未按规定程序操作导致的一切后果由投标人自行承担。 </w:t>
      </w:r>
    </w:p>
    <w:p w14:paraId="77E7BCF8">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.3.6 </w:t>
      </w:r>
      <w:r>
        <w:rPr>
          <w:rFonts w:hint="eastAsia" w:ascii="宋体" w:hAnsi="宋体" w:eastAsia="宋体" w:cs="宋体"/>
          <w:highlight w:val="none"/>
        </w:rPr>
        <w:t>投标人代表对开标过程和开标记录有疑义，以及认为</w:t>
      </w:r>
      <w:r>
        <w:rPr>
          <w:rFonts w:hint="eastAsia" w:ascii="宋体" w:hAnsi="宋体" w:eastAsia="宋体" w:cs="宋体"/>
          <w:highlight w:val="none"/>
          <w:lang w:val="en-US" w:eastAsia="zh-CN"/>
        </w:rPr>
        <w:t>招标</w:t>
      </w:r>
      <w:r>
        <w:rPr>
          <w:rFonts w:hint="eastAsia" w:ascii="宋体" w:hAnsi="宋体" w:eastAsia="宋体" w:cs="宋体"/>
          <w:highlight w:val="none"/>
        </w:rPr>
        <w:t>人、代理机构相关工作人员有需要回避的情形的，应当场提出询问或者回避申请。代理机构对投标人代表提出的询问或者回避申请应当及时处理。</w:t>
      </w:r>
    </w:p>
    <w:p w14:paraId="5C716355">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.3.7 </w:t>
      </w:r>
      <w:r>
        <w:rPr>
          <w:rFonts w:hint="eastAsia" w:ascii="宋体" w:hAnsi="宋体" w:eastAsia="宋体" w:cs="宋体"/>
          <w:highlight w:val="none"/>
        </w:rPr>
        <w:t xml:space="preserve">各投标人需实时在线观看音视频直播并及时互动，未按时加入系统或未在线参与互动的，视为放弃标书解密和对开评标全过程质疑、澄清、答辩的权利，并承担由此产生的响应后果。 </w:t>
      </w:r>
    </w:p>
    <w:p w14:paraId="6FA73EF0">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.3.8 </w:t>
      </w:r>
      <w:r>
        <w:rPr>
          <w:rFonts w:hint="eastAsia" w:ascii="宋体" w:hAnsi="宋体" w:eastAsia="宋体" w:cs="宋体"/>
          <w:highlight w:val="none"/>
        </w:rPr>
        <w:t>注意事项</w:t>
      </w:r>
    </w:p>
    <w:p w14:paraId="07EEC9D4">
      <w:pPr>
        <w:autoSpaceDE w:val="0"/>
        <w:autoSpaceDN w:val="0"/>
        <w:adjustRightInd w:val="0"/>
        <w:spacing w:line="500" w:lineRule="exact"/>
        <w:ind w:right="6" w:firstLine="420" w:firstLineChars="200"/>
        <w:rPr>
          <w:rFonts w:hint="eastAsia" w:ascii="宋体" w:hAnsi="宋体" w:eastAsia="宋体" w:cs="宋体"/>
          <w:highlight w:val="none"/>
          <w:lang w:eastAsia="zh-CN"/>
        </w:rPr>
      </w:pPr>
      <w:r>
        <w:rPr>
          <w:rFonts w:hint="eastAsia" w:ascii="宋体" w:hAnsi="宋体" w:eastAsia="宋体" w:cs="宋体"/>
          <w:highlight w:val="none"/>
        </w:rPr>
        <w:t>1、投标人参与不见面开标的电脑应安装有清晰可用的摄像头、音响和麦克风设备</w:t>
      </w:r>
      <w:r>
        <w:rPr>
          <w:rFonts w:hint="eastAsia" w:ascii="宋体" w:hAnsi="宋体" w:eastAsia="宋体" w:cs="宋体"/>
          <w:highlight w:val="none"/>
          <w:lang w:eastAsia="zh-CN"/>
        </w:rPr>
        <w:t>；</w:t>
      </w:r>
    </w:p>
    <w:p w14:paraId="4AF73009">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2、投标人参与不见面开标的电脑须安装正确驱动，可在不见面开标系统登录界面的驱动下载页面进行下载及后续安装。</w:t>
      </w:r>
    </w:p>
    <w:p w14:paraId="6301333F">
      <w:pPr>
        <w:autoSpaceDE w:val="0"/>
        <w:autoSpaceDN w:val="0"/>
        <w:adjustRightInd w:val="0"/>
        <w:spacing w:line="500" w:lineRule="exact"/>
        <w:ind w:right="6" w:firstLine="420" w:firstLineChars="200"/>
        <w:rPr>
          <w:rFonts w:hint="eastAsia" w:ascii="宋体" w:hAnsi="宋体" w:eastAsia="宋体" w:cs="宋体"/>
          <w:highlight w:val="none"/>
          <w:lang w:eastAsia="zh-CN"/>
        </w:rPr>
      </w:pPr>
      <w:r>
        <w:rPr>
          <w:rFonts w:hint="eastAsia" w:ascii="宋体" w:hAnsi="宋体" w:eastAsia="宋体" w:cs="宋体"/>
          <w:highlight w:val="none"/>
        </w:rPr>
        <w:t>3、为更好实时查看不见面开标室现场，推荐使用 50M 及以上网络宽带</w:t>
      </w:r>
      <w:r>
        <w:rPr>
          <w:rFonts w:hint="eastAsia" w:ascii="宋体" w:hAnsi="宋体" w:eastAsia="宋体" w:cs="宋体"/>
          <w:highlight w:val="none"/>
          <w:lang w:eastAsia="zh-CN"/>
        </w:rPr>
        <w:t>。</w:t>
      </w:r>
    </w:p>
    <w:p w14:paraId="18C83527">
      <w:pPr>
        <w:autoSpaceDE w:val="0"/>
        <w:autoSpaceDN w:val="0"/>
        <w:adjustRightInd w:val="0"/>
        <w:spacing w:line="500" w:lineRule="exact"/>
        <w:ind w:right="6" w:firstLine="420" w:firstLineChars="200"/>
        <w:rPr>
          <w:rFonts w:hint="eastAsia"/>
          <w:highlight w:val="none"/>
        </w:rPr>
      </w:pPr>
      <w:r>
        <w:rPr>
          <w:rFonts w:hint="eastAsia" w:ascii="宋体" w:hAnsi="宋体" w:eastAsia="宋体" w:cs="宋体"/>
          <w:highlight w:val="none"/>
        </w:rPr>
        <w:t>4.开标、评标过程中，参与远程互动的各投标人应为同一个人，投标人一端参与互动的人员只能是投标人的法定代表人或授权代表。</w:t>
      </w:r>
    </w:p>
    <w:p w14:paraId="410316CF">
      <w:pPr>
        <w:numPr>
          <w:ilvl w:val="0"/>
          <w:numId w:val="0"/>
        </w:numPr>
        <w:spacing w:before="240" w:after="120"/>
        <w:jc w:val="center"/>
        <w:outlineLvl w:val="2"/>
        <w:rPr>
          <w:rFonts w:hint="eastAsia" w:ascii="宋体" w:hAnsi="宋体" w:eastAsia="宋体" w:cs="宋体"/>
          <w:b/>
          <w:bCs/>
          <w:kern w:val="0"/>
          <w:sz w:val="24"/>
          <w:highlight w:val="none"/>
          <w:lang w:val="en-US" w:eastAsia="zh-CN"/>
        </w:rPr>
      </w:pPr>
      <w:r>
        <w:rPr>
          <w:rFonts w:hint="eastAsia" w:ascii="宋体" w:hAnsi="宋体" w:cs="宋体"/>
          <w:b/>
          <w:bCs/>
          <w:sz w:val="28"/>
          <w:highlight w:val="none"/>
        </w:rPr>
        <w:t>六、评标</w:t>
      </w:r>
    </w:p>
    <w:p w14:paraId="26BB1C97">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8</w:t>
      </w:r>
      <w:r>
        <w:rPr>
          <w:rFonts w:hint="eastAsia" w:ascii="宋体" w:hAnsi="宋体" w:eastAsia="宋体" w:cs="宋体"/>
          <w:b/>
          <w:bCs/>
          <w:kern w:val="0"/>
          <w:sz w:val="24"/>
          <w:highlight w:val="none"/>
          <w:lang w:val="en-US" w:eastAsia="zh-CN"/>
        </w:rPr>
        <w:t>、评标委员会</w:t>
      </w:r>
    </w:p>
    <w:p w14:paraId="23D2B737">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28</w:t>
      </w:r>
      <w:r>
        <w:rPr>
          <w:rFonts w:hint="eastAsia" w:ascii="宋体" w:hAnsi="宋体" w:eastAsia="宋体" w:cs="宋体"/>
          <w:highlight w:val="none"/>
        </w:rPr>
        <w:t>.1 评标由依法组建的评标委员会进行。</w:t>
      </w:r>
    </w:p>
    <w:p w14:paraId="68B459AB">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28</w:t>
      </w:r>
      <w:r>
        <w:rPr>
          <w:rFonts w:hint="eastAsia" w:ascii="宋体" w:hAnsi="宋体" w:eastAsia="宋体" w:cs="宋体"/>
          <w:highlight w:val="none"/>
        </w:rPr>
        <w:t>.2 评标期间，任何单位和个人不得非法干预或影响评标的过程和结果。</w:t>
      </w:r>
    </w:p>
    <w:p w14:paraId="4F0381F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28</w:t>
      </w:r>
      <w:r>
        <w:rPr>
          <w:rFonts w:hint="eastAsia" w:ascii="宋体" w:hAnsi="宋体" w:eastAsia="宋体" w:cs="宋体"/>
          <w:highlight w:val="none"/>
        </w:rPr>
        <w:t>.3 评标委员会成员名单在中标结果确定前保密。</w:t>
      </w:r>
    </w:p>
    <w:p w14:paraId="4117CFE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28.4 </w:t>
      </w:r>
      <w:r>
        <w:rPr>
          <w:rFonts w:hint="eastAsia" w:ascii="宋体" w:hAnsi="宋体" w:eastAsia="宋体" w:cs="宋体"/>
          <w:highlight w:val="none"/>
          <w:lang w:eastAsia="zh-CN"/>
        </w:rPr>
        <w:t>采购人员会</w:t>
      </w:r>
      <w:r>
        <w:rPr>
          <w:rFonts w:hint="eastAsia" w:ascii="宋体" w:hAnsi="宋体" w:eastAsia="宋体" w:cs="宋体"/>
          <w:highlight w:val="none"/>
        </w:rPr>
        <w:t>将根据本次采购项目的特点，参照《中华人民共和国政府采购法》、中华人民共和国2015年第658号国务院令--《中华人民共和国政府采购法实施条例》和中华人民共和国财政部20</w:t>
      </w:r>
      <w:r>
        <w:rPr>
          <w:rFonts w:hint="eastAsia" w:ascii="宋体" w:hAnsi="宋体" w:eastAsia="宋体" w:cs="宋体"/>
          <w:highlight w:val="none"/>
          <w:lang w:val="en-US" w:eastAsia="zh-CN"/>
        </w:rPr>
        <w:t>17</w:t>
      </w:r>
      <w:r>
        <w:rPr>
          <w:rFonts w:hint="eastAsia" w:ascii="宋体" w:hAnsi="宋体" w:eastAsia="宋体" w:cs="宋体"/>
          <w:color w:val="auto"/>
          <w:highlight w:val="none"/>
        </w:rPr>
        <w:t>年第</w:t>
      </w:r>
      <w:r>
        <w:rPr>
          <w:rFonts w:hint="eastAsia" w:ascii="宋体" w:hAnsi="宋体" w:eastAsia="宋体" w:cs="宋体"/>
          <w:color w:val="auto"/>
          <w:highlight w:val="none"/>
          <w:lang w:val="en-US" w:eastAsia="zh-CN"/>
        </w:rPr>
        <w:t>87</w:t>
      </w:r>
      <w:r>
        <w:rPr>
          <w:rFonts w:hint="eastAsia" w:ascii="宋体" w:hAnsi="宋体" w:eastAsia="宋体" w:cs="宋体"/>
          <w:color w:val="auto"/>
          <w:highlight w:val="none"/>
        </w:rPr>
        <w:t>号部长</w:t>
      </w:r>
      <w:r>
        <w:rPr>
          <w:rFonts w:hint="eastAsia" w:ascii="宋体" w:hAnsi="宋体" w:eastAsia="宋体" w:cs="宋体"/>
          <w:highlight w:val="none"/>
        </w:rPr>
        <w:t>令--《政府采购货物和服务招标投标管理办法》</w:t>
      </w:r>
      <w:r>
        <w:rPr>
          <w:rFonts w:hint="eastAsia" w:ascii="宋体" w:hAnsi="宋体" w:eastAsia="宋体" w:cs="宋体"/>
          <w:highlight w:val="none"/>
          <w:lang w:eastAsia="zh-CN"/>
        </w:rPr>
        <w:t>等政策法规</w:t>
      </w:r>
      <w:r>
        <w:rPr>
          <w:rFonts w:hint="eastAsia" w:ascii="宋体" w:hAnsi="宋体" w:eastAsia="宋体" w:cs="宋体"/>
          <w:highlight w:val="none"/>
        </w:rPr>
        <w:t>的规定，依法组建评标委员会。评标委员会按照招标文件规定的评标方法独立进行评标工作。</w:t>
      </w:r>
    </w:p>
    <w:p w14:paraId="2678A2F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28.5 </w:t>
      </w:r>
      <w:r>
        <w:rPr>
          <w:rFonts w:hint="eastAsia" w:ascii="宋体" w:hAnsi="宋体" w:eastAsia="宋体" w:cs="宋体"/>
          <w:highlight w:val="none"/>
        </w:rPr>
        <w:t>评委会成员到位后，推荐一名评审专家担任评审组长，并由评审组长牵头组织该项目评审工作，采购人授权的评审专家，不得担任评审组长。</w:t>
      </w:r>
    </w:p>
    <w:p w14:paraId="4D3455C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28.6 评标委员会成员有下列情形之一的，应当回避：</w:t>
      </w:r>
    </w:p>
    <w:p w14:paraId="2FD25B7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（1）采购人或投标人的主要负责人的近亲属；</w:t>
      </w:r>
    </w:p>
    <w:p w14:paraId="6FCA784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（2）项目主管部门或者行政监督部门的人员；</w:t>
      </w:r>
    </w:p>
    <w:p w14:paraId="378DDC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（3）与投标人有经济利益关系，可能影响对投标公正评审的；</w:t>
      </w:r>
    </w:p>
    <w:p w14:paraId="27232DD6">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（4）曾因在招标、评标以及其他与招标投标有关活动中从事违法行为而受过行政处罚或刑事处罚的。</w:t>
      </w:r>
    </w:p>
    <w:p w14:paraId="0626BBF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28.7 招标文件和投标文件是评标的依据。在评标中，不得改变招标文件中规定的评标标准、方法和中标条件。投标人不得在开标后使用任何方式对投标文件的实质性内容做任何更改。</w:t>
      </w:r>
    </w:p>
    <w:p w14:paraId="4F781D4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28.8 评标委员会成员对各投标人投标文件进行审查、质疑、评估和比较，并推荐出3名中标候选人。</w:t>
      </w:r>
    </w:p>
    <w:p w14:paraId="04A67BF7">
      <w:pPr>
        <w:autoSpaceDE w:val="0"/>
        <w:autoSpaceDN w:val="0"/>
        <w:adjustRightInd w:val="0"/>
        <w:spacing w:line="500" w:lineRule="exact"/>
        <w:ind w:right="6"/>
        <w:rPr>
          <w:rFonts w:hint="eastAsia" w:ascii="宋体" w:hAnsi="宋体" w:eastAsia="宋体" w:cs="宋体"/>
          <w:b/>
          <w:bCs/>
          <w:kern w:val="0"/>
          <w:sz w:val="24"/>
          <w:highlight w:val="none"/>
        </w:rPr>
      </w:pPr>
      <w:r>
        <w:rPr>
          <w:rFonts w:hint="eastAsia" w:ascii="宋体" w:hAnsi="宋体" w:cs="宋体"/>
          <w:b/>
          <w:bCs/>
          <w:kern w:val="0"/>
          <w:sz w:val="24"/>
          <w:highlight w:val="none"/>
          <w:lang w:val="en-US" w:eastAsia="zh-CN"/>
        </w:rPr>
        <w:t>29</w:t>
      </w:r>
      <w:r>
        <w:rPr>
          <w:rFonts w:hint="eastAsia" w:ascii="宋体" w:hAnsi="宋体" w:eastAsia="宋体" w:cs="宋体"/>
          <w:b/>
          <w:bCs/>
          <w:kern w:val="0"/>
          <w:sz w:val="24"/>
          <w:highlight w:val="none"/>
          <w:lang w:val="en-US" w:eastAsia="zh-CN"/>
        </w:rPr>
        <w:t xml:space="preserve">、评标原则  </w:t>
      </w:r>
      <w:r>
        <w:rPr>
          <w:rFonts w:hint="eastAsia" w:ascii="宋体" w:hAnsi="宋体" w:eastAsia="宋体" w:cs="宋体"/>
          <w:b/>
          <w:bCs/>
          <w:kern w:val="0"/>
          <w:sz w:val="24"/>
          <w:highlight w:val="none"/>
        </w:rPr>
        <w:t xml:space="preserve"> </w:t>
      </w:r>
    </w:p>
    <w:p w14:paraId="58533B3D">
      <w:pPr>
        <w:autoSpaceDE w:val="0"/>
        <w:autoSpaceDN w:val="0"/>
        <w:adjustRightInd w:val="0"/>
        <w:spacing w:line="500" w:lineRule="exact"/>
        <w:ind w:right="6"/>
        <w:rPr>
          <w:rFonts w:hint="eastAsia" w:ascii="宋体" w:hAnsi="宋体" w:eastAsia="宋体" w:cs="宋体"/>
          <w:highlight w:val="none"/>
        </w:rPr>
      </w:pPr>
      <w:r>
        <w:rPr>
          <w:rFonts w:hint="eastAsia" w:ascii="宋体" w:hAnsi="宋体" w:eastAsia="宋体" w:cs="宋体"/>
          <w:highlight w:val="none"/>
        </w:rPr>
        <w:t xml:space="preserve">    评标原则应遵循公平、公正、科学和择优的原则，并以相同的评标程序和标准对待所有的投标人。</w:t>
      </w:r>
    </w:p>
    <w:p w14:paraId="349445BB">
      <w:pPr>
        <w:autoSpaceDE w:val="0"/>
        <w:autoSpaceDN w:val="0"/>
        <w:adjustRightInd w:val="0"/>
        <w:spacing w:line="500" w:lineRule="exact"/>
        <w:ind w:right="6"/>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3</w:t>
      </w:r>
      <w:r>
        <w:rPr>
          <w:rFonts w:hint="eastAsia" w:ascii="宋体" w:hAnsi="宋体" w:cs="宋体"/>
          <w:b/>
          <w:bCs/>
          <w:kern w:val="0"/>
          <w:sz w:val="24"/>
          <w:highlight w:val="none"/>
          <w:lang w:val="en-US" w:eastAsia="zh-CN"/>
        </w:rPr>
        <w:t>0</w:t>
      </w:r>
      <w:r>
        <w:rPr>
          <w:rFonts w:hint="eastAsia" w:ascii="宋体" w:hAnsi="宋体" w:eastAsia="宋体" w:cs="宋体"/>
          <w:b/>
          <w:bCs/>
          <w:kern w:val="0"/>
          <w:sz w:val="24"/>
          <w:highlight w:val="none"/>
          <w:lang w:val="en-US" w:eastAsia="zh-CN"/>
        </w:rPr>
        <w:t>、评标</w:t>
      </w:r>
    </w:p>
    <w:p w14:paraId="48E3DB27">
      <w:pPr>
        <w:spacing w:line="500" w:lineRule="exact"/>
        <w:ind w:left="105" w:leftChars="50"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评标过程中对投标文件的判定，只依据开标截止时间前全国公共资源交易平台（陕西省·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szCs w:val="21"/>
          <w:highlight w:val="none"/>
        </w:rPr>
        <w:t>）递交的电子投标文件内容本身，不依据任何外来证明</w:t>
      </w:r>
      <w:r>
        <w:rPr>
          <w:rFonts w:hint="eastAsia" w:ascii="宋体" w:hAnsi="宋体" w:eastAsia="宋体" w:cs="宋体"/>
          <w:szCs w:val="21"/>
          <w:highlight w:val="none"/>
          <w:lang w:eastAsia="zh-CN"/>
        </w:rPr>
        <w:t>。</w:t>
      </w:r>
    </w:p>
    <w:p w14:paraId="14D7748D">
      <w:pPr>
        <w:numPr>
          <w:ilvl w:val="0"/>
          <w:numId w:val="0"/>
        </w:num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资格审查 </w:t>
      </w:r>
    </w:p>
    <w:p w14:paraId="473443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开标结束后，采购人或采购代理机构依据法律法规和招标文件中规定的内容，对投标人的投标文件中的资格证明文件进行资格审查，未通过资格审查的投标人不进入下一步评审。</w:t>
      </w:r>
    </w:p>
    <w:p w14:paraId="5903F1D4">
      <w:pPr>
        <w:numPr>
          <w:ilvl w:val="0"/>
          <w:numId w:val="0"/>
        </w:num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符合性审查 </w:t>
      </w:r>
    </w:p>
    <w:p w14:paraId="65D6C4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依法组建评标委员会，评标委员会依据招标文件的规定，进行符合性审查，以确定其是否满足招标文件的实质性要求，未通过符合性审查的投标人不再进入下一步评审。</w:t>
      </w:r>
    </w:p>
    <w:p w14:paraId="10A77C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进入评分阶段。</w:t>
      </w:r>
    </w:p>
    <w:p w14:paraId="0F904698">
      <w:p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评标过程严格保密</w:t>
      </w:r>
    </w:p>
    <w:p w14:paraId="64F9DA09">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（1）开标后，直至授予中标人合同为止，凡属于对投标文件的审查、澄清、评价和比较的有关资料以及中标候选人的推荐情况，与评标有关的其他任何情况均严格保密；</w:t>
      </w:r>
    </w:p>
    <w:p w14:paraId="21D27BD6">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（2）投标人对评标委员会的评标过程或合同授予决定施加影响的任何行为都可能导致其投标被拒绝；</w:t>
      </w:r>
    </w:p>
    <w:p w14:paraId="6D3B5830">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（3）中标人确定后，招标人和代理机构不对未中标人就评标过程以及未能中标原因作出任何解释。未中标人不得向评标委员会组成人员或其他有关人员索问评标过程的情况和材料。</w:t>
      </w:r>
    </w:p>
    <w:p w14:paraId="457D0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投标无效情形的认定</w:t>
      </w:r>
    </w:p>
    <w:p w14:paraId="562A15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 在评标过程中，出现下列情形之一的（但不限于），按投标无效处理：</w:t>
      </w:r>
    </w:p>
    <w:p w14:paraId="56104576">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投标人没有经过正常渠道获取招标文件或投标人的名称与在全国公共资源交易平台（陕西省·</w:t>
      </w:r>
      <w:r>
        <w:rPr>
          <w:rFonts w:hint="eastAsia" w:ascii="宋体" w:hAnsi="宋体" w:cs="宋体"/>
          <w:szCs w:val="21"/>
          <w:highlight w:val="none"/>
          <w:lang w:val="en-US" w:eastAsia="zh-CN"/>
        </w:rPr>
        <w:t>安康市</w:t>
      </w:r>
      <w:r>
        <w:rPr>
          <w:rFonts w:hint="eastAsia" w:ascii="宋体" w:hAnsi="宋体" w:eastAsia="宋体" w:cs="宋体"/>
          <w:szCs w:val="21"/>
          <w:highlight w:val="none"/>
        </w:rPr>
        <w:t xml:space="preserve">）报名的单位名称不符； </w:t>
      </w:r>
    </w:p>
    <w:p w14:paraId="3A585098">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投标人放弃或拒绝对电子投标文件进行解密的； </w:t>
      </w:r>
    </w:p>
    <w:p w14:paraId="340EE0EA">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因投标人自身原因，导致未在规定的解密时限内完整解密的，如忘带CA锁、或携带的CA锁与加密文件的CA锁不同、或使用旧版招标 文件编制投标文件等情形；</w:t>
      </w:r>
    </w:p>
    <w:p w14:paraId="7A934C29">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上传的电子投标文件无法正常打开的；</w:t>
      </w:r>
    </w:p>
    <w:p w14:paraId="3D9A4049">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投标文件中提供的投标人资格要求证明文件不符合招标文件规定；</w:t>
      </w:r>
    </w:p>
    <w:p w14:paraId="1109C6FA">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投标文件中出现备选方案或投标文件中出现选择性报价的； </w:t>
      </w:r>
    </w:p>
    <w:p w14:paraId="7A0BF316">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投标报价超过了本项目采购预算或最高限价的； </w:t>
      </w:r>
    </w:p>
    <w:p w14:paraId="3DA24F7B">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投标文件未按照招标文件要求签署、盖章的； </w:t>
      </w:r>
    </w:p>
    <w:p w14:paraId="5020A2B2">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投标文件的关键内容字迹模糊和无法辨认的； </w:t>
      </w:r>
    </w:p>
    <w:p w14:paraId="4943D825">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投标文件未按照招标文件规定的格式要求编制的； </w:t>
      </w:r>
    </w:p>
    <w:p w14:paraId="1246B0F1">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投标文件中无投标有效期或投标有效期达不到招标文件要求的；</w:t>
      </w:r>
    </w:p>
    <w:p w14:paraId="7DF79B10">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未响应</w:t>
      </w:r>
      <w:r>
        <w:rPr>
          <w:rFonts w:hint="eastAsia" w:ascii="宋体" w:hAnsi="宋体" w:cs="宋体"/>
          <w:szCs w:val="21"/>
          <w:highlight w:val="none"/>
          <w:lang w:eastAsia="zh-CN"/>
        </w:rPr>
        <w:t>主要合同条款</w:t>
      </w:r>
      <w:r>
        <w:rPr>
          <w:rFonts w:hint="eastAsia" w:ascii="宋体" w:hAnsi="宋体" w:eastAsia="宋体" w:cs="宋体"/>
          <w:szCs w:val="21"/>
          <w:highlight w:val="none"/>
        </w:rPr>
        <w:t>或响应的</w:t>
      </w:r>
      <w:r>
        <w:rPr>
          <w:rFonts w:hint="eastAsia" w:ascii="宋体" w:hAnsi="宋体" w:cs="宋体"/>
          <w:szCs w:val="21"/>
          <w:highlight w:val="none"/>
          <w:lang w:eastAsia="zh-CN"/>
        </w:rPr>
        <w:t>主要合同条款</w:t>
      </w:r>
      <w:r>
        <w:rPr>
          <w:rFonts w:hint="eastAsia" w:ascii="宋体" w:hAnsi="宋体" w:eastAsia="宋体" w:cs="宋体"/>
          <w:szCs w:val="21"/>
          <w:highlight w:val="none"/>
        </w:rPr>
        <w:t xml:space="preserve">中附有采购人不能接受的附加条件的； </w:t>
      </w:r>
    </w:p>
    <w:p w14:paraId="6CA05558">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投标报价与市场价格偏离较大、低于成本、形成不正当竞争的；</w:t>
      </w:r>
    </w:p>
    <w:p w14:paraId="63255833">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与本采购项目其他投标人单位负责人为同一人或者存在控股、管理关系的； </w:t>
      </w:r>
    </w:p>
    <w:p w14:paraId="15F442FC">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为本项目提供整体设计、规范编制或者项目管理、监理、检测、咨询服务的；</w:t>
      </w:r>
    </w:p>
    <w:p w14:paraId="7A693642">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投标人有串通投标、弄虚作假（包括但不限于虚假资质、虚假证明、虚假应答等）、行贿等违法行为的；</w:t>
      </w:r>
    </w:p>
    <w:p w14:paraId="67119FD1">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法律、法规和招标文件规定的其他无效情形的。 </w:t>
      </w:r>
    </w:p>
    <w:p w14:paraId="2F1AE5DB">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七、定标</w:t>
      </w:r>
    </w:p>
    <w:p w14:paraId="3FF3E2C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、定标原则</w:t>
      </w:r>
    </w:p>
    <w:p w14:paraId="6383EAF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采购人根据评标委员会推荐的中标候选人名单，按顺序确定中标人。</w:t>
      </w:r>
    </w:p>
    <w:p w14:paraId="7806275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、定标程序</w:t>
      </w:r>
    </w:p>
    <w:p w14:paraId="6333EF7C">
      <w:pPr>
        <w:numPr>
          <w:ilvl w:val="0"/>
          <w:numId w:val="0"/>
        </w:numPr>
        <w:spacing w:line="5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32</w:t>
      </w:r>
      <w:r>
        <w:rPr>
          <w:rFonts w:hint="eastAsia" w:ascii="宋体" w:hAnsi="宋体" w:eastAsia="宋体" w:cs="宋体"/>
          <w:szCs w:val="21"/>
          <w:highlight w:val="none"/>
          <w:lang w:eastAsia="zh-CN"/>
        </w:rPr>
        <w:t>.1评标委员会根据评标办法的规定对投标人进行评审排序，推荐一个以上三个以下中标候选人，形成评标报告，评审报告由评标委员会全体成员签字确认。</w:t>
      </w:r>
    </w:p>
    <w:p w14:paraId="0F9A2DCE">
      <w:pPr>
        <w:numPr>
          <w:ilvl w:val="0"/>
          <w:numId w:val="0"/>
        </w:numPr>
        <w:spacing w:line="5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.2采购代理机构应在评标结束后</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个工作日内，将评标报告送采购人定标。</w:t>
      </w:r>
    </w:p>
    <w:p w14:paraId="12FEE62E">
      <w:pPr>
        <w:numPr>
          <w:ilvl w:val="0"/>
          <w:numId w:val="0"/>
        </w:numPr>
        <w:spacing w:line="5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.3采购人在收到评标报告后</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个工作日内，根据评标报告中推荐的中标候选人排列顺序，确定排名第一的为中标人，也可以书面授权评标委员会评标后直接确定中标人，同时复函采购代理机构。</w:t>
      </w:r>
    </w:p>
    <w:p w14:paraId="3FFAC349">
      <w:pPr>
        <w:numPr>
          <w:ilvl w:val="0"/>
          <w:numId w:val="0"/>
        </w:numPr>
        <w:spacing w:line="5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.4采购代理机构在接到采购人的定标复函之日起</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个工作日内，根据采购人确定的中标人，在财政部门指定的政府采购信息发布媒体上公告。</w:t>
      </w:r>
    </w:p>
    <w:p w14:paraId="1992B7E9">
      <w:pPr>
        <w:numPr>
          <w:ilvl w:val="0"/>
          <w:numId w:val="0"/>
        </w:numPr>
        <w:spacing w:line="5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.5采购单位不解释中标或落标原因，未中标人不得向评标委员会组成人员或其他有关人员索问评标过程的情况和材料。</w:t>
      </w:r>
    </w:p>
    <w:p w14:paraId="526C444C">
      <w:pPr>
        <w:numPr>
          <w:ilvl w:val="0"/>
          <w:numId w:val="0"/>
        </w:numPr>
        <w:spacing w:line="5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.6</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eastAsia="zh-CN"/>
        </w:rPr>
        <w:t>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14:paraId="3AAEEA0B">
      <w:pPr>
        <w:numPr>
          <w:ilvl w:val="0"/>
          <w:numId w:val="0"/>
        </w:numPr>
        <w:spacing w:line="5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32.7</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中标人拒绝与采购人签订合同的，采购人可以按照评审报告推荐的中标候选人名单排序，确定下一候选人为中标人，也可以重新开展政府采购活动。</w:t>
      </w:r>
    </w:p>
    <w:p w14:paraId="1ED5ECA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lang w:eastAsia="zh-CN"/>
        </w:rPr>
      </w:pPr>
      <w:r>
        <w:rPr>
          <w:rFonts w:hint="eastAsia" w:ascii="宋体" w:hAnsi="宋体" w:cs="宋体"/>
          <w:b/>
          <w:bCs/>
          <w:kern w:val="0"/>
          <w:sz w:val="24"/>
          <w:highlight w:val="none"/>
          <w:lang w:eastAsia="zh-CN"/>
        </w:rPr>
        <w:t>3</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lang w:eastAsia="zh-CN"/>
        </w:rPr>
        <w:t>、中标通知书</w:t>
      </w:r>
    </w:p>
    <w:p w14:paraId="1E44251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.1</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中标人确定之后，</w:t>
      </w:r>
      <w:r>
        <w:rPr>
          <w:rFonts w:hint="eastAsia" w:ascii="宋体" w:hAnsi="宋体" w:cs="宋体"/>
          <w:szCs w:val="21"/>
          <w:highlight w:val="none"/>
          <w:lang w:eastAsia="zh-CN"/>
        </w:rPr>
        <w:t>瑞恒项目管理有限公司</w:t>
      </w:r>
      <w:r>
        <w:rPr>
          <w:rFonts w:hint="eastAsia" w:ascii="宋体" w:hAnsi="宋体" w:eastAsia="宋体" w:cs="宋体"/>
          <w:szCs w:val="21"/>
          <w:highlight w:val="none"/>
          <w:lang w:eastAsia="zh-CN"/>
        </w:rPr>
        <w:t>将发出《中标通知书》。</w:t>
      </w:r>
    </w:p>
    <w:p w14:paraId="3D3DDDB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.2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中标通知书为签订政府采购合同的依据，是合同的重要组成部分。</w:t>
      </w:r>
    </w:p>
    <w:p w14:paraId="3189A5F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.3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中标通知书对采购人和中标人均具有法律效力。中标通知书发出后，采购人改变中标结果，或者中标人无正当理由放弃中标的，应当承担相应的法律责任。</w:t>
      </w:r>
    </w:p>
    <w:p w14:paraId="0B04ED5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.4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中标人在接到采购代理机构通知之日起</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日内领取《中标通知书》。如果已中标的投标人不能按投标文件，包括补充文件（如澄清、承诺等）中承诺的条件履行签约行为，采购人有权取消其中标资格。</w:t>
      </w:r>
    </w:p>
    <w:p w14:paraId="6618E17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.5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在《中标通知书》发出后，发现中标人有政府采购法律法规规章制度规定的中标无效情形的，采购代理机构在取得监督管理机构的认定以后，应当宣布发出的《中标通知书》无效，并收回发出的《中标通知书》（中标人也应当缴回），依法重新确定中标人或者重新开展采购活动。</w:t>
      </w:r>
    </w:p>
    <w:p w14:paraId="11C70EA0">
      <w:pPr>
        <w:numPr>
          <w:ilvl w:val="0"/>
          <w:numId w:val="0"/>
        </w:numPr>
        <w:spacing w:line="500" w:lineRule="exact"/>
        <w:ind w:firstLine="420" w:firstLineChars="200"/>
        <w:rPr>
          <w:rFonts w:hint="eastAsia"/>
          <w:highlight w:val="none"/>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.6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若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14:paraId="24AB8129">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八、废标</w:t>
      </w:r>
    </w:p>
    <w:p w14:paraId="4E8A975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4</w:t>
      </w:r>
      <w:r>
        <w:rPr>
          <w:rFonts w:hint="eastAsia" w:ascii="宋体" w:hAnsi="宋体" w:cs="宋体"/>
          <w:b/>
          <w:bCs/>
          <w:kern w:val="0"/>
          <w:sz w:val="24"/>
          <w:highlight w:val="none"/>
        </w:rPr>
        <w:t>、废标的情形</w:t>
      </w:r>
      <w:r>
        <w:rPr>
          <w:rFonts w:hint="eastAsia" w:ascii="宋体" w:hAnsi="宋体" w:cs="宋体"/>
          <w:b/>
          <w:bCs/>
          <w:kern w:val="0"/>
          <w:sz w:val="24"/>
          <w:highlight w:val="none"/>
          <w:lang w:val="en-US" w:eastAsia="zh-CN"/>
        </w:rPr>
        <w:t xml:space="preserve"> </w:t>
      </w:r>
    </w:p>
    <w:p w14:paraId="3451C6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highlight w:val="none"/>
        </w:rPr>
        <w:t xml:space="preserve">   </w:t>
      </w:r>
      <w:r>
        <w:rPr>
          <w:rFonts w:hint="eastAsia" w:ascii="宋体" w:hAnsi="宋体" w:eastAsia="宋体" w:cs="宋体"/>
          <w:sz w:val="21"/>
          <w:szCs w:val="21"/>
          <w:highlight w:val="none"/>
        </w:rPr>
        <w:t xml:space="preserve"> 招标采购中，出现下列情形之一的，予以废标：</w:t>
      </w:r>
    </w:p>
    <w:p w14:paraId="317C9B6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（1）出现影响采购公正的违法、违规行为的；</w:t>
      </w:r>
    </w:p>
    <w:p w14:paraId="7E28022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（2）投标人的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报价均超过了采购预算</w:t>
      </w:r>
      <w:r>
        <w:rPr>
          <w:rFonts w:hint="eastAsia" w:ascii="宋体" w:hAnsi="宋体" w:eastAsia="宋体" w:cs="宋体"/>
          <w:sz w:val="21"/>
          <w:szCs w:val="21"/>
          <w:highlight w:val="none"/>
          <w:lang w:val="en-US" w:eastAsia="zh-CN"/>
        </w:rPr>
        <w:t>或最高限价</w:t>
      </w:r>
      <w:r>
        <w:rPr>
          <w:rFonts w:hint="eastAsia" w:ascii="宋体" w:hAnsi="宋体" w:eastAsia="宋体" w:cs="宋体"/>
          <w:sz w:val="21"/>
          <w:szCs w:val="21"/>
          <w:highlight w:val="none"/>
        </w:rPr>
        <w:t>，采购人不能支付的；</w:t>
      </w:r>
    </w:p>
    <w:p w14:paraId="3EB6C5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（3）评标委员会三分之二以上的评委认定所有投标报价存在价格不实的现象；</w:t>
      </w:r>
    </w:p>
    <w:p w14:paraId="775612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（4）有证据证明有围标现象的发生；</w:t>
      </w:r>
    </w:p>
    <w:p w14:paraId="429432BD">
      <w:pPr>
        <w:autoSpaceDE w:val="0"/>
        <w:autoSpaceDN w:val="0"/>
        <w:adjustRightInd w:val="0"/>
        <w:spacing w:line="500" w:lineRule="exact"/>
        <w:ind w:righ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有证据证明有《中华人民共和国财政部令第</w:t>
      </w:r>
      <w:r>
        <w:rPr>
          <w:rFonts w:hint="eastAsia" w:ascii="宋体" w:hAnsi="宋体" w:eastAsia="宋体" w:cs="宋体"/>
          <w:color w:val="auto"/>
          <w:sz w:val="21"/>
          <w:szCs w:val="21"/>
          <w:highlight w:val="none"/>
          <w:lang w:val="en-US" w:eastAsia="zh-CN"/>
        </w:rPr>
        <w:t>87号》第37条串标情形的；</w:t>
      </w:r>
    </w:p>
    <w:p w14:paraId="040A976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）因重大变故，采购任务取消的。</w:t>
      </w:r>
    </w:p>
    <w:p w14:paraId="17A4D94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废标后，采购代理机构应在财政部门指定采购网上公告，并公告废标的详细理由。</w:t>
      </w:r>
    </w:p>
    <w:p w14:paraId="7C847FCF">
      <w:pPr>
        <w:numPr>
          <w:ilvl w:val="0"/>
          <w:numId w:val="0"/>
        </w:numPr>
        <w:spacing w:before="240" w:after="120"/>
        <w:jc w:val="center"/>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九、合同授予</w:t>
      </w:r>
    </w:p>
    <w:p w14:paraId="5C8C9731">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b/>
          <w:bCs/>
          <w:color w:val="auto"/>
          <w:kern w:val="0"/>
          <w:sz w:val="21"/>
          <w:szCs w:val="21"/>
          <w:highlight w:val="none"/>
          <w:lang w:val="en-US" w:eastAsia="zh-CN"/>
        </w:rPr>
        <w:t>35、</w:t>
      </w:r>
      <w:r>
        <w:rPr>
          <w:rFonts w:hint="eastAsia" w:ascii="宋体" w:hAnsi="宋体" w:eastAsia="宋体" w:cs="宋体"/>
          <w:b/>
          <w:bCs/>
          <w:color w:val="auto"/>
          <w:kern w:val="0"/>
          <w:sz w:val="21"/>
          <w:szCs w:val="21"/>
          <w:highlight w:val="none"/>
        </w:rPr>
        <w:t>履约担保</w:t>
      </w:r>
      <w:r>
        <w:rPr>
          <w:rFonts w:hint="eastAsia" w:ascii="宋体" w:hAnsi="宋体" w:eastAsia="宋体" w:cs="宋体"/>
          <w:b/>
          <w:bCs/>
          <w:color w:val="auto"/>
          <w:kern w:val="0"/>
          <w:sz w:val="21"/>
          <w:szCs w:val="21"/>
          <w:highlight w:val="none"/>
          <w:lang w:eastAsia="zh-CN"/>
        </w:rPr>
        <w:t>（若有）</w:t>
      </w:r>
    </w:p>
    <w:p w14:paraId="2AA2E801">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采用银行保函时，出具银行保函的银行级别在</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须知前附表中说明，所需的费用由</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承担，</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应保证银行保函有效。</w:t>
      </w:r>
    </w:p>
    <w:p w14:paraId="39333960">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 履约保证金用于补偿采购人因</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不能完成其合同义务而蒙受的损失。</w:t>
      </w:r>
    </w:p>
    <w:p w14:paraId="03D2A202">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 xml:space="preserve"> 若</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不能按本须知规定交纳履约保证金的，视为放弃</w:t>
      </w:r>
      <w:r>
        <w:rPr>
          <w:rFonts w:hint="eastAsia" w:ascii="宋体" w:hAnsi="宋体" w:eastAsia="宋体" w:cs="宋体"/>
          <w:color w:val="000000"/>
          <w:sz w:val="21"/>
          <w:szCs w:val="21"/>
          <w:highlight w:val="none"/>
          <w:lang w:eastAsia="zh-CN"/>
        </w:rPr>
        <w:t>中标</w:t>
      </w:r>
      <w:r>
        <w:rPr>
          <w:rFonts w:hint="eastAsia" w:ascii="宋体" w:hAnsi="宋体" w:eastAsia="宋体" w:cs="宋体"/>
          <w:color w:val="000000"/>
          <w:sz w:val="21"/>
          <w:szCs w:val="21"/>
          <w:highlight w:val="none"/>
        </w:rPr>
        <w:t>，给采购人造成的损失超过</w:t>
      </w:r>
      <w:r>
        <w:rPr>
          <w:rFonts w:hint="eastAsia" w:ascii="宋体" w:hAnsi="宋体" w:cs="宋体"/>
          <w:color w:val="000000"/>
          <w:sz w:val="21"/>
          <w:szCs w:val="21"/>
          <w:highlight w:val="none"/>
          <w:lang w:val="en-US" w:eastAsia="zh-CN"/>
        </w:rPr>
        <w:t>履约</w:t>
      </w:r>
      <w:r>
        <w:rPr>
          <w:rFonts w:hint="eastAsia" w:ascii="宋体" w:hAnsi="宋体" w:eastAsia="宋体" w:cs="宋体"/>
          <w:color w:val="000000"/>
          <w:sz w:val="21"/>
          <w:szCs w:val="21"/>
          <w:highlight w:val="none"/>
        </w:rPr>
        <w:t>保证金数额的，</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还应当对超过部分予以赔偿。</w:t>
      </w:r>
    </w:p>
    <w:p w14:paraId="0BB9B9D6">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 xml:space="preserve"> 若</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未能履行合同规定的义务，采购人有权没收履约保证金取得补偿，因此给采购人造成的损失超过</w:t>
      </w:r>
      <w:r>
        <w:rPr>
          <w:rFonts w:hint="eastAsia" w:ascii="宋体" w:hAnsi="宋体" w:cs="宋体"/>
          <w:color w:val="000000"/>
          <w:sz w:val="21"/>
          <w:szCs w:val="21"/>
          <w:highlight w:val="none"/>
          <w:lang w:val="en-US" w:eastAsia="zh-CN"/>
        </w:rPr>
        <w:t>履约保证金</w:t>
      </w:r>
      <w:r>
        <w:rPr>
          <w:rFonts w:hint="eastAsia" w:ascii="宋体" w:hAnsi="宋体" w:eastAsia="宋体" w:cs="宋体"/>
          <w:color w:val="000000"/>
          <w:sz w:val="21"/>
          <w:szCs w:val="21"/>
          <w:highlight w:val="none"/>
        </w:rPr>
        <w:t>数额的，还应当对超过部分予以赔偿。</w:t>
      </w:r>
    </w:p>
    <w:p w14:paraId="63CA62A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履约担保有效期为本项目合同终止之日，采购人应当在</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履约担保有效期截止后，</w:t>
      </w:r>
      <w:r>
        <w:rPr>
          <w:rFonts w:hint="eastAsia" w:ascii="宋体" w:hAnsi="宋体" w:eastAsia="宋体" w:cs="宋体"/>
          <w:color w:val="000000"/>
          <w:sz w:val="21"/>
          <w:szCs w:val="21"/>
          <w:highlight w:val="none"/>
          <w:lang w:eastAsia="zh-CN"/>
        </w:rPr>
        <w:t>向</w:t>
      </w:r>
      <w:r>
        <w:rPr>
          <w:rFonts w:hint="eastAsia" w:ascii="宋体" w:hAnsi="宋体" w:eastAsia="宋体" w:cs="宋体"/>
          <w:color w:val="000000"/>
          <w:sz w:val="21"/>
          <w:szCs w:val="21"/>
          <w:highlight w:val="none"/>
        </w:rPr>
        <w:t>财务部门</w:t>
      </w:r>
      <w:r>
        <w:rPr>
          <w:rFonts w:hint="eastAsia" w:ascii="宋体" w:hAnsi="宋体" w:eastAsia="宋体" w:cs="宋体"/>
          <w:color w:val="000000"/>
          <w:sz w:val="21"/>
          <w:szCs w:val="21"/>
          <w:highlight w:val="none"/>
          <w:lang w:eastAsia="zh-CN"/>
        </w:rPr>
        <w:t>出具</w:t>
      </w:r>
      <w:r>
        <w:rPr>
          <w:rFonts w:hint="eastAsia" w:ascii="宋体" w:hAnsi="宋体" w:eastAsia="宋体" w:cs="宋体"/>
          <w:color w:val="000000"/>
          <w:sz w:val="21"/>
          <w:szCs w:val="21"/>
          <w:highlight w:val="none"/>
        </w:rPr>
        <w:t>确认</w:t>
      </w:r>
      <w:r>
        <w:rPr>
          <w:rFonts w:hint="eastAsia" w:ascii="宋体" w:hAnsi="宋体" w:eastAsia="宋体" w:cs="宋体"/>
          <w:color w:val="000000"/>
          <w:sz w:val="21"/>
          <w:szCs w:val="21"/>
          <w:highlight w:val="none"/>
          <w:lang w:eastAsia="zh-CN"/>
        </w:rPr>
        <w:t>投标人履行完毕</w:t>
      </w:r>
      <w:r>
        <w:rPr>
          <w:rFonts w:hint="eastAsia" w:ascii="宋体" w:hAnsi="宋体" w:eastAsia="宋体" w:cs="宋体"/>
          <w:color w:val="000000"/>
          <w:sz w:val="21"/>
          <w:szCs w:val="21"/>
          <w:highlight w:val="none"/>
        </w:rPr>
        <w:t>本合同</w:t>
      </w:r>
      <w:r>
        <w:rPr>
          <w:rFonts w:hint="eastAsia" w:ascii="宋体" w:hAnsi="宋体" w:eastAsia="宋体" w:cs="宋体"/>
          <w:color w:val="000000"/>
          <w:sz w:val="21"/>
          <w:szCs w:val="21"/>
          <w:highlight w:val="none"/>
          <w:lang w:eastAsia="zh-CN"/>
        </w:rPr>
        <w:t>相关</w:t>
      </w:r>
      <w:r>
        <w:rPr>
          <w:rFonts w:hint="eastAsia" w:ascii="宋体" w:hAnsi="宋体" w:eastAsia="宋体" w:cs="宋体"/>
          <w:color w:val="000000"/>
          <w:sz w:val="21"/>
          <w:szCs w:val="21"/>
          <w:highlight w:val="none"/>
        </w:rPr>
        <w:t>约定事项的正式书面文件，</w:t>
      </w:r>
      <w:r>
        <w:rPr>
          <w:rFonts w:hint="eastAsia" w:ascii="宋体" w:hAnsi="宋体" w:eastAsia="宋体" w:cs="宋体"/>
          <w:color w:val="000000"/>
          <w:sz w:val="21"/>
          <w:szCs w:val="21"/>
          <w:highlight w:val="none"/>
          <w:lang w:eastAsia="zh-CN"/>
        </w:rPr>
        <w:t>财务部门方可退还中标人</w:t>
      </w:r>
      <w:r>
        <w:rPr>
          <w:rFonts w:hint="eastAsia" w:ascii="宋体" w:hAnsi="宋体" w:eastAsia="宋体" w:cs="宋体"/>
          <w:color w:val="000000"/>
          <w:sz w:val="21"/>
          <w:szCs w:val="21"/>
          <w:highlight w:val="none"/>
        </w:rPr>
        <w:t>履约保证金</w:t>
      </w:r>
      <w:r>
        <w:rPr>
          <w:rFonts w:hint="eastAsia" w:ascii="宋体" w:hAnsi="宋体" w:eastAsia="宋体" w:cs="宋体"/>
          <w:color w:val="000000"/>
          <w:sz w:val="21"/>
          <w:szCs w:val="21"/>
          <w:highlight w:val="none"/>
          <w:lang w:eastAsia="zh-CN"/>
        </w:rPr>
        <w:t>（视项目情况而定）</w:t>
      </w:r>
      <w:r>
        <w:rPr>
          <w:rFonts w:hint="eastAsia" w:ascii="宋体" w:hAnsi="宋体" w:eastAsia="宋体" w:cs="宋体"/>
          <w:color w:val="000000"/>
          <w:sz w:val="21"/>
          <w:szCs w:val="21"/>
          <w:highlight w:val="none"/>
        </w:rPr>
        <w:t>。</w:t>
      </w:r>
    </w:p>
    <w:p w14:paraId="15D4ED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、签订合同</w:t>
      </w:r>
    </w:p>
    <w:p w14:paraId="652485FC">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36</w:t>
      </w: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人应</w:t>
      </w:r>
      <w:r>
        <w:rPr>
          <w:rFonts w:hint="eastAsia" w:ascii="宋体" w:hAnsi="宋体" w:eastAsia="宋体" w:cs="宋体"/>
          <w:color w:val="000000"/>
          <w:sz w:val="21"/>
          <w:szCs w:val="21"/>
          <w:highlight w:val="none"/>
          <w:lang w:eastAsia="zh-CN"/>
        </w:rPr>
        <w:t>当自</w:t>
      </w:r>
      <w:r>
        <w:rPr>
          <w:rFonts w:hint="eastAsia" w:ascii="宋体" w:hAnsi="宋体" w:eastAsia="宋体" w:cs="宋体"/>
          <w:color w:val="000000"/>
          <w:sz w:val="21"/>
          <w:szCs w:val="21"/>
          <w:highlight w:val="none"/>
        </w:rPr>
        <w:t>《中标通知书》发出之日起30日内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按照招标文件和中标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投标文件（包括评标中形成的澄清文件）的约定，与中标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签订书面合同。所签订的合同不得对招标文件和中标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的投标文件（包括评标中形成的澄清文件）作实质性修改。</w:t>
      </w:r>
    </w:p>
    <w:p w14:paraId="29C69505">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 中标人因不可抗力</w:t>
      </w:r>
      <w:r>
        <w:rPr>
          <w:rFonts w:hint="eastAsia" w:ascii="宋体" w:hAnsi="宋体" w:eastAsia="宋体" w:cs="宋体"/>
          <w:color w:val="000000"/>
          <w:sz w:val="21"/>
          <w:szCs w:val="21"/>
          <w:highlight w:val="none"/>
          <w:lang w:eastAsia="zh-CN"/>
        </w:rPr>
        <w:t>或者自身</w:t>
      </w:r>
      <w:r>
        <w:rPr>
          <w:rFonts w:hint="eastAsia" w:ascii="宋体" w:hAnsi="宋体" w:eastAsia="宋体" w:cs="宋体"/>
          <w:color w:val="000000"/>
          <w:sz w:val="21"/>
          <w:szCs w:val="21"/>
          <w:highlight w:val="none"/>
        </w:rPr>
        <w:t>原因不能履行采购合同或放弃中标的，采购人可以与排在中标人之后第一位的中标候选人签订</w:t>
      </w:r>
      <w:r>
        <w:rPr>
          <w:rFonts w:hint="eastAsia" w:ascii="宋体" w:hAnsi="宋体" w:eastAsia="宋体" w:cs="宋体"/>
          <w:color w:val="000000"/>
          <w:sz w:val="21"/>
          <w:szCs w:val="21"/>
          <w:highlight w:val="none"/>
          <w:lang w:eastAsia="zh-CN"/>
        </w:rPr>
        <w:t>政府</w:t>
      </w:r>
      <w:r>
        <w:rPr>
          <w:rFonts w:hint="eastAsia" w:ascii="宋体" w:hAnsi="宋体" w:eastAsia="宋体" w:cs="宋体"/>
          <w:color w:val="000000"/>
          <w:sz w:val="21"/>
          <w:szCs w:val="21"/>
          <w:highlight w:val="none"/>
        </w:rPr>
        <w:t>采购合同，以此类推。</w:t>
      </w:r>
    </w:p>
    <w:p w14:paraId="1138036F">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xml:space="preserve"> 采购人自政府采购合同签订之日起</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个工作日内，将政府采购合同在省级以上人民政府财政部门指定的媒体上公告，但政府采购合同中涉及国家秘密、商业秘密的内容除外。</w:t>
      </w:r>
    </w:p>
    <w:p w14:paraId="3EA1070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37</w:t>
      </w:r>
      <w:r>
        <w:rPr>
          <w:rFonts w:hint="eastAsia" w:ascii="宋体" w:hAnsi="宋体" w:cs="宋体"/>
          <w:b/>
          <w:bCs/>
          <w:kern w:val="0"/>
          <w:sz w:val="24"/>
          <w:highlight w:val="none"/>
        </w:rPr>
        <w:t>、合同实施</w:t>
      </w:r>
    </w:p>
    <w:p w14:paraId="23BBC468">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37.1  中标人应在合同签订后7个日历日内安排人员与使用单位就</w:t>
      </w:r>
      <w:r>
        <w:rPr>
          <w:rFonts w:hint="eastAsia" w:ascii="宋体" w:hAnsi="宋体" w:cs="宋体"/>
          <w:color w:val="000000"/>
          <w:sz w:val="21"/>
          <w:szCs w:val="21"/>
          <w:highlight w:val="none"/>
          <w:lang w:val="en-US" w:eastAsia="zh-CN"/>
        </w:rPr>
        <w:t>本项目</w:t>
      </w:r>
      <w:r>
        <w:rPr>
          <w:rFonts w:hint="eastAsia" w:ascii="宋体" w:hAnsi="宋体" w:eastAsia="宋体" w:cs="宋体"/>
          <w:color w:val="000000"/>
          <w:sz w:val="21"/>
          <w:szCs w:val="21"/>
          <w:highlight w:val="none"/>
          <w:lang w:val="en-US" w:eastAsia="zh-CN"/>
        </w:rPr>
        <w:t>工作进行安排、部署。</w:t>
      </w:r>
    </w:p>
    <w:p w14:paraId="3889AB82">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37.2  若未能在</w:t>
      </w:r>
      <w:r>
        <w:rPr>
          <w:rFonts w:hint="eastAsia" w:ascii="宋体" w:hAnsi="宋体" w:cs="宋体"/>
          <w:color w:val="000000"/>
          <w:sz w:val="21"/>
          <w:szCs w:val="21"/>
          <w:highlight w:val="none"/>
          <w:lang w:val="en-US" w:eastAsia="zh-CN"/>
        </w:rPr>
        <w:t>要求时间</w:t>
      </w:r>
      <w:r>
        <w:rPr>
          <w:rFonts w:hint="eastAsia" w:ascii="宋体" w:hAnsi="宋体" w:eastAsia="宋体" w:cs="宋体"/>
          <w:color w:val="000000"/>
          <w:sz w:val="21"/>
          <w:szCs w:val="21"/>
          <w:highlight w:val="none"/>
          <w:lang w:val="en-US" w:eastAsia="zh-CN"/>
        </w:rPr>
        <w:t>内完成合同规定的义务，由此对采购人造成的延误和一切损失，由中标人承担和赔偿。</w:t>
      </w:r>
    </w:p>
    <w:p w14:paraId="33DE4B81">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37.3  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5B095D57">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37.4  政府采购合同履行中，采购人需追加与合同标的相同的货物的，在不改变合同其他条款的前提下，可以与投标人签订补充合同，但所补充合同的采购金额不得超过原合同采购金额的百分之十。签订补充合同的应按规定备案。</w:t>
      </w:r>
    </w:p>
    <w:p w14:paraId="3797B3E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color w:val="000000"/>
          <w:kern w:val="0"/>
          <w:sz w:val="24"/>
          <w:highlight w:val="none"/>
        </w:rPr>
      </w:pPr>
      <w:r>
        <w:rPr>
          <w:rFonts w:hint="eastAsia" w:ascii="宋体" w:hAnsi="宋体" w:cs="宋体"/>
          <w:b/>
          <w:bCs/>
          <w:color w:val="000000"/>
          <w:kern w:val="0"/>
          <w:sz w:val="24"/>
          <w:highlight w:val="none"/>
          <w:lang w:val="en-US" w:eastAsia="zh-CN"/>
        </w:rPr>
        <w:t>38</w:t>
      </w:r>
      <w:r>
        <w:rPr>
          <w:rFonts w:hint="eastAsia" w:ascii="宋体" w:hAnsi="宋体" w:cs="宋体"/>
          <w:b/>
          <w:bCs/>
          <w:color w:val="000000"/>
          <w:kern w:val="0"/>
          <w:sz w:val="24"/>
          <w:highlight w:val="none"/>
        </w:rPr>
        <w:t>、转包与分包</w:t>
      </w:r>
    </w:p>
    <w:p w14:paraId="47158698">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highlight w:val="none"/>
          <w:lang w:val="en-US" w:eastAsia="zh-CN"/>
        </w:rPr>
        <w:t xml:space="preserve">  </w:t>
      </w:r>
      <w:r>
        <w:rPr>
          <w:rFonts w:hint="eastAsia" w:ascii="宋体" w:hAnsi="宋体" w:eastAsia="宋体" w:cs="宋体"/>
          <w:color w:val="000000"/>
          <w:sz w:val="21"/>
          <w:szCs w:val="21"/>
          <w:highlight w:val="none"/>
          <w:lang w:val="en-US" w:eastAsia="zh-CN"/>
        </w:rPr>
        <w:t>38.1  本项目不允许采取转包</w:t>
      </w:r>
      <w:r>
        <w:rPr>
          <w:rFonts w:hint="eastAsia" w:ascii="宋体" w:hAnsi="宋体" w:cs="宋体"/>
          <w:color w:val="000000"/>
          <w:sz w:val="21"/>
          <w:szCs w:val="21"/>
          <w:highlight w:val="none"/>
          <w:lang w:val="en-US" w:eastAsia="zh-CN"/>
        </w:rPr>
        <w:t>与分包</w:t>
      </w:r>
      <w:r>
        <w:rPr>
          <w:rFonts w:hint="eastAsia" w:ascii="宋体" w:hAnsi="宋体" w:eastAsia="宋体" w:cs="宋体"/>
          <w:color w:val="000000"/>
          <w:sz w:val="21"/>
          <w:szCs w:val="21"/>
          <w:highlight w:val="none"/>
          <w:lang w:val="en-US" w:eastAsia="zh-CN"/>
        </w:rPr>
        <w:t>方式履行合同。</w:t>
      </w:r>
    </w:p>
    <w:p w14:paraId="3387107D">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十、其他</w:t>
      </w:r>
    </w:p>
    <w:p w14:paraId="426CDA55">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39</w:t>
      </w:r>
      <w:r>
        <w:rPr>
          <w:rFonts w:hint="eastAsia" w:ascii="宋体" w:hAnsi="宋体" w:cs="宋体"/>
          <w:b/>
          <w:bCs/>
          <w:kern w:val="0"/>
          <w:sz w:val="24"/>
          <w:highlight w:val="none"/>
        </w:rPr>
        <w:t>、</w:t>
      </w:r>
      <w:r>
        <w:rPr>
          <w:rFonts w:hint="eastAsia" w:ascii="宋体" w:hAnsi="宋体" w:cs="宋体"/>
          <w:b/>
          <w:bCs/>
          <w:kern w:val="0"/>
          <w:sz w:val="24"/>
          <w:highlight w:val="none"/>
          <w:lang w:eastAsia="zh-CN"/>
        </w:rPr>
        <w:t>采购</w:t>
      </w:r>
      <w:r>
        <w:rPr>
          <w:rFonts w:hint="eastAsia" w:ascii="宋体" w:hAnsi="宋体" w:cs="宋体"/>
          <w:b/>
          <w:bCs/>
          <w:kern w:val="0"/>
          <w:sz w:val="24"/>
          <w:highlight w:val="none"/>
        </w:rPr>
        <w:t>代理服务费</w:t>
      </w:r>
    </w:p>
    <w:p w14:paraId="5A5C71DD">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highlight w:val="none"/>
        </w:rPr>
        <w:t xml:space="preserve">   </w:t>
      </w:r>
      <w:r>
        <w:rPr>
          <w:rFonts w:hint="eastAsia" w:ascii="宋体" w:hAnsi="宋体" w:eastAsia="宋体" w:cs="宋体"/>
          <w:highlight w:val="none"/>
        </w:rPr>
        <w:t xml:space="preserve"> </w:t>
      </w:r>
      <w:r>
        <w:rPr>
          <w:rFonts w:hint="eastAsia" w:ascii="宋体" w:hAnsi="宋体" w:eastAsia="宋体" w:cs="宋体"/>
          <w:highlight w:val="none"/>
          <w:lang w:val="en-US" w:eastAsia="zh-CN"/>
        </w:rPr>
        <w:t>39</w:t>
      </w:r>
      <w:r>
        <w:rPr>
          <w:rFonts w:hint="eastAsia" w:ascii="宋体" w:hAnsi="宋体" w:eastAsia="宋体" w:cs="宋体"/>
          <w:highlight w:val="none"/>
        </w:rPr>
        <w:t>.1</w:t>
      </w:r>
      <w:r>
        <w:rPr>
          <w:rFonts w:hint="eastAsia" w:ascii="宋体" w:hAnsi="宋体" w:eastAsia="宋体" w:cs="宋体"/>
          <w:highlight w:val="none"/>
          <w:lang w:val="en-US" w:eastAsia="zh-CN"/>
        </w:rPr>
        <w:t xml:space="preserve">  </w:t>
      </w:r>
      <w:r>
        <w:rPr>
          <w:rFonts w:hint="eastAsia" w:ascii="宋体" w:hAnsi="宋体" w:eastAsia="宋体" w:cs="宋体"/>
          <w:highlight w:val="none"/>
        </w:rPr>
        <w:t>不论投标结果如何，投标人应承担其参加本招标活动自身所发生的全部费用。</w:t>
      </w:r>
    </w:p>
    <w:p w14:paraId="457E897B">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39</w:t>
      </w:r>
      <w:r>
        <w:rPr>
          <w:rFonts w:hint="eastAsia" w:ascii="宋体" w:hAnsi="宋体" w:eastAsia="宋体" w:cs="宋体"/>
          <w:highlight w:val="none"/>
        </w:rPr>
        <w:t xml:space="preserve">.2 </w:t>
      </w:r>
      <w:r>
        <w:rPr>
          <w:rFonts w:hint="eastAsia" w:ascii="宋体" w:hAnsi="宋体" w:eastAsia="宋体" w:cs="宋体"/>
          <w:highlight w:val="none"/>
          <w:lang w:val="en-US" w:eastAsia="zh-CN"/>
        </w:rPr>
        <w:t xml:space="preserve"> </w:t>
      </w:r>
      <w:r>
        <w:rPr>
          <w:rFonts w:hint="eastAsia" w:ascii="宋体" w:hAnsi="宋体" w:eastAsia="宋体" w:cs="宋体"/>
          <w:highlight w:val="none"/>
        </w:rPr>
        <w:t>中标人应向采购代理机构交纳</w:t>
      </w:r>
      <w:r>
        <w:rPr>
          <w:rFonts w:hint="eastAsia" w:ascii="宋体" w:hAnsi="宋体" w:eastAsia="宋体" w:cs="宋体"/>
          <w:highlight w:val="none"/>
          <w:lang w:eastAsia="zh-CN"/>
        </w:rPr>
        <w:t>采购</w:t>
      </w:r>
      <w:r>
        <w:rPr>
          <w:rFonts w:hint="eastAsia" w:ascii="宋体" w:hAnsi="宋体" w:eastAsia="宋体" w:cs="宋体"/>
          <w:highlight w:val="none"/>
        </w:rPr>
        <w:t>代理服务费。此服务费应计入投标报价中，但不需要单独开列。</w:t>
      </w:r>
    </w:p>
    <w:p w14:paraId="552F330E">
      <w:pPr>
        <w:autoSpaceDE w:val="0"/>
        <w:autoSpaceDN w:val="0"/>
        <w:adjustRightInd w:val="0"/>
        <w:spacing w:line="500" w:lineRule="exact"/>
        <w:ind w:right="6" w:firstLine="420"/>
        <w:rPr>
          <w:rFonts w:hint="eastAsia" w:ascii="宋体" w:hAnsi="宋体" w:eastAsia="宋体" w:cs="宋体"/>
          <w:highlight w:val="none"/>
          <w:lang w:eastAsia="zh-CN"/>
        </w:rPr>
      </w:pPr>
      <w:r>
        <w:rPr>
          <w:rFonts w:hint="eastAsia" w:ascii="宋体" w:hAnsi="宋体" w:eastAsia="宋体" w:cs="宋体"/>
          <w:highlight w:val="none"/>
          <w:lang w:val="en-US" w:eastAsia="zh-CN"/>
        </w:rPr>
        <w:t>39</w:t>
      </w:r>
      <w:r>
        <w:rPr>
          <w:rFonts w:hint="eastAsia" w:ascii="宋体" w:hAnsi="宋体" w:eastAsia="宋体" w:cs="宋体"/>
          <w:highlight w:val="none"/>
        </w:rPr>
        <w:t xml:space="preserve">.3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采购</w:t>
      </w:r>
      <w:r>
        <w:rPr>
          <w:rFonts w:hint="eastAsia" w:ascii="宋体" w:hAnsi="宋体" w:eastAsia="宋体" w:cs="宋体"/>
          <w:highlight w:val="none"/>
        </w:rPr>
        <w:t>代理服务费的交纳方式：中标人在领取《中标通知书》前，须向采购代理机构交纳</w:t>
      </w:r>
      <w:r>
        <w:rPr>
          <w:rFonts w:hint="eastAsia" w:ascii="宋体" w:hAnsi="宋体" w:eastAsia="宋体" w:cs="宋体"/>
          <w:highlight w:val="none"/>
          <w:lang w:eastAsia="zh-CN"/>
        </w:rPr>
        <w:t>采购</w:t>
      </w:r>
      <w:r>
        <w:rPr>
          <w:rFonts w:hint="eastAsia" w:ascii="宋体" w:hAnsi="宋体" w:eastAsia="宋体" w:cs="宋体"/>
          <w:highlight w:val="none"/>
        </w:rPr>
        <w:t>代理服务费，采用现金、银行转账方式一次性交纳</w:t>
      </w:r>
      <w:r>
        <w:rPr>
          <w:rFonts w:hint="eastAsia" w:ascii="宋体" w:hAnsi="宋体" w:cs="宋体"/>
          <w:highlight w:val="none"/>
          <w:lang w:eastAsia="zh-CN"/>
        </w:rPr>
        <w:t>。</w:t>
      </w:r>
    </w:p>
    <w:p w14:paraId="11B7A694">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420" w:firstLineChars="0"/>
        <w:jc w:val="both"/>
        <w:textAlignment w:val="auto"/>
        <w:outlineLvl w:val="9"/>
        <w:rPr>
          <w:rFonts w:hint="eastAsia" w:ascii="宋体" w:hAnsi="宋体" w:eastAsia="宋体" w:cs="宋体"/>
          <w:color w:val="FF0000"/>
          <w:highlight w:val="none"/>
        </w:rPr>
      </w:pPr>
      <w:r>
        <w:rPr>
          <w:rFonts w:hint="eastAsia" w:ascii="宋体" w:hAnsi="宋体" w:eastAsia="宋体" w:cs="宋体"/>
          <w:highlight w:val="none"/>
          <w:lang w:val="en-US" w:eastAsia="zh-CN"/>
        </w:rPr>
        <w:t>39</w:t>
      </w:r>
      <w:r>
        <w:rPr>
          <w:rFonts w:hint="eastAsia" w:ascii="宋体" w:hAnsi="宋体" w:eastAsia="宋体" w:cs="宋体"/>
          <w:highlight w:val="none"/>
        </w:rPr>
        <w:t xml:space="preserve">.4 </w:t>
      </w:r>
      <w:r>
        <w:rPr>
          <w:rFonts w:hint="eastAsia" w:ascii="宋体" w:hAnsi="宋体" w:eastAsia="宋体" w:cs="宋体"/>
          <w:color w:val="auto"/>
          <w:highlight w:val="none"/>
          <w:lang w:val="en-US" w:eastAsia="zh-CN"/>
        </w:rPr>
        <w:t xml:space="preserve"> 采购代理服务费的金额参照《国家计委关于印发&lt;招标代理服务收费管理暂行办法&gt;的通知》（计价格[2002]1980号）和国家发改委办公厅颁发的《关于招标代理服务收费有关问题的通知》（发改办价格【2003】857号）的有关规定收取招标代理服务费。由中标（成交）单位支付，在领取中标（成交）通知书前一次性向代理机构支付。</w:t>
      </w:r>
    </w:p>
    <w:p w14:paraId="4CE20AC5">
      <w:pPr>
        <w:keepNext w:val="0"/>
        <w:keepLines w:val="0"/>
        <w:pageBreakBefore w:val="0"/>
        <w:widowControl w:val="0"/>
        <w:kinsoku/>
        <w:wordWrap/>
        <w:overflowPunct/>
        <w:topLinePunct w:val="0"/>
        <w:autoSpaceDE w:val="0"/>
        <w:autoSpaceDN w:val="0"/>
        <w:bidi w:val="0"/>
        <w:adjustRightInd w:val="0"/>
        <w:snapToGrid/>
        <w:spacing w:line="460" w:lineRule="exact"/>
        <w:ind w:right="6" w:right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40</w:t>
      </w:r>
      <w:r>
        <w:rPr>
          <w:rFonts w:hint="eastAsia" w:ascii="宋体" w:hAnsi="宋体" w:cs="宋体"/>
          <w:b/>
          <w:bCs/>
          <w:kern w:val="0"/>
          <w:sz w:val="24"/>
          <w:highlight w:val="none"/>
        </w:rPr>
        <w:t>、重新招标或者变更采购方式</w:t>
      </w:r>
    </w:p>
    <w:p w14:paraId="494CB9B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投标截止时间结束后，参加投标的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不足三家或在评标期间，出现符合专业条件的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不足三家或对招标文件实质响应的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w:t>
      </w:r>
      <w:r>
        <w:rPr>
          <w:rFonts w:hint="eastAsia" w:ascii="宋体" w:hAnsi="宋体" w:eastAsia="宋体" w:cs="宋体"/>
          <w:color w:val="auto"/>
          <w:sz w:val="21"/>
          <w:szCs w:val="21"/>
          <w:highlight w:val="none"/>
        </w:rPr>
        <w:t>按《政府采购货物和服务招标投标管理办法》（第</w:t>
      </w:r>
      <w:r>
        <w:rPr>
          <w:rFonts w:hint="eastAsia" w:ascii="宋体" w:hAnsi="宋体" w:eastAsia="宋体" w:cs="宋体"/>
          <w:color w:val="auto"/>
          <w:sz w:val="21"/>
          <w:szCs w:val="21"/>
          <w:highlight w:val="none"/>
          <w:lang w:eastAsia="zh-CN"/>
        </w:rPr>
        <w:t>87号令</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第四十三条规定的相关原则处理。</w:t>
      </w:r>
    </w:p>
    <w:p w14:paraId="29332A4B">
      <w:pPr>
        <w:keepNext w:val="0"/>
        <w:keepLines w:val="0"/>
        <w:pageBreakBefore w:val="0"/>
        <w:widowControl w:val="0"/>
        <w:kinsoku/>
        <w:wordWrap/>
        <w:overflowPunct/>
        <w:topLinePunct w:val="0"/>
        <w:autoSpaceDE w:val="0"/>
        <w:autoSpaceDN w:val="0"/>
        <w:bidi w:val="0"/>
        <w:adjustRightInd w:val="0"/>
        <w:snapToGrid/>
        <w:spacing w:line="460" w:lineRule="exact"/>
        <w:ind w:right="6"/>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 xml:space="preserve">、质疑和投诉 </w:t>
      </w:r>
    </w:p>
    <w:p w14:paraId="2E1FFC1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质疑。</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认为采购文件、采购过程和中标、成交结果使自己的权益受到损害的，可以在知道或者应知其权益受到损害之日起七个工作日内，</w:t>
      </w:r>
      <w:r>
        <w:rPr>
          <w:rFonts w:hint="eastAsia" w:ascii="宋体" w:hAnsi="宋体" w:eastAsia="宋体" w:cs="宋体"/>
          <w:color w:val="000000"/>
          <w:sz w:val="21"/>
          <w:szCs w:val="21"/>
          <w:highlight w:val="none"/>
          <w:lang w:eastAsia="zh-CN"/>
        </w:rPr>
        <w:t>按照《政府采购质疑和投诉办法》</w:t>
      </w:r>
      <w:r>
        <w:rPr>
          <w:rFonts w:hint="eastAsia" w:ascii="宋体" w:hAnsi="宋体" w:eastAsia="宋体" w:cs="宋体"/>
          <w:color w:val="000000"/>
          <w:sz w:val="21"/>
          <w:szCs w:val="21"/>
          <w:highlight w:val="none"/>
        </w:rPr>
        <w:t>以书面形式</w:t>
      </w:r>
      <w:r>
        <w:rPr>
          <w:rFonts w:hint="eastAsia" w:ascii="宋体" w:hAnsi="宋体" w:eastAsia="宋体" w:cs="宋体"/>
          <w:color w:val="000000"/>
          <w:sz w:val="21"/>
          <w:szCs w:val="21"/>
          <w:highlight w:val="none"/>
          <w:lang w:eastAsia="zh-CN"/>
        </w:rPr>
        <w:t>一次性</w:t>
      </w:r>
      <w:r>
        <w:rPr>
          <w:rFonts w:hint="eastAsia" w:ascii="宋体" w:hAnsi="宋体" w:eastAsia="宋体" w:cs="宋体"/>
          <w:color w:val="000000"/>
          <w:sz w:val="21"/>
          <w:szCs w:val="21"/>
          <w:highlight w:val="none"/>
        </w:rPr>
        <w:t>向采购人提出质疑。采购人委托采购代理机构采购的，</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 xml:space="preserve">可以向采购代理机构提出询问或者质疑。 </w:t>
      </w:r>
    </w:p>
    <w:p w14:paraId="2D4BE488">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质疑函接收人：</w:t>
      </w:r>
      <w:r>
        <w:rPr>
          <w:rFonts w:hint="eastAsia" w:ascii="宋体" w:hAnsi="宋体" w:cs="宋体"/>
          <w:color w:val="auto"/>
          <w:sz w:val="21"/>
          <w:szCs w:val="21"/>
          <w:highlight w:val="none"/>
          <w:lang w:val="en-US" w:eastAsia="zh-CN"/>
        </w:rPr>
        <w:t>王莹</w:t>
      </w:r>
      <w:r>
        <w:rPr>
          <w:rFonts w:hint="eastAsia" w:ascii="宋体" w:hAnsi="宋体" w:eastAsia="宋体" w:cs="宋体"/>
          <w:color w:val="auto"/>
          <w:sz w:val="21"/>
          <w:szCs w:val="21"/>
          <w:highlight w:val="none"/>
        </w:rPr>
        <w:t xml:space="preserve"> </w:t>
      </w:r>
    </w:p>
    <w:p w14:paraId="7AC6FF7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eastAsia="zh-CN"/>
        </w:rPr>
        <w:t>13309156131</w:t>
      </w:r>
      <w:r>
        <w:rPr>
          <w:rFonts w:hint="eastAsia" w:ascii="宋体" w:hAnsi="宋体" w:eastAsia="宋体" w:cs="宋体"/>
          <w:color w:val="000000"/>
          <w:sz w:val="21"/>
          <w:szCs w:val="21"/>
          <w:highlight w:val="none"/>
        </w:rPr>
        <w:t xml:space="preserve"> </w:t>
      </w:r>
    </w:p>
    <w:p w14:paraId="3933098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地址：</w:t>
      </w:r>
      <w:r>
        <w:rPr>
          <w:rFonts w:hint="eastAsia" w:ascii="宋体" w:hAnsi="宋体" w:cs="宋体"/>
          <w:color w:val="000000"/>
          <w:sz w:val="21"/>
          <w:szCs w:val="21"/>
          <w:highlight w:val="none"/>
          <w:lang w:eastAsia="zh-CN"/>
        </w:rPr>
        <w:t>安康市汉滨区水景湾15幢1单元门面房</w:t>
      </w:r>
      <w:r>
        <w:rPr>
          <w:rFonts w:hint="eastAsia" w:ascii="宋体" w:hAnsi="宋体" w:eastAsia="宋体" w:cs="宋体"/>
          <w:color w:val="000000"/>
          <w:sz w:val="21"/>
          <w:szCs w:val="21"/>
          <w:highlight w:val="none"/>
        </w:rPr>
        <w:t xml:space="preserve"> </w:t>
      </w:r>
    </w:p>
    <w:p w14:paraId="0A85FB28">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投诉。质疑</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对采购人、采购代理机构的答复不满意或者采购人、采购代理机构未在规定的时间内作出答复的，可以在答复期满后十五个工作日内</w:t>
      </w:r>
      <w:r>
        <w:rPr>
          <w:rFonts w:hint="eastAsia" w:ascii="宋体" w:hAnsi="宋体" w:eastAsia="宋体" w:cs="宋体"/>
          <w:color w:val="000000"/>
          <w:sz w:val="21"/>
          <w:szCs w:val="21"/>
          <w:highlight w:val="none"/>
          <w:lang w:eastAsia="zh-CN"/>
        </w:rPr>
        <w:t>按照《政府采购质疑和投诉办法》</w:t>
      </w:r>
      <w:r>
        <w:rPr>
          <w:rFonts w:hint="eastAsia" w:ascii="宋体" w:hAnsi="宋体" w:eastAsia="宋体" w:cs="宋体"/>
          <w:color w:val="000000"/>
          <w:sz w:val="21"/>
          <w:szCs w:val="21"/>
          <w:highlight w:val="none"/>
        </w:rPr>
        <w:t>以书面形式向同级政府采购监督管理部门投诉。</w:t>
      </w:r>
    </w:p>
    <w:p w14:paraId="2EC74EC5">
      <w:pP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br w:type="page"/>
      </w:r>
    </w:p>
    <w:p w14:paraId="39740CC9">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367A58E">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90C003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8A2E593">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FAB4299">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30EE462">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8B6F17C">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E2EA024">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6D0B25B">
      <w:pPr>
        <w:pStyle w:val="2"/>
        <w:numPr>
          <w:ilvl w:val="0"/>
          <w:numId w:val="0"/>
        </w:numPr>
        <w:tabs>
          <w:tab w:val="clear" w:pos="324"/>
        </w:tabs>
        <w:ind w:leftChars="0"/>
        <w:jc w:val="center"/>
        <w:rPr>
          <w:rFonts w:hint="eastAsia" w:ascii="宋体" w:hAnsi="宋体" w:eastAsia="宋体" w:cs="宋体"/>
          <w:b/>
          <w:bCs/>
          <w:sz w:val="36"/>
          <w:szCs w:val="36"/>
          <w:highlight w:val="none"/>
        </w:rPr>
      </w:pPr>
      <w:bookmarkStart w:id="12" w:name="_Toc18171"/>
      <w:r>
        <w:rPr>
          <w:rFonts w:hint="eastAsia" w:ascii="宋体" w:hAnsi="宋体" w:eastAsia="宋体" w:cs="宋体"/>
          <w:b/>
          <w:bCs/>
          <w:sz w:val="36"/>
          <w:szCs w:val="36"/>
          <w:highlight w:val="none"/>
          <w:lang w:eastAsia="zh-CN"/>
        </w:rPr>
        <w:t>第三章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w:t>
      </w:r>
      <w:bookmarkEnd w:id="12"/>
    </w:p>
    <w:p w14:paraId="05D69FDB">
      <w:pPr>
        <w:rPr>
          <w:rFonts w:hint="eastAsia" w:ascii="宋体" w:hAnsi="宋体" w:eastAsia="宋体" w:cs="宋体"/>
          <w:b w:val="0"/>
          <w:bCs w:val="0"/>
          <w:sz w:val="21"/>
          <w:szCs w:val="21"/>
          <w:highlight w:val="none"/>
        </w:rPr>
      </w:pPr>
      <w:bookmarkStart w:id="13" w:name="_Toc222740127"/>
      <w:r>
        <w:rPr>
          <w:rFonts w:hint="eastAsia" w:ascii="宋体" w:hAnsi="宋体" w:eastAsia="宋体" w:cs="宋体"/>
          <w:b w:val="0"/>
          <w:bCs w:val="0"/>
          <w:sz w:val="21"/>
          <w:szCs w:val="21"/>
          <w:highlight w:val="none"/>
        </w:rPr>
        <w:br w:type="page"/>
      </w:r>
    </w:p>
    <w:p w14:paraId="42F8C2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根据《中华人民共和国政府采购法》、中华人民共和国2015年第658号国务院令--《中华人民共和国政府采购法实施条例》和中华人民共和国财政部20</w:t>
      </w:r>
      <w:r>
        <w:rPr>
          <w:rFonts w:hint="eastAsia" w:ascii="宋体" w:hAnsi="宋体" w:cs="宋体"/>
          <w:b w:val="0"/>
          <w:bCs w:val="0"/>
          <w:sz w:val="21"/>
          <w:szCs w:val="21"/>
          <w:highlight w:val="none"/>
          <w:lang w:val="en-US" w:eastAsia="zh-CN"/>
        </w:rPr>
        <w:t>17</w:t>
      </w:r>
      <w:r>
        <w:rPr>
          <w:rFonts w:hint="eastAsia" w:ascii="宋体" w:hAnsi="宋体" w:eastAsia="宋体" w:cs="宋体"/>
          <w:b w:val="0"/>
          <w:bCs w:val="0"/>
          <w:sz w:val="21"/>
          <w:szCs w:val="21"/>
          <w:highlight w:val="none"/>
        </w:rPr>
        <w:t>年</w:t>
      </w:r>
      <w:r>
        <w:rPr>
          <w:rFonts w:hint="eastAsia" w:ascii="宋体" w:hAnsi="宋体" w:eastAsia="宋体" w:cs="宋体"/>
          <w:b w:val="0"/>
          <w:bCs w:val="0"/>
          <w:color w:val="auto"/>
          <w:sz w:val="21"/>
          <w:szCs w:val="21"/>
          <w:highlight w:val="none"/>
        </w:rPr>
        <w:t>第</w:t>
      </w:r>
      <w:r>
        <w:rPr>
          <w:rFonts w:hint="eastAsia" w:ascii="宋体" w:hAnsi="宋体" w:cs="宋体"/>
          <w:b w:val="0"/>
          <w:bCs w:val="0"/>
          <w:color w:val="auto"/>
          <w:sz w:val="21"/>
          <w:szCs w:val="21"/>
          <w:highlight w:val="none"/>
          <w:lang w:val="en-US" w:eastAsia="zh-CN"/>
        </w:rPr>
        <w:t>87</w:t>
      </w:r>
      <w:r>
        <w:rPr>
          <w:rFonts w:hint="eastAsia" w:ascii="宋体" w:hAnsi="宋体" w:eastAsia="宋体" w:cs="宋体"/>
          <w:b w:val="0"/>
          <w:bCs w:val="0"/>
          <w:color w:val="auto"/>
          <w:sz w:val="21"/>
          <w:szCs w:val="21"/>
          <w:highlight w:val="none"/>
        </w:rPr>
        <w:t>号令</w:t>
      </w:r>
      <w:r>
        <w:rPr>
          <w:rFonts w:hint="eastAsia" w:ascii="宋体" w:hAnsi="宋体" w:eastAsia="宋体" w:cs="宋体"/>
          <w:b w:val="0"/>
          <w:bCs w:val="0"/>
          <w:sz w:val="21"/>
          <w:szCs w:val="21"/>
          <w:highlight w:val="none"/>
        </w:rPr>
        <w:t>--《政府采购货物和服务招标投标管理办法》的规定，结合采购项目特点制定本评标办法。</w:t>
      </w:r>
    </w:p>
    <w:p w14:paraId="448834FF">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lang w:val="en-US" w:eastAsia="zh-CN"/>
        </w:rPr>
        <w:t>1、</w:t>
      </w:r>
      <w:r>
        <w:rPr>
          <w:rFonts w:hint="eastAsia" w:ascii="宋体" w:hAnsi="宋体" w:cs="宋体"/>
          <w:b/>
          <w:bCs/>
          <w:sz w:val="28"/>
          <w:highlight w:val="none"/>
        </w:rPr>
        <w:t>评标程序</w:t>
      </w:r>
    </w:p>
    <w:p w14:paraId="690EF37B">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lang w:val="en-US" w:eastAsia="zh-CN"/>
        </w:rPr>
        <w:t xml:space="preserve">1.1  </w:t>
      </w:r>
      <w:r>
        <w:rPr>
          <w:rFonts w:hint="eastAsia" w:ascii="宋体" w:hAnsi="宋体" w:cs="宋体"/>
          <w:b/>
          <w:bCs/>
          <w:kern w:val="0"/>
          <w:sz w:val="24"/>
          <w:highlight w:val="none"/>
        </w:rPr>
        <w:t>本采购项目评标按照下列工作程序进行：</w:t>
      </w:r>
    </w:p>
    <w:p w14:paraId="39354AA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1.1 投标文件</w:t>
      </w:r>
      <w:r>
        <w:rPr>
          <w:rFonts w:hint="eastAsia" w:ascii="宋体" w:hAnsi="宋体" w:eastAsia="宋体" w:cs="宋体"/>
          <w:b w:val="0"/>
          <w:bCs w:val="0"/>
          <w:sz w:val="21"/>
          <w:szCs w:val="21"/>
          <w:highlight w:val="none"/>
          <w:lang w:eastAsia="zh-CN"/>
        </w:rPr>
        <w:t>初审</w:t>
      </w:r>
      <w:r>
        <w:rPr>
          <w:rFonts w:hint="eastAsia" w:ascii="宋体" w:hAnsi="宋体" w:eastAsia="宋体" w:cs="宋体"/>
          <w:b w:val="0"/>
          <w:bCs w:val="0"/>
          <w:sz w:val="21"/>
          <w:szCs w:val="21"/>
          <w:highlight w:val="none"/>
        </w:rPr>
        <w:t>；</w:t>
      </w:r>
    </w:p>
    <w:p w14:paraId="23A684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1.2 澄清有关问题；</w:t>
      </w:r>
    </w:p>
    <w:p w14:paraId="212BCA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1.3 比较与评价；</w:t>
      </w:r>
    </w:p>
    <w:p w14:paraId="010EF1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1.4 推荐中标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名单；</w:t>
      </w:r>
    </w:p>
    <w:p w14:paraId="52A92A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1.5 编写评标报告。</w:t>
      </w:r>
    </w:p>
    <w:p w14:paraId="2E29E8FC">
      <w:pPr>
        <w:spacing w:before="240" w:after="120"/>
        <w:jc w:val="left"/>
        <w:outlineLvl w:val="2"/>
        <w:rPr>
          <w:rFonts w:hint="eastAsia" w:ascii="宋体" w:hAnsi="宋体" w:cs="宋体"/>
          <w:b/>
          <w:bCs/>
          <w:kern w:val="0"/>
          <w:sz w:val="24"/>
          <w:highlight w:val="none"/>
          <w:lang w:eastAsia="zh-CN"/>
        </w:rPr>
      </w:pP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 xml:space="preserve">  </w:t>
      </w:r>
      <w:r>
        <w:rPr>
          <w:rFonts w:hint="eastAsia" w:ascii="宋体" w:hAnsi="宋体" w:cs="宋体"/>
          <w:b/>
          <w:bCs/>
          <w:kern w:val="0"/>
          <w:sz w:val="24"/>
          <w:highlight w:val="none"/>
        </w:rPr>
        <w:t>投标文件</w:t>
      </w:r>
      <w:r>
        <w:rPr>
          <w:rFonts w:hint="eastAsia" w:ascii="宋体" w:hAnsi="宋体" w:cs="宋体"/>
          <w:b/>
          <w:bCs/>
          <w:kern w:val="0"/>
          <w:sz w:val="24"/>
          <w:highlight w:val="none"/>
          <w:lang w:eastAsia="zh-CN"/>
        </w:rPr>
        <w:t>的初审</w:t>
      </w:r>
    </w:p>
    <w:p w14:paraId="7943AB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初审分为资格性检查和符合性检查。分别按照以下内容对投标文件进行检查，一项不合格即按照无效投标处理。</w:t>
      </w:r>
    </w:p>
    <w:p w14:paraId="6718EAE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2.1 投标文件的资格性审查：</w:t>
      </w:r>
      <w:r>
        <w:rPr>
          <w:rFonts w:hint="eastAsia" w:ascii="宋体" w:hAnsi="宋体" w:eastAsia="宋体" w:cs="宋体"/>
          <w:color w:val="000000"/>
          <w:szCs w:val="21"/>
          <w:highlight w:val="none"/>
        </w:rPr>
        <w:t>按照本章附件一资格审查内容；</w:t>
      </w:r>
    </w:p>
    <w:p w14:paraId="20F2236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2.2 投标文件的符合性审查：</w:t>
      </w:r>
      <w:r>
        <w:rPr>
          <w:rFonts w:hint="eastAsia" w:ascii="宋体" w:hAnsi="宋体" w:eastAsia="宋体" w:cs="宋体"/>
          <w:szCs w:val="21"/>
          <w:highlight w:val="none"/>
        </w:rPr>
        <w:t>按照本章附件二符合审查内容；</w:t>
      </w:r>
      <w:r>
        <w:rPr>
          <w:rFonts w:hint="eastAsia" w:ascii="宋体" w:hAnsi="宋体" w:eastAsia="宋体" w:cs="宋体"/>
          <w:b w:val="0"/>
          <w:bCs w:val="0"/>
          <w:sz w:val="21"/>
          <w:szCs w:val="21"/>
          <w:highlight w:val="none"/>
        </w:rPr>
        <w:t xml:space="preserve"> </w:t>
      </w:r>
    </w:p>
    <w:p w14:paraId="0D9C5CBE">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1.2.3</w:t>
      </w:r>
      <w:r>
        <w:rPr>
          <w:rFonts w:hint="eastAsia" w:ascii="宋体" w:hAnsi="宋体" w:eastAsia="宋体" w:cs="宋体"/>
          <w:b w:val="0"/>
          <w:bCs w:val="0"/>
          <w:sz w:val="21"/>
          <w:szCs w:val="21"/>
          <w:highlight w:val="none"/>
        </w:rPr>
        <w:t xml:space="preserve"> 经过对投标人及投标文件的资格性和符合性审查，出现下列情况者（但不限于），按无效投标处理。</w:t>
      </w:r>
    </w:p>
    <w:p w14:paraId="1C91B5F7">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投标人未经过正常渠道</w:t>
      </w:r>
      <w:r>
        <w:rPr>
          <w:rFonts w:hint="eastAsia" w:ascii="宋体" w:hAnsi="宋体" w:cs="宋体"/>
          <w:b w:val="0"/>
          <w:bCs w:val="0"/>
          <w:sz w:val="21"/>
          <w:szCs w:val="21"/>
          <w:highlight w:val="none"/>
          <w:lang w:val="en-US" w:eastAsia="zh-CN"/>
        </w:rPr>
        <w:t>下载</w:t>
      </w:r>
      <w:r>
        <w:rPr>
          <w:rFonts w:hint="eastAsia" w:ascii="宋体" w:hAnsi="宋体" w:eastAsia="宋体" w:cs="宋体"/>
          <w:b w:val="0"/>
          <w:bCs w:val="0"/>
          <w:sz w:val="21"/>
          <w:szCs w:val="21"/>
          <w:highlight w:val="none"/>
          <w:lang w:eastAsia="zh-CN"/>
        </w:rPr>
        <w:t>招标文件</w:t>
      </w:r>
      <w:r>
        <w:rPr>
          <w:rFonts w:hint="eastAsia" w:ascii="宋体" w:hAnsi="宋体" w:eastAsia="宋体" w:cs="宋体"/>
          <w:b w:val="0"/>
          <w:bCs w:val="0"/>
          <w:sz w:val="21"/>
          <w:szCs w:val="21"/>
          <w:highlight w:val="none"/>
        </w:rPr>
        <w:t>或投标人的名称与登记领取招标文件单位的名称不符；</w:t>
      </w:r>
    </w:p>
    <w:p w14:paraId="2025BD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投标文件中未提交法定代表人授权书（法定代表人直接投标未按要求提交其有效身份证）或授权书的合法性或有效性不符合招标文件规定。授权代表本单位证明的有效性或符合性不符合要求的</w:t>
      </w:r>
      <w:r>
        <w:rPr>
          <w:rFonts w:hint="eastAsia" w:ascii="宋体" w:hAnsi="宋体" w:eastAsia="宋体" w:cs="宋体"/>
          <w:b w:val="0"/>
          <w:bCs w:val="0"/>
          <w:sz w:val="21"/>
          <w:szCs w:val="21"/>
          <w:highlight w:val="none"/>
          <w:lang w:eastAsia="zh-CN"/>
        </w:rPr>
        <w:t>；</w:t>
      </w:r>
    </w:p>
    <w:p w14:paraId="654BC2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投标人资质的有效性或符合性不符合要求的；</w:t>
      </w:r>
    </w:p>
    <w:p w14:paraId="010BF9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投标文件未按招标文件规定有效签字和盖章，或由投标人委托代理人签字的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但未随投标文件一起提交有效的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授权委托书</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的；</w:t>
      </w:r>
    </w:p>
    <w:p w14:paraId="57A3A5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无投标有效期或有效期达不到招标文件要求的；</w:t>
      </w:r>
    </w:p>
    <w:p w14:paraId="2503E7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投标文件的格式不符合招标文件要求、关键内容字迹模糊、无法辨认的；</w:t>
      </w:r>
    </w:p>
    <w:p w14:paraId="12FE6A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无投标方案或投标方案不符合要求；</w:t>
      </w:r>
    </w:p>
    <w:p w14:paraId="3EBDC8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lang w:eastAsia="zh-CN"/>
        </w:rPr>
        <w:t>）</w:t>
      </w:r>
      <w:r>
        <w:rPr>
          <w:rFonts w:hint="eastAsia" w:ascii="宋体" w:hAnsi="宋体" w:cs="宋体"/>
          <w:szCs w:val="21"/>
          <w:highlight w:val="none"/>
          <w:lang w:val="en-US" w:eastAsia="zh-CN"/>
        </w:rPr>
        <w:t>投标</w:t>
      </w:r>
      <w:r>
        <w:rPr>
          <w:rFonts w:hint="eastAsia" w:ascii="宋体" w:hAnsi="宋体" w:eastAsia="宋体" w:cs="宋体"/>
          <w:szCs w:val="21"/>
          <w:highlight w:val="none"/>
        </w:rPr>
        <w:t>方案指标达不到招标文件要求；</w:t>
      </w:r>
    </w:p>
    <w:p w14:paraId="727C15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投标文件的合同主要条款响应与招标文件要求不一致，附加了采购人难以接受的条件；</w:t>
      </w:r>
    </w:p>
    <w:p w14:paraId="0F24E0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规定不接受选择方案和选择报价（包括交叉折扣）的，投标人提供了选择方案和/或选择报价（包括交叉折扣）；</w:t>
      </w:r>
    </w:p>
    <w:p w14:paraId="39F9CB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投标报价与市场价偏离较大，低于成本，形成不正当竞争；</w:t>
      </w:r>
    </w:p>
    <w:p w14:paraId="00C3F4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提供虚假证明，开具虚假资质，出现虚假应答，除按无效标处理外，还进行相应的处罚；</w:t>
      </w:r>
    </w:p>
    <w:p w14:paraId="74647F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投标人在境内参与政府采购活动中有违法违规行为的；</w:t>
      </w:r>
    </w:p>
    <w:p w14:paraId="32EA16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sz w:val="21"/>
          <w:szCs w:val="21"/>
          <w:highlight w:val="none"/>
        </w:rPr>
        <w:t>投标报价超出采购预算</w:t>
      </w:r>
      <w:r>
        <w:rPr>
          <w:rFonts w:hint="eastAsia" w:ascii="宋体" w:hAnsi="宋体" w:eastAsia="宋体" w:cs="宋体"/>
          <w:b w:val="0"/>
          <w:bCs w:val="0"/>
          <w:sz w:val="21"/>
          <w:szCs w:val="21"/>
          <w:highlight w:val="none"/>
          <w:lang w:eastAsia="zh-CN"/>
        </w:rPr>
        <w:t>或最高限价</w:t>
      </w:r>
      <w:r>
        <w:rPr>
          <w:rFonts w:hint="eastAsia" w:ascii="宋体" w:hAnsi="宋体" w:eastAsia="宋体" w:cs="宋体"/>
          <w:b w:val="0"/>
          <w:bCs w:val="0"/>
          <w:sz w:val="21"/>
          <w:szCs w:val="21"/>
          <w:highlight w:val="none"/>
        </w:rPr>
        <w:t>的；</w:t>
      </w:r>
    </w:p>
    <w:p w14:paraId="3312E3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其他法律法规规定的情况。</w:t>
      </w:r>
    </w:p>
    <w:p w14:paraId="61434F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 xml:space="preserve"> 在投标文件初审过程中，如果出现评标委员会成员意见不一致的情况，按照少数服从多数的原则确定。</w:t>
      </w:r>
    </w:p>
    <w:p w14:paraId="675C4FBD">
      <w:pPr>
        <w:spacing w:before="240" w:after="120"/>
        <w:jc w:val="left"/>
        <w:outlineLvl w:val="2"/>
        <w:rPr>
          <w:rFonts w:hint="default" w:ascii="Times New Roman" w:hAnsi="Times New Roman" w:eastAsia="宋体" w:cs="Times New Roman"/>
          <w:b w:val="0"/>
          <w:bCs w:val="0"/>
          <w:sz w:val="21"/>
          <w:szCs w:val="21"/>
          <w:highlight w:val="none"/>
        </w:rPr>
      </w:pPr>
      <w:r>
        <w:rPr>
          <w:rFonts w:hint="eastAsia" w:ascii="宋体" w:hAnsi="宋体" w:cs="宋体"/>
          <w:b/>
          <w:bCs/>
          <w:kern w:val="0"/>
          <w:sz w:val="24"/>
          <w:highlight w:val="none"/>
          <w:lang w:val="en-US" w:eastAsia="zh-CN"/>
        </w:rPr>
        <w:t>1.</w:t>
      </w:r>
      <w:r>
        <w:rPr>
          <w:rFonts w:hint="default" w:ascii="宋体" w:hAnsi="宋体" w:cs="宋体"/>
          <w:b/>
          <w:bCs/>
          <w:kern w:val="0"/>
          <w:sz w:val="24"/>
          <w:highlight w:val="none"/>
        </w:rPr>
        <w:t>3</w:t>
      </w:r>
      <w:r>
        <w:rPr>
          <w:rFonts w:hint="eastAsia" w:ascii="宋体" w:hAnsi="宋体" w:cs="宋体"/>
          <w:b/>
          <w:bCs/>
          <w:kern w:val="0"/>
          <w:sz w:val="24"/>
          <w:highlight w:val="none"/>
          <w:lang w:val="en-US" w:eastAsia="zh-CN"/>
        </w:rPr>
        <w:t xml:space="preserve">  </w:t>
      </w:r>
      <w:r>
        <w:rPr>
          <w:rFonts w:hint="default" w:ascii="宋体" w:hAnsi="宋体" w:cs="宋体"/>
          <w:b/>
          <w:bCs/>
          <w:kern w:val="0"/>
          <w:sz w:val="24"/>
          <w:highlight w:val="none"/>
        </w:rPr>
        <w:t>投标文件的澄清</w:t>
      </w:r>
    </w:p>
    <w:p w14:paraId="493F0F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default" w:ascii="Times New Roman" w:hAnsi="Times New Roman" w:eastAsia="宋体" w:cs="Times New Roman"/>
          <w:b w:val="0"/>
          <w:bCs w:val="0"/>
          <w:sz w:val="21"/>
          <w:szCs w:val="21"/>
          <w:highlight w:val="none"/>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对于投标文件中的非重大偏离，如果出现含义不明确、同类问题表述不一致或者有明显文字和计算错误的内容，评标委员会可以书面形式（由评标委员会专家签字）要求投标人作出必要的澄清、说明或者纠正。投标人的澄清、说明或者补正应当采用书面形式，由其授权的投标代表签字，并不得超出投标文件的范围或者改变投标文件的实质性内容。</w:t>
      </w:r>
    </w:p>
    <w:p w14:paraId="097850B2">
      <w:pPr>
        <w:spacing w:before="240" w:after="120"/>
        <w:jc w:val="left"/>
        <w:outlineLvl w:val="2"/>
        <w:rPr>
          <w:rFonts w:hint="default" w:ascii="宋体" w:hAnsi="宋体" w:cs="宋体"/>
          <w:b/>
          <w:bCs/>
          <w:kern w:val="0"/>
          <w:sz w:val="24"/>
          <w:highlight w:val="none"/>
        </w:rPr>
      </w:pPr>
      <w:r>
        <w:rPr>
          <w:rFonts w:hint="eastAsia" w:ascii="宋体" w:hAnsi="宋体" w:cs="宋体"/>
          <w:b/>
          <w:bCs/>
          <w:kern w:val="0"/>
          <w:sz w:val="24"/>
          <w:highlight w:val="none"/>
          <w:lang w:val="en-US" w:eastAsia="zh-CN"/>
        </w:rPr>
        <w:t>1.</w:t>
      </w:r>
      <w:r>
        <w:rPr>
          <w:rFonts w:hint="default" w:ascii="宋体" w:hAnsi="宋体" w:cs="宋体"/>
          <w:b/>
          <w:bCs/>
          <w:kern w:val="0"/>
          <w:sz w:val="24"/>
          <w:highlight w:val="none"/>
        </w:rPr>
        <w:t>4</w:t>
      </w:r>
      <w:r>
        <w:rPr>
          <w:rFonts w:hint="eastAsia" w:ascii="宋体" w:hAnsi="宋体" w:cs="宋体"/>
          <w:b/>
          <w:bCs/>
          <w:kern w:val="0"/>
          <w:sz w:val="24"/>
          <w:highlight w:val="none"/>
          <w:lang w:val="en-US" w:eastAsia="zh-CN"/>
        </w:rPr>
        <w:t xml:space="preserve">  </w:t>
      </w:r>
      <w:r>
        <w:rPr>
          <w:rFonts w:hint="default" w:ascii="宋体" w:hAnsi="宋体" w:cs="宋体"/>
          <w:b/>
          <w:bCs/>
          <w:kern w:val="0"/>
          <w:sz w:val="24"/>
          <w:highlight w:val="none"/>
        </w:rPr>
        <w:t>投标文件的比较和评价</w:t>
      </w:r>
    </w:p>
    <w:p w14:paraId="76D508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4.1 评委会应按照招标文件中规定的评标方法和标准，对资格性检查和符合性检查合格的投标文件进行商务和技术评估，综合比较与评价。最低报价不做为中标的唯一条件。</w:t>
      </w:r>
    </w:p>
    <w:p w14:paraId="4CD5D30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4.2 如果投标文件没有实质性响应招标文件的要求，评委会将予以拒绝。投标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不得通过修正或</w:t>
      </w:r>
      <w:r>
        <w:rPr>
          <w:rFonts w:hint="eastAsia" w:ascii="宋体" w:hAnsi="宋体" w:eastAsia="宋体" w:cs="宋体"/>
          <w:b w:val="0"/>
          <w:bCs w:val="0"/>
          <w:sz w:val="21"/>
          <w:szCs w:val="21"/>
          <w:highlight w:val="none"/>
          <w:lang w:eastAsia="zh-CN"/>
        </w:rPr>
        <w:t>撤销</w:t>
      </w:r>
      <w:r>
        <w:rPr>
          <w:rFonts w:hint="eastAsia" w:ascii="宋体" w:hAnsi="宋体" w:eastAsia="宋体" w:cs="宋体"/>
          <w:b w:val="0"/>
          <w:bCs w:val="0"/>
          <w:sz w:val="21"/>
          <w:szCs w:val="21"/>
          <w:highlight w:val="none"/>
        </w:rPr>
        <w:t>不合要求的偏离或保留，从而使其投标成为实质性响应的投标。</w:t>
      </w:r>
    </w:p>
    <w:p w14:paraId="26C5679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4.3 评标程序：采取逐项分步评审方式，每一步评审不符合者，不进入下一步评审，全部评审合格的投标人进行最后的综合评审和打分，按最后得分由高向低排序，推荐中标候选单位。</w:t>
      </w:r>
    </w:p>
    <w:p w14:paraId="28729212">
      <w:pPr>
        <w:spacing w:before="240" w:after="120"/>
        <w:jc w:val="left"/>
        <w:outlineLvl w:val="2"/>
        <w:rPr>
          <w:rFonts w:hint="default" w:ascii="宋体" w:hAnsi="宋体" w:cs="宋体"/>
          <w:b/>
          <w:bCs/>
          <w:sz w:val="28"/>
          <w:highlight w:val="none"/>
        </w:rPr>
      </w:pPr>
      <w:r>
        <w:rPr>
          <w:rFonts w:hint="eastAsia" w:ascii="宋体" w:hAnsi="宋体" w:cs="宋体"/>
          <w:b/>
          <w:bCs/>
          <w:sz w:val="28"/>
          <w:highlight w:val="none"/>
          <w:lang w:val="en-US" w:eastAsia="zh-CN"/>
        </w:rPr>
        <w:t>2</w:t>
      </w:r>
      <w:r>
        <w:rPr>
          <w:rFonts w:hint="default" w:ascii="宋体" w:hAnsi="宋体" w:cs="宋体"/>
          <w:b/>
          <w:bCs/>
          <w:sz w:val="28"/>
          <w:highlight w:val="none"/>
        </w:rPr>
        <w:t>、评标办法</w:t>
      </w:r>
    </w:p>
    <w:p w14:paraId="75A9A632">
      <w:pPr>
        <w:spacing w:before="240" w:after="120"/>
        <w:jc w:val="left"/>
        <w:outlineLvl w:val="2"/>
        <w:rPr>
          <w:rFonts w:hint="default" w:ascii="宋体" w:hAnsi="宋体" w:cs="宋体"/>
          <w:b/>
          <w:bCs/>
          <w:kern w:val="0"/>
          <w:sz w:val="24"/>
          <w:highlight w:val="none"/>
        </w:rPr>
      </w:pPr>
      <w:r>
        <w:rPr>
          <w:rFonts w:hint="eastAsia" w:ascii="宋体" w:hAnsi="宋体" w:cs="宋体"/>
          <w:b/>
          <w:bCs/>
          <w:kern w:val="0"/>
          <w:sz w:val="24"/>
          <w:highlight w:val="none"/>
          <w:lang w:val="en-US" w:eastAsia="zh-CN"/>
        </w:rPr>
        <w:t xml:space="preserve">2.1  </w:t>
      </w:r>
      <w:r>
        <w:rPr>
          <w:rFonts w:hint="default" w:ascii="宋体" w:hAnsi="宋体" w:cs="宋体"/>
          <w:b/>
          <w:bCs/>
          <w:kern w:val="0"/>
          <w:sz w:val="24"/>
          <w:highlight w:val="none"/>
        </w:rPr>
        <w:t>综合评分法</w:t>
      </w:r>
    </w:p>
    <w:p w14:paraId="4E894F12">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eastAsia="zh-CN"/>
        </w:rPr>
        <w:t>本次评标</w:t>
      </w:r>
      <w:r>
        <w:rPr>
          <w:rFonts w:hint="default" w:ascii="Times New Roman" w:hAnsi="Times New Roman" w:eastAsia="宋体" w:cs="Times New Roman"/>
          <w:b w:val="0"/>
          <w:bCs w:val="0"/>
          <w:sz w:val="21"/>
          <w:szCs w:val="21"/>
          <w:highlight w:val="none"/>
        </w:rPr>
        <w:t>采用综合评分法。即在最大限度地满足招标文件实质性要求前提下，按照招标文件中规定的各项因素和相应的权重分值进行综合评审后，以总得分最高的投标人作为中标候选</w:t>
      </w:r>
      <w:r>
        <w:rPr>
          <w:rFonts w:hint="eastAsia" w:ascii="Times New Roman" w:hAnsi="Times New Roman" w:eastAsia="宋体" w:cs="Times New Roman"/>
          <w:b w:val="0"/>
          <w:bCs w:val="0"/>
          <w:sz w:val="21"/>
          <w:szCs w:val="21"/>
          <w:highlight w:val="none"/>
          <w:lang w:eastAsia="zh-CN"/>
        </w:rPr>
        <w:t>人</w:t>
      </w:r>
      <w:r>
        <w:rPr>
          <w:rFonts w:hint="default" w:ascii="Times New Roman" w:hAnsi="Times New Roman" w:eastAsia="宋体" w:cs="Times New Roman"/>
          <w:b w:val="0"/>
          <w:bCs w:val="0"/>
          <w:sz w:val="21"/>
          <w:szCs w:val="21"/>
          <w:highlight w:val="none"/>
        </w:rPr>
        <w:t>并依次排序</w:t>
      </w:r>
      <w:r>
        <w:rPr>
          <w:rFonts w:hint="eastAsia"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评标委员会将综合分析</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的各项评审因素，而不以单项评审因素的优劣评选出中标单位。对所有</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的投标评估，都采用相同的程序和标准，严格按照招标文件的要求和条件进行。</w:t>
      </w:r>
    </w:p>
    <w:p w14:paraId="7CD57B06">
      <w:pPr>
        <w:spacing w:before="240" w:after="120"/>
        <w:jc w:val="left"/>
        <w:outlineLvl w:val="2"/>
        <w:rPr>
          <w:rFonts w:hint="default" w:ascii="宋体" w:hAnsi="宋体" w:eastAsia="宋体" w:cs="宋体"/>
          <w:b/>
          <w:bCs/>
          <w:kern w:val="0"/>
          <w:sz w:val="24"/>
          <w:highlight w:val="none"/>
        </w:rPr>
      </w:pPr>
      <w:r>
        <w:rPr>
          <w:rFonts w:hint="eastAsia" w:ascii="宋体" w:hAnsi="宋体" w:eastAsia="宋体" w:cs="宋体"/>
          <w:b/>
          <w:bCs/>
          <w:kern w:val="0"/>
          <w:sz w:val="24"/>
          <w:highlight w:val="none"/>
          <w:lang w:val="en-US" w:eastAsia="zh-CN"/>
        </w:rPr>
        <w:t>2.</w:t>
      </w:r>
      <w:r>
        <w:rPr>
          <w:rFonts w:hint="default" w:ascii="宋体" w:hAnsi="宋体" w:eastAsia="宋体" w:cs="宋体"/>
          <w:b/>
          <w:bCs/>
          <w:kern w:val="0"/>
          <w:sz w:val="24"/>
          <w:highlight w:val="none"/>
        </w:rPr>
        <w:t>2</w:t>
      </w:r>
      <w:r>
        <w:rPr>
          <w:rFonts w:hint="eastAsia" w:ascii="宋体" w:hAnsi="宋体" w:eastAsia="宋体" w:cs="宋体"/>
          <w:b/>
          <w:bCs/>
          <w:kern w:val="0"/>
          <w:sz w:val="24"/>
          <w:highlight w:val="none"/>
          <w:lang w:val="en-US" w:eastAsia="zh-CN"/>
        </w:rPr>
        <w:t xml:space="preserve">  </w:t>
      </w:r>
      <w:r>
        <w:rPr>
          <w:rFonts w:hint="default" w:ascii="宋体" w:hAnsi="宋体" w:eastAsia="宋体" w:cs="宋体"/>
          <w:b/>
          <w:bCs/>
          <w:kern w:val="0"/>
          <w:sz w:val="24"/>
          <w:highlight w:val="none"/>
        </w:rPr>
        <w:t>评标细则及标准：</w:t>
      </w:r>
    </w:p>
    <w:p w14:paraId="3D67111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2.</w:t>
      </w:r>
      <w:r>
        <w:rPr>
          <w:rFonts w:hint="eastAsia" w:ascii="宋体" w:hAnsi="宋体" w:eastAsia="宋体" w:cs="宋体"/>
          <w:b w:val="0"/>
          <w:bCs w:val="0"/>
          <w:sz w:val="21"/>
          <w:szCs w:val="21"/>
          <w:highlight w:val="none"/>
        </w:rPr>
        <w:t>2.1 评标委员会将综合分析投标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的各项评审因素，而不以单项评审因素的优劣评选出中标单位。对所有</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的投标评估，都采用相同的程序和标准，严格按照招标文件的要求和条件进行。</w:t>
      </w:r>
    </w:p>
    <w:p w14:paraId="64AB8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2.2 评审因素包括：价格、技术、信誉、业绩、服务、对招标文件的响应程度，以及相应的比重或者权值等，但不包括</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投标人须知前附表</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规定的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资格条件。</w:t>
      </w:r>
    </w:p>
    <w:p w14:paraId="7CCE89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 综合评分操作程序为：</w:t>
      </w:r>
    </w:p>
    <w:p w14:paraId="396B2C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2.3.1</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根据招标文件和评标原则，按下表《综合评分明细表》所列评分因素和各评分因素的权重进行评标。</w:t>
      </w:r>
    </w:p>
    <w:p w14:paraId="3EC27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2.3.2</w:t>
      </w:r>
      <w:r>
        <w:rPr>
          <w:rFonts w:hint="eastAsia" w:ascii="宋体" w:hAnsi="宋体" w:eastAsia="宋体" w:cs="宋体"/>
          <w:b w:val="0"/>
          <w:bCs w:val="0"/>
          <w:sz w:val="21"/>
          <w:szCs w:val="21"/>
          <w:highlight w:val="none"/>
          <w:lang w:val="en-US" w:eastAsia="zh-CN"/>
        </w:rPr>
        <w:t xml:space="preserve"> 评标价格的确定： </w:t>
      </w:r>
    </w:p>
    <w:p w14:paraId="5EA0EB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2.2.3.2.1 </w:t>
      </w:r>
      <w:r>
        <w:rPr>
          <w:rFonts w:hint="eastAsia" w:ascii="宋体" w:hAnsi="宋体" w:eastAsia="宋体" w:cs="宋体"/>
          <w:b w:val="0"/>
          <w:bCs w:val="0"/>
          <w:sz w:val="21"/>
          <w:szCs w:val="21"/>
          <w:highlight w:val="none"/>
        </w:rPr>
        <w:t>对于不享受政策性优惠价格调整</w:t>
      </w:r>
      <w:r>
        <w:rPr>
          <w:rFonts w:hint="eastAsia" w:ascii="宋体" w:hAnsi="宋体" w:eastAsia="宋体" w:cs="宋体"/>
          <w:b w:val="0"/>
          <w:bCs w:val="0"/>
          <w:sz w:val="21"/>
          <w:szCs w:val="21"/>
          <w:highlight w:val="none"/>
          <w:lang w:eastAsia="zh-CN"/>
        </w:rPr>
        <w:t>的投标价格，</w:t>
      </w:r>
      <w:r>
        <w:rPr>
          <w:rFonts w:hint="eastAsia" w:ascii="宋体" w:hAnsi="宋体" w:eastAsia="宋体" w:cs="宋体"/>
          <w:b w:val="0"/>
          <w:bCs w:val="0"/>
          <w:sz w:val="21"/>
          <w:szCs w:val="21"/>
          <w:highlight w:val="none"/>
        </w:rPr>
        <w:t>按照财政部财库【2007】2号、【2020】46号文件的有关规定，以本次满足投标文件要求的最低投标评审价为评审基准价，其价格为满分。</w:t>
      </w:r>
    </w:p>
    <w:p w14:paraId="1ED6E76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如果同一包为单一产品，或同一包为多种产品，全部符合政策优惠条件的（即小微企业自身生产或中小企业代理的小微企业生产的产品），对总报价进行调整，调整后的报价作为投标评审价。投标评审价按下列公示计算：</w:t>
      </w:r>
    </w:p>
    <w:p w14:paraId="5740DF3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投标评审价=投标报价×（1-投标报价折扣幅度）</w:t>
      </w:r>
    </w:p>
    <w:p w14:paraId="451EB7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2</w:t>
      </w:r>
      <w:r>
        <w:rPr>
          <w:rFonts w:hint="default" w:ascii="Times New Roman" w:hAnsi="Times New Roman" w:eastAsia="宋体" w:cs="Times New Roman"/>
          <w:b w:val="0"/>
          <w:bCs w:val="0"/>
          <w:sz w:val="21"/>
          <w:szCs w:val="21"/>
          <w:highlight w:val="none"/>
        </w:rPr>
        <w:t>）</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的价格得分按下列公式计算：</w:t>
      </w:r>
    </w:p>
    <w:p w14:paraId="6D3788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投标报价得分=</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投标基准价／投标评审价</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×价格权值×100</w:t>
      </w:r>
    </w:p>
    <w:p w14:paraId="31C87AB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注：</w:t>
      </w:r>
      <w:r>
        <w:rPr>
          <w:rFonts w:hint="eastAsia" w:cs="Times New Roman"/>
          <w:b/>
          <w:bCs/>
          <w:sz w:val="21"/>
          <w:szCs w:val="21"/>
          <w:highlight w:val="none"/>
          <w:lang w:val="en-US" w:eastAsia="zh-CN"/>
        </w:rPr>
        <w:t>所投产品中有一种不是中小企业</w:t>
      </w:r>
      <w:r>
        <w:rPr>
          <w:rFonts w:hint="eastAsia" w:ascii="Times New Roman" w:hAnsi="Times New Roman" w:eastAsia="宋体" w:cs="Times New Roman"/>
          <w:b/>
          <w:bCs/>
          <w:sz w:val="21"/>
          <w:szCs w:val="21"/>
          <w:highlight w:val="none"/>
        </w:rPr>
        <w:t>的不享受此项优惠）</w:t>
      </w:r>
    </w:p>
    <w:p w14:paraId="155BE5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2.2.3.2.2</w:t>
      </w:r>
      <w:r>
        <w:rPr>
          <w:rFonts w:hint="eastAsia" w:ascii="宋体" w:hAnsi="宋体" w:eastAsia="宋体" w:cs="宋体"/>
          <w:b w:val="0"/>
          <w:bCs w:val="0"/>
          <w:sz w:val="21"/>
          <w:szCs w:val="21"/>
          <w:highlight w:val="none"/>
          <w:lang w:eastAsia="zh-CN"/>
        </w:rPr>
        <w:t>中小企业</w:t>
      </w:r>
      <w:r>
        <w:rPr>
          <w:rFonts w:hint="eastAsia" w:ascii="宋体" w:hAnsi="宋体" w:eastAsia="宋体" w:cs="宋体"/>
          <w:b w:val="0"/>
          <w:bCs w:val="0"/>
          <w:sz w:val="21"/>
          <w:szCs w:val="21"/>
          <w:highlight w:val="none"/>
        </w:rPr>
        <w:t>（含联合体）、监狱</w:t>
      </w:r>
      <w:r>
        <w:rPr>
          <w:rFonts w:hint="eastAsia" w:ascii="宋体" w:hAnsi="宋体" w:eastAsia="宋体" w:cs="宋体"/>
          <w:b w:val="0"/>
          <w:bCs w:val="0"/>
          <w:color w:val="auto"/>
          <w:sz w:val="21"/>
          <w:szCs w:val="21"/>
          <w:highlight w:val="none"/>
        </w:rPr>
        <w:t>企业</w:t>
      </w:r>
      <w:r>
        <w:rPr>
          <w:rFonts w:hint="eastAsia" w:ascii="宋体" w:hAnsi="宋体" w:eastAsia="宋体" w:cs="宋体"/>
          <w:b w:val="0"/>
          <w:bCs w:val="0"/>
          <w:color w:val="auto"/>
          <w:sz w:val="21"/>
          <w:szCs w:val="21"/>
          <w:highlight w:val="none"/>
          <w:lang w:eastAsia="zh-CN"/>
        </w:rPr>
        <w:t>、残疾人福利性企业</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eastAsia="zh-CN"/>
        </w:rPr>
        <w:t>评标价计算规则</w:t>
      </w:r>
      <w:r>
        <w:rPr>
          <w:rFonts w:hint="eastAsia" w:ascii="宋体" w:hAnsi="宋体" w:eastAsia="宋体" w:cs="宋体"/>
          <w:b w:val="0"/>
          <w:bCs w:val="0"/>
          <w:color w:val="auto"/>
          <w:sz w:val="21"/>
          <w:szCs w:val="21"/>
          <w:highlight w:val="none"/>
        </w:rPr>
        <w:t>：</w:t>
      </w:r>
    </w:p>
    <w:p w14:paraId="1C9F31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color w:val="1129B9"/>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（1）、《政府采购促进中小企业发展管理办法》（财库[2020]46号）中所称</w:t>
      </w:r>
      <w:r>
        <w:rPr>
          <w:rFonts w:hint="eastAsia" w:ascii="宋体" w:hAnsi="宋体" w:eastAsia="宋体" w:cs="宋体"/>
          <w:b w:val="0"/>
          <w:bCs w:val="0"/>
          <w:color w:val="000000" w:themeColor="text1"/>
          <w:sz w:val="21"/>
          <w:szCs w:val="21"/>
          <w:highlight w:val="none"/>
          <w14:textFill>
            <w14:solidFill>
              <w14:schemeClr w14:val="tx1"/>
            </w14:solidFill>
          </w14:textFill>
        </w:rPr>
        <w:t>中小企业（含中型、小型、微型企业，下同）应当同时符合以下条件：</w:t>
      </w:r>
    </w:p>
    <w:p w14:paraId="23148B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w:t>
      </w:r>
      <w:r>
        <w:rPr>
          <w:rFonts w:hint="eastAsia" w:ascii="宋体" w:hAnsi="宋体" w:eastAsia="宋体" w:cs="宋体"/>
          <w:b w:val="0"/>
          <w:bCs w:val="0"/>
          <w:sz w:val="21"/>
          <w:szCs w:val="21"/>
          <w:highlight w:val="none"/>
        </w:rPr>
        <w:t>符合中小企业划分标准；</w:t>
      </w:r>
    </w:p>
    <w:p w14:paraId="5EE1BA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b、</w:t>
      </w:r>
      <w:r>
        <w:rPr>
          <w:rFonts w:hint="eastAsia" w:ascii="宋体" w:hAnsi="宋体" w:eastAsia="宋体" w:cs="宋体"/>
          <w:b w:val="0"/>
          <w:bCs w:val="0"/>
          <w:sz w:val="21"/>
          <w:szCs w:val="21"/>
          <w:highlight w:val="none"/>
        </w:rPr>
        <w:t>投标提供本企业制造的货物、承担的工程或者服务，或者提供其他中小企业制造的货物。本项所称货物不包括使用大型企业注册商标的货物。</w:t>
      </w:r>
    </w:p>
    <w:p w14:paraId="6A4EB4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本</w:t>
      </w:r>
      <w:r>
        <w:rPr>
          <w:rFonts w:hint="eastAsia" w:ascii="宋体" w:hAnsi="宋体" w:eastAsia="宋体" w:cs="宋体"/>
          <w:b w:val="0"/>
          <w:bCs w:val="0"/>
          <w:sz w:val="21"/>
          <w:szCs w:val="21"/>
          <w:highlight w:val="none"/>
          <w:lang w:eastAsia="zh-CN"/>
        </w:rPr>
        <w:t>办法</w:t>
      </w:r>
      <w:r>
        <w:rPr>
          <w:rFonts w:hint="eastAsia" w:ascii="宋体" w:hAnsi="宋体" w:eastAsia="宋体" w:cs="宋体"/>
          <w:b w:val="0"/>
          <w:bCs w:val="0"/>
          <w:sz w:val="21"/>
          <w:szCs w:val="21"/>
          <w:highlight w:val="none"/>
        </w:rPr>
        <w:t>所称中小企业划分标准，是指国务院有关部门根据企业从业人员、营业收入、资产总额等指标制定的中小企业划型标准（工信部联企业〔2011〕300号）</w:t>
      </w:r>
      <w:r>
        <w:rPr>
          <w:rFonts w:hint="eastAsia" w:ascii="宋体" w:hAnsi="宋体" w:eastAsia="宋体" w:cs="宋体"/>
          <w:b w:val="0"/>
          <w:bCs w:val="0"/>
          <w:sz w:val="21"/>
          <w:szCs w:val="21"/>
          <w:highlight w:val="none"/>
          <w:lang w:eastAsia="zh-CN"/>
        </w:rPr>
        <w:t>；</w:t>
      </w:r>
    </w:p>
    <w:p w14:paraId="0C675E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小型、微型企业提供有中型企业制造的货物的，视同为中型企业；小型、微型、中型企业提供有大型企业制造的货物的，视同为大型企业。</w:t>
      </w:r>
    </w:p>
    <w:p w14:paraId="093B17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（4）、《关于政府采购支持监狱企业发展有关问题的通知》（财库[2014]68号）中所称</w:t>
      </w:r>
      <w:r>
        <w:rPr>
          <w:rFonts w:hint="eastAsia" w:ascii="宋体" w:hAnsi="宋体" w:eastAsia="宋体" w:cs="宋体"/>
          <w:b w:val="0"/>
          <w:bCs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C5771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残疾人福利性</w:t>
      </w:r>
      <w:r>
        <w:rPr>
          <w:rFonts w:hint="eastAsia" w:ascii="宋体" w:hAnsi="宋体" w:eastAsia="宋体" w:cs="宋体"/>
          <w:color w:val="auto"/>
          <w:szCs w:val="21"/>
          <w:highlight w:val="none"/>
          <w:lang w:eastAsia="zh-CN"/>
        </w:rPr>
        <w:t>企业</w:t>
      </w:r>
      <w:r>
        <w:rPr>
          <w:rFonts w:hint="eastAsia" w:ascii="宋体" w:hAnsi="宋体" w:eastAsia="宋体" w:cs="宋体"/>
          <w:color w:val="auto"/>
          <w:szCs w:val="21"/>
          <w:highlight w:val="none"/>
        </w:rPr>
        <w:t>应符合《关于促进残疾人就业政府采购政策的通知》的规定</w:t>
      </w:r>
      <w:r>
        <w:rPr>
          <w:rFonts w:hint="eastAsia" w:ascii="宋体" w:hAnsi="宋体" w:eastAsia="宋体" w:cs="宋体"/>
          <w:color w:val="auto"/>
          <w:szCs w:val="21"/>
          <w:highlight w:val="none"/>
          <w:lang w:eastAsia="zh-CN"/>
        </w:rPr>
        <w:t>；</w:t>
      </w:r>
    </w:p>
    <w:p w14:paraId="1563DAD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（6）中小企业、监狱和</w:t>
      </w:r>
      <w:r>
        <w:rPr>
          <w:rFonts w:hint="eastAsia" w:ascii="宋体" w:hAnsi="宋体" w:eastAsia="宋体" w:cs="宋体"/>
          <w:b w:val="0"/>
          <w:bCs w:val="0"/>
          <w:sz w:val="21"/>
          <w:szCs w:val="21"/>
          <w:highlight w:val="none"/>
        </w:rPr>
        <w:t>戒毒企业</w:t>
      </w:r>
      <w:r>
        <w:rPr>
          <w:rFonts w:hint="eastAsia" w:ascii="宋体" w:hAnsi="宋体" w:eastAsia="宋体" w:cs="宋体"/>
          <w:b w:val="0"/>
          <w:bCs w:val="0"/>
          <w:sz w:val="21"/>
          <w:szCs w:val="21"/>
          <w:highlight w:val="none"/>
          <w:lang w:eastAsia="zh-CN"/>
        </w:rPr>
        <w:t>、</w:t>
      </w:r>
      <w:r>
        <w:rPr>
          <w:rFonts w:hint="eastAsia" w:ascii="宋体" w:hAnsi="宋体" w:eastAsia="宋体" w:cs="宋体"/>
          <w:color w:val="auto"/>
          <w:szCs w:val="21"/>
          <w:highlight w:val="none"/>
        </w:rPr>
        <w:t>残疾人福利性</w:t>
      </w:r>
      <w:r>
        <w:rPr>
          <w:rFonts w:hint="eastAsia" w:ascii="宋体" w:hAnsi="宋体" w:eastAsia="宋体" w:cs="宋体"/>
          <w:color w:val="auto"/>
          <w:szCs w:val="21"/>
          <w:highlight w:val="none"/>
          <w:lang w:eastAsia="zh-CN"/>
        </w:rPr>
        <w:t>企业</w:t>
      </w:r>
      <w:r>
        <w:rPr>
          <w:rFonts w:hint="eastAsia" w:ascii="宋体" w:hAnsi="宋体" w:eastAsia="宋体" w:cs="宋体"/>
          <w:b w:val="0"/>
          <w:bCs w:val="0"/>
          <w:sz w:val="21"/>
          <w:szCs w:val="21"/>
          <w:highlight w:val="none"/>
          <w:lang w:val="en-US" w:eastAsia="zh-CN"/>
        </w:rPr>
        <w:t>评标价的计算：</w:t>
      </w:r>
    </w:p>
    <w:p w14:paraId="4807A3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a、投标人为非联合体投标的情况：</w:t>
      </w:r>
    </w:p>
    <w:p w14:paraId="1CD0A20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小型企业，其评标价=投标报价*（1-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p w14:paraId="5A53BCA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微型企业，其评标价=投标报价*（1-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p w14:paraId="0D8C39C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监狱企业，其评标价=投标报价*（1-</w:t>
      </w:r>
      <w:r>
        <w:rPr>
          <w:rFonts w:hint="eastAsia"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w:t>
      </w:r>
    </w:p>
    <w:p w14:paraId="3F28257C">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残疾人福利性企业，其评标价</w:t>
      </w:r>
      <w:r>
        <w:rPr>
          <w:rFonts w:hint="default" w:ascii="Times New Roman" w:hAnsi="Times New Roman" w:eastAsia="宋体" w:cs="Times New Roman"/>
          <w:b/>
          <w:bCs/>
          <w:sz w:val="21"/>
          <w:szCs w:val="21"/>
          <w:highlight w:val="none"/>
        </w:rPr>
        <w:t>=投标报价*（1-</w:t>
      </w:r>
      <w:r>
        <w:rPr>
          <w:rFonts w:hint="eastAsia"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w:t>
      </w:r>
    </w:p>
    <w:p w14:paraId="36E8B9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b、投标人为</w:t>
      </w:r>
      <w:r>
        <w:rPr>
          <w:rFonts w:hint="default" w:ascii="Times New Roman" w:hAnsi="Times New Roman" w:eastAsia="宋体" w:cs="Times New Roman"/>
          <w:b w:val="0"/>
          <w:bCs w:val="0"/>
          <w:sz w:val="21"/>
          <w:szCs w:val="21"/>
          <w:highlight w:val="none"/>
        </w:rPr>
        <w:t>联合体投标</w:t>
      </w:r>
      <w:r>
        <w:rPr>
          <w:rFonts w:hint="eastAsia" w:ascii="Times New Roman" w:hAnsi="Times New Roman" w:eastAsia="宋体" w:cs="Times New Roman"/>
          <w:b w:val="0"/>
          <w:bCs w:val="0"/>
          <w:sz w:val="21"/>
          <w:szCs w:val="21"/>
          <w:highlight w:val="none"/>
          <w:lang w:eastAsia="zh-CN"/>
        </w:rPr>
        <w:t>且联合协议中</w:t>
      </w:r>
      <w:r>
        <w:rPr>
          <w:rFonts w:hint="default" w:ascii="Times New Roman" w:hAnsi="Times New Roman" w:eastAsia="宋体" w:cs="Times New Roman"/>
          <w:b w:val="0"/>
          <w:bCs w:val="0"/>
          <w:sz w:val="21"/>
          <w:szCs w:val="21"/>
          <w:highlight w:val="none"/>
        </w:rPr>
        <w:t>约定小型、微型企业</w:t>
      </w:r>
      <w:r>
        <w:rPr>
          <w:rFonts w:hint="eastAsia" w:ascii="Times New Roman" w:hAnsi="Times New Roman" w:eastAsia="宋体" w:cs="Times New Roman"/>
          <w:b w:val="0"/>
          <w:bCs w:val="0"/>
          <w:sz w:val="21"/>
          <w:szCs w:val="21"/>
          <w:highlight w:val="none"/>
          <w:lang w:eastAsia="zh-CN"/>
        </w:rPr>
        <w:t>、监狱企业、</w:t>
      </w:r>
      <w:r>
        <w:rPr>
          <w:rFonts w:hint="eastAsia"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残疾人福利性单位</w:t>
      </w:r>
      <w:r>
        <w:rPr>
          <w:rFonts w:hint="default" w:ascii="Times New Roman" w:hAnsi="Times New Roman" w:eastAsia="宋体" w:cs="Times New Roman"/>
          <w:b w:val="0"/>
          <w:bCs w:val="0"/>
          <w:sz w:val="21"/>
          <w:szCs w:val="21"/>
          <w:highlight w:val="none"/>
        </w:rPr>
        <w:t>的协议合同金额占到联合体协议合同总金额</w:t>
      </w:r>
      <w:r>
        <w:rPr>
          <w:rFonts w:hint="eastAsia" w:cs="Times New Roman"/>
          <w:b w:val="0"/>
          <w:bCs w:val="0"/>
          <w:sz w:val="21"/>
          <w:szCs w:val="21"/>
          <w:highlight w:val="none"/>
          <w:lang w:val="en-US" w:eastAsia="zh-CN"/>
        </w:rPr>
        <w:t>4</w:t>
      </w:r>
      <w:r>
        <w:rPr>
          <w:rFonts w:hint="default" w:ascii="Times New Roman" w:hAnsi="Times New Roman" w:eastAsia="宋体" w:cs="Times New Roman"/>
          <w:b w:val="0"/>
          <w:bCs w:val="0"/>
          <w:sz w:val="21"/>
          <w:szCs w:val="21"/>
          <w:highlight w:val="none"/>
        </w:rPr>
        <w:t>0%以上的，</w:t>
      </w:r>
      <w:r>
        <w:rPr>
          <w:rFonts w:hint="eastAsia" w:ascii="Times New Roman" w:hAnsi="Times New Roman" w:eastAsia="宋体" w:cs="Times New Roman"/>
          <w:b w:val="0"/>
          <w:bCs w:val="0"/>
          <w:sz w:val="21"/>
          <w:szCs w:val="21"/>
          <w:highlight w:val="none"/>
          <w:lang w:eastAsia="zh-CN"/>
        </w:rPr>
        <w:t>按照以下规则进行评标价计算：</w:t>
      </w:r>
    </w:p>
    <w:p w14:paraId="7F8A9232">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与小型企业联合的，其评标价=投标报价*（1-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w:t>
      </w:r>
    </w:p>
    <w:p w14:paraId="1D696A1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与微型企业联合的，其评标价=投标报价*（1-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w:t>
      </w:r>
      <w:r>
        <w:rPr>
          <w:rFonts w:hint="eastAsia" w:ascii="Times New Roman" w:hAnsi="Times New Roman" w:eastAsia="宋体" w:cs="Times New Roman"/>
          <w:b/>
          <w:bCs/>
          <w:color w:val="auto"/>
          <w:sz w:val="21"/>
          <w:szCs w:val="21"/>
          <w:highlight w:val="none"/>
          <w:lang w:eastAsia="zh-CN"/>
        </w:rPr>
        <w:t>；</w:t>
      </w:r>
    </w:p>
    <w:p w14:paraId="5E0AE95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与监狱企业联合的，其评标价=投标报价*（1-2%）</w:t>
      </w:r>
      <w:r>
        <w:rPr>
          <w:rFonts w:hint="eastAsia" w:ascii="Times New Roman" w:hAnsi="Times New Roman" w:eastAsia="宋体" w:cs="Times New Roman"/>
          <w:b/>
          <w:bCs/>
          <w:sz w:val="21"/>
          <w:szCs w:val="21"/>
          <w:highlight w:val="none"/>
          <w:lang w:eastAsia="zh-CN"/>
        </w:rPr>
        <w:t>；</w:t>
      </w:r>
    </w:p>
    <w:p w14:paraId="1A7D518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与</w:t>
      </w:r>
      <w:r>
        <w:rPr>
          <w:rFonts w:hint="eastAsia" w:ascii="Times New Roman" w:hAnsi="Times New Roman" w:eastAsia="宋体" w:cs="Times New Roman"/>
          <w:b/>
          <w:bCs/>
          <w:sz w:val="21"/>
          <w:szCs w:val="21"/>
          <w:highlight w:val="none"/>
          <w:lang w:eastAsia="zh-CN"/>
        </w:rPr>
        <w:t>残疾人福利性企业</w:t>
      </w:r>
      <w:r>
        <w:rPr>
          <w:rFonts w:hint="default" w:ascii="Times New Roman" w:hAnsi="Times New Roman" w:eastAsia="宋体" w:cs="Times New Roman"/>
          <w:b/>
          <w:bCs/>
          <w:sz w:val="21"/>
          <w:szCs w:val="21"/>
          <w:highlight w:val="none"/>
        </w:rPr>
        <w:t>联合的，其评标价=投标报价*（1-2%）</w:t>
      </w:r>
      <w:r>
        <w:rPr>
          <w:rFonts w:hint="eastAsia" w:ascii="Times New Roman" w:hAnsi="Times New Roman" w:eastAsia="宋体" w:cs="Times New Roman"/>
          <w:b/>
          <w:bCs/>
          <w:sz w:val="21"/>
          <w:szCs w:val="21"/>
          <w:highlight w:val="none"/>
          <w:lang w:eastAsia="zh-CN"/>
        </w:rPr>
        <w:t>。</w:t>
      </w:r>
    </w:p>
    <w:p w14:paraId="68780A73">
      <w:pPr>
        <w:spacing w:line="500" w:lineRule="exact"/>
        <w:ind w:firstLine="420" w:firstLineChars="200"/>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w:t>
      </w:r>
      <w:r>
        <w:rPr>
          <w:rFonts w:hint="eastAsia" w:ascii="Times New Roman" w:hAnsi="Times New Roman" w:eastAsia="宋体" w:cs="Times New Roman"/>
          <w:bCs/>
          <w:szCs w:val="21"/>
          <w:highlight w:val="none"/>
          <w:lang w:val="en-US" w:eastAsia="zh-CN"/>
        </w:rPr>
        <w:t>7</w:t>
      </w:r>
      <w:r>
        <w:rPr>
          <w:rFonts w:hint="eastAsia" w:ascii="Times New Roman" w:hAnsi="Times New Roman" w:eastAsia="宋体" w:cs="Times New Roman"/>
          <w:bCs/>
          <w:szCs w:val="21"/>
          <w:highlight w:val="none"/>
        </w:rPr>
        <w:t>）</w:t>
      </w:r>
      <w:r>
        <w:rPr>
          <w:rFonts w:hint="eastAsia" w:ascii="宋体" w:hAnsi="宋体" w:eastAsia="宋体" w:cs="Times New Roman"/>
          <w:szCs w:val="21"/>
          <w:highlight w:val="none"/>
        </w:rPr>
        <w:t>残疾人福利性</w:t>
      </w:r>
      <w:r>
        <w:rPr>
          <w:rFonts w:hint="eastAsia" w:ascii="宋体" w:hAnsi="宋体" w:eastAsia="宋体" w:cs="Times New Roman"/>
          <w:szCs w:val="21"/>
          <w:highlight w:val="none"/>
          <w:lang w:eastAsia="zh-CN"/>
        </w:rPr>
        <w:t>企业</w:t>
      </w:r>
      <w:r>
        <w:rPr>
          <w:rFonts w:hint="eastAsia" w:ascii="宋体" w:hAnsi="宋体" w:eastAsia="宋体" w:cs="Times New Roman"/>
          <w:szCs w:val="21"/>
          <w:highlight w:val="none"/>
        </w:rPr>
        <w:t>按照第</w:t>
      </w:r>
      <w:r>
        <w:rPr>
          <w:rFonts w:hint="eastAsia" w:ascii="Times New Roman" w:hAnsi="Times New Roman" w:eastAsia="宋体" w:cs="Times New Roman"/>
          <w:b w:val="0"/>
          <w:bCs w:val="0"/>
          <w:color w:val="auto"/>
          <w:sz w:val="21"/>
          <w:szCs w:val="21"/>
          <w:highlight w:val="none"/>
          <w:lang w:val="en-US" w:eastAsia="zh-CN"/>
        </w:rPr>
        <w:t>2.2.3.2.3</w:t>
      </w:r>
      <w:r>
        <w:rPr>
          <w:rFonts w:hint="eastAsia" w:ascii="宋体" w:hAnsi="宋体" w:eastAsia="宋体" w:cs="Times New Roman"/>
          <w:szCs w:val="21"/>
          <w:highlight w:val="none"/>
        </w:rPr>
        <w:t>条实行，若残疾人福利性单位属于小型、微型企业的，不重复享受政策。</w:t>
      </w:r>
    </w:p>
    <w:p w14:paraId="25949132">
      <w:pPr>
        <w:spacing w:line="500" w:lineRule="exact"/>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8</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中小企业、监狱和戒毒企业</w:t>
      </w:r>
      <w:r>
        <w:rPr>
          <w:rFonts w:hint="eastAsia" w:ascii="Times New Roman" w:hAnsi="Times New Roman" w:eastAsia="宋体" w:cs="Times New Roman"/>
          <w:szCs w:val="21"/>
          <w:highlight w:val="none"/>
          <w:lang w:eastAsia="zh-CN"/>
        </w:rPr>
        <w:t>、</w:t>
      </w:r>
      <w:r>
        <w:rPr>
          <w:rFonts w:hint="eastAsia" w:ascii="宋体" w:hAnsi="宋体" w:eastAsia="宋体" w:cs="Times New Roman"/>
          <w:szCs w:val="21"/>
          <w:highlight w:val="none"/>
        </w:rPr>
        <w:t>残疾人福利性</w:t>
      </w:r>
      <w:r>
        <w:rPr>
          <w:rFonts w:hint="eastAsia" w:ascii="宋体" w:hAnsi="宋体" w:eastAsia="宋体" w:cs="Times New Roman"/>
          <w:szCs w:val="21"/>
          <w:highlight w:val="none"/>
          <w:lang w:eastAsia="zh-CN"/>
        </w:rPr>
        <w:t>企业</w:t>
      </w:r>
      <w:r>
        <w:rPr>
          <w:rFonts w:ascii="Times New Roman" w:hAnsi="Times New Roman" w:eastAsia="宋体" w:cs="Times New Roman"/>
          <w:szCs w:val="21"/>
          <w:highlight w:val="none"/>
        </w:rPr>
        <w:t>须提供证明文件：</w:t>
      </w:r>
    </w:p>
    <w:p w14:paraId="10A3E689">
      <w:pPr>
        <w:spacing w:line="50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   </w:t>
      </w:r>
      <w:r>
        <w:rPr>
          <w:rFonts w:hint="eastAsia" w:ascii="Times New Roman" w:hAnsi="Times New Roman" w:eastAsia="宋体" w:cs="Times New Roman"/>
          <w:color w:val="auto"/>
          <w:szCs w:val="21"/>
          <w:highlight w:val="none"/>
        </w:rPr>
        <w:t xml:space="preserve"> a、</w:t>
      </w:r>
      <w:r>
        <w:rPr>
          <w:rFonts w:ascii="Times New Roman" w:hAnsi="Times New Roman" w:eastAsia="宋体" w:cs="Times New Roman"/>
          <w:color w:val="auto"/>
          <w:szCs w:val="21"/>
          <w:highlight w:val="none"/>
        </w:rPr>
        <w:t>中小企业应符合《</w:t>
      </w:r>
      <w:r>
        <w:rPr>
          <w:rFonts w:hint="eastAsia" w:ascii="Times New Roman" w:hAnsi="Times New Roman" w:eastAsia="宋体" w:cs="Times New Roman"/>
          <w:color w:val="auto"/>
          <w:szCs w:val="21"/>
          <w:highlight w:val="none"/>
        </w:rPr>
        <w:t>政府采购促进中小企业发展管理办法</w:t>
      </w:r>
      <w:r>
        <w:rPr>
          <w:rFonts w:ascii="Times New Roman" w:hAnsi="Times New Roman" w:eastAsia="宋体" w:cs="Times New Roman"/>
          <w:color w:val="auto"/>
          <w:szCs w:val="21"/>
          <w:highlight w:val="none"/>
        </w:rPr>
        <w:t>》的规定，并提供《中小企业声明函》（提供其他中小企业制造的货物时还需提供货物制造商的声明函）。</w:t>
      </w:r>
    </w:p>
    <w:p w14:paraId="7B2661F8">
      <w:pPr>
        <w:spacing w:line="500" w:lineRule="exact"/>
        <w:ind w:firstLine="42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w:t>
      </w:r>
      <w:r>
        <w:rPr>
          <w:rFonts w:ascii="Times New Roman" w:hAnsi="Times New Roman" w:eastAsia="宋体" w:cs="Times New Roman"/>
          <w:szCs w:val="21"/>
          <w:highlight w:val="none"/>
        </w:rPr>
        <w:t>监狱和戒毒企业应符合《财政部 司法部关于政府采购支持监狱企业发展有关问题的通知》，并提供由省级以上监狱管理局、戒毒管理局(含新疆生产建设兵团)出具的属于监狱企业的证明文件。</w:t>
      </w:r>
    </w:p>
    <w:p w14:paraId="0C75CC47">
      <w:pPr>
        <w:spacing w:line="500" w:lineRule="exact"/>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c、</w:t>
      </w:r>
      <w:r>
        <w:rPr>
          <w:rFonts w:hint="eastAsia" w:ascii="宋体" w:hAnsi="宋体" w:eastAsia="宋体" w:cs="Times New Roman"/>
          <w:color w:val="auto"/>
          <w:szCs w:val="21"/>
          <w:highlight w:val="none"/>
        </w:rPr>
        <w:t>残疾人福利性</w:t>
      </w:r>
      <w:r>
        <w:rPr>
          <w:rFonts w:hint="eastAsia" w:ascii="宋体" w:hAnsi="宋体" w:eastAsia="宋体" w:cs="Times New Roman"/>
          <w:color w:val="auto"/>
          <w:szCs w:val="21"/>
          <w:highlight w:val="none"/>
          <w:lang w:eastAsia="zh-CN"/>
        </w:rPr>
        <w:t>企业</w:t>
      </w:r>
      <w:r>
        <w:rPr>
          <w:rFonts w:hint="eastAsia" w:ascii="宋体" w:hAnsi="宋体" w:eastAsia="宋体" w:cs="Times New Roman"/>
          <w:color w:val="auto"/>
          <w:szCs w:val="21"/>
          <w:highlight w:val="none"/>
        </w:rPr>
        <w:t>应</w:t>
      </w:r>
      <w:r>
        <w:rPr>
          <w:rFonts w:hint="eastAsia" w:ascii="宋体" w:hAnsi="宋体" w:eastAsia="宋体" w:cs="Times New Roman"/>
          <w:color w:val="auto"/>
          <w:szCs w:val="21"/>
          <w:highlight w:val="none"/>
          <w:lang w:eastAsia="zh-CN"/>
        </w:rPr>
        <w:t>按照</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关于促进残疾人就业政府采购政策的通知</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的规定，并提供《残疾人福利性单位声明函》</w:t>
      </w:r>
    </w:p>
    <w:p w14:paraId="1C0510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2.2.3.2.4 </w:t>
      </w:r>
      <w:r>
        <w:rPr>
          <w:rFonts w:hint="eastAsia" w:ascii="宋体" w:hAnsi="宋体" w:eastAsia="宋体" w:cs="宋体"/>
          <w:b w:val="0"/>
          <w:bCs w:val="0"/>
          <w:sz w:val="21"/>
          <w:szCs w:val="21"/>
          <w:highlight w:val="none"/>
        </w:rPr>
        <w:t>对于不享受以上政策性优惠价格调整的，其评标价=按照以上</w:t>
      </w:r>
      <w:r>
        <w:rPr>
          <w:rFonts w:hint="eastAsia" w:ascii="宋体" w:hAnsi="宋体" w:eastAsia="宋体" w:cs="宋体"/>
          <w:b w:val="0"/>
          <w:bCs w:val="0"/>
          <w:sz w:val="21"/>
          <w:szCs w:val="21"/>
          <w:highlight w:val="none"/>
          <w:lang w:val="en-US" w:eastAsia="zh-CN"/>
        </w:rPr>
        <w:t>2.2.3.2.1</w:t>
      </w:r>
      <w:r>
        <w:rPr>
          <w:rFonts w:hint="eastAsia" w:ascii="宋体" w:hAnsi="宋体" w:eastAsia="宋体" w:cs="宋体"/>
          <w:b w:val="0"/>
          <w:bCs w:val="0"/>
          <w:sz w:val="21"/>
          <w:szCs w:val="21"/>
          <w:highlight w:val="none"/>
        </w:rPr>
        <w:t>条款修正后的投标总价</w:t>
      </w:r>
      <w:r>
        <w:rPr>
          <w:rFonts w:hint="eastAsia" w:ascii="宋体" w:hAnsi="宋体" w:eastAsia="宋体" w:cs="宋体"/>
          <w:b w:val="0"/>
          <w:bCs w:val="0"/>
          <w:sz w:val="21"/>
          <w:szCs w:val="21"/>
          <w:highlight w:val="none"/>
          <w:lang w:eastAsia="zh-CN"/>
        </w:rPr>
        <w:t>。</w:t>
      </w:r>
    </w:p>
    <w:p w14:paraId="7FE04FCF">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w:t>
      </w:r>
      <w:r>
        <w:rPr>
          <w:rFonts w:hint="eastAsia" w:ascii="宋体" w:hAnsi="宋体" w:eastAsia="宋体" w:cs="宋体"/>
          <w:b w:val="0"/>
          <w:bCs w:val="0"/>
          <w:sz w:val="21"/>
          <w:szCs w:val="21"/>
          <w:highlight w:val="none"/>
          <w:lang w:val="en-US" w:eastAsia="zh-CN"/>
        </w:rPr>
        <w:t xml:space="preserve">3 </w:t>
      </w:r>
      <w:r>
        <w:rPr>
          <w:rFonts w:hint="eastAsia" w:ascii="宋体" w:hAnsi="宋体" w:eastAsia="宋体" w:cs="宋体"/>
          <w:b w:val="0"/>
          <w:bCs w:val="0"/>
          <w:sz w:val="21"/>
          <w:szCs w:val="21"/>
          <w:highlight w:val="none"/>
        </w:rPr>
        <w:t>由评标委员会独立地根据各项因素的评分标准，结合每个</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的实际情况，分别就投标报价以外的各项评审因素对每个</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独立打分。</w:t>
      </w:r>
    </w:p>
    <w:p w14:paraId="4A9501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2.3.4</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将所有评审因素所得实际评审分数相加，即为该</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的评审总得分。评审总得分按下列公式计算：</w:t>
      </w:r>
    </w:p>
    <w:p w14:paraId="43FC509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评审总得分＝F1×A1＋F2×A2＋……＋Fn×An</w:t>
      </w:r>
    </w:p>
    <w:p w14:paraId="00A01CE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F1、F2……Fn分别为各项评审因素的汇总得分；</w:t>
      </w:r>
    </w:p>
    <w:p w14:paraId="25A1CD4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A1、A2……An分别为各项评审因素所占的权重</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A1＋A2＋……＋An＝1</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w:t>
      </w:r>
    </w:p>
    <w:p w14:paraId="5FD22153">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bCs/>
          <w:sz w:val="21"/>
          <w:szCs w:val="21"/>
          <w:highlight w:val="none"/>
        </w:rPr>
        <w:t>评审过程中，不得去掉报价中的最高报价和最低报价。</w:t>
      </w:r>
    </w:p>
    <w:p w14:paraId="42724531">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default"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3.5</w:t>
      </w:r>
      <w:r>
        <w:rPr>
          <w:rFonts w:hint="default" w:ascii="宋体" w:hAnsi="宋体" w:eastAsia="宋体" w:cs="宋体"/>
          <w:b w:val="0"/>
          <w:bCs w:val="0"/>
          <w:sz w:val="21"/>
          <w:szCs w:val="21"/>
          <w:highlight w:val="none"/>
          <w:lang w:val="en-US" w:eastAsia="zh-CN"/>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6EB5DFDE">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（1）文字表述的内容含义不明确；</w:t>
      </w:r>
    </w:p>
    <w:p w14:paraId="7BA682A1">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（2）同类问题表述不一致；</w:t>
      </w:r>
    </w:p>
    <w:p w14:paraId="27B7342A">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（3）有明显文字和计算错误；</w:t>
      </w:r>
    </w:p>
    <w:p w14:paraId="19B5E282">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（4）提供的技术信息和数据资料不完整；</w:t>
      </w:r>
    </w:p>
    <w:p w14:paraId="2A907D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（5）投标文件未按招标文件要求编制目录、页码；</w:t>
      </w:r>
    </w:p>
    <w:p w14:paraId="6957DC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（6）评标委员会认定的其他非实质性偏离。</w:t>
      </w:r>
    </w:p>
    <w:p w14:paraId="7250E02A">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投标文件有上述（1）至（4）情形之一的，评标委员会应当书面要求</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在规定的时间内予以澄清、说明或补正。</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拒不或在规定的时间内没有进行澄清、说明或补正或澄清、说明、补正的内容也不能说明问题的，视为投标文件制作不规范，按每一项非实质性偏离进行扣分处理，直至该项分值扣完为止。</w:t>
      </w:r>
    </w:p>
    <w:p w14:paraId="188A62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 xml:space="preserve">3.6 </w:t>
      </w:r>
      <w:r>
        <w:rPr>
          <w:rFonts w:hint="eastAsia" w:ascii="宋体" w:hAnsi="宋体" w:eastAsia="宋体" w:cs="宋体"/>
          <w:b w:val="0"/>
          <w:bCs w:val="0"/>
          <w:sz w:val="21"/>
          <w:szCs w:val="21"/>
          <w:highlight w:val="none"/>
        </w:rPr>
        <w:t>在投标文件初审过程中，如果出现评标委员会成员意见不一致的情况，按照少数服从多数的原则确定。</w:t>
      </w:r>
    </w:p>
    <w:p w14:paraId="04E62B8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 xml:space="preserve">3.7 </w:t>
      </w:r>
      <w:r>
        <w:rPr>
          <w:rFonts w:hint="eastAsia" w:ascii="宋体" w:hAnsi="宋体" w:eastAsia="宋体" w:cs="宋体"/>
          <w:b w:val="0"/>
          <w:bCs w:val="0"/>
          <w:sz w:val="21"/>
          <w:szCs w:val="21"/>
          <w:highlight w:val="none"/>
        </w:rPr>
        <w:t>本采购项目的评标因素和标准见下列综合评分明细表。</w:t>
      </w:r>
    </w:p>
    <w:p w14:paraId="159F8AC6">
      <w:pPr>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r>
        <w:rPr>
          <w:rFonts w:hint="eastAsia" w:ascii="宋体" w:hAnsi="宋体" w:cs="宋体"/>
          <w:b/>
          <w:bCs/>
          <w:color w:val="auto"/>
          <w:sz w:val="28"/>
          <w:szCs w:val="28"/>
          <w:highlight w:val="none"/>
          <w:lang w:eastAsia="zh-CN"/>
        </w:rPr>
        <w:t>综合评分明细表</w:t>
      </w:r>
    </w:p>
    <w:tbl>
      <w:tblPr>
        <w:tblStyle w:val="4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045"/>
        <w:gridCol w:w="5010"/>
        <w:gridCol w:w="1646"/>
      </w:tblGrid>
      <w:tr w14:paraId="6983D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6" w:type="dxa"/>
            <w:gridSpan w:val="2"/>
          </w:tcPr>
          <w:p w14:paraId="23EBDBB8">
            <w:pPr>
              <w:pStyle w:val="177"/>
              <w:jc w:val="center"/>
              <w:rPr>
                <w:rFonts w:hint="eastAsia" w:ascii="宋体" w:hAnsi="宋体" w:eastAsia="宋体" w:cs="宋体"/>
                <w:sz w:val="24"/>
                <w:szCs w:val="24"/>
              </w:rPr>
            </w:pPr>
            <w:r>
              <w:rPr>
                <w:rFonts w:hint="eastAsia" w:ascii="宋体" w:hAnsi="宋体" w:eastAsia="宋体" w:cs="宋体"/>
                <w:sz w:val="24"/>
                <w:szCs w:val="24"/>
              </w:rPr>
              <w:t xml:space="preserve"> 评审因素</w:t>
            </w:r>
          </w:p>
        </w:tc>
        <w:tc>
          <w:tcPr>
            <w:tcW w:w="6656" w:type="dxa"/>
            <w:gridSpan w:val="2"/>
          </w:tcPr>
          <w:p w14:paraId="580BF0F8">
            <w:pPr>
              <w:pStyle w:val="177"/>
              <w:jc w:val="center"/>
              <w:rPr>
                <w:rFonts w:hint="eastAsia" w:ascii="宋体" w:hAnsi="宋体" w:eastAsia="宋体" w:cs="宋体"/>
                <w:sz w:val="24"/>
                <w:szCs w:val="24"/>
              </w:rPr>
            </w:pPr>
            <w:r>
              <w:rPr>
                <w:rFonts w:hint="eastAsia" w:ascii="宋体" w:hAnsi="宋体" w:eastAsia="宋体" w:cs="宋体"/>
                <w:sz w:val="24"/>
                <w:szCs w:val="24"/>
              </w:rPr>
              <w:t xml:space="preserve"> 评审标准</w:t>
            </w:r>
          </w:p>
        </w:tc>
      </w:tr>
      <w:tr w14:paraId="14B76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6" w:type="dxa"/>
            <w:gridSpan w:val="2"/>
            <w:vAlign w:val="center"/>
          </w:tcPr>
          <w:p w14:paraId="0DFB5DC5">
            <w:pPr>
              <w:pStyle w:val="177"/>
              <w:jc w:val="center"/>
              <w:rPr>
                <w:rFonts w:hint="eastAsia" w:ascii="宋体" w:hAnsi="宋体" w:eastAsia="宋体" w:cs="宋体"/>
                <w:sz w:val="24"/>
                <w:szCs w:val="24"/>
              </w:rPr>
            </w:pPr>
            <w:r>
              <w:rPr>
                <w:rFonts w:hint="eastAsia" w:ascii="宋体" w:hAnsi="宋体" w:eastAsia="宋体" w:cs="宋体"/>
                <w:sz w:val="24"/>
                <w:szCs w:val="24"/>
              </w:rPr>
              <w:t>分值构成</w:t>
            </w:r>
          </w:p>
        </w:tc>
        <w:tc>
          <w:tcPr>
            <w:tcW w:w="6656" w:type="dxa"/>
            <w:gridSpan w:val="2"/>
            <w:vAlign w:val="center"/>
          </w:tcPr>
          <w:p w14:paraId="150C2601">
            <w:pPr>
              <w:pStyle w:val="177"/>
              <w:jc w:val="center"/>
              <w:rPr>
                <w:rFonts w:hint="eastAsia" w:ascii="宋体" w:hAnsi="宋体" w:eastAsia="宋体" w:cs="宋体"/>
                <w:sz w:val="24"/>
                <w:szCs w:val="24"/>
              </w:rPr>
            </w:pPr>
            <w:r>
              <w:rPr>
                <w:rFonts w:hint="eastAsia" w:ascii="宋体" w:hAnsi="宋体" w:eastAsia="宋体" w:cs="宋体"/>
                <w:sz w:val="24"/>
                <w:szCs w:val="24"/>
              </w:rPr>
              <w:t>详细评审70.00分</w:t>
            </w:r>
          </w:p>
          <w:p w14:paraId="2F9506C2">
            <w:pPr>
              <w:pStyle w:val="177"/>
              <w:jc w:val="center"/>
              <w:rPr>
                <w:rFonts w:hint="eastAsia" w:ascii="宋体" w:hAnsi="宋体" w:eastAsia="宋体" w:cs="宋体"/>
                <w:sz w:val="24"/>
                <w:szCs w:val="24"/>
              </w:rPr>
            </w:pPr>
            <w:r>
              <w:rPr>
                <w:rFonts w:hint="eastAsia" w:ascii="宋体" w:hAnsi="宋体" w:eastAsia="宋体" w:cs="宋体"/>
                <w:sz w:val="24"/>
                <w:szCs w:val="24"/>
              </w:rPr>
              <w:t>报价得分30.00分</w:t>
            </w:r>
          </w:p>
        </w:tc>
      </w:tr>
      <w:tr w14:paraId="4F4AC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1C6E4A9">
            <w:pPr>
              <w:pStyle w:val="177"/>
              <w:jc w:val="center"/>
              <w:rPr>
                <w:rFonts w:hint="eastAsia" w:ascii="宋体" w:hAnsi="宋体" w:eastAsia="宋体" w:cs="宋体"/>
                <w:sz w:val="24"/>
                <w:szCs w:val="24"/>
              </w:rPr>
            </w:pPr>
            <w:r>
              <w:rPr>
                <w:rFonts w:hint="eastAsia" w:ascii="宋体" w:hAnsi="宋体" w:eastAsia="宋体" w:cs="宋体"/>
                <w:sz w:val="24"/>
                <w:szCs w:val="24"/>
              </w:rPr>
              <w:t>评审因素分类</w:t>
            </w:r>
          </w:p>
        </w:tc>
        <w:tc>
          <w:tcPr>
            <w:tcW w:w="1045" w:type="dxa"/>
            <w:vAlign w:val="center"/>
          </w:tcPr>
          <w:p w14:paraId="1D6CB605">
            <w:pPr>
              <w:pStyle w:val="177"/>
              <w:jc w:val="center"/>
              <w:rPr>
                <w:rFonts w:hint="eastAsia" w:ascii="宋体" w:hAnsi="宋体" w:eastAsia="宋体" w:cs="宋体"/>
                <w:sz w:val="24"/>
                <w:szCs w:val="24"/>
              </w:rPr>
            </w:pPr>
            <w:r>
              <w:rPr>
                <w:rFonts w:hint="eastAsia" w:ascii="宋体" w:hAnsi="宋体" w:eastAsia="宋体" w:cs="宋体"/>
                <w:sz w:val="24"/>
                <w:szCs w:val="24"/>
              </w:rPr>
              <w:t>评审项</w:t>
            </w:r>
          </w:p>
        </w:tc>
        <w:tc>
          <w:tcPr>
            <w:tcW w:w="5010" w:type="dxa"/>
            <w:vAlign w:val="center"/>
          </w:tcPr>
          <w:p w14:paraId="60040893">
            <w:pPr>
              <w:pStyle w:val="177"/>
              <w:jc w:val="center"/>
              <w:rPr>
                <w:rFonts w:hint="eastAsia" w:ascii="宋体" w:hAnsi="宋体" w:eastAsia="宋体" w:cs="宋体"/>
                <w:sz w:val="24"/>
                <w:szCs w:val="24"/>
              </w:rPr>
            </w:pPr>
            <w:r>
              <w:rPr>
                <w:rFonts w:hint="eastAsia" w:ascii="宋体" w:hAnsi="宋体" w:eastAsia="宋体" w:cs="宋体"/>
                <w:sz w:val="24"/>
                <w:szCs w:val="24"/>
              </w:rPr>
              <w:t>详细描述</w:t>
            </w:r>
          </w:p>
        </w:tc>
        <w:tc>
          <w:tcPr>
            <w:tcW w:w="1646" w:type="dxa"/>
            <w:vAlign w:val="center"/>
          </w:tcPr>
          <w:p w14:paraId="12D3AE90">
            <w:pPr>
              <w:pStyle w:val="177"/>
              <w:jc w:val="center"/>
              <w:rPr>
                <w:rFonts w:hint="eastAsia" w:ascii="宋体" w:hAnsi="宋体" w:eastAsia="宋体" w:cs="宋体"/>
                <w:sz w:val="24"/>
                <w:szCs w:val="24"/>
              </w:rPr>
            </w:pPr>
            <w:r>
              <w:rPr>
                <w:rFonts w:hint="eastAsia" w:ascii="宋体" w:hAnsi="宋体" w:eastAsia="宋体" w:cs="宋体"/>
                <w:sz w:val="24"/>
                <w:szCs w:val="24"/>
              </w:rPr>
              <w:t>分值</w:t>
            </w:r>
          </w:p>
        </w:tc>
      </w:tr>
      <w:tr w14:paraId="3DE57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vAlign w:val="center"/>
          </w:tcPr>
          <w:p w14:paraId="553DF5D0">
            <w:pPr>
              <w:pStyle w:val="177"/>
              <w:jc w:val="center"/>
              <w:rPr>
                <w:rFonts w:hint="eastAsia" w:ascii="宋体" w:hAnsi="宋体" w:eastAsia="宋体" w:cs="宋体"/>
                <w:sz w:val="24"/>
                <w:szCs w:val="24"/>
              </w:rPr>
            </w:pPr>
            <w:r>
              <w:rPr>
                <w:rFonts w:hint="eastAsia" w:ascii="宋体" w:hAnsi="宋体" w:eastAsia="宋体" w:cs="宋体"/>
                <w:sz w:val="24"/>
                <w:szCs w:val="24"/>
              </w:rPr>
              <w:t>详细评审</w:t>
            </w:r>
          </w:p>
        </w:tc>
        <w:tc>
          <w:tcPr>
            <w:tcW w:w="1045" w:type="dxa"/>
            <w:vAlign w:val="center"/>
          </w:tcPr>
          <w:p w14:paraId="3B40431E">
            <w:pPr>
              <w:pStyle w:val="177"/>
              <w:jc w:val="center"/>
              <w:rPr>
                <w:rFonts w:hint="eastAsia" w:ascii="宋体" w:hAnsi="宋体" w:eastAsia="宋体" w:cs="宋体"/>
                <w:sz w:val="24"/>
                <w:szCs w:val="24"/>
              </w:rPr>
            </w:pPr>
            <w:r>
              <w:rPr>
                <w:rFonts w:hint="eastAsia" w:ascii="宋体" w:hAnsi="宋体" w:eastAsia="宋体" w:cs="宋体"/>
                <w:sz w:val="24"/>
                <w:szCs w:val="24"/>
              </w:rPr>
              <w:t>配送服务方案</w:t>
            </w:r>
          </w:p>
        </w:tc>
        <w:tc>
          <w:tcPr>
            <w:tcW w:w="5010" w:type="dxa"/>
            <w:vAlign w:val="center"/>
          </w:tcPr>
          <w:p w14:paraId="609FCFD0">
            <w:pPr>
              <w:rPr>
                <w:rFonts w:hint="eastAsia" w:ascii="宋体" w:hAnsi="宋体" w:eastAsia="宋体" w:cs="宋体"/>
                <w:sz w:val="24"/>
                <w:szCs w:val="24"/>
              </w:rPr>
            </w:pPr>
            <w:r>
              <w:rPr>
                <w:rFonts w:hint="eastAsia" w:ascii="宋体" w:hAnsi="宋体" w:eastAsia="宋体" w:cs="宋体"/>
                <w:sz w:val="24"/>
                <w:szCs w:val="24"/>
              </w:rPr>
              <w:t>根据项目需求编制</w:t>
            </w:r>
            <w:r>
              <w:rPr>
                <w:rFonts w:hint="eastAsia" w:ascii="宋体" w:hAnsi="宋体" w:eastAsia="宋体" w:cs="宋体"/>
                <w:sz w:val="24"/>
                <w:szCs w:val="24"/>
                <w:lang w:eastAsia="zh-CN"/>
              </w:rPr>
              <w:t>实施</w:t>
            </w:r>
            <w:r>
              <w:rPr>
                <w:rFonts w:hint="eastAsia" w:ascii="宋体" w:hAnsi="宋体" w:eastAsia="宋体" w:cs="宋体"/>
                <w:sz w:val="24"/>
                <w:szCs w:val="24"/>
              </w:rPr>
              <w:t>方案</w:t>
            </w:r>
            <w:r>
              <w:rPr>
                <w:rFonts w:hint="eastAsia" w:ascii="宋体" w:hAnsi="宋体" w:cs="宋体"/>
                <w:sz w:val="24"/>
                <w:szCs w:val="24"/>
                <w:lang w:eastAsia="zh-CN"/>
              </w:rPr>
              <w:t>：</w:t>
            </w:r>
            <w:r>
              <w:rPr>
                <w:rFonts w:hint="eastAsia" w:ascii="宋体" w:hAnsi="宋体" w:cs="宋体"/>
                <w:sz w:val="24"/>
                <w:szCs w:val="24"/>
                <w:lang w:val="en-US" w:eastAsia="zh-CN"/>
              </w:rPr>
              <w:t>方案至少包括</w:t>
            </w:r>
            <w:r>
              <w:rPr>
                <w:rFonts w:hint="eastAsia" w:ascii="宋体" w:hAnsi="宋体" w:eastAsia="宋体" w:cs="宋体"/>
                <w:sz w:val="24"/>
                <w:szCs w:val="24"/>
              </w:rPr>
              <w:t>①供货保障</w:t>
            </w:r>
            <w:r>
              <w:rPr>
                <w:rFonts w:hint="eastAsia" w:ascii="宋体" w:hAnsi="宋体" w:cs="宋体"/>
                <w:sz w:val="24"/>
                <w:szCs w:val="24"/>
                <w:lang w:eastAsia="zh-CN"/>
              </w:rPr>
              <w:t>；</w:t>
            </w:r>
            <w:r>
              <w:rPr>
                <w:rFonts w:hint="eastAsia" w:ascii="宋体" w:hAnsi="宋体" w:eastAsia="宋体" w:cs="宋体"/>
                <w:sz w:val="24"/>
                <w:szCs w:val="24"/>
              </w:rPr>
              <w:t>②管理制度</w:t>
            </w:r>
            <w:r>
              <w:rPr>
                <w:rFonts w:hint="eastAsia" w:ascii="宋体" w:hAnsi="宋体" w:cs="宋体"/>
                <w:sz w:val="24"/>
                <w:szCs w:val="24"/>
                <w:lang w:eastAsia="zh-CN"/>
              </w:rPr>
              <w:t>；</w:t>
            </w:r>
            <w:r>
              <w:rPr>
                <w:rFonts w:hint="eastAsia" w:ascii="宋体" w:hAnsi="宋体" w:eastAsia="宋体" w:cs="宋体"/>
                <w:sz w:val="24"/>
                <w:szCs w:val="24"/>
              </w:rPr>
              <w:t>③运行模式</w:t>
            </w:r>
            <w:r>
              <w:rPr>
                <w:rFonts w:hint="eastAsia" w:ascii="宋体" w:hAnsi="宋体" w:cs="宋体"/>
                <w:sz w:val="24"/>
                <w:szCs w:val="24"/>
                <w:lang w:eastAsia="zh-CN"/>
              </w:rPr>
              <w:t>。</w:t>
            </w:r>
            <w:r>
              <w:rPr>
                <w:rFonts w:hint="eastAsia" w:ascii="宋体" w:hAnsi="宋体" w:eastAsia="宋体" w:cs="宋体"/>
                <w:sz w:val="24"/>
                <w:szCs w:val="24"/>
                <w:lang w:eastAsia="zh-CN"/>
              </w:rPr>
              <w:t>以上</w:t>
            </w:r>
            <w:r>
              <w:rPr>
                <w:rFonts w:hint="eastAsia" w:ascii="宋体" w:hAnsi="宋体" w:eastAsia="宋体" w:cs="宋体"/>
                <w:sz w:val="24"/>
                <w:szCs w:val="24"/>
                <w:lang w:val="en-US" w:eastAsia="zh-CN"/>
              </w:rPr>
              <w:t>3项内容齐全，针对性强、条理清晰、表述准确得分12分。每缺少一项内容扣</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分（缺陷是指在完整性、可实施性和针对性等方面存在瑕疵或实用性不强）</w:t>
            </w:r>
            <w:r>
              <w:rPr>
                <w:rFonts w:hint="eastAsia" w:ascii="宋体" w:hAnsi="宋体" w:eastAsia="宋体" w:cs="宋体"/>
                <w:sz w:val="24"/>
                <w:szCs w:val="24"/>
              </w:rPr>
              <w:t>。</w:t>
            </w:r>
          </w:p>
          <w:p w14:paraId="021DB923">
            <w:pPr>
              <w:rPr>
                <w:rFonts w:hint="eastAsia" w:ascii="宋体" w:hAnsi="宋体" w:eastAsia="宋体" w:cs="宋体"/>
                <w:sz w:val="24"/>
                <w:szCs w:val="24"/>
              </w:rPr>
            </w:pPr>
            <w:r>
              <w:rPr>
                <w:rFonts w:hint="eastAsia" w:ascii="宋体" w:hAnsi="宋体" w:eastAsia="宋体" w:cs="宋体"/>
                <w:sz w:val="24"/>
                <w:szCs w:val="24"/>
              </w:rPr>
              <w:t>根据评审标准对供应商技术方案进行评审，每一条不符合本项目特点和实际需求，存在缺陷或实用性不强的扣1分，扣完为止。</w:t>
            </w:r>
          </w:p>
          <w:p w14:paraId="38B08F25">
            <w:pPr>
              <w:rPr>
                <w:rFonts w:hint="eastAsia" w:ascii="宋体" w:hAnsi="宋体" w:eastAsia="宋体" w:cs="宋体"/>
                <w:sz w:val="24"/>
                <w:szCs w:val="24"/>
              </w:rPr>
            </w:pPr>
            <w:r>
              <w:rPr>
                <w:rFonts w:hint="eastAsia" w:ascii="宋体" w:hAnsi="宋体" w:eastAsia="宋体" w:cs="宋体"/>
                <w:sz w:val="24"/>
                <w:szCs w:val="24"/>
              </w:rPr>
              <w:t xml:space="preserve">评审标准： </w:t>
            </w:r>
          </w:p>
          <w:p w14:paraId="11E1CAB1">
            <w:pPr>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1C527711">
            <w:pPr>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4E40616D">
            <w:pPr>
              <w:pStyle w:val="177"/>
              <w:jc w:val="left"/>
              <w:rPr>
                <w:rFonts w:hint="eastAsia" w:ascii="宋体" w:hAnsi="宋体" w:eastAsia="宋体" w:cs="宋体"/>
                <w:sz w:val="24"/>
                <w:szCs w:val="24"/>
              </w:rPr>
            </w:pPr>
            <w:r>
              <w:rPr>
                <w:rFonts w:hint="eastAsia" w:ascii="宋体" w:hAnsi="宋体" w:eastAsia="宋体" w:cs="宋体"/>
                <w:sz w:val="24"/>
                <w:szCs w:val="24"/>
              </w:rPr>
              <w:t xml:space="preserve">针对性：方案能够紧扣项目实际情况，内容科学合理。 </w:t>
            </w:r>
          </w:p>
        </w:tc>
        <w:tc>
          <w:tcPr>
            <w:tcW w:w="1646" w:type="dxa"/>
            <w:vAlign w:val="center"/>
          </w:tcPr>
          <w:p w14:paraId="3B07BA37">
            <w:pPr>
              <w:pStyle w:val="177"/>
              <w:jc w:val="center"/>
              <w:rPr>
                <w:rFonts w:hint="eastAsia" w:ascii="宋体" w:hAnsi="宋体" w:eastAsia="宋体" w:cs="宋体"/>
                <w:sz w:val="24"/>
                <w:szCs w:val="24"/>
              </w:rPr>
            </w:pPr>
            <w:r>
              <w:rPr>
                <w:rFonts w:hint="eastAsia" w:ascii="宋体" w:hAnsi="宋体" w:eastAsia="宋体" w:cs="宋体"/>
                <w:sz w:val="24"/>
                <w:szCs w:val="24"/>
              </w:rPr>
              <w:t>12</w:t>
            </w:r>
          </w:p>
        </w:tc>
      </w:tr>
      <w:tr w14:paraId="5B8D9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vAlign w:val="center"/>
          </w:tcPr>
          <w:p w14:paraId="7AB26AA3">
            <w:pPr>
              <w:jc w:val="center"/>
              <w:rPr>
                <w:rFonts w:hint="eastAsia" w:ascii="宋体" w:hAnsi="宋体" w:eastAsia="宋体" w:cs="宋体"/>
                <w:sz w:val="24"/>
                <w:szCs w:val="24"/>
              </w:rPr>
            </w:pPr>
          </w:p>
        </w:tc>
        <w:tc>
          <w:tcPr>
            <w:tcW w:w="1045" w:type="dxa"/>
            <w:vAlign w:val="center"/>
          </w:tcPr>
          <w:p w14:paraId="5D2D7948">
            <w:pPr>
              <w:pStyle w:val="177"/>
              <w:jc w:val="center"/>
              <w:rPr>
                <w:rFonts w:hint="eastAsia" w:ascii="宋体" w:hAnsi="宋体" w:eastAsia="宋体" w:cs="宋体"/>
                <w:sz w:val="24"/>
                <w:szCs w:val="24"/>
              </w:rPr>
            </w:pPr>
            <w:r>
              <w:rPr>
                <w:rFonts w:hint="eastAsia" w:ascii="宋体" w:hAnsi="宋体" w:eastAsia="宋体" w:cs="宋体"/>
                <w:sz w:val="24"/>
                <w:szCs w:val="24"/>
              </w:rPr>
              <w:t>质量保证方案</w:t>
            </w:r>
          </w:p>
        </w:tc>
        <w:tc>
          <w:tcPr>
            <w:tcW w:w="5010" w:type="dxa"/>
            <w:vAlign w:val="center"/>
          </w:tcPr>
          <w:p w14:paraId="152F14DF">
            <w:pPr>
              <w:rPr>
                <w:rFonts w:hint="eastAsia" w:ascii="宋体" w:hAnsi="宋体" w:eastAsia="宋体" w:cs="宋体"/>
                <w:sz w:val="24"/>
                <w:szCs w:val="24"/>
              </w:rPr>
            </w:pPr>
            <w:r>
              <w:rPr>
                <w:rFonts w:hint="eastAsia" w:ascii="宋体" w:hAnsi="宋体" w:eastAsia="宋体" w:cs="宋体"/>
                <w:sz w:val="24"/>
                <w:szCs w:val="24"/>
              </w:rPr>
              <w:t>根据项目需求内容制定整体质量保证</w:t>
            </w:r>
            <w:r>
              <w:rPr>
                <w:rFonts w:hint="eastAsia" w:ascii="宋体" w:hAnsi="宋体" w:eastAsia="宋体" w:cs="宋体"/>
                <w:sz w:val="24"/>
                <w:szCs w:val="24"/>
                <w:lang w:val="en-US" w:eastAsia="zh-CN"/>
              </w:rPr>
              <w:t>方案</w:t>
            </w:r>
            <w:r>
              <w:rPr>
                <w:rFonts w:hint="eastAsia" w:ascii="宋体" w:hAnsi="宋体" w:eastAsia="宋体" w:cs="宋体"/>
                <w:sz w:val="24"/>
                <w:szCs w:val="24"/>
                <w:lang w:eastAsia="zh-CN"/>
              </w:rPr>
              <w:t>：</w:t>
            </w:r>
            <w:r>
              <w:rPr>
                <w:rFonts w:hint="eastAsia" w:ascii="宋体" w:hAnsi="宋体" w:cs="宋体"/>
                <w:sz w:val="24"/>
                <w:szCs w:val="24"/>
                <w:lang w:val="en-US" w:eastAsia="zh-CN"/>
              </w:rPr>
              <w:t>方案至少包括</w:t>
            </w:r>
            <w:r>
              <w:rPr>
                <w:rFonts w:hint="eastAsia" w:ascii="宋体" w:hAnsi="宋体" w:eastAsia="宋体" w:cs="宋体"/>
                <w:sz w:val="24"/>
                <w:szCs w:val="24"/>
              </w:rPr>
              <w:t>①质量安全保证具体措施</w:t>
            </w:r>
            <w:r>
              <w:rPr>
                <w:rFonts w:hint="eastAsia" w:ascii="宋体" w:hAnsi="宋体" w:cs="宋体"/>
                <w:sz w:val="24"/>
                <w:szCs w:val="24"/>
                <w:lang w:eastAsia="zh-CN"/>
              </w:rPr>
              <w:t>；</w:t>
            </w:r>
            <w:r>
              <w:rPr>
                <w:rFonts w:hint="eastAsia" w:ascii="宋体" w:hAnsi="宋体" w:eastAsia="宋体" w:cs="宋体"/>
                <w:sz w:val="24"/>
                <w:szCs w:val="24"/>
              </w:rPr>
              <w:t>②卫生安全</w:t>
            </w:r>
            <w:r>
              <w:rPr>
                <w:rFonts w:hint="eastAsia" w:ascii="宋体" w:hAnsi="宋体" w:cs="宋体"/>
                <w:sz w:val="24"/>
                <w:szCs w:val="24"/>
                <w:lang w:eastAsia="zh-CN"/>
              </w:rPr>
              <w:t>；</w:t>
            </w:r>
            <w:r>
              <w:rPr>
                <w:rFonts w:hint="eastAsia" w:ascii="宋体" w:hAnsi="宋体" w:eastAsia="宋体" w:cs="宋体"/>
                <w:color w:val="auto"/>
                <w:sz w:val="24"/>
                <w:szCs w:val="24"/>
              </w:rPr>
              <w:t>③货物的来源</w:t>
            </w:r>
            <w:r>
              <w:rPr>
                <w:rFonts w:hint="eastAsia" w:ascii="宋体" w:hAnsi="宋体" w:cs="宋体"/>
                <w:color w:val="auto"/>
                <w:sz w:val="24"/>
                <w:szCs w:val="24"/>
                <w:lang w:eastAsia="zh-CN"/>
              </w:rPr>
              <w:t>；</w:t>
            </w:r>
            <w:r>
              <w:rPr>
                <w:rFonts w:hint="eastAsia" w:ascii="宋体" w:hAnsi="宋体" w:eastAsia="宋体" w:cs="宋体"/>
                <w:sz w:val="24"/>
                <w:szCs w:val="24"/>
              </w:rPr>
              <w:t>④采购环节控制</w:t>
            </w:r>
            <w:r>
              <w:rPr>
                <w:rFonts w:hint="eastAsia" w:ascii="宋体" w:hAnsi="宋体" w:cs="宋体"/>
                <w:sz w:val="24"/>
                <w:szCs w:val="24"/>
                <w:lang w:eastAsia="zh-CN"/>
              </w:rPr>
              <w:t>；</w:t>
            </w:r>
            <w:r>
              <w:rPr>
                <w:rFonts w:hint="eastAsia" w:ascii="宋体" w:hAnsi="宋体" w:eastAsia="宋体" w:cs="宋体"/>
                <w:sz w:val="24"/>
                <w:szCs w:val="24"/>
                <w:lang w:eastAsia="zh-CN"/>
              </w:rPr>
              <w:t>⑤加</w:t>
            </w:r>
            <w:r>
              <w:rPr>
                <w:rFonts w:hint="eastAsia" w:ascii="宋体" w:hAnsi="宋体" w:eastAsia="宋体" w:cs="宋体"/>
                <w:sz w:val="24"/>
                <w:szCs w:val="24"/>
              </w:rPr>
              <w:t>工包装保存运输等环节</w:t>
            </w:r>
            <w:r>
              <w:rPr>
                <w:rFonts w:hint="eastAsia" w:ascii="宋体" w:hAnsi="宋体" w:cs="宋体"/>
                <w:sz w:val="24"/>
                <w:szCs w:val="24"/>
                <w:lang w:eastAsia="zh-CN"/>
              </w:rPr>
              <w:t>。</w:t>
            </w:r>
            <w:r>
              <w:rPr>
                <w:rFonts w:hint="eastAsia" w:ascii="宋体" w:hAnsi="宋体" w:eastAsia="宋体" w:cs="宋体"/>
                <w:sz w:val="24"/>
                <w:szCs w:val="24"/>
              </w:rPr>
              <w:t>提供必要的证明材料复印件或扫描件（包括但不限于销售协议、代理商授权、检测报告等）</w:t>
            </w:r>
            <w:r>
              <w:rPr>
                <w:rFonts w:hint="eastAsia" w:ascii="宋体" w:hAnsi="宋体" w:cs="宋体"/>
                <w:sz w:val="24"/>
                <w:szCs w:val="24"/>
                <w:lang w:eastAsia="zh-CN"/>
              </w:rPr>
              <w:t>。</w:t>
            </w:r>
            <w:r>
              <w:rPr>
                <w:rFonts w:hint="eastAsia" w:ascii="宋体" w:hAnsi="宋体" w:eastAsia="宋体" w:cs="宋体"/>
                <w:sz w:val="24"/>
                <w:szCs w:val="24"/>
                <w:lang w:eastAsia="zh-CN"/>
              </w:rPr>
              <w:t>以上</w:t>
            </w:r>
            <w:r>
              <w:rPr>
                <w:rFonts w:hint="eastAsia" w:ascii="宋体" w:hAnsi="宋体" w:eastAsia="宋体" w:cs="宋体"/>
                <w:sz w:val="24"/>
                <w:szCs w:val="24"/>
                <w:lang w:val="en-US" w:eastAsia="zh-CN"/>
              </w:rPr>
              <w:t>5项内容齐全，针对性强、条理清晰、表述准确得分15分。每缺少一项内容扣3分（缺陷是指在完整性、可实施性和针对性等方面存在瑕疵或实用性不强）</w:t>
            </w:r>
            <w:r>
              <w:rPr>
                <w:rFonts w:hint="eastAsia" w:ascii="宋体" w:hAnsi="宋体" w:eastAsia="宋体" w:cs="宋体"/>
                <w:sz w:val="24"/>
                <w:szCs w:val="24"/>
              </w:rPr>
              <w:t>。</w:t>
            </w:r>
          </w:p>
          <w:p w14:paraId="38F04050">
            <w:pPr>
              <w:rPr>
                <w:rFonts w:hint="eastAsia" w:ascii="宋体" w:hAnsi="宋体" w:eastAsia="宋体" w:cs="宋体"/>
                <w:sz w:val="24"/>
                <w:szCs w:val="24"/>
              </w:rPr>
            </w:pPr>
            <w:r>
              <w:rPr>
                <w:rFonts w:hint="eastAsia" w:ascii="宋体" w:hAnsi="宋体" w:eastAsia="宋体" w:cs="宋体"/>
                <w:sz w:val="24"/>
                <w:szCs w:val="24"/>
              </w:rPr>
              <w:t>根据评审标准对供应商技术方案进行评审，每一条不符合本项目特点和实际需求，存在缺陷或实用性不强的扣1分，扣完为止。</w:t>
            </w:r>
          </w:p>
          <w:p w14:paraId="072735AE">
            <w:pPr>
              <w:rPr>
                <w:rFonts w:hint="eastAsia" w:ascii="宋体" w:hAnsi="宋体" w:eastAsia="宋体" w:cs="宋体"/>
                <w:sz w:val="24"/>
                <w:szCs w:val="24"/>
              </w:rPr>
            </w:pPr>
            <w:r>
              <w:rPr>
                <w:rFonts w:hint="eastAsia" w:ascii="宋体" w:hAnsi="宋体" w:eastAsia="宋体" w:cs="宋体"/>
                <w:sz w:val="24"/>
                <w:szCs w:val="24"/>
              </w:rPr>
              <w:t xml:space="preserve">评审标准： </w:t>
            </w:r>
          </w:p>
          <w:p w14:paraId="58921A79">
            <w:pPr>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26835BEC">
            <w:pPr>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239F7606">
            <w:pPr>
              <w:rPr>
                <w:rFonts w:hint="eastAsia" w:ascii="宋体" w:hAnsi="宋体" w:eastAsia="宋体" w:cs="宋体"/>
                <w:sz w:val="24"/>
                <w:szCs w:val="24"/>
                <w:lang w:eastAsia="zh-CN"/>
              </w:rPr>
            </w:pPr>
            <w:r>
              <w:rPr>
                <w:rFonts w:hint="eastAsia" w:ascii="宋体" w:hAnsi="宋体" w:eastAsia="宋体" w:cs="宋体"/>
                <w:sz w:val="24"/>
                <w:szCs w:val="24"/>
              </w:rPr>
              <w:t xml:space="preserve">针对性：方案能够紧扣项目实际情况，内容科学合理。 </w:t>
            </w:r>
          </w:p>
        </w:tc>
        <w:tc>
          <w:tcPr>
            <w:tcW w:w="1646" w:type="dxa"/>
            <w:vAlign w:val="center"/>
          </w:tcPr>
          <w:p w14:paraId="7EC78CC0">
            <w:pPr>
              <w:pStyle w:val="177"/>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5</w:t>
            </w:r>
          </w:p>
        </w:tc>
      </w:tr>
      <w:tr w14:paraId="41386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vAlign w:val="center"/>
          </w:tcPr>
          <w:p w14:paraId="06B859A3">
            <w:pPr>
              <w:jc w:val="center"/>
              <w:rPr>
                <w:rFonts w:hint="eastAsia" w:ascii="宋体" w:hAnsi="宋体" w:eastAsia="宋体" w:cs="宋体"/>
                <w:sz w:val="24"/>
                <w:szCs w:val="24"/>
              </w:rPr>
            </w:pPr>
          </w:p>
        </w:tc>
        <w:tc>
          <w:tcPr>
            <w:tcW w:w="1045" w:type="dxa"/>
            <w:vAlign w:val="center"/>
          </w:tcPr>
          <w:p w14:paraId="724DC00C">
            <w:pPr>
              <w:pStyle w:val="177"/>
              <w:jc w:val="center"/>
              <w:rPr>
                <w:rFonts w:hint="eastAsia" w:ascii="宋体" w:hAnsi="宋体" w:eastAsia="宋体" w:cs="宋体"/>
                <w:sz w:val="24"/>
                <w:szCs w:val="24"/>
              </w:rPr>
            </w:pPr>
            <w:r>
              <w:rPr>
                <w:rFonts w:hint="eastAsia" w:ascii="宋体" w:hAnsi="宋体" w:eastAsia="宋体" w:cs="宋体"/>
                <w:sz w:val="24"/>
                <w:szCs w:val="24"/>
              </w:rPr>
              <w:t>运输能力</w:t>
            </w:r>
          </w:p>
        </w:tc>
        <w:tc>
          <w:tcPr>
            <w:tcW w:w="5010" w:type="dxa"/>
            <w:vAlign w:val="center"/>
          </w:tcPr>
          <w:p w14:paraId="254D46F1">
            <w:pPr>
              <w:pStyle w:val="177"/>
              <w:jc w:val="lef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cs="宋体"/>
                <w:sz w:val="24"/>
                <w:szCs w:val="24"/>
                <w:lang w:val="en-US" w:eastAsia="zh-CN"/>
              </w:rPr>
              <w:t>至少</w:t>
            </w:r>
            <w:r>
              <w:rPr>
                <w:rFonts w:hint="eastAsia" w:ascii="宋体" w:hAnsi="宋体" w:eastAsia="宋体" w:cs="宋体"/>
                <w:sz w:val="24"/>
                <w:szCs w:val="24"/>
              </w:rPr>
              <w:t>具有</w:t>
            </w:r>
            <w:r>
              <w:rPr>
                <w:rFonts w:hint="eastAsia" w:ascii="宋体" w:hAnsi="宋体" w:cs="宋体"/>
                <w:sz w:val="24"/>
                <w:szCs w:val="24"/>
                <w:lang w:val="en-US" w:eastAsia="zh-CN"/>
              </w:rPr>
              <w:t>1</w:t>
            </w:r>
            <w:r>
              <w:rPr>
                <w:rFonts w:hint="eastAsia" w:ascii="宋体" w:hAnsi="宋体" w:eastAsia="宋体" w:cs="宋体"/>
                <w:sz w:val="24"/>
                <w:szCs w:val="24"/>
              </w:rPr>
              <w:t>辆自有或租赁（租赁车辆须提供租赁合同等证明材料）符合安全运输标准的厢式运输专用冷藏车辆等相关配送设备，须提供车辆行驶证等相关证明文件，满足项目基本配送车辆要求得</w:t>
            </w:r>
            <w:r>
              <w:rPr>
                <w:rFonts w:hint="eastAsia" w:ascii="宋体" w:hAnsi="宋体" w:cs="宋体"/>
                <w:sz w:val="24"/>
                <w:szCs w:val="24"/>
                <w:lang w:val="en-US" w:eastAsia="zh-CN"/>
              </w:rPr>
              <w:t>3</w:t>
            </w:r>
            <w:r>
              <w:rPr>
                <w:rFonts w:hint="eastAsia" w:ascii="宋体" w:hAnsi="宋体" w:eastAsia="宋体" w:cs="宋体"/>
                <w:sz w:val="24"/>
                <w:szCs w:val="24"/>
              </w:rPr>
              <w:t>分，车辆数量每增加1辆加1分，最多加</w:t>
            </w:r>
            <w:r>
              <w:rPr>
                <w:rFonts w:hint="eastAsia" w:ascii="宋体" w:hAnsi="宋体" w:cs="宋体"/>
                <w:sz w:val="24"/>
                <w:szCs w:val="24"/>
                <w:lang w:val="en-US" w:eastAsia="zh-CN"/>
              </w:rPr>
              <w:t>3</w:t>
            </w:r>
            <w:r>
              <w:rPr>
                <w:rFonts w:hint="eastAsia" w:ascii="宋体" w:hAnsi="宋体" w:eastAsia="宋体" w:cs="宋体"/>
                <w:sz w:val="24"/>
                <w:szCs w:val="24"/>
              </w:rPr>
              <w:t>分。无运输车辆配备计0分。</w:t>
            </w:r>
          </w:p>
        </w:tc>
        <w:tc>
          <w:tcPr>
            <w:tcW w:w="1646" w:type="dxa"/>
            <w:vAlign w:val="center"/>
          </w:tcPr>
          <w:p w14:paraId="61FB4A6E">
            <w:pPr>
              <w:pStyle w:val="177"/>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14:paraId="17417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vAlign w:val="center"/>
          </w:tcPr>
          <w:p w14:paraId="11371093">
            <w:pPr>
              <w:jc w:val="center"/>
              <w:rPr>
                <w:rFonts w:hint="eastAsia" w:ascii="宋体" w:hAnsi="宋体" w:eastAsia="宋体" w:cs="宋体"/>
                <w:sz w:val="24"/>
                <w:szCs w:val="24"/>
              </w:rPr>
            </w:pPr>
          </w:p>
        </w:tc>
        <w:tc>
          <w:tcPr>
            <w:tcW w:w="1045" w:type="dxa"/>
            <w:vAlign w:val="center"/>
          </w:tcPr>
          <w:p w14:paraId="3ACF7CF7">
            <w:pPr>
              <w:pStyle w:val="177"/>
              <w:jc w:val="center"/>
              <w:rPr>
                <w:rFonts w:hint="eastAsia" w:ascii="宋体" w:hAnsi="宋体" w:eastAsia="宋体" w:cs="宋体"/>
                <w:sz w:val="24"/>
                <w:szCs w:val="24"/>
              </w:rPr>
            </w:pPr>
            <w:r>
              <w:rPr>
                <w:rFonts w:hint="eastAsia" w:ascii="宋体" w:hAnsi="宋体" w:eastAsia="宋体" w:cs="宋体"/>
                <w:sz w:val="24"/>
                <w:szCs w:val="24"/>
              </w:rPr>
              <w:t>人员配备</w:t>
            </w:r>
          </w:p>
        </w:tc>
        <w:tc>
          <w:tcPr>
            <w:tcW w:w="5010" w:type="dxa"/>
            <w:vAlign w:val="center"/>
          </w:tcPr>
          <w:p w14:paraId="6A2DD865">
            <w:pPr>
              <w:pStyle w:val="177"/>
              <w:jc w:val="left"/>
              <w:rPr>
                <w:rFonts w:hint="eastAsia" w:ascii="宋体" w:hAnsi="宋体" w:cs="宋体"/>
                <w:sz w:val="24"/>
                <w:szCs w:val="24"/>
                <w:lang w:eastAsia="zh-CN"/>
              </w:rPr>
            </w:pPr>
            <w:r>
              <w:rPr>
                <w:rFonts w:hint="eastAsia" w:ascii="宋体" w:hAnsi="宋体" w:eastAsia="宋体" w:cs="宋体"/>
                <w:sz w:val="24"/>
                <w:szCs w:val="24"/>
              </w:rPr>
              <w:t>岗位设置齐全、职责明确、人员配置合理充足，配送人员提供人员身份证、健康证及劳务合同等</w:t>
            </w:r>
            <w:r>
              <w:rPr>
                <w:rFonts w:hint="eastAsia" w:ascii="宋体" w:hAnsi="宋体" w:cs="宋体"/>
                <w:sz w:val="24"/>
                <w:szCs w:val="24"/>
                <w:lang w:eastAsia="zh-CN"/>
              </w:rPr>
              <w:t>；</w:t>
            </w:r>
            <w:r>
              <w:rPr>
                <w:rFonts w:hint="eastAsia" w:ascii="宋体" w:hAnsi="宋体" w:eastAsia="宋体" w:cs="宋体"/>
                <w:sz w:val="24"/>
                <w:szCs w:val="24"/>
              </w:rPr>
              <w:t>司机须提供身份证、健康证、驾驶证</w:t>
            </w:r>
            <w:r>
              <w:rPr>
                <w:rFonts w:hint="eastAsia" w:ascii="宋体" w:hAnsi="宋体" w:cs="宋体"/>
                <w:sz w:val="24"/>
                <w:szCs w:val="24"/>
                <w:lang w:eastAsia="zh-CN"/>
              </w:rPr>
              <w:t>、</w:t>
            </w:r>
            <w:r>
              <w:rPr>
                <w:rFonts w:hint="eastAsia" w:ascii="宋体" w:hAnsi="宋体" w:cs="宋体"/>
                <w:sz w:val="24"/>
                <w:szCs w:val="24"/>
                <w:lang w:val="en-US" w:eastAsia="zh-CN"/>
              </w:rPr>
              <w:t>无犯罪证明</w:t>
            </w:r>
            <w:r>
              <w:rPr>
                <w:rFonts w:hint="eastAsia" w:ascii="宋体" w:hAnsi="宋体" w:cs="宋体"/>
                <w:sz w:val="24"/>
                <w:szCs w:val="24"/>
                <w:lang w:eastAsia="zh-CN"/>
              </w:rPr>
              <w:t>。</w:t>
            </w:r>
          </w:p>
          <w:p w14:paraId="5C3995F3">
            <w:pPr>
              <w:pStyle w:val="177"/>
              <w:jc w:val="left"/>
              <w:rPr>
                <w:rFonts w:hint="eastAsia" w:ascii="宋体" w:hAnsi="宋体" w:eastAsia="宋体" w:cs="宋体"/>
                <w:sz w:val="24"/>
                <w:szCs w:val="24"/>
              </w:rPr>
            </w:pPr>
            <w:r>
              <w:rPr>
                <w:rFonts w:hint="eastAsia" w:ascii="宋体" w:hAnsi="宋体" w:eastAsia="宋体" w:cs="宋体"/>
                <w:sz w:val="24"/>
                <w:szCs w:val="24"/>
              </w:rPr>
              <w:t>①为本项目配备的服务团队人员上述条件齐全有效且达到</w:t>
            </w:r>
            <w:r>
              <w:rPr>
                <w:rFonts w:hint="eastAsia" w:ascii="宋体" w:hAnsi="宋体" w:cs="宋体"/>
                <w:sz w:val="24"/>
                <w:szCs w:val="24"/>
                <w:lang w:val="en-US" w:eastAsia="zh-CN"/>
              </w:rPr>
              <w:t>5</w:t>
            </w:r>
            <w:r>
              <w:rPr>
                <w:rFonts w:hint="eastAsia" w:ascii="宋体" w:hAnsi="宋体" w:eastAsia="宋体" w:cs="宋体"/>
                <w:sz w:val="24"/>
                <w:szCs w:val="24"/>
              </w:rPr>
              <w:t>人以上得5分；</w:t>
            </w:r>
          </w:p>
          <w:p w14:paraId="3F3B8D65">
            <w:pPr>
              <w:pStyle w:val="177"/>
              <w:jc w:val="left"/>
              <w:rPr>
                <w:rFonts w:hint="eastAsia" w:ascii="宋体" w:hAnsi="宋体" w:eastAsia="宋体" w:cs="宋体"/>
                <w:sz w:val="24"/>
                <w:szCs w:val="24"/>
              </w:rPr>
            </w:pPr>
            <w:r>
              <w:rPr>
                <w:rFonts w:hint="eastAsia" w:ascii="宋体" w:hAnsi="宋体" w:eastAsia="宋体" w:cs="宋体"/>
                <w:sz w:val="24"/>
                <w:szCs w:val="24"/>
              </w:rPr>
              <w:t>②为本项目配备的服务团队人员上述条件齐全有效且达到</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人分得3分；</w:t>
            </w:r>
          </w:p>
          <w:p w14:paraId="3AF56AE4">
            <w:pPr>
              <w:pStyle w:val="177"/>
              <w:jc w:val="left"/>
              <w:rPr>
                <w:rFonts w:hint="eastAsia" w:ascii="宋体" w:hAnsi="宋体" w:eastAsia="宋体" w:cs="宋体"/>
                <w:sz w:val="24"/>
                <w:szCs w:val="24"/>
              </w:rPr>
            </w:pPr>
            <w:r>
              <w:rPr>
                <w:rFonts w:hint="eastAsia" w:ascii="宋体" w:hAnsi="宋体" w:eastAsia="宋体" w:cs="宋体"/>
                <w:sz w:val="24"/>
                <w:szCs w:val="24"/>
              </w:rPr>
              <w:t>③人员配置</w:t>
            </w:r>
            <w:r>
              <w:rPr>
                <w:rFonts w:hint="eastAsia" w:ascii="宋体" w:hAnsi="宋体" w:cs="宋体"/>
                <w:sz w:val="24"/>
                <w:szCs w:val="24"/>
                <w:lang w:val="en-US" w:eastAsia="zh-CN"/>
              </w:rPr>
              <w:t>不足3人得1分，少于2人得0分</w:t>
            </w:r>
            <w:r>
              <w:rPr>
                <w:rFonts w:hint="eastAsia" w:ascii="宋体" w:hAnsi="宋体" w:eastAsia="宋体" w:cs="宋体"/>
                <w:sz w:val="24"/>
                <w:szCs w:val="24"/>
              </w:rPr>
              <w:t>。</w:t>
            </w:r>
          </w:p>
        </w:tc>
        <w:tc>
          <w:tcPr>
            <w:tcW w:w="1646" w:type="dxa"/>
            <w:vAlign w:val="center"/>
          </w:tcPr>
          <w:p w14:paraId="7E1AAB3A">
            <w:pPr>
              <w:pStyle w:val="177"/>
              <w:jc w:val="center"/>
              <w:rPr>
                <w:rFonts w:hint="eastAsia" w:ascii="宋体" w:hAnsi="宋体" w:eastAsia="宋体" w:cs="宋体"/>
                <w:sz w:val="24"/>
                <w:szCs w:val="24"/>
              </w:rPr>
            </w:pPr>
            <w:r>
              <w:rPr>
                <w:rFonts w:hint="eastAsia" w:ascii="宋体" w:hAnsi="宋体" w:eastAsia="宋体" w:cs="宋体"/>
                <w:sz w:val="24"/>
                <w:szCs w:val="24"/>
              </w:rPr>
              <w:t>5</w:t>
            </w:r>
          </w:p>
        </w:tc>
      </w:tr>
      <w:tr w14:paraId="3378C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7" w:hRule="atLeast"/>
        </w:trPr>
        <w:tc>
          <w:tcPr>
            <w:tcW w:w="831" w:type="dxa"/>
            <w:vMerge w:val="continue"/>
            <w:vAlign w:val="center"/>
          </w:tcPr>
          <w:p w14:paraId="44CFFA11">
            <w:pPr>
              <w:jc w:val="center"/>
              <w:rPr>
                <w:rFonts w:hint="eastAsia" w:ascii="宋体" w:hAnsi="宋体" w:eastAsia="宋体" w:cs="宋体"/>
                <w:sz w:val="24"/>
                <w:szCs w:val="24"/>
              </w:rPr>
            </w:pPr>
          </w:p>
        </w:tc>
        <w:tc>
          <w:tcPr>
            <w:tcW w:w="1045" w:type="dxa"/>
            <w:vAlign w:val="center"/>
          </w:tcPr>
          <w:p w14:paraId="636B801C">
            <w:pPr>
              <w:pStyle w:val="177"/>
              <w:jc w:val="center"/>
              <w:rPr>
                <w:rFonts w:hint="eastAsia" w:ascii="宋体" w:hAnsi="宋体" w:eastAsia="宋体" w:cs="宋体"/>
                <w:sz w:val="24"/>
                <w:szCs w:val="24"/>
              </w:rPr>
            </w:pPr>
            <w:r>
              <w:rPr>
                <w:rFonts w:hint="eastAsia" w:ascii="宋体" w:hAnsi="宋体" w:eastAsia="宋体" w:cs="宋体"/>
                <w:sz w:val="24"/>
                <w:szCs w:val="24"/>
              </w:rPr>
              <w:t>食品原材料存储能力</w:t>
            </w:r>
          </w:p>
        </w:tc>
        <w:tc>
          <w:tcPr>
            <w:tcW w:w="5010" w:type="dxa"/>
            <w:vAlign w:val="center"/>
          </w:tcPr>
          <w:p w14:paraId="3E990D2A">
            <w:pPr>
              <w:pStyle w:val="177"/>
              <w:numPr>
                <w:ilvl w:val="0"/>
                <w:numId w:val="10"/>
              </w:numPr>
              <w:jc w:val="left"/>
              <w:rPr>
                <w:rFonts w:hint="eastAsia" w:ascii="宋体" w:hAnsi="宋体" w:eastAsia="宋体" w:cs="宋体"/>
                <w:sz w:val="24"/>
                <w:szCs w:val="24"/>
              </w:rPr>
            </w:pPr>
            <w:r>
              <w:rPr>
                <w:rFonts w:hint="eastAsia" w:ascii="宋体" w:hAnsi="宋体" w:eastAsia="宋体" w:cs="宋体"/>
                <w:sz w:val="24"/>
                <w:szCs w:val="24"/>
              </w:rPr>
              <w:t>食品原材料储存能力满足本项目需求，包括但不限于配送车间、保鲜仓库、存货仓库、冷藏仓库、仓储设备、各种设施条件等，提供库房自有证明或租赁合同和仓储设备及其他能反映出其适合产品储存、周转的证明材料，满足相关食材所要求的存储要求（证明材料中所用的照片必须为清晰的全方位彩色照片）。</w:t>
            </w:r>
          </w:p>
          <w:p w14:paraId="36E94751">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以上内容齐全，针对性强、条理清晰、表述准确得分</w:t>
            </w:r>
            <w:r>
              <w:rPr>
                <w:rFonts w:hint="eastAsia" w:ascii="宋体" w:hAnsi="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val="en-US" w:eastAsia="zh-CN"/>
              </w:rPr>
              <w:t>缺少证明材料扣3分，</w:t>
            </w:r>
            <w:r>
              <w:rPr>
                <w:rFonts w:hint="eastAsia" w:ascii="宋体" w:hAnsi="宋体" w:eastAsia="宋体" w:cs="宋体"/>
                <w:sz w:val="24"/>
                <w:szCs w:val="24"/>
              </w:rPr>
              <w:t>每一项存在缺陷扣</w:t>
            </w:r>
            <w:r>
              <w:rPr>
                <w:rFonts w:hint="eastAsia" w:ascii="宋体" w:hAnsi="宋体" w:cs="宋体"/>
                <w:sz w:val="24"/>
                <w:szCs w:val="24"/>
                <w:lang w:val="en-US" w:eastAsia="zh-CN"/>
              </w:rPr>
              <w:t>0.5</w:t>
            </w:r>
            <w:r>
              <w:rPr>
                <w:rFonts w:hint="eastAsia" w:ascii="宋体" w:hAnsi="宋体" w:eastAsia="宋体" w:cs="宋体"/>
                <w:sz w:val="24"/>
                <w:szCs w:val="24"/>
              </w:rPr>
              <w:t>分（缺陷是指在完整性、可实施性和针对性等方面存在瑕疵或实用性不强）。</w:t>
            </w:r>
          </w:p>
          <w:p w14:paraId="221FB500">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评审标准： </w:t>
            </w:r>
          </w:p>
          <w:p w14:paraId="00229C37">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5732383C">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3B61C346">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针对性：方案能够紧扣项目实际情况，内容科学合理。 </w:t>
            </w:r>
          </w:p>
          <w:p w14:paraId="5B1D33A4">
            <w:pPr>
              <w:pStyle w:val="177"/>
              <w:jc w:val="left"/>
              <w:rPr>
                <w:rFonts w:hint="eastAsia" w:ascii="宋体" w:hAnsi="宋体" w:eastAsia="宋体" w:cs="宋体"/>
                <w:sz w:val="24"/>
                <w:szCs w:val="24"/>
              </w:rPr>
            </w:pPr>
            <w:r>
              <w:rPr>
                <w:rFonts w:hint="eastAsia" w:ascii="宋体" w:hAnsi="宋体" w:eastAsia="宋体" w:cs="宋体"/>
                <w:sz w:val="24"/>
                <w:szCs w:val="24"/>
              </w:rPr>
              <w:t>2.库房“</w:t>
            </w:r>
            <w:r>
              <w:rPr>
                <w:rFonts w:hint="eastAsia" w:ascii="宋体" w:hAnsi="宋体" w:cs="宋体"/>
                <w:sz w:val="24"/>
                <w:szCs w:val="24"/>
                <w:lang w:eastAsia="zh-CN"/>
              </w:rPr>
              <w:t>五防</w:t>
            </w:r>
            <w:r>
              <w:rPr>
                <w:rFonts w:hint="eastAsia" w:ascii="宋体" w:hAnsi="宋体" w:eastAsia="宋体" w:cs="宋体"/>
                <w:sz w:val="24"/>
                <w:szCs w:val="24"/>
              </w:rPr>
              <w:t>”设施（防潮、防投毒、防鼠、防蝇</w:t>
            </w:r>
            <w:r>
              <w:rPr>
                <w:rFonts w:hint="eastAsia" w:ascii="宋体" w:hAnsi="宋体" w:cs="宋体"/>
                <w:sz w:val="24"/>
                <w:szCs w:val="24"/>
                <w:lang w:val="en-US" w:eastAsia="zh-CN"/>
              </w:rPr>
              <w:t>虫</w:t>
            </w:r>
            <w:r>
              <w:rPr>
                <w:rFonts w:hint="eastAsia" w:ascii="宋体" w:hAnsi="宋体" w:eastAsia="宋体" w:cs="宋体"/>
                <w:sz w:val="24"/>
                <w:szCs w:val="24"/>
              </w:rPr>
              <w:t>、防尘）设施图片及</w:t>
            </w:r>
            <w:r>
              <w:rPr>
                <w:rFonts w:hint="eastAsia" w:ascii="宋体" w:hAnsi="宋体" w:cs="宋体"/>
                <w:sz w:val="24"/>
                <w:szCs w:val="24"/>
                <w:lang w:val="en-US" w:eastAsia="zh-CN"/>
              </w:rPr>
              <w:t>说明</w:t>
            </w:r>
            <w:r>
              <w:rPr>
                <w:rFonts w:hint="eastAsia" w:ascii="宋体" w:hAnsi="宋体" w:eastAsia="宋体" w:cs="宋体"/>
                <w:sz w:val="24"/>
                <w:szCs w:val="24"/>
              </w:rPr>
              <w:t>制度齐全计</w:t>
            </w:r>
            <w:r>
              <w:rPr>
                <w:rFonts w:hint="eastAsia" w:ascii="宋体" w:hAnsi="宋体" w:cs="宋体"/>
                <w:sz w:val="24"/>
                <w:szCs w:val="24"/>
                <w:lang w:val="en-US" w:eastAsia="zh-CN"/>
              </w:rPr>
              <w:t>3</w:t>
            </w:r>
            <w:r>
              <w:rPr>
                <w:rFonts w:hint="eastAsia" w:ascii="宋体" w:hAnsi="宋体" w:eastAsia="宋体" w:cs="宋体"/>
                <w:sz w:val="24"/>
                <w:szCs w:val="24"/>
              </w:rPr>
              <w:t>分，不全的或未提供相关证明资料的计</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2BA3AAAE">
            <w:pPr>
              <w:pStyle w:val="177"/>
              <w:jc w:val="left"/>
              <w:rPr>
                <w:rFonts w:hint="eastAsia" w:ascii="宋体" w:hAnsi="宋体" w:eastAsia="宋体" w:cs="宋体"/>
                <w:sz w:val="24"/>
                <w:szCs w:val="24"/>
              </w:rPr>
            </w:pPr>
            <w:r>
              <w:rPr>
                <w:rFonts w:hint="eastAsia" w:ascii="宋体" w:hAnsi="宋体" w:eastAsia="宋体" w:cs="宋体"/>
                <w:sz w:val="24"/>
                <w:szCs w:val="24"/>
              </w:rPr>
              <w:t>3.库房内外安装有监控设备且全方位覆盖的计</w:t>
            </w:r>
            <w:r>
              <w:rPr>
                <w:rFonts w:hint="eastAsia" w:ascii="宋体" w:hAnsi="宋体" w:cs="宋体"/>
                <w:sz w:val="24"/>
                <w:szCs w:val="24"/>
                <w:lang w:val="en-US" w:eastAsia="zh-CN"/>
              </w:rPr>
              <w:t>2</w:t>
            </w:r>
            <w:r>
              <w:rPr>
                <w:rFonts w:hint="eastAsia" w:ascii="宋体" w:hAnsi="宋体" w:eastAsia="宋体" w:cs="宋体"/>
                <w:sz w:val="24"/>
                <w:szCs w:val="24"/>
              </w:rPr>
              <w:t>分，监控设备</w:t>
            </w:r>
            <w:r>
              <w:rPr>
                <w:rFonts w:hint="eastAsia" w:ascii="宋体" w:hAnsi="宋体" w:cs="宋体"/>
                <w:sz w:val="24"/>
                <w:szCs w:val="24"/>
                <w:lang w:val="en-US" w:eastAsia="zh-CN"/>
              </w:rPr>
              <w:t>未全方位覆盖</w:t>
            </w:r>
            <w:r>
              <w:rPr>
                <w:rFonts w:hint="eastAsia" w:ascii="宋体" w:hAnsi="宋体" w:eastAsia="宋体" w:cs="宋体"/>
                <w:sz w:val="24"/>
                <w:szCs w:val="24"/>
              </w:rPr>
              <w:t>或未提供相关证明资料的计</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1646" w:type="dxa"/>
            <w:vAlign w:val="center"/>
          </w:tcPr>
          <w:p w14:paraId="673779D8">
            <w:pPr>
              <w:pStyle w:val="177"/>
              <w:jc w:val="center"/>
              <w:rPr>
                <w:rFonts w:hint="eastAsia" w:ascii="宋体" w:hAnsi="宋体" w:eastAsia="宋体" w:cs="宋体"/>
                <w:sz w:val="24"/>
                <w:szCs w:val="24"/>
              </w:rPr>
            </w:pPr>
            <w:r>
              <w:rPr>
                <w:rFonts w:hint="eastAsia" w:ascii="宋体" w:hAnsi="宋体" w:eastAsia="宋体" w:cs="宋体"/>
                <w:sz w:val="24"/>
                <w:szCs w:val="24"/>
              </w:rPr>
              <w:t>10</w:t>
            </w:r>
          </w:p>
        </w:tc>
      </w:tr>
      <w:tr w14:paraId="13064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vAlign w:val="center"/>
          </w:tcPr>
          <w:p w14:paraId="14630A21">
            <w:pPr>
              <w:jc w:val="center"/>
              <w:rPr>
                <w:rFonts w:hint="eastAsia" w:ascii="宋体" w:hAnsi="宋体" w:eastAsia="宋体" w:cs="宋体"/>
                <w:sz w:val="24"/>
                <w:szCs w:val="24"/>
              </w:rPr>
            </w:pPr>
          </w:p>
        </w:tc>
        <w:tc>
          <w:tcPr>
            <w:tcW w:w="1045" w:type="dxa"/>
            <w:vAlign w:val="center"/>
          </w:tcPr>
          <w:p w14:paraId="3BD67167">
            <w:pPr>
              <w:pStyle w:val="177"/>
              <w:jc w:val="center"/>
              <w:rPr>
                <w:rFonts w:hint="eastAsia" w:ascii="宋体" w:hAnsi="宋体" w:eastAsia="宋体" w:cs="宋体"/>
                <w:sz w:val="24"/>
                <w:szCs w:val="24"/>
              </w:rPr>
            </w:pPr>
            <w:r>
              <w:rPr>
                <w:rFonts w:hint="eastAsia" w:ascii="宋体" w:hAnsi="宋体" w:eastAsia="宋体" w:cs="宋体"/>
                <w:sz w:val="24"/>
                <w:szCs w:val="24"/>
              </w:rPr>
              <w:t>应急配送方案</w:t>
            </w:r>
          </w:p>
        </w:tc>
        <w:tc>
          <w:tcPr>
            <w:tcW w:w="5010" w:type="dxa"/>
            <w:vAlign w:val="center"/>
          </w:tcPr>
          <w:p w14:paraId="10C72A7F">
            <w:pPr>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cs="宋体"/>
                <w:sz w:val="24"/>
                <w:szCs w:val="24"/>
                <w:lang w:val="en-US" w:eastAsia="zh-CN"/>
              </w:rPr>
              <w:t>应制定</w:t>
            </w:r>
            <w:r>
              <w:rPr>
                <w:rFonts w:hint="eastAsia" w:ascii="宋体" w:hAnsi="宋体" w:eastAsia="宋体" w:cs="宋体"/>
                <w:sz w:val="24"/>
                <w:szCs w:val="24"/>
              </w:rPr>
              <w:t>本项目的应急配送方案</w:t>
            </w:r>
            <w:r>
              <w:rPr>
                <w:rFonts w:hint="eastAsia" w:ascii="宋体" w:hAnsi="宋体" w:cs="宋体"/>
                <w:sz w:val="24"/>
                <w:szCs w:val="24"/>
                <w:lang w:eastAsia="zh-CN"/>
              </w:rPr>
              <w:t>：</w:t>
            </w:r>
            <w:r>
              <w:rPr>
                <w:rFonts w:hint="eastAsia" w:ascii="宋体" w:hAnsi="宋体" w:cs="宋体"/>
                <w:sz w:val="24"/>
                <w:szCs w:val="24"/>
                <w:lang w:val="en-US" w:eastAsia="zh-CN"/>
              </w:rPr>
              <w:t>方案至少包括</w:t>
            </w:r>
            <w:r>
              <w:rPr>
                <w:rFonts w:hint="eastAsia" w:ascii="宋体" w:hAnsi="宋体" w:eastAsia="宋体" w:cs="宋体"/>
                <w:sz w:val="24"/>
                <w:szCs w:val="24"/>
              </w:rPr>
              <w:t>①采购人临时需求</w:t>
            </w:r>
            <w:r>
              <w:rPr>
                <w:rFonts w:hint="eastAsia" w:ascii="宋体" w:hAnsi="宋体" w:cs="宋体"/>
                <w:sz w:val="24"/>
                <w:szCs w:val="24"/>
                <w:lang w:eastAsia="zh-CN"/>
              </w:rPr>
              <w:t>；</w:t>
            </w:r>
            <w:r>
              <w:rPr>
                <w:rFonts w:hint="eastAsia" w:ascii="宋体" w:hAnsi="宋体" w:eastAsia="宋体" w:cs="宋体"/>
                <w:sz w:val="24"/>
                <w:szCs w:val="24"/>
              </w:rPr>
              <w:t>②恶劣天气影响</w:t>
            </w:r>
            <w:r>
              <w:rPr>
                <w:rFonts w:hint="eastAsia" w:ascii="宋体" w:hAnsi="宋体" w:cs="宋体"/>
                <w:sz w:val="24"/>
                <w:szCs w:val="24"/>
                <w:lang w:eastAsia="zh-CN"/>
              </w:rPr>
              <w:t>；</w:t>
            </w:r>
            <w:r>
              <w:rPr>
                <w:rFonts w:hint="eastAsia" w:ascii="宋体" w:hAnsi="宋体" w:eastAsia="宋体" w:cs="宋体"/>
                <w:sz w:val="24"/>
                <w:szCs w:val="24"/>
              </w:rPr>
              <w:t>③交通延误</w:t>
            </w:r>
            <w:r>
              <w:rPr>
                <w:rFonts w:hint="eastAsia" w:ascii="宋体" w:hAnsi="宋体" w:cs="宋体"/>
                <w:sz w:val="24"/>
                <w:szCs w:val="24"/>
                <w:lang w:eastAsia="zh-CN"/>
              </w:rPr>
              <w:t>；</w:t>
            </w:r>
            <w:r>
              <w:rPr>
                <w:rFonts w:hint="eastAsia" w:ascii="宋体" w:hAnsi="宋体" w:eastAsia="宋体" w:cs="宋体"/>
                <w:sz w:val="24"/>
                <w:szCs w:val="24"/>
              </w:rPr>
              <w:t>④食材短缺等特殊情况制定应急处理方案)</w:t>
            </w:r>
            <w:r>
              <w:rPr>
                <w:rFonts w:hint="eastAsia" w:ascii="宋体" w:hAnsi="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以上</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项内容齐全，针对性强、条理清晰、表述准确得分</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分。每缺少一项内容扣</w:t>
            </w:r>
            <w:r>
              <w:rPr>
                <w:rFonts w:hint="eastAsia" w:ascii="宋体" w:hAnsi="宋体" w:cs="宋体"/>
                <w:sz w:val="24"/>
                <w:szCs w:val="24"/>
                <w:lang w:val="en-US" w:eastAsia="zh-CN"/>
              </w:rPr>
              <w:t>1.25</w:t>
            </w:r>
            <w:r>
              <w:rPr>
                <w:rFonts w:hint="eastAsia" w:ascii="宋体" w:hAnsi="宋体" w:eastAsia="宋体" w:cs="宋体"/>
                <w:sz w:val="24"/>
                <w:szCs w:val="24"/>
                <w:lang w:val="en-US" w:eastAsia="zh-CN"/>
              </w:rPr>
              <w:t>分，每一项存在缺陷扣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分（缺陷是指在完整性、可实施性和针对性等方面存在瑕疵或实用性不强）</w:t>
            </w:r>
            <w:r>
              <w:rPr>
                <w:rFonts w:hint="eastAsia" w:ascii="宋体" w:hAnsi="宋体" w:eastAsia="宋体" w:cs="宋体"/>
                <w:sz w:val="24"/>
                <w:szCs w:val="24"/>
              </w:rPr>
              <w:t>。</w:t>
            </w:r>
          </w:p>
          <w:p w14:paraId="68A83C04">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评审标准： </w:t>
            </w:r>
          </w:p>
          <w:p w14:paraId="640AAA60">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67161E3C">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259F91B0">
            <w:pPr>
              <w:pStyle w:val="177"/>
              <w:jc w:val="left"/>
              <w:rPr>
                <w:rFonts w:hint="eastAsia" w:ascii="宋体" w:hAnsi="宋体" w:eastAsia="宋体" w:cs="宋体"/>
                <w:sz w:val="24"/>
                <w:szCs w:val="24"/>
              </w:rPr>
            </w:pPr>
            <w:r>
              <w:rPr>
                <w:rFonts w:hint="eastAsia" w:ascii="宋体" w:hAnsi="宋体" w:eastAsia="宋体" w:cs="宋体"/>
                <w:sz w:val="24"/>
                <w:szCs w:val="24"/>
              </w:rPr>
              <w:t xml:space="preserve">针对性：方案能够紧扣项目实际情况，内容科学合理。 </w:t>
            </w:r>
          </w:p>
        </w:tc>
        <w:tc>
          <w:tcPr>
            <w:tcW w:w="1646" w:type="dxa"/>
            <w:vAlign w:val="center"/>
          </w:tcPr>
          <w:p w14:paraId="1CF2057B">
            <w:pPr>
              <w:pStyle w:val="177"/>
              <w:jc w:val="center"/>
              <w:rPr>
                <w:rFonts w:hint="eastAsia" w:ascii="宋体" w:hAnsi="宋体" w:eastAsia="宋体" w:cs="宋体"/>
                <w:sz w:val="24"/>
                <w:szCs w:val="24"/>
              </w:rPr>
            </w:pPr>
            <w:r>
              <w:rPr>
                <w:rFonts w:hint="eastAsia" w:ascii="宋体" w:hAnsi="宋体" w:eastAsia="宋体" w:cs="宋体"/>
                <w:sz w:val="24"/>
                <w:szCs w:val="24"/>
              </w:rPr>
              <w:t>5</w:t>
            </w:r>
          </w:p>
        </w:tc>
      </w:tr>
      <w:tr w14:paraId="59CAB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vAlign w:val="center"/>
          </w:tcPr>
          <w:p w14:paraId="2235494D">
            <w:pPr>
              <w:jc w:val="center"/>
              <w:rPr>
                <w:rFonts w:hint="eastAsia" w:ascii="宋体" w:hAnsi="宋体" w:eastAsia="宋体" w:cs="宋体"/>
                <w:sz w:val="24"/>
                <w:szCs w:val="24"/>
              </w:rPr>
            </w:pPr>
          </w:p>
        </w:tc>
        <w:tc>
          <w:tcPr>
            <w:tcW w:w="1045" w:type="dxa"/>
            <w:vAlign w:val="center"/>
          </w:tcPr>
          <w:p w14:paraId="09444AD8">
            <w:pPr>
              <w:pStyle w:val="177"/>
              <w:jc w:val="center"/>
              <w:rPr>
                <w:rFonts w:hint="eastAsia" w:ascii="宋体" w:hAnsi="宋体" w:eastAsia="宋体" w:cs="宋体"/>
                <w:sz w:val="24"/>
                <w:szCs w:val="24"/>
              </w:rPr>
            </w:pPr>
            <w:r>
              <w:rPr>
                <w:rFonts w:hint="eastAsia" w:ascii="宋体" w:hAnsi="宋体" w:eastAsia="宋体" w:cs="宋体"/>
                <w:sz w:val="24"/>
                <w:szCs w:val="24"/>
              </w:rPr>
              <w:t>安全事故应急方案</w:t>
            </w:r>
          </w:p>
        </w:tc>
        <w:tc>
          <w:tcPr>
            <w:tcW w:w="5010" w:type="dxa"/>
            <w:vAlign w:val="center"/>
          </w:tcPr>
          <w:p w14:paraId="1F3B6D3F">
            <w:pPr>
              <w:pStyle w:val="177"/>
              <w:numPr>
                <w:ilvl w:val="0"/>
                <w:numId w:val="0"/>
              </w:numPr>
              <w:jc w:val="left"/>
              <w:rPr>
                <w:rFonts w:hint="eastAsia" w:ascii="宋体" w:hAnsi="宋体" w:eastAsia="宋体" w:cs="宋体"/>
                <w:sz w:val="24"/>
                <w:szCs w:val="24"/>
                <w:lang w:eastAsia="zh-CN"/>
              </w:rPr>
            </w:pPr>
            <w:r>
              <w:rPr>
                <w:rFonts w:hint="eastAsia" w:ascii="宋体" w:hAnsi="宋体" w:cs="宋体"/>
                <w:sz w:val="24"/>
                <w:szCs w:val="24"/>
                <w:lang w:val="en-US" w:eastAsia="zh-CN"/>
              </w:rPr>
              <w:t>制定</w:t>
            </w:r>
            <w:r>
              <w:rPr>
                <w:rFonts w:hint="eastAsia" w:ascii="宋体" w:hAnsi="宋体" w:eastAsia="宋体" w:cs="宋体"/>
                <w:sz w:val="24"/>
                <w:szCs w:val="24"/>
              </w:rPr>
              <w:t>①食品配送防护及若发生食物中毒</w:t>
            </w:r>
            <w:r>
              <w:rPr>
                <w:rFonts w:hint="eastAsia" w:ascii="宋体" w:hAnsi="宋体" w:cs="宋体"/>
                <w:sz w:val="24"/>
                <w:szCs w:val="24"/>
                <w:lang w:eastAsia="zh-CN"/>
              </w:rPr>
              <w:t>；</w:t>
            </w:r>
            <w:r>
              <w:rPr>
                <w:rFonts w:hint="eastAsia" w:ascii="宋体" w:hAnsi="宋体" w:eastAsia="宋体" w:cs="宋体"/>
                <w:sz w:val="24"/>
                <w:szCs w:val="24"/>
              </w:rPr>
              <w:t>②其他潜在造成人员健康问题的安全事故的应急方案</w:t>
            </w:r>
            <w:r>
              <w:rPr>
                <w:rFonts w:hint="eastAsia" w:ascii="宋体" w:hAnsi="宋体" w:cs="宋体"/>
                <w:sz w:val="24"/>
                <w:szCs w:val="24"/>
                <w:lang w:eastAsia="zh-CN"/>
              </w:rPr>
              <w:t>。</w:t>
            </w:r>
          </w:p>
          <w:p w14:paraId="239EA04A">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以上内容齐全，针对性强、条理清晰、表述准确得分</w:t>
            </w:r>
            <w:r>
              <w:rPr>
                <w:rFonts w:hint="eastAsia" w:ascii="宋体" w:hAnsi="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val="en-US" w:eastAsia="zh-CN"/>
              </w:rPr>
              <w:t>每缺少一项内容扣</w:t>
            </w:r>
            <w:r>
              <w:rPr>
                <w:rFonts w:hint="eastAsia" w:ascii="宋体" w:hAnsi="宋体" w:cs="宋体"/>
                <w:sz w:val="24"/>
                <w:szCs w:val="24"/>
                <w:lang w:val="en-US" w:eastAsia="zh-CN"/>
              </w:rPr>
              <w:t>2.5</w:t>
            </w:r>
            <w:r>
              <w:rPr>
                <w:rFonts w:hint="eastAsia" w:ascii="宋体" w:hAnsi="宋体" w:eastAsia="宋体" w:cs="宋体"/>
                <w:sz w:val="24"/>
                <w:szCs w:val="24"/>
                <w:lang w:val="en-US" w:eastAsia="zh-CN"/>
              </w:rPr>
              <w:t>分</w:t>
            </w:r>
            <w:r>
              <w:rPr>
                <w:rFonts w:hint="eastAsia" w:ascii="宋体" w:hAnsi="宋体" w:eastAsia="宋体" w:cs="宋体"/>
                <w:sz w:val="24"/>
                <w:szCs w:val="24"/>
              </w:rPr>
              <w:t>（缺陷是指在完整性、可实施性和针对性等方面存在瑕疵或实用性不强）。</w:t>
            </w:r>
          </w:p>
          <w:p w14:paraId="362FCB47">
            <w:pPr>
              <w:rPr>
                <w:rFonts w:hint="eastAsia" w:ascii="宋体" w:hAnsi="宋体" w:eastAsia="宋体" w:cs="宋体"/>
                <w:sz w:val="24"/>
                <w:szCs w:val="24"/>
              </w:rPr>
            </w:pPr>
            <w:r>
              <w:rPr>
                <w:rFonts w:hint="eastAsia" w:ascii="宋体" w:hAnsi="宋体" w:eastAsia="宋体" w:cs="宋体"/>
                <w:sz w:val="24"/>
                <w:szCs w:val="24"/>
              </w:rPr>
              <w:t>根据评审标准对供应商技术方案进行评审，每一条不符合本项目特点和实际需求，存在缺陷或实用性不强的扣1分，扣完为止。</w:t>
            </w:r>
          </w:p>
          <w:p w14:paraId="1B352D6A">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评审标准： </w:t>
            </w:r>
          </w:p>
          <w:p w14:paraId="5CBC6C75">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2AC381AE">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210A655C">
            <w:pPr>
              <w:pStyle w:val="177"/>
              <w:jc w:val="both"/>
              <w:rPr>
                <w:rFonts w:hint="eastAsia" w:ascii="宋体" w:hAnsi="宋体" w:eastAsia="宋体" w:cs="宋体"/>
                <w:sz w:val="24"/>
                <w:szCs w:val="24"/>
              </w:rPr>
            </w:pPr>
            <w:r>
              <w:rPr>
                <w:rFonts w:hint="eastAsia" w:ascii="宋体" w:hAnsi="宋体" w:eastAsia="宋体" w:cs="宋体"/>
                <w:sz w:val="24"/>
                <w:szCs w:val="24"/>
              </w:rPr>
              <w:t>针对性：方案能够紧扣项目实际情况，内容科学合理。</w:t>
            </w:r>
          </w:p>
        </w:tc>
        <w:tc>
          <w:tcPr>
            <w:tcW w:w="1646" w:type="dxa"/>
            <w:vAlign w:val="center"/>
          </w:tcPr>
          <w:p w14:paraId="1FF0F883">
            <w:pPr>
              <w:pStyle w:val="177"/>
              <w:jc w:val="center"/>
              <w:rPr>
                <w:rFonts w:hint="eastAsia" w:ascii="宋体" w:hAnsi="宋体" w:eastAsia="宋体" w:cs="宋体"/>
                <w:sz w:val="24"/>
                <w:szCs w:val="24"/>
              </w:rPr>
            </w:pPr>
            <w:r>
              <w:rPr>
                <w:rFonts w:hint="eastAsia" w:ascii="宋体" w:hAnsi="宋体" w:eastAsia="宋体" w:cs="宋体"/>
                <w:sz w:val="24"/>
                <w:szCs w:val="24"/>
              </w:rPr>
              <w:t>5</w:t>
            </w:r>
          </w:p>
        </w:tc>
      </w:tr>
      <w:tr w14:paraId="247D0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vAlign w:val="center"/>
          </w:tcPr>
          <w:p w14:paraId="42308FBB">
            <w:pPr>
              <w:jc w:val="center"/>
              <w:rPr>
                <w:rFonts w:hint="eastAsia" w:ascii="宋体" w:hAnsi="宋体" w:eastAsia="宋体" w:cs="宋体"/>
                <w:sz w:val="24"/>
                <w:szCs w:val="24"/>
              </w:rPr>
            </w:pPr>
          </w:p>
        </w:tc>
        <w:tc>
          <w:tcPr>
            <w:tcW w:w="1045" w:type="dxa"/>
            <w:vAlign w:val="center"/>
          </w:tcPr>
          <w:p w14:paraId="5F8B63B4">
            <w:pPr>
              <w:pStyle w:val="177"/>
              <w:jc w:val="center"/>
              <w:rPr>
                <w:rFonts w:hint="eastAsia" w:ascii="宋体" w:hAnsi="宋体" w:eastAsia="宋体" w:cs="宋体"/>
                <w:sz w:val="24"/>
                <w:szCs w:val="24"/>
              </w:rPr>
            </w:pPr>
            <w:r>
              <w:rPr>
                <w:rFonts w:hint="eastAsia" w:ascii="宋体" w:hAnsi="宋体" w:eastAsia="宋体" w:cs="宋体"/>
                <w:sz w:val="24"/>
                <w:szCs w:val="24"/>
              </w:rPr>
              <w:t>售后服务</w:t>
            </w:r>
          </w:p>
        </w:tc>
        <w:tc>
          <w:tcPr>
            <w:tcW w:w="5010" w:type="dxa"/>
            <w:vAlign w:val="center"/>
          </w:tcPr>
          <w:p w14:paraId="35225C9E">
            <w:pPr>
              <w:rPr>
                <w:rFonts w:hint="eastAsia" w:ascii="宋体" w:hAnsi="宋体" w:cs="宋体"/>
                <w:sz w:val="24"/>
                <w:szCs w:val="24"/>
                <w:lang w:val="en-US" w:eastAsia="zh-CN"/>
              </w:rPr>
            </w:pPr>
            <w:r>
              <w:rPr>
                <w:rFonts w:hint="eastAsia" w:ascii="宋体" w:hAnsi="宋体" w:cs="宋体"/>
                <w:sz w:val="24"/>
                <w:szCs w:val="24"/>
                <w:lang w:val="en-US" w:eastAsia="zh-CN"/>
              </w:rPr>
              <w:t>制定在验货时出现问题的方案：包括但不限于</w:t>
            </w:r>
            <w:r>
              <w:rPr>
                <w:rFonts w:hint="eastAsia" w:ascii="宋体" w:hAnsi="宋体" w:eastAsia="宋体" w:cs="宋体"/>
                <w:sz w:val="24"/>
                <w:szCs w:val="24"/>
              </w:rPr>
              <w:t>①响应速度快</w:t>
            </w:r>
            <w:r>
              <w:rPr>
                <w:rFonts w:hint="eastAsia" w:ascii="宋体" w:hAnsi="宋体" w:cs="宋体"/>
                <w:sz w:val="24"/>
                <w:szCs w:val="24"/>
                <w:lang w:val="en-US" w:eastAsia="zh-CN"/>
              </w:rPr>
              <w:t>；</w:t>
            </w:r>
            <w:r>
              <w:rPr>
                <w:rFonts w:hint="eastAsia" w:ascii="宋体" w:hAnsi="宋体" w:eastAsia="宋体" w:cs="宋体"/>
                <w:sz w:val="24"/>
                <w:szCs w:val="24"/>
              </w:rPr>
              <w:t>②退换货服务方案描述无缺漏</w:t>
            </w:r>
            <w:r>
              <w:rPr>
                <w:rFonts w:hint="eastAsia" w:ascii="宋体" w:hAnsi="宋体" w:cs="宋体"/>
                <w:sz w:val="24"/>
                <w:szCs w:val="24"/>
                <w:lang w:val="en-US" w:eastAsia="zh-CN"/>
              </w:rPr>
              <w:t>；</w:t>
            </w:r>
            <w:r>
              <w:rPr>
                <w:rFonts w:hint="eastAsia" w:ascii="宋体" w:hAnsi="宋体" w:eastAsia="宋体" w:cs="宋体"/>
                <w:sz w:val="24"/>
                <w:szCs w:val="24"/>
              </w:rPr>
              <w:t>③</w:t>
            </w:r>
            <w:r>
              <w:rPr>
                <w:rFonts w:hint="eastAsia" w:ascii="宋体" w:hAnsi="宋体" w:cs="宋体"/>
                <w:sz w:val="24"/>
                <w:szCs w:val="24"/>
                <w:lang w:val="en-US" w:eastAsia="zh-CN"/>
              </w:rPr>
              <w:t>联系人员及电话。</w:t>
            </w:r>
          </w:p>
          <w:p w14:paraId="23555B04">
            <w:pPr>
              <w:rPr>
                <w:rFonts w:hint="eastAsia" w:ascii="宋体" w:hAnsi="宋体" w:eastAsia="宋体" w:cs="宋体"/>
                <w:sz w:val="24"/>
                <w:szCs w:val="24"/>
              </w:rPr>
            </w:pPr>
            <w:r>
              <w:rPr>
                <w:rFonts w:hint="eastAsia" w:ascii="宋体" w:hAnsi="宋体" w:eastAsia="宋体" w:cs="宋体"/>
                <w:sz w:val="24"/>
                <w:szCs w:val="24"/>
                <w:lang w:eastAsia="zh-CN"/>
              </w:rPr>
              <w:t>以上</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项内容齐全，针对性强、条理清晰、表述准确得分</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分。每缺少一项内容扣</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分，每一项存在缺陷扣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分（缺陷是指在完整性、可实施性和针对性等方面存在瑕疵或实用性不强）</w:t>
            </w:r>
            <w:r>
              <w:rPr>
                <w:rFonts w:hint="eastAsia" w:ascii="宋体" w:hAnsi="宋体" w:eastAsia="宋体" w:cs="宋体"/>
                <w:sz w:val="24"/>
                <w:szCs w:val="24"/>
              </w:rPr>
              <w:t>。</w:t>
            </w:r>
          </w:p>
          <w:p w14:paraId="240DA35A">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评审标准： </w:t>
            </w:r>
          </w:p>
          <w:p w14:paraId="2B97E045">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3E8528D2">
            <w:pPr>
              <w:pStyle w:val="177"/>
              <w:numPr>
                <w:ilvl w:val="0"/>
                <w:numId w:val="0"/>
              </w:numPr>
              <w:jc w:val="left"/>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5A283CF8">
            <w:pPr>
              <w:pStyle w:val="177"/>
              <w:jc w:val="left"/>
              <w:rPr>
                <w:rFonts w:hint="eastAsia" w:ascii="宋体" w:hAnsi="宋体" w:eastAsia="宋体" w:cs="宋体"/>
                <w:sz w:val="24"/>
                <w:szCs w:val="24"/>
              </w:rPr>
            </w:pPr>
            <w:r>
              <w:rPr>
                <w:rFonts w:hint="eastAsia" w:ascii="宋体" w:hAnsi="宋体" w:eastAsia="宋体" w:cs="宋体"/>
                <w:sz w:val="24"/>
                <w:szCs w:val="24"/>
              </w:rPr>
              <w:t xml:space="preserve">针对性：方案能够紧扣项目实际情况，内容科学合理。 </w:t>
            </w:r>
          </w:p>
        </w:tc>
        <w:tc>
          <w:tcPr>
            <w:tcW w:w="1646" w:type="dxa"/>
            <w:vAlign w:val="center"/>
          </w:tcPr>
          <w:p w14:paraId="34D56048">
            <w:pPr>
              <w:pStyle w:val="177"/>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14:paraId="4D00B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vAlign w:val="center"/>
          </w:tcPr>
          <w:p w14:paraId="594C0929">
            <w:pPr>
              <w:jc w:val="center"/>
              <w:rPr>
                <w:rFonts w:hint="eastAsia" w:ascii="宋体" w:hAnsi="宋体" w:eastAsia="宋体" w:cs="宋体"/>
                <w:sz w:val="24"/>
                <w:szCs w:val="24"/>
              </w:rPr>
            </w:pPr>
          </w:p>
        </w:tc>
        <w:tc>
          <w:tcPr>
            <w:tcW w:w="1045" w:type="dxa"/>
            <w:vAlign w:val="center"/>
          </w:tcPr>
          <w:p w14:paraId="05922435">
            <w:pPr>
              <w:pStyle w:val="177"/>
              <w:jc w:val="center"/>
              <w:rPr>
                <w:rFonts w:hint="eastAsia" w:ascii="宋体" w:hAnsi="宋体" w:eastAsia="宋体" w:cs="宋体"/>
                <w:sz w:val="24"/>
                <w:szCs w:val="24"/>
              </w:rPr>
            </w:pPr>
            <w:r>
              <w:rPr>
                <w:rFonts w:hint="eastAsia" w:ascii="宋体" w:hAnsi="宋体" w:eastAsia="宋体" w:cs="宋体"/>
                <w:sz w:val="24"/>
                <w:szCs w:val="24"/>
              </w:rPr>
              <w:t>业绩</w:t>
            </w:r>
          </w:p>
        </w:tc>
        <w:tc>
          <w:tcPr>
            <w:tcW w:w="5010" w:type="dxa"/>
            <w:vAlign w:val="center"/>
          </w:tcPr>
          <w:p w14:paraId="3174DEFA">
            <w:pPr>
              <w:pStyle w:val="177"/>
              <w:jc w:val="left"/>
              <w:rPr>
                <w:rFonts w:hint="eastAsia" w:ascii="宋体" w:hAnsi="宋体" w:eastAsia="宋体" w:cs="宋体"/>
                <w:sz w:val="24"/>
                <w:szCs w:val="24"/>
              </w:rPr>
            </w:pPr>
            <w:r>
              <w:rPr>
                <w:rFonts w:hint="eastAsia" w:ascii="宋体" w:hAnsi="宋体" w:eastAsia="宋体" w:cs="宋体"/>
                <w:sz w:val="24"/>
                <w:szCs w:val="24"/>
              </w:rPr>
              <w:t>提供202</w:t>
            </w:r>
            <w:r>
              <w:rPr>
                <w:rFonts w:hint="eastAsia" w:ascii="宋体" w:hAnsi="宋体" w:eastAsia="宋体" w:cs="宋体"/>
                <w:sz w:val="24"/>
                <w:szCs w:val="24"/>
                <w:lang w:val="en-US" w:eastAsia="zh-CN"/>
              </w:rPr>
              <w:t>3</w:t>
            </w:r>
            <w:r>
              <w:rPr>
                <w:rFonts w:hint="eastAsia" w:ascii="宋体" w:hAnsi="宋体" w:eastAsia="宋体" w:cs="宋体"/>
                <w:sz w:val="24"/>
                <w:szCs w:val="24"/>
              </w:rPr>
              <w:t>年至今的</w:t>
            </w:r>
            <w:r>
              <w:rPr>
                <w:rFonts w:hint="eastAsia" w:ascii="宋体" w:hAnsi="宋体" w:cs="宋体"/>
                <w:sz w:val="24"/>
                <w:szCs w:val="24"/>
                <w:lang w:val="en-US" w:eastAsia="zh-CN"/>
              </w:rPr>
              <w:t>同类</w:t>
            </w:r>
            <w:r>
              <w:rPr>
                <w:rFonts w:hint="eastAsia" w:ascii="宋体" w:hAnsi="宋体" w:eastAsia="宋体" w:cs="宋体"/>
                <w:sz w:val="24"/>
                <w:szCs w:val="24"/>
              </w:rPr>
              <w:t>项目业绩（</w:t>
            </w:r>
            <w:r>
              <w:rPr>
                <w:rFonts w:hint="eastAsia" w:ascii="宋体" w:hAnsi="宋体" w:cs="宋体"/>
                <w:sz w:val="24"/>
                <w:szCs w:val="24"/>
                <w:lang w:eastAsia="zh-CN"/>
              </w:rPr>
              <w:t>以合同或中标通知书扫描件为准</w:t>
            </w:r>
            <w:r>
              <w:rPr>
                <w:rFonts w:hint="eastAsia" w:ascii="宋体" w:hAnsi="宋体" w:eastAsia="宋体" w:cs="宋体"/>
                <w:sz w:val="24"/>
                <w:szCs w:val="24"/>
              </w:rPr>
              <w:t>），每提供一份业绩得</w:t>
            </w:r>
            <w:r>
              <w:rPr>
                <w:rFonts w:hint="eastAsia" w:ascii="宋体" w:hAnsi="宋体" w:cs="宋体"/>
                <w:sz w:val="24"/>
                <w:szCs w:val="24"/>
                <w:lang w:val="en-US" w:eastAsia="zh-CN"/>
              </w:rPr>
              <w:t>2</w:t>
            </w:r>
            <w:r>
              <w:rPr>
                <w:rFonts w:hint="eastAsia" w:ascii="宋体" w:hAnsi="宋体" w:eastAsia="宋体" w:cs="宋体"/>
                <w:sz w:val="24"/>
                <w:szCs w:val="24"/>
              </w:rPr>
              <w:t>分，最多计6分。</w:t>
            </w:r>
          </w:p>
        </w:tc>
        <w:tc>
          <w:tcPr>
            <w:tcW w:w="1646" w:type="dxa"/>
            <w:vAlign w:val="center"/>
          </w:tcPr>
          <w:p w14:paraId="0EA598B9">
            <w:pPr>
              <w:pStyle w:val="177"/>
              <w:jc w:val="center"/>
              <w:rPr>
                <w:rFonts w:hint="eastAsia" w:ascii="宋体" w:hAnsi="宋体" w:eastAsia="宋体" w:cs="宋体"/>
                <w:sz w:val="24"/>
                <w:szCs w:val="24"/>
              </w:rPr>
            </w:pPr>
            <w:r>
              <w:rPr>
                <w:rFonts w:hint="eastAsia" w:ascii="宋体" w:hAnsi="宋体" w:eastAsia="宋体" w:cs="宋体"/>
                <w:sz w:val="24"/>
                <w:szCs w:val="24"/>
              </w:rPr>
              <w:t>6</w:t>
            </w:r>
          </w:p>
        </w:tc>
      </w:tr>
      <w:tr w14:paraId="3AC32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856A3F4">
            <w:pPr>
              <w:pStyle w:val="177"/>
              <w:jc w:val="center"/>
              <w:rPr>
                <w:rFonts w:hint="eastAsia" w:ascii="宋体" w:hAnsi="宋体" w:eastAsia="宋体" w:cs="宋体"/>
                <w:sz w:val="24"/>
                <w:szCs w:val="24"/>
              </w:rPr>
            </w:pPr>
            <w:r>
              <w:rPr>
                <w:rFonts w:hint="eastAsia" w:ascii="宋体" w:hAnsi="宋体" w:eastAsia="宋体" w:cs="宋体"/>
                <w:sz w:val="24"/>
                <w:szCs w:val="24"/>
              </w:rPr>
              <w:t>价格分</w:t>
            </w:r>
          </w:p>
        </w:tc>
        <w:tc>
          <w:tcPr>
            <w:tcW w:w="1045" w:type="dxa"/>
            <w:vAlign w:val="center"/>
          </w:tcPr>
          <w:p w14:paraId="376C889B">
            <w:pPr>
              <w:pStyle w:val="177"/>
              <w:jc w:val="center"/>
              <w:rPr>
                <w:rFonts w:hint="eastAsia" w:ascii="宋体" w:hAnsi="宋体" w:eastAsia="宋体" w:cs="宋体"/>
                <w:sz w:val="24"/>
                <w:szCs w:val="24"/>
              </w:rPr>
            </w:pPr>
            <w:r>
              <w:rPr>
                <w:rFonts w:hint="eastAsia" w:ascii="宋体" w:hAnsi="宋体" w:eastAsia="宋体" w:cs="宋体"/>
                <w:sz w:val="24"/>
                <w:szCs w:val="24"/>
              </w:rPr>
              <w:t>价格分</w:t>
            </w:r>
          </w:p>
        </w:tc>
        <w:tc>
          <w:tcPr>
            <w:tcW w:w="5010" w:type="dxa"/>
            <w:vAlign w:val="center"/>
          </w:tcPr>
          <w:p w14:paraId="76E9A835">
            <w:pPr>
              <w:pStyle w:val="177"/>
              <w:jc w:val="left"/>
              <w:rPr>
                <w:rFonts w:hint="eastAsia" w:ascii="宋体" w:hAnsi="宋体" w:eastAsia="宋体" w:cs="宋体"/>
                <w:sz w:val="24"/>
                <w:szCs w:val="24"/>
              </w:rPr>
            </w:pPr>
            <w:r>
              <w:rPr>
                <w:rFonts w:hint="eastAsia" w:ascii="宋体" w:hAnsi="宋体" w:eastAsia="宋体" w:cs="宋体"/>
                <w:sz w:val="24"/>
                <w:szCs w:val="24"/>
              </w:rPr>
              <w:t>以满足招标文件要求且投标报价最低的为评标基准价，其价格分为满分 30 分，其他供应商的价格分按照下列公式计算： 投标报价得分=（评标基准价/投标报价）×30。</w:t>
            </w:r>
          </w:p>
        </w:tc>
        <w:tc>
          <w:tcPr>
            <w:tcW w:w="1646" w:type="dxa"/>
            <w:vAlign w:val="center"/>
          </w:tcPr>
          <w:p w14:paraId="4188F476">
            <w:pPr>
              <w:pStyle w:val="177"/>
              <w:jc w:val="center"/>
              <w:rPr>
                <w:rFonts w:hint="eastAsia" w:ascii="宋体" w:hAnsi="宋体" w:eastAsia="宋体" w:cs="宋体"/>
                <w:sz w:val="24"/>
                <w:szCs w:val="24"/>
              </w:rPr>
            </w:pPr>
            <w:r>
              <w:rPr>
                <w:rFonts w:hint="eastAsia" w:ascii="宋体" w:hAnsi="宋体" w:eastAsia="宋体" w:cs="宋体"/>
                <w:sz w:val="24"/>
                <w:szCs w:val="24"/>
              </w:rPr>
              <w:t>30</w:t>
            </w:r>
          </w:p>
        </w:tc>
      </w:tr>
    </w:tbl>
    <w:p w14:paraId="05B76DA6">
      <w:pPr>
        <w:pStyle w:val="11"/>
        <w:rPr>
          <w:rFonts w:hint="eastAsia"/>
        </w:rPr>
      </w:pPr>
    </w:p>
    <w:p w14:paraId="108DF2D5">
      <w:pPr>
        <w:keepNext w:val="0"/>
        <w:keepLines w:val="0"/>
        <w:pageBreakBefore w:val="0"/>
        <w:widowControl w:val="0"/>
        <w:kinsoku/>
        <w:wordWrap/>
        <w:overflowPunct/>
        <w:topLinePunct w:val="0"/>
        <w:autoSpaceDE/>
        <w:autoSpaceDN/>
        <w:bidi w:val="0"/>
        <w:adjustRightInd/>
        <w:snapToGrid/>
        <w:spacing w:line="500" w:lineRule="exact"/>
        <w:ind w:right="0" w:rightChars="0" w:firstLineChars="20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注：</w:t>
      </w:r>
      <w:r>
        <w:rPr>
          <w:rFonts w:hint="eastAsia" w:ascii="Times New Roman" w:hAnsi="Times New Roman" w:eastAsia="宋体" w:cs="Times New Roman"/>
          <w:b w:val="0"/>
          <w:bCs w:val="0"/>
          <w:sz w:val="21"/>
          <w:szCs w:val="21"/>
          <w:highlight w:val="none"/>
        </w:rPr>
        <w:t>评标委员会各评委独立评分，按评审后综合得分由高到低顺序排列，推荐3名中标候选人。得分相同的，按投标报价由低到高顺序排列，得分且投标报价相同的，比较技术得分，此技术得分高者排在前。</w:t>
      </w:r>
    </w:p>
    <w:p w14:paraId="5BB1AD5F">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 xml:space="preserve">  </w:t>
      </w:r>
      <w:r>
        <w:rPr>
          <w:rFonts w:hint="eastAsia" w:ascii="宋体" w:hAnsi="宋体" w:cs="宋体"/>
          <w:b/>
          <w:bCs/>
          <w:kern w:val="0"/>
          <w:sz w:val="24"/>
          <w:highlight w:val="none"/>
        </w:rPr>
        <w:t>特殊情况的处理</w:t>
      </w:r>
    </w:p>
    <w:p w14:paraId="275168B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3.1 投标文件中如果出现计算错误，可按以下原则进行修正：</w:t>
      </w:r>
    </w:p>
    <w:p w14:paraId="592A9197">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（1）投标文件中的大写金额与小写金额不一致的，以大写金额为准；</w:t>
      </w:r>
    </w:p>
    <w:p w14:paraId="4C836F6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（2）投标文件中的总价金额与按单价计算的汇总金额不一致的，以单价计算的汇总金额为准；</w:t>
      </w:r>
    </w:p>
    <w:p w14:paraId="13CDFB0A">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（3）投标文件中的单价金额有明显小数点错误的，以总价为准，并修改单价；</w:t>
      </w:r>
    </w:p>
    <w:p w14:paraId="5B4F9B33">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（4）投标文件中有关分项表内容与</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开标一览表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不一致的，以</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开标一览表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为准；</w:t>
      </w:r>
    </w:p>
    <w:p w14:paraId="5836E770">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（5）投标文件中图表与文字表述不一致的，以文字表述为准；</w:t>
      </w:r>
    </w:p>
    <w:p w14:paraId="565EE396">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6</w:t>
      </w:r>
      <w:r>
        <w:rPr>
          <w:rFonts w:hint="eastAsia" w:ascii="Times New Roman" w:hAnsi="Times New Roman" w:eastAsia="宋体" w:cs="Times New Roman"/>
          <w:b w:val="0"/>
          <w:bCs w:val="0"/>
          <w:sz w:val="21"/>
          <w:szCs w:val="21"/>
          <w:highlight w:val="none"/>
        </w:rPr>
        <w:t>）对不同文字文本投标文件的解释发生异议的，以中文文本为准。</w:t>
      </w:r>
    </w:p>
    <w:p w14:paraId="331DC76F">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按上述修正错误的方法调整的投标报价应对投标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具有约束力。如果投标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不接受修正后的价格，其投标将被拒绝。</w:t>
      </w:r>
    </w:p>
    <w:p w14:paraId="67D4EC1F">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3.2 投标文件中，若某项有不合理报价（或零报价、漏报价）的，经评委会评审后，此项得分为零，不参与投标报价分值的计算。</w:t>
      </w:r>
    </w:p>
    <w:p w14:paraId="2A7AAC59">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3.3 评委评分超过得分界限或未按照本办法规定时，该评委的该项评分作废，不计入汇总；计算采用插入法，各种数字均保留两位小数，第三位</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四舍五入</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；评审过程中，若出现本办法以外的特殊情况时，将暂停评标，有关情况待评标委员会确定后，再行评定。</w:t>
      </w:r>
    </w:p>
    <w:p w14:paraId="75EC012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3.4 评标结果汇总完成后，除下列情形外，任何人不得修改评标结果：</w:t>
      </w:r>
    </w:p>
    <w:p w14:paraId="40815398">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（1）分值汇总计算错误的；</w:t>
      </w:r>
    </w:p>
    <w:p w14:paraId="4FA18DB1">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（2）分项评分超出评分标准范围的；</w:t>
      </w:r>
    </w:p>
    <w:p w14:paraId="0DFC68BC">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（3）评标委员会对客观评审因素评分不一致的；</w:t>
      </w:r>
    </w:p>
    <w:p w14:paraId="228BC16C">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（4）经评标委员会认定评分畸高、畸低的。</w:t>
      </w:r>
    </w:p>
    <w:p w14:paraId="18E4356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14:paraId="7FA840C9">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3.5 排名第一的候选人，主动放弃中标，或因不可抗力不能履行合同，或被查实存在影响中标结果的违法行为等情形，已不再符合中标条件的，采购人可以按照评委会提出的中标候选人名单排序依次确定其他中标候选人为中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，也可以根据实际情况需要，依法重新招标。</w:t>
      </w:r>
    </w:p>
    <w:p w14:paraId="42E5FC6D">
      <w:pPr>
        <w:spacing w:before="240" w:after="120"/>
        <w:jc w:val="left"/>
        <w:outlineLvl w:val="2"/>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2.4  与采购人、采购代理机构和评标委员会接触</w:t>
      </w:r>
    </w:p>
    <w:p w14:paraId="43876F2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投标人试图对采购人、采购代理机构和评标委员会的评标、比较或授予合同的决定进行影响，都可能导致其投标被拒绝。</w:t>
      </w:r>
    </w:p>
    <w:p w14:paraId="647B7F73">
      <w:pPr>
        <w:keepNext w:val="0"/>
        <w:keepLines w:val="0"/>
        <w:pageBreakBefore w:val="0"/>
        <w:widowControl/>
        <w:kinsoku/>
        <w:wordWrap/>
        <w:overflowPunct/>
        <w:topLinePunct w:val="0"/>
        <w:autoSpaceDE w:val="0"/>
        <w:autoSpaceDN w:val="0"/>
        <w:bidi w:val="0"/>
        <w:adjustRightInd/>
        <w:snapToGrid/>
        <w:spacing w:line="500" w:lineRule="exact"/>
        <w:ind w:left="0" w:leftChars="0" w:right="53" w:firstLine="0" w:firstLineChars="0"/>
        <w:textAlignment w:val="bottom"/>
        <w:rPr>
          <w:rFonts w:hint="eastAsia" w:ascii="新宋体" w:hAnsi="新宋体"/>
          <w:b/>
          <w:bCs/>
          <w:color w:val="auto"/>
          <w:sz w:val="28"/>
          <w:szCs w:val="28"/>
          <w:highlight w:val="none"/>
          <w:lang w:eastAsia="zh-CN"/>
        </w:rPr>
      </w:pPr>
    </w:p>
    <w:p w14:paraId="3B4032BD">
      <w:pPr>
        <w:rPr>
          <w:rFonts w:hint="eastAsia" w:ascii="新宋体" w:hAnsi="新宋体"/>
          <w:b/>
          <w:bCs/>
          <w:color w:val="auto"/>
          <w:sz w:val="28"/>
          <w:szCs w:val="28"/>
          <w:highlight w:val="none"/>
          <w:lang w:eastAsia="zh-CN"/>
        </w:rPr>
      </w:pPr>
    </w:p>
    <w:p w14:paraId="19DB66C0">
      <w:pPr>
        <w:rPr>
          <w:rFonts w:hint="eastAsia" w:ascii="新宋体" w:hAnsi="新宋体"/>
          <w:b/>
          <w:bCs/>
          <w:color w:val="auto"/>
          <w:sz w:val="28"/>
          <w:szCs w:val="28"/>
          <w:highlight w:val="none"/>
          <w:lang w:eastAsia="zh-CN"/>
        </w:rPr>
      </w:pPr>
    </w:p>
    <w:p w14:paraId="7558404A">
      <w:pPr>
        <w:rPr>
          <w:rFonts w:hint="eastAsia" w:ascii="新宋体" w:hAnsi="新宋体"/>
          <w:b/>
          <w:bCs/>
          <w:color w:val="auto"/>
          <w:sz w:val="28"/>
          <w:szCs w:val="28"/>
          <w:highlight w:val="none"/>
          <w:lang w:eastAsia="zh-CN"/>
        </w:rPr>
      </w:pPr>
    </w:p>
    <w:p w14:paraId="74BCC8EA">
      <w:pPr>
        <w:rPr>
          <w:rFonts w:hint="eastAsia" w:ascii="新宋体" w:hAnsi="新宋体"/>
          <w:b/>
          <w:bCs/>
          <w:color w:val="auto"/>
          <w:sz w:val="28"/>
          <w:szCs w:val="28"/>
          <w:highlight w:val="none"/>
          <w:lang w:eastAsia="zh-CN"/>
        </w:rPr>
      </w:pPr>
    </w:p>
    <w:p w14:paraId="1CD583DC">
      <w:pPr>
        <w:pStyle w:val="16"/>
        <w:rPr>
          <w:rFonts w:hint="eastAsia" w:ascii="新宋体" w:hAnsi="新宋体"/>
          <w:b/>
          <w:bCs/>
          <w:color w:val="auto"/>
          <w:sz w:val="28"/>
          <w:szCs w:val="28"/>
          <w:highlight w:val="none"/>
          <w:lang w:eastAsia="zh-CN"/>
        </w:rPr>
      </w:pPr>
    </w:p>
    <w:p w14:paraId="1D244111">
      <w:pPr>
        <w:pStyle w:val="17"/>
        <w:rPr>
          <w:rFonts w:hint="eastAsia" w:ascii="新宋体" w:hAnsi="新宋体"/>
          <w:b/>
          <w:bCs/>
          <w:color w:val="auto"/>
          <w:sz w:val="28"/>
          <w:szCs w:val="28"/>
          <w:highlight w:val="none"/>
          <w:lang w:eastAsia="zh-CN"/>
        </w:rPr>
      </w:pPr>
    </w:p>
    <w:p w14:paraId="4F457A60">
      <w:pPr>
        <w:pStyle w:val="18"/>
        <w:rPr>
          <w:rFonts w:hint="eastAsia" w:ascii="新宋体" w:hAnsi="新宋体"/>
          <w:b/>
          <w:bCs/>
          <w:color w:val="auto"/>
          <w:sz w:val="28"/>
          <w:szCs w:val="28"/>
          <w:highlight w:val="none"/>
          <w:lang w:eastAsia="zh-CN"/>
        </w:rPr>
      </w:pPr>
    </w:p>
    <w:p w14:paraId="27600FCD">
      <w:pPr>
        <w:rPr>
          <w:rFonts w:hint="eastAsia" w:ascii="新宋体" w:hAnsi="新宋体"/>
          <w:b/>
          <w:bCs/>
          <w:color w:val="auto"/>
          <w:sz w:val="28"/>
          <w:szCs w:val="28"/>
          <w:highlight w:val="none"/>
          <w:lang w:eastAsia="zh-CN"/>
        </w:rPr>
      </w:pPr>
    </w:p>
    <w:p w14:paraId="1382C1C3">
      <w:pPr>
        <w:rPr>
          <w:rFonts w:hint="eastAsia" w:ascii="新宋体" w:hAnsi="新宋体"/>
          <w:b/>
          <w:bCs/>
          <w:color w:val="auto"/>
          <w:sz w:val="28"/>
          <w:szCs w:val="28"/>
          <w:highlight w:val="none"/>
          <w:lang w:eastAsia="zh-CN"/>
        </w:rPr>
      </w:pPr>
    </w:p>
    <w:p w14:paraId="05ECB0E6">
      <w:pPr>
        <w:rPr>
          <w:rFonts w:hint="eastAsia" w:ascii="新宋体" w:hAnsi="新宋体"/>
          <w:b/>
          <w:bCs/>
          <w:color w:val="auto"/>
          <w:sz w:val="28"/>
          <w:szCs w:val="28"/>
          <w:highlight w:val="none"/>
          <w:lang w:eastAsia="zh-CN"/>
        </w:rPr>
      </w:pPr>
    </w:p>
    <w:p w14:paraId="28C5768B">
      <w:pPr>
        <w:rPr>
          <w:rFonts w:hint="eastAsia" w:ascii="新宋体" w:hAnsi="新宋体"/>
          <w:b/>
          <w:bCs/>
          <w:color w:val="auto"/>
          <w:sz w:val="28"/>
          <w:szCs w:val="28"/>
          <w:highlight w:val="none"/>
          <w:lang w:eastAsia="zh-CN"/>
        </w:rPr>
      </w:pPr>
    </w:p>
    <w:p w14:paraId="7910D77C">
      <w:pPr>
        <w:rPr>
          <w:rFonts w:hint="eastAsia" w:ascii="新宋体" w:hAnsi="新宋体"/>
          <w:b/>
          <w:bCs/>
          <w:color w:val="auto"/>
          <w:sz w:val="28"/>
          <w:szCs w:val="28"/>
          <w:highlight w:val="none"/>
          <w:lang w:eastAsia="zh-CN"/>
        </w:rPr>
      </w:pPr>
    </w:p>
    <w:p w14:paraId="7E0F1E1A">
      <w:pPr>
        <w:pStyle w:val="17"/>
        <w:rPr>
          <w:rFonts w:hint="eastAsia" w:ascii="新宋体" w:hAnsi="新宋体"/>
          <w:b/>
          <w:bCs/>
          <w:color w:val="auto"/>
          <w:sz w:val="28"/>
          <w:szCs w:val="28"/>
          <w:highlight w:val="none"/>
          <w:lang w:eastAsia="zh-CN"/>
        </w:rPr>
      </w:pPr>
    </w:p>
    <w:p w14:paraId="247D0ECC">
      <w:pPr>
        <w:pStyle w:val="18"/>
        <w:rPr>
          <w:rFonts w:hint="eastAsia" w:ascii="新宋体" w:hAnsi="新宋体"/>
          <w:b/>
          <w:bCs/>
          <w:color w:val="auto"/>
          <w:sz w:val="28"/>
          <w:szCs w:val="28"/>
          <w:highlight w:val="none"/>
          <w:lang w:eastAsia="zh-CN"/>
        </w:rPr>
      </w:pPr>
    </w:p>
    <w:p w14:paraId="2D6877A9">
      <w:pPr>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附件一：</w:t>
      </w:r>
    </w:p>
    <w:p w14:paraId="04C6D5ED">
      <w:pPr>
        <w:keepNext w:val="0"/>
        <w:keepLines w:val="0"/>
        <w:pageBreakBefore w:val="0"/>
        <w:widowControl/>
        <w:kinsoku/>
        <w:wordWrap/>
        <w:overflowPunct/>
        <w:topLinePunct w:val="0"/>
        <w:autoSpaceDE w:val="0"/>
        <w:autoSpaceDN w:val="0"/>
        <w:bidi w:val="0"/>
        <w:adjustRightInd/>
        <w:snapToGrid w:val="0"/>
        <w:spacing w:line="360" w:lineRule="auto"/>
        <w:ind w:left="0" w:leftChars="0" w:right="51" w:rightChars="0" w:firstLine="0" w:firstLineChars="0"/>
        <w:jc w:val="center"/>
        <w:textAlignment w:val="bottom"/>
        <w:outlineLvl w:val="9"/>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资格性审查内容</w:t>
      </w:r>
    </w:p>
    <w:tbl>
      <w:tblPr>
        <w:tblStyle w:val="41"/>
        <w:tblW w:w="97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925"/>
      </w:tblGrid>
      <w:tr w14:paraId="01357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43D220E0">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216"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序号</w:t>
            </w:r>
          </w:p>
        </w:tc>
        <w:tc>
          <w:tcPr>
            <w:tcW w:w="8925" w:type="dxa"/>
            <w:tcBorders>
              <w:tl2br w:val="nil"/>
              <w:tr2bl w:val="nil"/>
            </w:tcBorders>
            <w:vAlign w:val="center"/>
          </w:tcPr>
          <w:p w14:paraId="4F5CE91D">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216"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审查内容</w:t>
            </w:r>
          </w:p>
        </w:tc>
      </w:tr>
      <w:tr w14:paraId="5E385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14" w:type="dxa"/>
            <w:tcBorders>
              <w:tl2br w:val="nil"/>
              <w:tr2bl w:val="nil"/>
            </w:tcBorders>
            <w:vAlign w:val="center"/>
          </w:tcPr>
          <w:p w14:paraId="341979C5">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5" w:type="dxa"/>
            <w:tcBorders>
              <w:tl2br w:val="nil"/>
              <w:tr2bl w:val="nil"/>
            </w:tcBorders>
            <w:vAlign w:val="center"/>
          </w:tcPr>
          <w:p w14:paraId="7F9CBA77">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在中华人民共和国境内注册，依法取得并有效存续的营业执照（含电子营业执照）/事业单位法人证书/民办非企业单位登记证书/非企业专业服务机构执业许可/自然人的提供身份证明文件。</w:t>
            </w:r>
          </w:p>
        </w:tc>
      </w:tr>
      <w:tr w14:paraId="64D3F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1DDCF54D">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925" w:type="dxa"/>
            <w:tcBorders>
              <w:tl2br w:val="nil"/>
              <w:tr2bl w:val="nil"/>
            </w:tcBorders>
            <w:vAlign w:val="center"/>
          </w:tcPr>
          <w:p w14:paraId="2DCB8003">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w:t>
            </w:r>
          </w:p>
        </w:tc>
      </w:tr>
      <w:tr w14:paraId="57BE9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0A86610E">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8925" w:type="dxa"/>
            <w:tcBorders>
              <w:tl2br w:val="nil"/>
              <w:tr2bl w:val="nil"/>
            </w:tcBorders>
            <w:vAlign w:val="center"/>
          </w:tcPr>
          <w:p w14:paraId="3F134282">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财务状况报告：</w:t>
            </w:r>
            <w:r>
              <w:rPr>
                <w:rFonts w:hint="eastAsia" w:cs="宋体"/>
                <w:sz w:val="21"/>
                <w:szCs w:val="21"/>
                <w:highlight w:val="none"/>
                <w:lang w:val="en-US" w:eastAsia="zh-CN"/>
              </w:rPr>
              <w:t>提供2024年度或2025年度财务审计报告</w:t>
            </w:r>
            <w:r>
              <w:rPr>
                <w:rFonts w:hint="eastAsia" w:ascii="宋体" w:hAnsi="宋体" w:eastAsia="宋体" w:cs="宋体"/>
                <w:sz w:val="21"/>
                <w:szCs w:val="21"/>
                <w:highlight w:val="none"/>
                <w:lang w:val="en-US" w:eastAsia="zh-CN"/>
              </w:rPr>
              <w:t>（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w:t>
            </w:r>
          </w:p>
        </w:tc>
      </w:tr>
      <w:tr w14:paraId="29583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14" w:type="dxa"/>
            <w:tcBorders>
              <w:tl2br w:val="nil"/>
              <w:tr2bl w:val="nil"/>
            </w:tcBorders>
            <w:vAlign w:val="center"/>
          </w:tcPr>
          <w:p w14:paraId="526CDCDA">
            <w:pPr>
              <w:keepNext w:val="0"/>
              <w:keepLines w:val="0"/>
              <w:pageBreakBefore w:val="0"/>
              <w:kinsoku/>
              <w:wordWrap/>
              <w:overflowPunct/>
              <w:topLinePunct w:val="0"/>
              <w:autoSpaceDE/>
              <w:autoSpaceDN/>
              <w:bidi w:val="0"/>
              <w:adjustRightInd/>
              <w:snapToGrid w:val="0"/>
              <w:spacing w:line="216"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8925" w:type="dxa"/>
            <w:tcBorders>
              <w:tl2br w:val="nil"/>
              <w:tr2bl w:val="nil"/>
            </w:tcBorders>
            <w:vAlign w:val="center"/>
          </w:tcPr>
          <w:p w14:paraId="5ECF379C">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税收缴纳证明：提供投标响应文件截止时间一年内至少一个月的纳税证明或完税证明（任意税种），纳税证明或完税证明上应有代收机构或税务机关的公章或业务专用章（依法不需要缴纳税收的供应商应提供相关证明）。</w:t>
            </w:r>
          </w:p>
        </w:tc>
      </w:tr>
      <w:tr w14:paraId="5E9A1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7021DAC6">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8925" w:type="dxa"/>
            <w:tcBorders>
              <w:tl2br w:val="nil"/>
              <w:tr2bl w:val="nil"/>
            </w:tcBorders>
            <w:vAlign w:val="center"/>
          </w:tcPr>
          <w:p w14:paraId="1209158D">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w:t>
            </w:r>
          </w:p>
        </w:tc>
      </w:tr>
      <w:tr w14:paraId="2D88F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4" w:type="dxa"/>
            <w:tcBorders>
              <w:tl2br w:val="nil"/>
              <w:tr2bl w:val="nil"/>
            </w:tcBorders>
            <w:vAlign w:val="center"/>
          </w:tcPr>
          <w:p w14:paraId="176D8A7F">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925" w:type="dxa"/>
            <w:tcBorders>
              <w:tl2br w:val="nil"/>
              <w:tr2bl w:val="nil"/>
            </w:tcBorders>
            <w:vAlign w:val="center"/>
          </w:tcPr>
          <w:p w14:paraId="15C9391A">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具有履行合同所必需的设备和专业技术能力书面声明函。</w:t>
            </w:r>
          </w:p>
        </w:tc>
      </w:tr>
      <w:tr w14:paraId="36A47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4" w:type="dxa"/>
            <w:tcBorders>
              <w:tl2br w:val="nil"/>
              <w:tr2bl w:val="nil"/>
            </w:tcBorders>
            <w:vAlign w:val="center"/>
          </w:tcPr>
          <w:p w14:paraId="3121DC43">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8925" w:type="dxa"/>
            <w:tcBorders>
              <w:tl2br w:val="nil"/>
              <w:tr2bl w:val="nil"/>
            </w:tcBorders>
            <w:vAlign w:val="center"/>
          </w:tcPr>
          <w:p w14:paraId="7697783A">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参加政府采购活动前三年内，在经营活动中没有重大违法记录的书面声明。</w:t>
            </w:r>
          </w:p>
        </w:tc>
      </w:tr>
      <w:tr w14:paraId="7873D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4" w:type="dxa"/>
            <w:tcBorders>
              <w:tl2br w:val="nil"/>
              <w:tr2bl w:val="nil"/>
            </w:tcBorders>
            <w:vAlign w:val="center"/>
          </w:tcPr>
          <w:p w14:paraId="199EE913">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default" w:cs="宋体"/>
                <w:sz w:val="21"/>
                <w:szCs w:val="21"/>
                <w:highlight w:val="none"/>
                <w:lang w:val="en-US" w:eastAsia="zh-CN"/>
              </w:rPr>
            </w:pPr>
            <w:r>
              <w:rPr>
                <w:rFonts w:hint="eastAsia" w:cs="宋体"/>
                <w:sz w:val="21"/>
                <w:szCs w:val="21"/>
                <w:highlight w:val="none"/>
                <w:lang w:val="en-US" w:eastAsia="zh-CN"/>
              </w:rPr>
              <w:t>8</w:t>
            </w:r>
          </w:p>
        </w:tc>
        <w:tc>
          <w:tcPr>
            <w:tcW w:w="8925" w:type="dxa"/>
            <w:tcBorders>
              <w:tl2br w:val="nil"/>
              <w:tr2bl w:val="nil"/>
            </w:tcBorders>
            <w:vAlign w:val="center"/>
          </w:tcPr>
          <w:p w14:paraId="2120184D">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供应商须提供有效的《食品经营许可证》或《预包装食品经营者备案表》（蔬菜除外）</w:t>
            </w:r>
            <w:r>
              <w:rPr>
                <w:rFonts w:hint="eastAsia" w:ascii="宋体" w:hAnsi="宋体" w:eastAsia="宋体" w:cs="宋体"/>
                <w:sz w:val="21"/>
                <w:szCs w:val="21"/>
                <w:highlight w:val="none"/>
                <w:lang w:val="en-US" w:eastAsia="zh-CN"/>
              </w:rPr>
              <w:t>。</w:t>
            </w:r>
          </w:p>
        </w:tc>
      </w:tr>
      <w:tr w14:paraId="06129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14" w:type="dxa"/>
            <w:tcBorders>
              <w:tl2br w:val="nil"/>
              <w:tr2bl w:val="nil"/>
            </w:tcBorders>
            <w:vAlign w:val="center"/>
          </w:tcPr>
          <w:p w14:paraId="1C94EE58">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default" w:cs="宋体"/>
                <w:sz w:val="21"/>
                <w:szCs w:val="21"/>
                <w:highlight w:val="none"/>
                <w:lang w:val="en-US" w:eastAsia="zh-CN"/>
              </w:rPr>
            </w:pPr>
            <w:r>
              <w:rPr>
                <w:rFonts w:hint="eastAsia" w:cs="宋体"/>
                <w:sz w:val="21"/>
                <w:szCs w:val="21"/>
                <w:highlight w:val="none"/>
                <w:lang w:val="en-US" w:eastAsia="zh-CN"/>
              </w:rPr>
              <w:t>9</w:t>
            </w:r>
          </w:p>
        </w:tc>
        <w:tc>
          <w:tcPr>
            <w:tcW w:w="8925" w:type="dxa"/>
            <w:tcBorders>
              <w:tl2br w:val="nil"/>
              <w:tr2bl w:val="nil"/>
            </w:tcBorders>
            <w:vAlign w:val="center"/>
          </w:tcPr>
          <w:p w14:paraId="037364BF">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本项目不接受联合体投标。</w:t>
            </w:r>
          </w:p>
        </w:tc>
      </w:tr>
      <w:tr w14:paraId="0AE9A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4" w:type="dxa"/>
            <w:tcBorders>
              <w:tl2br w:val="nil"/>
              <w:tr2bl w:val="nil"/>
            </w:tcBorders>
            <w:vAlign w:val="center"/>
          </w:tcPr>
          <w:p w14:paraId="36C44C6E">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default" w:cs="宋体"/>
                <w:sz w:val="21"/>
                <w:szCs w:val="21"/>
                <w:highlight w:val="none"/>
                <w:lang w:val="en-US" w:eastAsia="zh-CN"/>
              </w:rPr>
            </w:pPr>
            <w:r>
              <w:rPr>
                <w:rFonts w:hint="eastAsia" w:cs="宋体"/>
                <w:sz w:val="21"/>
                <w:szCs w:val="21"/>
                <w:highlight w:val="none"/>
                <w:lang w:val="en-US" w:eastAsia="zh-CN"/>
              </w:rPr>
              <w:t>10</w:t>
            </w:r>
          </w:p>
        </w:tc>
        <w:tc>
          <w:tcPr>
            <w:tcW w:w="8925" w:type="dxa"/>
            <w:tcBorders>
              <w:tl2br w:val="nil"/>
              <w:tr2bl w:val="nil"/>
            </w:tcBorders>
            <w:vAlign w:val="center"/>
          </w:tcPr>
          <w:p w14:paraId="2A5991C3">
            <w:pPr>
              <w:pStyle w:val="34"/>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r>
    </w:tbl>
    <w:p w14:paraId="5E1545DD">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27894156">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602A72D4">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附件二：</w:t>
      </w:r>
    </w:p>
    <w:p w14:paraId="59FA0E6D">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center"/>
        <w:textAlignment w:val="bottom"/>
        <w:outlineLvl w:val="9"/>
        <w:rPr>
          <w:rFonts w:hint="eastAsia" w:ascii="宋体" w:hAnsi="宋体" w:eastAsia="宋体" w:cs="宋体"/>
          <w:b/>
          <w:bCs/>
          <w:sz w:val="28"/>
          <w:szCs w:val="28"/>
          <w:highlight w:val="none"/>
        </w:rPr>
      </w:pPr>
      <w:r>
        <w:rPr>
          <w:rFonts w:hint="eastAsia" w:ascii="新宋体" w:hAnsi="新宋体"/>
          <w:b/>
          <w:bCs/>
          <w:color w:val="auto"/>
          <w:sz w:val="28"/>
          <w:szCs w:val="28"/>
          <w:highlight w:val="none"/>
          <w:lang w:eastAsia="zh-CN"/>
        </w:rPr>
        <w:t>符合性审查内容</w:t>
      </w:r>
    </w:p>
    <w:tbl>
      <w:tblPr>
        <w:tblStyle w:val="41"/>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350"/>
      </w:tblGrid>
      <w:tr w14:paraId="54FEE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0" w:type="dxa"/>
            <w:vAlign w:val="center"/>
          </w:tcPr>
          <w:p w14:paraId="36F0D75F">
            <w:pPr>
              <w:pStyle w:val="34"/>
              <w:spacing w:before="0" w:beforeAutospacing="0" w:after="0" w:afterAutospacing="0"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8350" w:type="dxa"/>
            <w:vAlign w:val="center"/>
          </w:tcPr>
          <w:p w14:paraId="007A45E7">
            <w:pPr>
              <w:pStyle w:val="34"/>
              <w:spacing w:before="0" w:beforeAutospacing="0" w:after="0" w:afterAutospacing="0"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审查内容</w:t>
            </w:r>
          </w:p>
        </w:tc>
      </w:tr>
      <w:tr w14:paraId="1FA0D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Align w:val="center"/>
          </w:tcPr>
          <w:p w14:paraId="474AE188">
            <w:pPr>
              <w:pStyle w:val="34"/>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350" w:type="dxa"/>
            <w:vAlign w:val="center"/>
          </w:tcPr>
          <w:p w14:paraId="49CB26F6">
            <w:pPr>
              <w:pStyle w:val="34"/>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投标文件构成无重大缺项，按照招标文件要求的格式编写投标文件；</w:t>
            </w:r>
          </w:p>
        </w:tc>
      </w:tr>
      <w:tr w14:paraId="6C6FA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Align w:val="center"/>
          </w:tcPr>
          <w:p w14:paraId="6A9A35EC">
            <w:pPr>
              <w:pStyle w:val="34"/>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8350" w:type="dxa"/>
            <w:vAlign w:val="center"/>
          </w:tcPr>
          <w:p w14:paraId="19FD560F">
            <w:pPr>
              <w:pStyle w:val="34"/>
              <w:spacing w:before="0" w:beforeAutospacing="0" w:after="0" w:afterAutospacing="0" w:line="5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报价唯一，且没有低于成本价或高于最高限价的；</w:t>
            </w:r>
          </w:p>
        </w:tc>
      </w:tr>
      <w:tr w14:paraId="12150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90" w:type="dxa"/>
            <w:vAlign w:val="center"/>
          </w:tcPr>
          <w:p w14:paraId="3BED9BED">
            <w:pPr>
              <w:pStyle w:val="34"/>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8350" w:type="dxa"/>
            <w:vAlign w:val="center"/>
          </w:tcPr>
          <w:p w14:paraId="71DA68A8">
            <w:pPr>
              <w:pStyle w:val="34"/>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投标文件的签署、盖章符合招标文件要求，投标人递交的投标文件与本项目名称一致；</w:t>
            </w:r>
          </w:p>
        </w:tc>
      </w:tr>
      <w:tr w14:paraId="10696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14:paraId="6BA80ED1">
            <w:pPr>
              <w:pStyle w:val="34"/>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8350" w:type="dxa"/>
            <w:vAlign w:val="center"/>
          </w:tcPr>
          <w:p w14:paraId="4BE702F7">
            <w:pPr>
              <w:pStyle w:val="34"/>
              <w:spacing w:before="0" w:beforeAutospacing="0" w:after="0" w:afterAutospacing="0" w:line="500" w:lineRule="exact"/>
              <w:jc w:val="both"/>
              <w:rPr>
                <w:rFonts w:hint="eastAsia" w:ascii="宋体" w:hAnsi="宋体" w:eastAsia="宋体" w:cs="宋体"/>
                <w:sz w:val="21"/>
                <w:szCs w:val="21"/>
                <w:highlight w:val="none"/>
              </w:rPr>
            </w:pPr>
            <w:r>
              <w:rPr>
                <w:rFonts w:hint="eastAsia" w:cs="宋体"/>
                <w:sz w:val="21"/>
                <w:szCs w:val="21"/>
                <w:highlight w:val="none"/>
                <w:lang w:eastAsia="zh-CN"/>
              </w:rPr>
              <w:t>投标有效期：文件递交截止之日起90日历日</w:t>
            </w:r>
            <w:r>
              <w:rPr>
                <w:rFonts w:hint="eastAsia" w:ascii="宋体" w:hAnsi="宋体" w:eastAsia="宋体" w:cs="宋体"/>
                <w:sz w:val="21"/>
                <w:szCs w:val="21"/>
                <w:highlight w:val="none"/>
                <w:lang w:eastAsia="zh-CN"/>
              </w:rPr>
              <w:t>；</w:t>
            </w:r>
          </w:p>
        </w:tc>
      </w:tr>
      <w:tr w14:paraId="42206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14:paraId="647C09D6">
            <w:pPr>
              <w:pStyle w:val="34"/>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350" w:type="dxa"/>
            <w:vAlign w:val="center"/>
          </w:tcPr>
          <w:p w14:paraId="5553754A">
            <w:pPr>
              <w:pStyle w:val="34"/>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响应招标文件要求；</w:t>
            </w:r>
          </w:p>
        </w:tc>
      </w:tr>
      <w:tr w14:paraId="17181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14:paraId="01A2E147">
            <w:pPr>
              <w:pStyle w:val="34"/>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350" w:type="dxa"/>
            <w:vAlign w:val="center"/>
          </w:tcPr>
          <w:p w14:paraId="3750996E">
            <w:pPr>
              <w:pStyle w:val="34"/>
              <w:spacing w:before="0" w:beforeAutospacing="0" w:after="0" w:afterAutospacing="0" w:line="5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无招标文件中规定的无效情形。</w:t>
            </w:r>
          </w:p>
        </w:tc>
      </w:tr>
    </w:tbl>
    <w:p w14:paraId="0347EA15">
      <w:pPr>
        <w:bidi w:val="0"/>
        <w:rPr>
          <w:rFonts w:hint="eastAsia"/>
          <w:highlight w:val="none"/>
        </w:rPr>
      </w:pPr>
    </w:p>
    <w:p w14:paraId="393BA8D7">
      <w:pPr>
        <w:bidi w:val="0"/>
        <w:rPr>
          <w:rFonts w:hint="eastAsia"/>
          <w:highlight w:val="none"/>
        </w:rPr>
      </w:pPr>
    </w:p>
    <w:p w14:paraId="3151A1AD">
      <w:pPr>
        <w:pStyle w:val="39"/>
        <w:rPr>
          <w:rFonts w:hint="eastAsia"/>
          <w:highlight w:val="none"/>
        </w:rPr>
      </w:pPr>
    </w:p>
    <w:p w14:paraId="78D3BEDC">
      <w:pPr>
        <w:pStyle w:val="15"/>
        <w:rPr>
          <w:rFonts w:hint="eastAsia"/>
          <w:highlight w:val="none"/>
        </w:rPr>
      </w:pPr>
    </w:p>
    <w:p w14:paraId="7BD84A02">
      <w:pPr>
        <w:pStyle w:val="58"/>
        <w:rPr>
          <w:rFonts w:hint="eastAsia"/>
          <w:highlight w:val="none"/>
        </w:rPr>
      </w:pPr>
    </w:p>
    <w:p w14:paraId="4045BA6D">
      <w:pPr>
        <w:rPr>
          <w:rFonts w:hint="eastAsia"/>
          <w:highlight w:val="none"/>
        </w:rPr>
      </w:pPr>
    </w:p>
    <w:p w14:paraId="17C65E5F">
      <w:pPr>
        <w:pStyle w:val="39"/>
        <w:rPr>
          <w:rFonts w:hint="eastAsia"/>
          <w:highlight w:val="none"/>
        </w:rPr>
      </w:pPr>
    </w:p>
    <w:p w14:paraId="0ECAD02A">
      <w:pPr>
        <w:pStyle w:val="15"/>
        <w:rPr>
          <w:rFonts w:hint="eastAsia"/>
          <w:highlight w:val="none"/>
        </w:rPr>
      </w:pPr>
    </w:p>
    <w:p w14:paraId="5469373C">
      <w:pPr>
        <w:pStyle w:val="58"/>
        <w:rPr>
          <w:rFonts w:hint="eastAsia"/>
          <w:highlight w:val="none"/>
        </w:rPr>
      </w:pPr>
    </w:p>
    <w:p w14:paraId="5B1E7197">
      <w:pPr>
        <w:rPr>
          <w:rFonts w:hint="eastAsia"/>
          <w:highlight w:val="none"/>
        </w:rPr>
      </w:pPr>
    </w:p>
    <w:p w14:paraId="785BA0D1">
      <w:pPr>
        <w:pStyle w:val="39"/>
        <w:rPr>
          <w:rFonts w:hint="eastAsia"/>
          <w:highlight w:val="none"/>
        </w:rPr>
      </w:pPr>
    </w:p>
    <w:p w14:paraId="58DC3979">
      <w:pPr>
        <w:pStyle w:val="15"/>
        <w:rPr>
          <w:rFonts w:hint="eastAsia"/>
          <w:highlight w:val="none"/>
        </w:rPr>
      </w:pPr>
    </w:p>
    <w:p w14:paraId="7AB64EFC">
      <w:pPr>
        <w:pStyle w:val="58"/>
        <w:rPr>
          <w:rFonts w:hint="eastAsia"/>
          <w:highlight w:val="none"/>
        </w:rPr>
      </w:pPr>
    </w:p>
    <w:p w14:paraId="25DB7E59">
      <w:pPr>
        <w:rPr>
          <w:rFonts w:hint="eastAsia"/>
          <w:highlight w:val="none"/>
        </w:rPr>
      </w:pPr>
    </w:p>
    <w:p w14:paraId="734A1983">
      <w:pPr>
        <w:pStyle w:val="39"/>
        <w:rPr>
          <w:rFonts w:hint="eastAsia"/>
          <w:highlight w:val="none"/>
        </w:rPr>
      </w:pPr>
    </w:p>
    <w:p w14:paraId="1E1886B1">
      <w:pPr>
        <w:pStyle w:val="15"/>
        <w:rPr>
          <w:rFonts w:hint="eastAsia"/>
          <w:highlight w:val="none"/>
        </w:rPr>
      </w:pPr>
    </w:p>
    <w:p w14:paraId="064D4729">
      <w:pPr>
        <w:pStyle w:val="58"/>
        <w:rPr>
          <w:rFonts w:hint="eastAsia"/>
          <w:highlight w:val="none"/>
        </w:rPr>
      </w:pPr>
    </w:p>
    <w:p w14:paraId="6C764A7D">
      <w:pPr>
        <w:rPr>
          <w:rFonts w:hint="eastAsia"/>
          <w:highlight w:val="none"/>
        </w:rPr>
      </w:pPr>
    </w:p>
    <w:p w14:paraId="5BE01A8E">
      <w:pPr>
        <w:pStyle w:val="39"/>
        <w:rPr>
          <w:rFonts w:hint="eastAsia"/>
          <w:highlight w:val="none"/>
        </w:rPr>
      </w:pPr>
    </w:p>
    <w:p w14:paraId="6B6E86C2">
      <w:pPr>
        <w:pStyle w:val="15"/>
        <w:rPr>
          <w:rFonts w:hint="eastAsia"/>
          <w:highlight w:val="none"/>
        </w:rPr>
      </w:pPr>
    </w:p>
    <w:p w14:paraId="50949607">
      <w:pPr>
        <w:pStyle w:val="58"/>
        <w:rPr>
          <w:rFonts w:hint="eastAsia"/>
          <w:highlight w:val="none"/>
        </w:rPr>
      </w:pPr>
    </w:p>
    <w:p w14:paraId="09ADFDBE">
      <w:pPr>
        <w:rPr>
          <w:rFonts w:hint="eastAsia"/>
          <w:highlight w:val="none"/>
        </w:rPr>
      </w:pPr>
    </w:p>
    <w:p w14:paraId="1081F186">
      <w:pPr>
        <w:pStyle w:val="39"/>
        <w:rPr>
          <w:rFonts w:hint="eastAsia"/>
          <w:highlight w:val="none"/>
        </w:rPr>
      </w:pPr>
    </w:p>
    <w:p w14:paraId="317F19EF">
      <w:pPr>
        <w:pStyle w:val="15"/>
        <w:rPr>
          <w:rFonts w:hint="eastAsia"/>
          <w:highlight w:val="none"/>
        </w:rPr>
      </w:pPr>
    </w:p>
    <w:p w14:paraId="61528D97">
      <w:pPr>
        <w:pStyle w:val="58"/>
        <w:rPr>
          <w:rFonts w:hint="eastAsia"/>
          <w:highlight w:val="none"/>
        </w:rPr>
      </w:pPr>
    </w:p>
    <w:p w14:paraId="40918833">
      <w:pPr>
        <w:rPr>
          <w:rFonts w:hint="eastAsia"/>
          <w:highlight w:val="none"/>
        </w:rPr>
      </w:pPr>
    </w:p>
    <w:p w14:paraId="65F39A21">
      <w:pPr>
        <w:pStyle w:val="39"/>
        <w:rPr>
          <w:rFonts w:hint="eastAsia"/>
          <w:highlight w:val="none"/>
        </w:rPr>
      </w:pPr>
    </w:p>
    <w:p w14:paraId="5DE91476">
      <w:pPr>
        <w:pStyle w:val="15"/>
        <w:rPr>
          <w:rFonts w:hint="eastAsia"/>
          <w:highlight w:val="none"/>
        </w:rPr>
      </w:pPr>
    </w:p>
    <w:p w14:paraId="39F7E6D4">
      <w:pPr>
        <w:pStyle w:val="58"/>
        <w:rPr>
          <w:rFonts w:hint="eastAsia"/>
          <w:highlight w:val="none"/>
        </w:rPr>
      </w:pPr>
    </w:p>
    <w:p w14:paraId="344435FA">
      <w:pPr>
        <w:rPr>
          <w:rFonts w:hint="eastAsia"/>
          <w:highlight w:val="none"/>
        </w:rPr>
      </w:pPr>
    </w:p>
    <w:p w14:paraId="443B344B">
      <w:pPr>
        <w:pStyle w:val="39"/>
        <w:rPr>
          <w:rFonts w:hint="eastAsia"/>
          <w:highlight w:val="none"/>
        </w:rPr>
      </w:pPr>
    </w:p>
    <w:p w14:paraId="6EAE6810">
      <w:pPr>
        <w:pStyle w:val="15"/>
        <w:rPr>
          <w:rFonts w:hint="eastAsia"/>
          <w:highlight w:val="none"/>
        </w:rPr>
      </w:pPr>
    </w:p>
    <w:p w14:paraId="28F3AD91">
      <w:pPr>
        <w:pStyle w:val="58"/>
        <w:rPr>
          <w:rFonts w:hint="eastAsia"/>
          <w:highlight w:val="none"/>
        </w:rPr>
      </w:pPr>
    </w:p>
    <w:p w14:paraId="5D9325AA">
      <w:pPr>
        <w:pStyle w:val="58"/>
        <w:ind w:left="0" w:leftChars="0" w:firstLine="0" w:firstLineChars="0"/>
        <w:rPr>
          <w:rFonts w:hint="eastAsia"/>
          <w:highlight w:val="none"/>
        </w:rPr>
      </w:pPr>
    </w:p>
    <w:p w14:paraId="1ADDB8FA">
      <w:pPr>
        <w:rPr>
          <w:rFonts w:hint="eastAsia"/>
          <w:highlight w:val="none"/>
        </w:rPr>
      </w:pPr>
    </w:p>
    <w:p w14:paraId="585FAACC">
      <w:pPr>
        <w:rPr>
          <w:rFonts w:hint="eastAsia"/>
          <w:highlight w:val="none"/>
        </w:rPr>
      </w:pPr>
    </w:p>
    <w:p w14:paraId="331E8DED">
      <w:pPr>
        <w:rPr>
          <w:rFonts w:hint="eastAsia"/>
          <w:highlight w:val="none"/>
        </w:rPr>
      </w:pPr>
    </w:p>
    <w:p w14:paraId="63E716D1">
      <w:pPr>
        <w:pStyle w:val="16"/>
        <w:rPr>
          <w:rFonts w:hint="eastAsia"/>
        </w:rPr>
      </w:pPr>
    </w:p>
    <w:p w14:paraId="514261AE">
      <w:pPr>
        <w:rPr>
          <w:rFonts w:hint="eastAsia"/>
          <w:highlight w:val="none"/>
        </w:rPr>
      </w:pPr>
    </w:p>
    <w:p w14:paraId="7D54E90C">
      <w:pPr>
        <w:pStyle w:val="39"/>
        <w:numPr>
          <w:ilvl w:val="0"/>
          <w:numId w:val="11"/>
        </w:numPr>
        <w:jc w:val="center"/>
        <w:rPr>
          <w:rFonts w:hint="eastAsia"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采购</w:t>
      </w:r>
      <w:r>
        <w:rPr>
          <w:rFonts w:hint="eastAsia" w:ascii="宋体" w:hAnsi="宋体" w:eastAsia="宋体" w:cs="宋体"/>
          <w:b/>
          <w:bCs/>
          <w:sz w:val="36"/>
          <w:szCs w:val="36"/>
          <w:highlight w:val="none"/>
          <w:lang w:val="en-US" w:eastAsia="zh-CN"/>
        </w:rPr>
        <w:t>内容及要求</w:t>
      </w:r>
    </w:p>
    <w:p w14:paraId="56166EF9">
      <w:pPr>
        <w:pStyle w:val="15"/>
        <w:widowControl w:val="0"/>
        <w:numPr>
          <w:ilvl w:val="0"/>
          <w:numId w:val="0"/>
        </w:numPr>
        <w:ind w:right="-84" w:rightChars="-40"/>
        <w:jc w:val="center"/>
        <w:rPr>
          <w:rFonts w:hint="eastAsia"/>
        </w:rPr>
      </w:pPr>
    </w:p>
    <w:p w14:paraId="36E28717">
      <w:pPr>
        <w:pStyle w:val="58"/>
        <w:rPr>
          <w:rFonts w:hint="eastAsia"/>
        </w:rPr>
      </w:pPr>
    </w:p>
    <w:p w14:paraId="51FA7BA0">
      <w:pPr>
        <w:rPr>
          <w:rFonts w:hint="eastAsia"/>
        </w:rPr>
      </w:pPr>
    </w:p>
    <w:p w14:paraId="20326892">
      <w:pPr>
        <w:pStyle w:val="39"/>
        <w:rPr>
          <w:rFonts w:hint="eastAsia"/>
        </w:rPr>
      </w:pPr>
    </w:p>
    <w:p w14:paraId="55AACE2C">
      <w:pPr>
        <w:pStyle w:val="15"/>
        <w:rPr>
          <w:rFonts w:hint="eastAsia"/>
        </w:rPr>
      </w:pPr>
    </w:p>
    <w:p w14:paraId="5E53DE1D">
      <w:pPr>
        <w:pStyle w:val="58"/>
        <w:rPr>
          <w:rFonts w:hint="eastAsia"/>
        </w:rPr>
      </w:pPr>
    </w:p>
    <w:p w14:paraId="2EC4A9C3">
      <w:pPr>
        <w:rPr>
          <w:rFonts w:hint="eastAsia"/>
        </w:rPr>
      </w:pPr>
    </w:p>
    <w:p w14:paraId="5F6F33C1">
      <w:pPr>
        <w:pStyle w:val="39"/>
        <w:rPr>
          <w:rFonts w:hint="eastAsia"/>
        </w:rPr>
      </w:pPr>
    </w:p>
    <w:p w14:paraId="0ED35025">
      <w:pPr>
        <w:pStyle w:val="15"/>
        <w:rPr>
          <w:rFonts w:hint="eastAsia"/>
        </w:rPr>
      </w:pPr>
    </w:p>
    <w:p w14:paraId="5D63B766">
      <w:pPr>
        <w:pStyle w:val="58"/>
        <w:rPr>
          <w:rFonts w:hint="eastAsia"/>
        </w:rPr>
      </w:pPr>
    </w:p>
    <w:p w14:paraId="7104FCBB">
      <w:pPr>
        <w:rPr>
          <w:rFonts w:hint="eastAsia"/>
        </w:rPr>
      </w:pPr>
    </w:p>
    <w:p w14:paraId="0C7B63DB">
      <w:pPr>
        <w:pStyle w:val="39"/>
        <w:rPr>
          <w:rFonts w:hint="eastAsia"/>
        </w:rPr>
      </w:pPr>
    </w:p>
    <w:p w14:paraId="1F60F2AF">
      <w:pPr>
        <w:pStyle w:val="15"/>
        <w:rPr>
          <w:rFonts w:hint="eastAsia"/>
        </w:rPr>
      </w:pPr>
    </w:p>
    <w:p w14:paraId="7D38C72B">
      <w:pPr>
        <w:pStyle w:val="58"/>
        <w:rPr>
          <w:rFonts w:hint="eastAsia"/>
        </w:rPr>
      </w:pPr>
    </w:p>
    <w:p w14:paraId="5DB3E18E">
      <w:pPr>
        <w:rPr>
          <w:rFonts w:hint="eastAsia"/>
        </w:rPr>
      </w:pPr>
    </w:p>
    <w:p w14:paraId="77815CA9">
      <w:pPr>
        <w:pStyle w:val="39"/>
        <w:rPr>
          <w:rFonts w:hint="eastAsia"/>
        </w:rPr>
      </w:pPr>
    </w:p>
    <w:p w14:paraId="5EF8A03C">
      <w:pPr>
        <w:pStyle w:val="15"/>
        <w:rPr>
          <w:rFonts w:hint="eastAsia"/>
        </w:rPr>
      </w:pPr>
    </w:p>
    <w:p w14:paraId="0365DB7E">
      <w:pPr>
        <w:pStyle w:val="58"/>
        <w:rPr>
          <w:rFonts w:hint="eastAsia"/>
        </w:rPr>
      </w:pPr>
    </w:p>
    <w:p w14:paraId="2B075DC1">
      <w:pPr>
        <w:rPr>
          <w:rFonts w:hint="eastAsia"/>
        </w:rPr>
      </w:pPr>
    </w:p>
    <w:p w14:paraId="3053CD0A">
      <w:pPr>
        <w:pStyle w:val="39"/>
        <w:rPr>
          <w:rFonts w:hint="eastAsia"/>
        </w:rPr>
      </w:pPr>
    </w:p>
    <w:p w14:paraId="01FCD6F7">
      <w:pPr>
        <w:pStyle w:val="15"/>
        <w:rPr>
          <w:rFonts w:hint="eastAsia"/>
        </w:rPr>
      </w:pPr>
    </w:p>
    <w:p w14:paraId="523B5F30">
      <w:pPr>
        <w:pStyle w:val="15"/>
        <w:rPr>
          <w:rFonts w:hint="eastAsia"/>
        </w:rPr>
      </w:pPr>
    </w:p>
    <w:p w14:paraId="1ECDFF4D">
      <w:pPr>
        <w:pStyle w:val="15"/>
        <w:rPr>
          <w:rFonts w:hint="eastAsia"/>
        </w:rPr>
      </w:pPr>
    </w:p>
    <w:p w14:paraId="1FD3A202">
      <w:pPr>
        <w:pStyle w:val="15"/>
        <w:rPr>
          <w:rFonts w:hint="eastAsia"/>
        </w:rPr>
      </w:pPr>
    </w:p>
    <w:p w14:paraId="615C83F1">
      <w:pPr>
        <w:pStyle w:val="15"/>
        <w:rPr>
          <w:rFonts w:hint="eastAsia"/>
        </w:rPr>
      </w:pPr>
    </w:p>
    <w:p w14:paraId="56C192B6">
      <w:pPr>
        <w:pStyle w:val="15"/>
        <w:rPr>
          <w:rFonts w:hint="eastAsia"/>
        </w:rPr>
      </w:pPr>
    </w:p>
    <w:p w14:paraId="0E4B245A">
      <w:pPr>
        <w:pStyle w:val="15"/>
        <w:jc w:val="both"/>
        <w:rPr>
          <w:rFonts w:hint="eastAsia"/>
        </w:rPr>
      </w:pPr>
    </w:p>
    <w:p w14:paraId="53CE7356">
      <w:pPr>
        <w:spacing w:line="460" w:lineRule="exact"/>
        <w:rPr>
          <w:rFonts w:hint="eastAsia" w:ascii="宋体" w:hAnsi="宋体" w:eastAsia="宋体" w:cs="宋体"/>
          <w:b/>
          <w:sz w:val="24"/>
          <w:szCs w:val="24"/>
        </w:rPr>
      </w:pPr>
      <w:r>
        <w:rPr>
          <w:rFonts w:hint="eastAsia" w:ascii="宋体" w:hAnsi="宋体" w:eastAsia="宋体" w:cs="宋体"/>
          <w:b/>
          <w:sz w:val="24"/>
          <w:szCs w:val="24"/>
        </w:rPr>
        <w:t>一、项目名称：</w:t>
      </w:r>
      <w:r>
        <w:rPr>
          <w:rFonts w:hint="eastAsia" w:ascii="宋体" w:hAnsi="宋体" w:eastAsia="宋体" w:cs="宋体"/>
          <w:bCs/>
          <w:sz w:val="24"/>
          <w:szCs w:val="24"/>
        </w:rPr>
        <w:t>汉滨五里高级中学2026年食材采购项目</w:t>
      </w:r>
    </w:p>
    <w:p w14:paraId="5FDE61CB">
      <w:pPr>
        <w:spacing w:line="460" w:lineRule="exact"/>
        <w:rPr>
          <w:rFonts w:hint="eastAsia" w:ascii="宋体" w:hAnsi="宋体" w:eastAsia="宋体" w:cs="宋体"/>
          <w:b/>
          <w:sz w:val="24"/>
          <w:szCs w:val="24"/>
        </w:rPr>
      </w:pPr>
      <w:r>
        <w:rPr>
          <w:rFonts w:hint="eastAsia" w:ascii="宋体" w:hAnsi="宋体" w:eastAsia="宋体" w:cs="宋体"/>
          <w:b/>
          <w:sz w:val="24"/>
          <w:szCs w:val="24"/>
        </w:rPr>
        <w:t>二、采购清单</w:t>
      </w:r>
    </w:p>
    <w:tbl>
      <w:tblPr>
        <w:tblStyle w:val="40"/>
        <w:tblW w:w="51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962"/>
        <w:gridCol w:w="1988"/>
        <w:gridCol w:w="3506"/>
        <w:gridCol w:w="2337"/>
      </w:tblGrid>
      <w:tr w14:paraId="2BCF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4" w:type="pct"/>
            <w:noWrap/>
            <w:vAlign w:val="center"/>
          </w:tcPr>
          <w:p w14:paraId="58323865">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序号</w:t>
            </w:r>
          </w:p>
        </w:tc>
        <w:tc>
          <w:tcPr>
            <w:tcW w:w="507" w:type="pct"/>
            <w:noWrap/>
            <w:vAlign w:val="center"/>
          </w:tcPr>
          <w:p w14:paraId="60BA5F4F">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类别</w:t>
            </w:r>
          </w:p>
        </w:tc>
        <w:tc>
          <w:tcPr>
            <w:tcW w:w="1047" w:type="pct"/>
            <w:noWrap/>
            <w:vAlign w:val="center"/>
          </w:tcPr>
          <w:p w14:paraId="5B98EBB5">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食材名称</w:t>
            </w:r>
          </w:p>
        </w:tc>
        <w:tc>
          <w:tcPr>
            <w:tcW w:w="1848" w:type="pct"/>
            <w:noWrap w:val="0"/>
            <w:vAlign w:val="center"/>
          </w:tcPr>
          <w:p w14:paraId="0B619F60">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质量技术要求和执行标准</w:t>
            </w:r>
          </w:p>
        </w:tc>
        <w:tc>
          <w:tcPr>
            <w:tcW w:w="1231" w:type="pct"/>
            <w:noWrap w:val="0"/>
            <w:vAlign w:val="center"/>
          </w:tcPr>
          <w:p w14:paraId="45304B51">
            <w:pPr>
              <w:widowControl/>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sz w:val="24"/>
                <w:szCs w:val="24"/>
              </w:rPr>
              <w:t>结算方式</w:t>
            </w:r>
          </w:p>
        </w:tc>
      </w:tr>
      <w:tr w14:paraId="1004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4" w:type="pct"/>
            <w:noWrap/>
            <w:vAlign w:val="center"/>
          </w:tcPr>
          <w:p w14:paraId="4AAC050D">
            <w:pPr>
              <w:jc w:val="center"/>
              <w:rPr>
                <w:rFonts w:hint="eastAsia" w:ascii="宋体" w:hAnsi="宋体" w:eastAsia="宋体" w:cs="宋体"/>
                <w:sz w:val="24"/>
                <w:szCs w:val="24"/>
              </w:rPr>
            </w:pPr>
            <w:r>
              <w:rPr>
                <w:rFonts w:hint="eastAsia" w:ascii="宋体" w:hAnsi="宋体" w:eastAsia="宋体" w:cs="宋体"/>
                <w:sz w:val="24"/>
                <w:szCs w:val="24"/>
              </w:rPr>
              <w:t>1</w:t>
            </w:r>
          </w:p>
        </w:tc>
        <w:tc>
          <w:tcPr>
            <w:tcW w:w="507" w:type="pct"/>
            <w:noWrap/>
            <w:vAlign w:val="center"/>
          </w:tcPr>
          <w:p w14:paraId="6DACF91C">
            <w:pPr>
              <w:jc w:val="center"/>
              <w:rPr>
                <w:rFonts w:hint="eastAsia" w:ascii="宋体" w:hAnsi="宋体" w:eastAsia="宋体" w:cs="宋体"/>
                <w:sz w:val="24"/>
                <w:szCs w:val="24"/>
              </w:rPr>
            </w:pPr>
            <w:r>
              <w:rPr>
                <w:rFonts w:hint="eastAsia" w:ascii="宋体" w:hAnsi="宋体" w:eastAsia="宋体" w:cs="宋体"/>
                <w:color w:val="000000"/>
                <w:sz w:val="24"/>
                <w:szCs w:val="24"/>
              </w:rPr>
              <w:t>蔬菜类</w:t>
            </w:r>
          </w:p>
        </w:tc>
        <w:tc>
          <w:tcPr>
            <w:tcW w:w="1047" w:type="pct"/>
            <w:noWrap/>
            <w:vAlign w:val="center"/>
          </w:tcPr>
          <w:p w14:paraId="5B065F2C">
            <w:pPr>
              <w:jc w:val="center"/>
              <w:rPr>
                <w:rFonts w:hint="eastAsia" w:ascii="宋体" w:hAnsi="宋体" w:eastAsia="宋体" w:cs="宋体"/>
                <w:color w:val="000000"/>
                <w:sz w:val="24"/>
                <w:szCs w:val="24"/>
              </w:rPr>
            </w:pPr>
          </w:p>
          <w:p w14:paraId="20C52E4D">
            <w:pPr>
              <w:jc w:val="left"/>
              <w:rPr>
                <w:rFonts w:hint="eastAsia" w:ascii="宋体" w:hAnsi="宋体" w:eastAsia="宋体" w:cs="宋体"/>
                <w:sz w:val="24"/>
                <w:szCs w:val="24"/>
              </w:rPr>
            </w:pPr>
            <w:r>
              <w:rPr>
                <w:rFonts w:hint="eastAsia" w:ascii="宋体" w:hAnsi="宋体" w:eastAsia="宋体" w:cs="宋体"/>
                <w:color w:val="000000"/>
                <w:sz w:val="24"/>
                <w:szCs w:val="24"/>
              </w:rPr>
              <w:t>包括白萝卜、菠菜、菜花、大白菜、土豆、冬瓜、甘蓝、红尖椒、红萝卜、红洋葱、黄豆芽、黄瓜、豇豆、金针菇、韭菜、莲菜、绿豆芽、麦芹、毛白菜、南瓜、平菇、青笋、青西红柿、生菜、丝瓜、蒜苗、西红柿、西葫芦、西兰花</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葱、姜、蒜</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rPr>
              <w:t>蔬菜</w:t>
            </w:r>
            <w:r>
              <w:rPr>
                <w:rFonts w:hint="eastAsia" w:ascii="宋体" w:hAnsi="宋体" w:eastAsia="宋体" w:cs="宋体"/>
                <w:color w:val="000000"/>
                <w:sz w:val="24"/>
                <w:szCs w:val="24"/>
                <w:lang w:eastAsia="zh-CN"/>
              </w:rPr>
              <w:t>类。</w:t>
            </w:r>
          </w:p>
        </w:tc>
        <w:tc>
          <w:tcPr>
            <w:tcW w:w="1848" w:type="pct"/>
            <w:noWrap w:val="0"/>
            <w:vAlign w:val="center"/>
          </w:tcPr>
          <w:p w14:paraId="1249D20D">
            <w:pPr>
              <w:widowControl/>
              <w:spacing w:line="320" w:lineRule="exac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1、新鲜度：色泽鲜艳，无明显萎蔫、变色或腐烂迹象。叶片完整，无损伤和病虫害斑点。品质品相好，已摘除不可食用部分。</w:t>
            </w:r>
          </w:p>
          <w:p w14:paraId="2D28AD8D">
            <w:pPr>
              <w:widowControl/>
              <w:spacing w:line="320" w:lineRule="exac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2、农药残留：农药残留检验合格产品；应符合国家规定的农药残留限量标准，按供货批次提供蔬菜农药检测结果。</w:t>
            </w:r>
          </w:p>
          <w:p w14:paraId="5543331D">
            <w:pPr>
              <w:widowControl/>
              <w:spacing w:line="320" w:lineRule="exac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3、大小和形状：具有相对均匀的大小和形状，符合市场需求和相关标准。</w:t>
            </w:r>
          </w:p>
          <w:p w14:paraId="750B657F">
            <w:pPr>
              <w:widowControl/>
              <w:spacing w:line="320" w:lineRule="exact"/>
              <w:textAlignment w:val="center"/>
              <w:rPr>
                <w:rFonts w:hint="eastAsia" w:ascii="宋体" w:hAnsi="宋体" w:eastAsia="宋体" w:cs="宋体"/>
                <w:sz w:val="24"/>
                <w:szCs w:val="24"/>
              </w:rPr>
            </w:pPr>
            <w:r>
              <w:rPr>
                <w:rFonts w:hint="eastAsia" w:ascii="宋体" w:hAnsi="宋体" w:eastAsia="宋体" w:cs="宋体"/>
                <w:color w:val="000000"/>
                <w:sz w:val="24"/>
                <w:szCs w:val="24"/>
              </w:rPr>
              <w:t>4、包装：采用环保、卫生、符合食品包装标准的材料进行包装，包装应具有一定的透气性，以保持蔬菜的新鲜度，蔬菜应分类包装，避免不同种类蔬菜混装，对于易受损的蔬菜，应采取适当的防护措施。</w:t>
            </w:r>
          </w:p>
        </w:tc>
        <w:tc>
          <w:tcPr>
            <w:tcW w:w="1231" w:type="pct"/>
            <w:vMerge w:val="restart"/>
            <w:noWrap w:val="0"/>
            <w:vAlign w:val="center"/>
          </w:tcPr>
          <w:p w14:paraId="23FE9AB2">
            <w:pPr>
              <w:widowControl/>
              <w:jc w:val="left"/>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本项目采用优惠率报价。每月食材用量及单价，按学校市场采价与上级部门监测价核算；所列总价为概算价。如遇生源减少、供餐方式调整等，食材费用将据实核减，最终结算金额以学校实际支付款项为准。</w:t>
            </w:r>
          </w:p>
        </w:tc>
      </w:tr>
      <w:tr w14:paraId="6B5D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364" w:type="pct"/>
            <w:vMerge w:val="restart"/>
            <w:noWrap/>
            <w:vAlign w:val="center"/>
          </w:tcPr>
          <w:p w14:paraId="195D05F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507" w:type="pct"/>
            <w:vMerge w:val="restart"/>
            <w:noWrap/>
            <w:vAlign w:val="center"/>
          </w:tcPr>
          <w:p w14:paraId="1A5A481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color w:val="000000"/>
                <w:sz w:val="24"/>
                <w:szCs w:val="24"/>
              </w:rPr>
              <w:t>调味品类</w:t>
            </w:r>
          </w:p>
        </w:tc>
        <w:tc>
          <w:tcPr>
            <w:tcW w:w="1047" w:type="pct"/>
            <w:vMerge w:val="restart"/>
            <w:noWrap/>
            <w:vAlign w:val="center"/>
          </w:tcPr>
          <w:p w14:paraId="4C8C2A8E">
            <w:pPr>
              <w:widowControl/>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包括陈醋、香醋、白糖、鸡精、鸡汁、蚝油、料酒、一品鲜酱油、蒸鱼豉油、番茄酱、 麻辣香锅料、白醋、黄豆酱、老抽、生抽、味极鲜酱油、火锅底料、红糖、红油豆瓣酱、红油豆角、胡椒粉、花椒粉、花椒粒、食用猪油、辣椒节、辣椒面、老鸭汤料、味精、炼乳、萝卜干、花椒油、麻辣鲜调料、甜面酱、米酒、调味料、泡椒、粉蒸肉调料、肉桂、肉蔻、食用盐、脱皮白芝麻、十三香粉、香辣酱、香水鱼调料、香油、小米泡椒、辣鲜露、重庆小面酱料等调味品。</w:t>
            </w:r>
          </w:p>
        </w:tc>
        <w:tc>
          <w:tcPr>
            <w:tcW w:w="1848" w:type="pct"/>
            <w:vMerge w:val="restart"/>
            <w:noWrap w:val="0"/>
            <w:vAlign w:val="center"/>
          </w:tcPr>
          <w:p w14:paraId="2456318E">
            <w:pPr>
              <w:spacing w:line="3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1、包装材料应符合食品包装的卫生标准，无毒、无味、无迁移。包装密封性良好，能有效防止受潮、变质和污染。</w:t>
            </w:r>
          </w:p>
          <w:p w14:paraId="086B5C59">
            <w:pPr>
              <w:spacing w:line="3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2、调味品外包装应标明产品名称、成分、生产日期、保质期、生产厂家、厂址、SC食品生产许可证编号、执行标准等必要信息。</w:t>
            </w:r>
          </w:p>
          <w:p w14:paraId="58D99906">
            <w:pPr>
              <w:spacing w:line="3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3、保质期：符合国家食品安全要求。</w:t>
            </w:r>
          </w:p>
        </w:tc>
        <w:tc>
          <w:tcPr>
            <w:tcW w:w="1231" w:type="pct"/>
            <w:vMerge w:val="continue"/>
            <w:noWrap w:val="0"/>
            <w:vAlign w:val="center"/>
          </w:tcPr>
          <w:p w14:paraId="66D98068">
            <w:pPr>
              <w:widowControl/>
              <w:jc w:val="center"/>
              <w:textAlignment w:val="center"/>
              <w:rPr>
                <w:rFonts w:hint="eastAsia" w:ascii="宋体" w:hAnsi="宋体" w:eastAsia="宋体" w:cs="宋体"/>
                <w:kern w:val="0"/>
                <w:sz w:val="24"/>
                <w:szCs w:val="24"/>
                <w:lang w:bidi="ar"/>
              </w:rPr>
            </w:pPr>
          </w:p>
        </w:tc>
      </w:tr>
      <w:tr w14:paraId="1526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4" w:type="pct"/>
            <w:noWrap/>
            <w:vAlign w:val="center"/>
          </w:tcPr>
          <w:p w14:paraId="5152932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507" w:type="pct"/>
            <w:noWrap/>
            <w:vAlign w:val="center"/>
          </w:tcPr>
          <w:p w14:paraId="44B4F24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干货类</w:t>
            </w:r>
          </w:p>
        </w:tc>
        <w:tc>
          <w:tcPr>
            <w:tcW w:w="1047" w:type="pct"/>
            <w:noWrap/>
            <w:vAlign w:val="center"/>
          </w:tcPr>
          <w:p w14:paraId="5A89B9E2">
            <w:pPr>
              <w:widowControl/>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包括超级生粉、干豆油皮、干腐竹、干辣椒面、干香菇、枸杞、构耳、桂皮、红薯粉条、粉丝、生粉、土豆粉、虾皮、优质小木耳、紫菜等干货。</w:t>
            </w:r>
          </w:p>
        </w:tc>
        <w:tc>
          <w:tcPr>
            <w:tcW w:w="1848" w:type="pct"/>
            <w:noWrap w:val="0"/>
            <w:vAlign w:val="center"/>
          </w:tcPr>
          <w:p w14:paraId="2066BE0D">
            <w:pPr>
              <w:spacing w:line="32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1、预包装，包装材料应符合食品包装的卫生标准，无毒、无味、无迁移。包装密封性良好，能有效防止受潮、变质和污染。</w:t>
            </w:r>
          </w:p>
          <w:p w14:paraId="3C714911">
            <w:pPr>
              <w:spacing w:line="32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2、干货制品的质量标准要求符合国家相关行业标准。质检合格，品质优良，提供质量检验合格证明材料。</w:t>
            </w:r>
          </w:p>
          <w:p w14:paraId="74C52CDB">
            <w:pPr>
              <w:spacing w:line="32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3、保质期：符合国家食品安全要求。</w:t>
            </w:r>
          </w:p>
        </w:tc>
        <w:tc>
          <w:tcPr>
            <w:tcW w:w="1231" w:type="pct"/>
            <w:vMerge w:val="continue"/>
            <w:noWrap w:val="0"/>
            <w:vAlign w:val="center"/>
          </w:tcPr>
          <w:p w14:paraId="60125F4B">
            <w:pPr>
              <w:widowControl/>
              <w:jc w:val="center"/>
              <w:textAlignment w:val="center"/>
              <w:rPr>
                <w:rFonts w:hint="eastAsia" w:ascii="宋体" w:hAnsi="宋体" w:eastAsia="宋体" w:cs="宋体"/>
                <w:kern w:val="0"/>
                <w:sz w:val="24"/>
                <w:szCs w:val="24"/>
                <w:lang w:bidi="ar"/>
              </w:rPr>
            </w:pPr>
          </w:p>
        </w:tc>
      </w:tr>
    </w:tbl>
    <w:p w14:paraId="12E61525">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注：1.每次配送前由学校提供采购需求清单，中标人应严格按照学校提供的食谱保质保量</w:t>
      </w:r>
      <w:r>
        <w:rPr>
          <w:rFonts w:hint="eastAsia" w:ascii="宋体" w:hAnsi="宋体" w:cs="宋体"/>
          <w:b/>
          <w:bCs/>
          <w:sz w:val="24"/>
          <w:szCs w:val="24"/>
          <w:lang w:val="en-US" w:eastAsia="zh-CN"/>
        </w:rPr>
        <w:t>每天配送一次</w:t>
      </w:r>
      <w:r>
        <w:rPr>
          <w:rFonts w:hint="eastAsia" w:ascii="宋体" w:hAnsi="宋体" w:eastAsia="宋体" w:cs="宋体"/>
          <w:b/>
          <w:bCs/>
          <w:sz w:val="24"/>
          <w:szCs w:val="24"/>
        </w:rPr>
        <w:t>。</w:t>
      </w:r>
    </w:p>
    <w:p w14:paraId="5BFE9191">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2.合同执行时以实际供货数量为准，据实结算。预计实施人数约1400名学生，早、中、晚三餐，共计210天。上述学生人数，仅作为投标人投标报价参考。</w:t>
      </w:r>
    </w:p>
    <w:p w14:paraId="294910E3">
      <w:pPr>
        <w:spacing w:line="400" w:lineRule="exact"/>
        <w:ind w:firstLine="482" w:firstLineChars="200"/>
        <w:rPr>
          <w:rFonts w:hint="eastAsia" w:ascii="宋体" w:hAnsi="宋体" w:eastAsia="宋体" w:cs="宋体"/>
          <w:b/>
          <w:sz w:val="24"/>
          <w:szCs w:val="24"/>
        </w:rPr>
      </w:pPr>
      <w:r>
        <w:rPr>
          <w:rFonts w:hint="eastAsia" w:ascii="宋体" w:hAnsi="宋体" w:cs="宋体"/>
          <w:b/>
          <w:sz w:val="24"/>
          <w:szCs w:val="24"/>
          <w:lang w:val="en-US" w:eastAsia="zh-CN"/>
        </w:rPr>
        <w:t>3</w:t>
      </w:r>
      <w:r>
        <w:rPr>
          <w:rFonts w:hint="eastAsia" w:ascii="宋体" w:hAnsi="宋体" w:eastAsia="宋体" w:cs="宋体"/>
          <w:b/>
          <w:sz w:val="24"/>
          <w:szCs w:val="24"/>
        </w:rPr>
        <w:t>.投标人自行对配送学校位置及路程进行实地踏勘，并考虑到投标报价中。</w:t>
      </w:r>
    </w:p>
    <w:p w14:paraId="2C143FF1">
      <w:pPr>
        <w:spacing w:line="400" w:lineRule="exact"/>
        <w:ind w:firstLine="482" w:firstLineChars="200"/>
        <w:rPr>
          <w:rFonts w:hint="eastAsia" w:ascii="宋体" w:hAnsi="宋体" w:eastAsia="宋体" w:cs="宋体"/>
          <w:b/>
          <w:sz w:val="24"/>
          <w:szCs w:val="24"/>
        </w:rPr>
      </w:pPr>
      <w:r>
        <w:rPr>
          <w:rFonts w:hint="eastAsia" w:ascii="宋体" w:hAnsi="宋体" w:cs="宋体"/>
          <w:b/>
          <w:sz w:val="24"/>
          <w:szCs w:val="24"/>
          <w:lang w:val="en-US" w:eastAsia="zh-CN"/>
        </w:rPr>
        <w:t>4</w:t>
      </w:r>
      <w:r>
        <w:rPr>
          <w:rFonts w:hint="eastAsia" w:ascii="宋体" w:hAnsi="宋体" w:eastAsia="宋体" w:cs="宋体"/>
          <w:b/>
          <w:sz w:val="24"/>
          <w:szCs w:val="24"/>
        </w:rPr>
        <w:t>.投标人所供所有食材须为本地区市场常见食材，若投标人提供的食材本地区市场不常见，采购人有权要求更换同等级同规格且不低于投标食材的市场批发价格的食材。</w:t>
      </w:r>
    </w:p>
    <w:p w14:paraId="6E4599CE">
      <w:pPr>
        <w:spacing w:line="400" w:lineRule="exact"/>
        <w:ind w:firstLine="482" w:firstLineChars="200"/>
        <w:rPr>
          <w:rFonts w:hint="eastAsia"/>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除蔬菜、干货类外，其余食材若全部由小微企业制造，投标人需在《中小企业声明函》中按食材名称逐一列明，将享受价格折扣政策，若填写不全或未填写将不予享受价格折扣政策。</w:t>
      </w:r>
    </w:p>
    <w:p w14:paraId="24181D20">
      <w:pPr>
        <w:ind w:firstLine="482" w:firstLineChars="200"/>
        <w:rPr>
          <w:rFonts w:hint="eastAsia" w:ascii="宋体" w:hAnsi="宋体" w:cs="宋体"/>
          <w:b/>
          <w:sz w:val="24"/>
          <w:szCs w:val="24"/>
          <w:lang w:val="en-US" w:eastAsia="zh-CN"/>
        </w:rPr>
      </w:pPr>
      <w:bookmarkStart w:id="14" w:name="_Toc167712842"/>
      <w:bookmarkStart w:id="15" w:name="_Toc167714040"/>
      <w:bookmarkStart w:id="16" w:name="_Toc167715237"/>
    </w:p>
    <w:p w14:paraId="73F367C5">
      <w:pPr>
        <w:ind w:firstLine="482" w:firstLineChars="200"/>
        <w:rPr>
          <w:rFonts w:hint="eastAsia" w:ascii="宋体" w:hAnsi="宋体" w:cs="宋体"/>
          <w:b/>
          <w:sz w:val="24"/>
          <w:szCs w:val="24"/>
          <w:lang w:val="en-US" w:eastAsia="zh-CN"/>
        </w:rPr>
      </w:pPr>
    </w:p>
    <w:p w14:paraId="400A09DD">
      <w:pPr>
        <w:ind w:firstLine="482" w:firstLineChars="200"/>
        <w:rPr>
          <w:rFonts w:hint="eastAsia" w:ascii="宋体" w:hAnsi="宋体" w:cs="宋体"/>
          <w:b/>
          <w:sz w:val="24"/>
          <w:szCs w:val="24"/>
          <w:lang w:val="en-US" w:eastAsia="zh-CN"/>
        </w:rPr>
      </w:pPr>
    </w:p>
    <w:p w14:paraId="20F25F8C">
      <w:pPr>
        <w:ind w:firstLine="482" w:firstLineChars="200"/>
        <w:rPr>
          <w:rFonts w:hint="eastAsia" w:ascii="宋体" w:hAnsi="宋体" w:cs="宋体"/>
          <w:b/>
          <w:sz w:val="24"/>
          <w:szCs w:val="24"/>
          <w:lang w:val="en-US" w:eastAsia="zh-CN"/>
        </w:rPr>
      </w:pPr>
    </w:p>
    <w:p w14:paraId="6CDBAC4F">
      <w:pPr>
        <w:ind w:firstLine="482" w:firstLineChars="200"/>
        <w:rPr>
          <w:rFonts w:hint="eastAsia" w:ascii="宋体" w:hAnsi="宋体" w:cs="宋体"/>
          <w:b/>
          <w:sz w:val="24"/>
          <w:szCs w:val="24"/>
          <w:lang w:val="en-US" w:eastAsia="zh-CN"/>
        </w:rPr>
      </w:pPr>
    </w:p>
    <w:p w14:paraId="3892162E">
      <w:pPr>
        <w:ind w:firstLine="482" w:firstLineChars="200"/>
        <w:rPr>
          <w:rFonts w:hint="eastAsia" w:ascii="宋体" w:hAnsi="宋体" w:cs="宋体"/>
          <w:b/>
          <w:sz w:val="24"/>
          <w:szCs w:val="24"/>
          <w:lang w:val="en-US" w:eastAsia="zh-CN"/>
        </w:rPr>
      </w:pPr>
    </w:p>
    <w:p w14:paraId="786D1A52">
      <w:pPr>
        <w:ind w:firstLine="482" w:firstLineChars="200"/>
        <w:rPr>
          <w:rFonts w:hint="eastAsia" w:ascii="宋体" w:hAnsi="宋体" w:cs="宋体"/>
          <w:b/>
          <w:sz w:val="24"/>
          <w:szCs w:val="24"/>
          <w:lang w:val="en-US" w:eastAsia="zh-CN"/>
        </w:rPr>
      </w:pPr>
    </w:p>
    <w:p w14:paraId="7580F910">
      <w:pPr>
        <w:ind w:firstLine="482" w:firstLineChars="200"/>
        <w:rPr>
          <w:rFonts w:hint="eastAsia" w:ascii="宋体" w:hAnsi="宋体" w:cs="宋体"/>
          <w:b/>
          <w:sz w:val="24"/>
          <w:szCs w:val="24"/>
          <w:lang w:val="en-US" w:eastAsia="zh-CN"/>
        </w:rPr>
      </w:pPr>
    </w:p>
    <w:p w14:paraId="4A4AA827">
      <w:pPr>
        <w:ind w:firstLine="482" w:firstLineChars="200"/>
        <w:rPr>
          <w:rFonts w:hint="eastAsia" w:ascii="宋体" w:hAnsi="宋体" w:cs="宋体"/>
          <w:b/>
          <w:sz w:val="24"/>
          <w:szCs w:val="24"/>
          <w:lang w:val="en-US" w:eastAsia="zh-CN"/>
        </w:rPr>
      </w:pPr>
    </w:p>
    <w:p w14:paraId="5BAA7573">
      <w:pPr>
        <w:ind w:firstLine="482" w:firstLineChars="200"/>
        <w:rPr>
          <w:rFonts w:hint="eastAsia" w:ascii="宋体" w:hAnsi="宋体" w:cs="宋体"/>
          <w:b/>
          <w:sz w:val="24"/>
          <w:szCs w:val="24"/>
          <w:lang w:val="en-US" w:eastAsia="zh-CN"/>
        </w:rPr>
      </w:pPr>
    </w:p>
    <w:p w14:paraId="4A4601A9">
      <w:pPr>
        <w:ind w:firstLine="482" w:firstLineChars="200"/>
        <w:rPr>
          <w:rFonts w:hint="eastAsia" w:ascii="宋体" w:hAnsi="宋体" w:cs="宋体"/>
          <w:b/>
          <w:sz w:val="24"/>
          <w:szCs w:val="24"/>
          <w:lang w:val="en-US" w:eastAsia="zh-CN"/>
        </w:rPr>
      </w:pPr>
    </w:p>
    <w:p w14:paraId="37B5BA13">
      <w:pPr>
        <w:ind w:firstLine="482" w:firstLineChars="200"/>
        <w:rPr>
          <w:rFonts w:hint="eastAsia" w:ascii="宋体" w:hAnsi="宋体" w:cs="宋体"/>
          <w:b/>
          <w:sz w:val="24"/>
          <w:szCs w:val="24"/>
          <w:lang w:val="en-US" w:eastAsia="zh-CN"/>
        </w:rPr>
      </w:pPr>
    </w:p>
    <w:p w14:paraId="18E67AE4">
      <w:pPr>
        <w:ind w:firstLine="482" w:firstLineChars="200"/>
        <w:rPr>
          <w:rFonts w:hint="eastAsia" w:ascii="宋体" w:hAnsi="宋体" w:cs="宋体"/>
          <w:b/>
          <w:sz w:val="24"/>
          <w:szCs w:val="24"/>
          <w:lang w:val="en-US" w:eastAsia="zh-CN"/>
        </w:rPr>
      </w:pPr>
    </w:p>
    <w:p w14:paraId="7B2E6A45">
      <w:pPr>
        <w:jc w:val="both"/>
        <w:rPr>
          <w:rFonts w:hint="eastAsia" w:ascii="宋体" w:hAnsi="宋体" w:eastAsia="宋体" w:cs="宋体"/>
          <w:b/>
          <w:sz w:val="24"/>
          <w:szCs w:val="24"/>
          <w:lang w:val="en-US" w:eastAsia="zh-CN"/>
        </w:rPr>
      </w:pPr>
    </w:p>
    <w:p w14:paraId="5235049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商务要求</w:t>
      </w:r>
    </w:p>
    <w:p w14:paraId="59D17B4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sz w:val="24"/>
          <w:szCs w:val="24"/>
          <w:lang w:bidi="ar"/>
        </w:rPr>
      </w:pPr>
      <w:r>
        <w:rPr>
          <w:rFonts w:hint="eastAsia" w:ascii="宋体" w:hAnsi="宋体" w:eastAsia="宋体" w:cs="宋体"/>
          <w:b/>
          <w:bCs/>
          <w:sz w:val="24"/>
          <w:szCs w:val="24"/>
          <w:lang w:bidi="ar"/>
        </w:rPr>
        <w:t>一、</w:t>
      </w:r>
      <w:r>
        <w:rPr>
          <w:rFonts w:hint="eastAsia" w:ascii="宋体" w:hAnsi="宋体" w:eastAsia="宋体" w:cs="宋体"/>
          <w:b/>
          <w:bCs/>
          <w:kern w:val="0"/>
          <w:sz w:val="24"/>
          <w:szCs w:val="24"/>
        </w:rPr>
        <w:t>合同履行期限</w:t>
      </w:r>
      <w:r>
        <w:rPr>
          <w:rFonts w:hint="eastAsia" w:ascii="宋体" w:hAnsi="宋体" w:eastAsia="宋体" w:cs="宋体"/>
          <w:b/>
          <w:bCs/>
          <w:sz w:val="24"/>
          <w:szCs w:val="24"/>
        </w:rPr>
        <w:t>：</w:t>
      </w:r>
      <w:r>
        <w:rPr>
          <w:rFonts w:hint="eastAsia" w:ascii="宋体" w:hAnsi="宋体" w:eastAsia="宋体" w:cs="宋体"/>
          <w:bCs/>
          <w:kern w:val="0"/>
          <w:sz w:val="24"/>
          <w:szCs w:val="24"/>
        </w:rPr>
        <w:t>自合同签订之日起1年。</w:t>
      </w:r>
    </w:p>
    <w:p w14:paraId="1E35DBF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bidi="ar"/>
        </w:rPr>
        <w:t>二、交货地点：</w:t>
      </w:r>
      <w:r>
        <w:rPr>
          <w:rFonts w:hint="eastAsia" w:ascii="宋体" w:hAnsi="宋体" w:eastAsia="宋体" w:cs="宋体"/>
          <w:kern w:val="0"/>
          <w:sz w:val="24"/>
          <w:szCs w:val="24"/>
        </w:rPr>
        <w:t>汉滨区五里高级中学指定地点</w:t>
      </w:r>
    </w:p>
    <w:p w14:paraId="015CD0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sz w:val="24"/>
          <w:szCs w:val="24"/>
          <w:lang w:bidi="ar"/>
        </w:rPr>
      </w:pPr>
      <w:r>
        <w:rPr>
          <w:rFonts w:hint="eastAsia" w:ascii="宋体" w:hAnsi="宋体" w:eastAsia="宋体" w:cs="宋体"/>
          <w:b/>
          <w:bCs/>
          <w:sz w:val="24"/>
          <w:szCs w:val="24"/>
          <w:lang w:bidi="ar"/>
        </w:rPr>
        <w:t>三、食品供货质量：</w:t>
      </w:r>
    </w:p>
    <w:bookmarkEnd w:id="14"/>
    <w:bookmarkEnd w:id="15"/>
    <w:bookmarkEnd w:id="16"/>
    <w:p w14:paraId="442009DD">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中标人配送的全部食材须符合国家食品安全标准及学校采购验收标准，包装完好、无变质污染，并按要求提供SC证、第三方质检报告、合格证明等溯源凭证；采购单位可适时抽检并建档，抽检费用由中标人承担，若抽检不合格，采购单位有权终止合同，因产品质量问题引发安全事故的，全部责任由中标人承担。</w:t>
      </w:r>
    </w:p>
    <w:p w14:paraId="7AC3020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四、质量保证</w:t>
      </w:r>
    </w:p>
    <w:p w14:paraId="060066E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所投产品的生产厂商生产和销售的产品应符合国家、行业标准和企业标准。严格遵守国家《产品质量法》、《食品安全法》、《食品生产加工企业质量安全监督管理办法》等相关法律、法规的规定，保证食品质量安全符合国家有关产品标准。</w:t>
      </w:r>
    </w:p>
    <w:p w14:paraId="224726E1">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2.投标人应当保证所供货物的来源渠道正常，产品为保质期内新鲜食品，且完全符合合同规定的质量、规格、技术指标等要求，并在质保期内应对产品产生的质量问题负责。</w:t>
      </w:r>
    </w:p>
    <w:p w14:paraId="3AF1803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3.采购人只对投标人提出质量服务要求，所有涉及食品制造商的有关事项均由投标人负责。</w:t>
      </w:r>
      <w:bookmarkStart w:id="17" w:name="_Toc167715251"/>
      <w:bookmarkStart w:id="18" w:name="_Toc167714054"/>
      <w:bookmarkStart w:id="19" w:name="_Toc167712856"/>
    </w:p>
    <w:p w14:paraId="611184A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4.中标人需每次提前备齐配送采购人所需食品数量。因运输装卸过程中造成的损耗（例如包装严重变形、破损，食品污损、变异等）。若发现的破损、变异货物必须无条件更换。</w:t>
      </w:r>
    </w:p>
    <w:p w14:paraId="101B639A">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5.保证食品的包装材料、贮存、运输和装卸食品的容器、包装、工具、设备安全，保持清洁，对食品无污染。</w:t>
      </w:r>
    </w:p>
    <w:p w14:paraId="3F44C70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6.须用专用车辆配送、食品专用箱包装、专人配送（须具备有效期内的健康证），质保期出现的质量问题由中标人负责解决并承担所有费用。</w:t>
      </w:r>
      <w:bookmarkEnd w:id="17"/>
      <w:bookmarkEnd w:id="18"/>
      <w:bookmarkEnd w:id="19"/>
    </w:p>
    <w:p w14:paraId="5A63CFF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五、配送及验收</w:t>
      </w:r>
    </w:p>
    <w:p w14:paraId="6442A11F">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Cs/>
          <w:sz w:val="24"/>
          <w:szCs w:val="24"/>
        </w:rPr>
      </w:pPr>
      <w:bookmarkStart w:id="20" w:name="_Hlk17989504"/>
      <w:r>
        <w:rPr>
          <w:rFonts w:hint="eastAsia" w:ascii="宋体" w:hAnsi="宋体" w:eastAsia="宋体" w:cs="宋体"/>
          <w:bCs/>
          <w:sz w:val="24"/>
          <w:szCs w:val="24"/>
        </w:rPr>
        <w:t>1.中标人配送的全部食品必须符合国家标准，包装完好，无变质、无污染。</w:t>
      </w:r>
    </w:p>
    <w:p w14:paraId="03674881">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sz w:val="24"/>
          <w:szCs w:val="24"/>
        </w:rPr>
        <w:t>所有食材中标人需配送至采购人指定储藏室，并协助做好相关验收工作。蔬菜类按需求每天配送，</w:t>
      </w:r>
      <w:r>
        <w:rPr>
          <w:rFonts w:hint="eastAsia" w:ascii="宋体" w:hAnsi="宋体" w:eastAsia="宋体" w:cs="宋体"/>
          <w:bCs/>
          <w:sz w:val="24"/>
          <w:szCs w:val="24"/>
        </w:rPr>
        <w:t>调味品类、干货类、其它类食材</w:t>
      </w:r>
      <w:r>
        <w:rPr>
          <w:rFonts w:hint="eastAsia" w:ascii="宋体" w:hAnsi="宋体" w:eastAsia="宋体" w:cs="宋体"/>
          <w:sz w:val="24"/>
          <w:szCs w:val="24"/>
        </w:rPr>
        <w:t>按需求协商配送，间隔时间不超过1个周。若采购人有其他配送方面（配送时间或临时配送等）的紧急要求，中标人应积极配合，确保保质保量完成配送任务。</w:t>
      </w:r>
    </w:p>
    <w:p w14:paraId="35454A53">
      <w:pPr>
        <w:keepNext w:val="0"/>
        <w:keepLines w:val="0"/>
        <w:pageBreakBefore w:val="0"/>
        <w:widowControl w:val="0"/>
        <w:kinsoku/>
        <w:wordWrap/>
        <w:overflowPunct/>
        <w:topLinePunct w:val="0"/>
        <w:autoSpaceDE/>
        <w:autoSpaceDN/>
        <w:bidi w:val="0"/>
        <w:spacing w:line="40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3.采购人根据相应的管理制度，落实专门的管理人员，在货送到后要履行严格的接货人、验货人、送货人签字手续。随货通行票据须标明批次和数量，建立配送台帐。</w:t>
      </w:r>
      <w:r>
        <w:rPr>
          <w:rFonts w:hint="eastAsia" w:ascii="宋体" w:hAnsi="宋体" w:eastAsia="宋体" w:cs="宋体"/>
          <w:sz w:val="24"/>
          <w:szCs w:val="24"/>
        </w:rPr>
        <w:t>中标人在货物送到</w:t>
      </w:r>
      <w:r>
        <w:rPr>
          <w:rFonts w:hint="eastAsia" w:ascii="宋体" w:hAnsi="宋体" w:eastAsia="宋体" w:cs="宋体"/>
          <w:kern w:val="0"/>
          <w:sz w:val="24"/>
          <w:szCs w:val="24"/>
        </w:rPr>
        <w:t>采购人</w:t>
      </w:r>
      <w:r>
        <w:rPr>
          <w:rFonts w:hint="eastAsia" w:ascii="宋体" w:hAnsi="宋体" w:eastAsia="宋体" w:cs="宋体"/>
          <w:sz w:val="24"/>
          <w:szCs w:val="24"/>
        </w:rPr>
        <w:t>指定地点后由采购人进行验收，核对货物名称、数量、生产日期、质保期，检查食品的外观和质量等，中标人须提供每批次产品厂家检验报告等资料。</w:t>
      </w:r>
    </w:p>
    <w:p w14:paraId="4EB2BBF1">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4.留样与检查。</w:t>
      </w:r>
      <w:r>
        <w:rPr>
          <w:rFonts w:hint="eastAsia" w:ascii="宋体" w:hAnsi="宋体" w:eastAsia="宋体" w:cs="宋体"/>
          <w:sz w:val="24"/>
          <w:szCs w:val="24"/>
        </w:rPr>
        <w:t>由采购单位或相关部门适时对所供产品进行抽样检查，并对检查情况建立档案，抽检的费用由中标人承担。抽样检查出现不合格产品的，采购单位有权终止合同，如出现因产品质量问题导致发生的安全事故，由中标人承担全部责任。</w:t>
      </w:r>
    </w:p>
    <w:p w14:paraId="76E7D398">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5.验收依据</w:t>
      </w:r>
    </w:p>
    <w:p w14:paraId="71F775BC">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（1）合同文本及合同补充文件（条款）。 </w:t>
      </w:r>
    </w:p>
    <w:p w14:paraId="511271DB">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（2）招标文件。</w:t>
      </w:r>
    </w:p>
    <w:p w14:paraId="032B6E0C">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（3）中标人的投标文件。</w:t>
      </w:r>
    </w:p>
    <w:p w14:paraId="334C67B0">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（4）合同食品供货清单。</w:t>
      </w:r>
    </w:p>
    <w:p w14:paraId="07DFDAE0">
      <w:pPr>
        <w:keepNext w:val="0"/>
        <w:keepLines w:val="0"/>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（5）所供每批次产品的检验报告及国家相关执行标准等。</w:t>
      </w:r>
      <w:bookmarkEnd w:id="20"/>
      <w:r>
        <w:rPr>
          <w:rFonts w:hint="eastAsia" w:ascii="宋体" w:hAnsi="宋体" w:eastAsia="宋体" w:cs="宋体"/>
          <w:b/>
          <w:bCs/>
          <w:sz w:val="24"/>
          <w:szCs w:val="24"/>
        </w:rPr>
        <w:t xml:space="preserve"> </w:t>
      </w:r>
    </w:p>
    <w:p w14:paraId="62FDBAD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六、款项结算</w:t>
      </w:r>
    </w:p>
    <w:p w14:paraId="33B03BB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1.在资金到位的情况下，投标人凭采购人签章的送货单以正式发票原则上按月同采购人据实结算。投标人须建好食品采购、配送台账，开具投标人印鉴齐全的配送三联单票据，双方责任人要签字。</w:t>
      </w:r>
    </w:p>
    <w:p w14:paraId="4D4CEEE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2.合同执行时以实际供货数量为准，据实结算。</w:t>
      </w:r>
    </w:p>
    <w:p w14:paraId="2F95CBB0">
      <w:pPr>
        <w:keepNext w:val="0"/>
        <w:keepLines w:val="0"/>
        <w:pageBreakBefore w:val="0"/>
        <w:widowControl w:val="0"/>
        <w:kinsoku/>
        <w:wordWrap/>
        <w:overflowPunct/>
        <w:topLinePunct w:val="0"/>
        <w:autoSpaceDE/>
        <w:autoSpaceDN/>
        <w:bidi w:val="0"/>
        <w:adjustRightInd w:val="0"/>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七、合同实施：</w:t>
      </w:r>
    </w:p>
    <w:p w14:paraId="19D9ECEA">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1、中标人应在合同签订后2个日历日内安排人员（项目组成人员简历表所列）与使用单位就供货、送货等工作进行安排、部署。</w:t>
      </w:r>
    </w:p>
    <w:p w14:paraId="403B6AF5">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2、若未能在合同履行期限内完成合同规定的义务，由此对采购人造成的延误和一切损失，由中标人承担和赔偿。</w:t>
      </w:r>
    </w:p>
    <w:p w14:paraId="7AEB4494">
      <w:pPr>
        <w:keepNext w:val="0"/>
        <w:keepLines w:val="0"/>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八、违约责任：</w:t>
      </w:r>
    </w:p>
    <w:p w14:paraId="32D0D8AC">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（1）按《中华人民共和国民法典》中的相关条款执行。</w:t>
      </w:r>
    </w:p>
    <w:p w14:paraId="4017F828">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（2）未按合同要求提供产品或产品质量不能满足技术要求，采购人有权终止合同，并对供方违约行为进行追究，同时按《中华人民共和国政府采购法》的有关规定进行处罚</w:t>
      </w:r>
      <w:r>
        <w:rPr>
          <w:rFonts w:hint="eastAsia" w:ascii="宋体" w:hAnsi="宋体" w:eastAsia="宋体" w:cs="宋体"/>
          <w:kern w:val="0"/>
          <w:sz w:val="24"/>
          <w:szCs w:val="24"/>
        </w:rPr>
        <w:t>。</w:t>
      </w:r>
    </w:p>
    <w:p w14:paraId="1031E04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九、因下列情形导致本合同被迫终止并产生损失的，相关损失由中标人承担:</w:t>
      </w:r>
    </w:p>
    <w:p w14:paraId="604313A8">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1、因国家或地方相关政策发生调整，致使本合同无法继续履行而被迫终至的；</w:t>
      </w:r>
    </w:p>
    <w:p w14:paraId="422732E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2、因学生实际人数减少，造成服务或供应的实际发生量与招标文件清单载明数量存在差异的；</w:t>
      </w:r>
    </w:p>
    <w:p w14:paraId="3A7BD24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rPr>
      </w:pPr>
      <w:r>
        <w:rPr>
          <w:rFonts w:hint="eastAsia" w:ascii="宋体" w:hAnsi="宋体" w:eastAsia="宋体" w:cs="宋体"/>
          <w:kern w:val="0"/>
          <w:sz w:val="24"/>
          <w:szCs w:val="24"/>
        </w:rPr>
        <w:t>3、因不可抗力(包括但不限于地震、台风、火灾、洪水、疫情等自然灾害及其他不可预见、不可避免且不可克服的客观情况)造成的全部损失，由中标人自行承担。</w:t>
      </w:r>
    </w:p>
    <w:p w14:paraId="1553F299">
      <w:pPr>
        <w:pStyle w:val="58"/>
        <w:rPr>
          <w:rFonts w:hint="eastAsia"/>
        </w:rPr>
      </w:pPr>
    </w:p>
    <w:p w14:paraId="2200181F">
      <w:pPr>
        <w:rPr>
          <w:rFonts w:hint="eastAsia"/>
        </w:rPr>
      </w:pPr>
    </w:p>
    <w:p w14:paraId="45A79DE2">
      <w:pPr>
        <w:bidi w:val="0"/>
        <w:rPr>
          <w:rFonts w:hint="eastAsia" w:ascii="Times New Roman" w:hAnsi="Times New Roman" w:eastAsia="宋体" w:cs="Times New Roman"/>
          <w:kern w:val="2"/>
          <w:sz w:val="21"/>
          <w:szCs w:val="24"/>
          <w:lang w:val="en-US" w:eastAsia="zh-CN" w:bidi="ar-SA"/>
        </w:rPr>
      </w:pPr>
    </w:p>
    <w:p w14:paraId="7732F1B7">
      <w:pPr>
        <w:bidi w:val="0"/>
        <w:rPr>
          <w:rFonts w:hint="eastAsia"/>
          <w:lang w:val="en-US" w:eastAsia="zh-CN"/>
        </w:rPr>
      </w:pPr>
    </w:p>
    <w:p w14:paraId="4E7BD367">
      <w:pPr>
        <w:bidi w:val="0"/>
        <w:rPr>
          <w:rFonts w:hint="eastAsia"/>
          <w:lang w:val="en-US" w:eastAsia="zh-CN"/>
        </w:rPr>
      </w:pPr>
    </w:p>
    <w:p w14:paraId="0651EB06">
      <w:pPr>
        <w:bidi w:val="0"/>
        <w:rPr>
          <w:rFonts w:hint="eastAsia"/>
          <w:lang w:val="en-US" w:eastAsia="zh-CN"/>
        </w:rPr>
      </w:pPr>
    </w:p>
    <w:p w14:paraId="5823C0C0">
      <w:pPr>
        <w:bidi w:val="0"/>
        <w:rPr>
          <w:rFonts w:hint="eastAsia"/>
          <w:lang w:val="en-US" w:eastAsia="zh-CN"/>
        </w:rPr>
      </w:pPr>
    </w:p>
    <w:p w14:paraId="219EE443">
      <w:pPr>
        <w:bidi w:val="0"/>
        <w:rPr>
          <w:rFonts w:hint="eastAsia"/>
          <w:lang w:val="en-US" w:eastAsia="zh-CN"/>
        </w:rPr>
      </w:pPr>
    </w:p>
    <w:p w14:paraId="7B0856A5">
      <w:pPr>
        <w:bidi w:val="0"/>
        <w:rPr>
          <w:rFonts w:hint="eastAsia"/>
          <w:lang w:val="en-US" w:eastAsia="zh-CN"/>
        </w:rPr>
      </w:pPr>
    </w:p>
    <w:p w14:paraId="0CC28435">
      <w:pPr>
        <w:bidi w:val="0"/>
        <w:rPr>
          <w:rFonts w:hint="eastAsia"/>
          <w:lang w:val="en-US" w:eastAsia="zh-CN"/>
        </w:rPr>
      </w:pPr>
    </w:p>
    <w:p w14:paraId="79F4A5C1">
      <w:pPr>
        <w:bidi w:val="0"/>
        <w:rPr>
          <w:rFonts w:hint="eastAsia"/>
          <w:lang w:val="en-US" w:eastAsia="zh-CN"/>
        </w:rPr>
      </w:pPr>
    </w:p>
    <w:p w14:paraId="32162694">
      <w:pPr>
        <w:pStyle w:val="2"/>
        <w:numPr>
          <w:ilvl w:val="0"/>
          <w:numId w:val="0"/>
        </w:numPr>
        <w:tabs>
          <w:tab w:val="clear" w:pos="324"/>
        </w:tabs>
        <w:ind w:leftChars="0"/>
        <w:jc w:val="both"/>
        <w:rPr>
          <w:rFonts w:hint="eastAsia" w:ascii="宋体" w:hAnsi="宋体" w:eastAsia="宋体" w:cs="宋体"/>
          <w:b/>
          <w:bCs/>
          <w:color w:val="auto"/>
          <w:sz w:val="36"/>
          <w:szCs w:val="36"/>
          <w:highlight w:val="none"/>
          <w:lang w:eastAsia="zh-CN"/>
        </w:rPr>
      </w:pPr>
    </w:p>
    <w:p w14:paraId="4C44DE9A">
      <w:pPr>
        <w:rPr>
          <w:rFonts w:hint="eastAsia" w:ascii="宋体" w:hAnsi="宋体" w:eastAsia="宋体" w:cs="宋体"/>
          <w:b/>
          <w:bCs/>
          <w:color w:val="auto"/>
          <w:sz w:val="36"/>
          <w:szCs w:val="36"/>
          <w:highlight w:val="none"/>
          <w:lang w:eastAsia="zh-CN"/>
        </w:rPr>
      </w:pPr>
    </w:p>
    <w:p w14:paraId="27FB29FA">
      <w:pPr>
        <w:rPr>
          <w:rFonts w:hint="eastAsia" w:ascii="宋体" w:hAnsi="宋体" w:eastAsia="宋体" w:cs="宋体"/>
          <w:b/>
          <w:bCs/>
          <w:color w:val="auto"/>
          <w:sz w:val="36"/>
          <w:szCs w:val="36"/>
          <w:highlight w:val="none"/>
          <w:lang w:eastAsia="zh-CN"/>
        </w:rPr>
      </w:pPr>
    </w:p>
    <w:p w14:paraId="746AA3B3">
      <w:pPr>
        <w:rPr>
          <w:rFonts w:hint="eastAsia" w:ascii="宋体" w:hAnsi="宋体" w:eastAsia="宋体" w:cs="宋体"/>
          <w:b/>
          <w:bCs/>
          <w:color w:val="auto"/>
          <w:sz w:val="36"/>
          <w:szCs w:val="36"/>
          <w:highlight w:val="none"/>
          <w:lang w:eastAsia="zh-CN"/>
        </w:rPr>
      </w:pPr>
    </w:p>
    <w:p w14:paraId="4A415E17">
      <w:pPr>
        <w:rPr>
          <w:rFonts w:hint="eastAsia" w:ascii="宋体" w:hAnsi="宋体" w:eastAsia="宋体" w:cs="宋体"/>
          <w:b/>
          <w:bCs/>
          <w:color w:val="auto"/>
          <w:sz w:val="36"/>
          <w:szCs w:val="36"/>
          <w:highlight w:val="none"/>
          <w:lang w:eastAsia="zh-CN"/>
        </w:rPr>
      </w:pPr>
    </w:p>
    <w:p w14:paraId="52FDB5EE">
      <w:pPr>
        <w:rPr>
          <w:rFonts w:hint="eastAsia" w:ascii="宋体" w:hAnsi="宋体" w:eastAsia="宋体" w:cs="宋体"/>
          <w:b/>
          <w:bCs/>
          <w:color w:val="auto"/>
          <w:sz w:val="36"/>
          <w:szCs w:val="36"/>
          <w:highlight w:val="none"/>
          <w:lang w:eastAsia="zh-CN"/>
        </w:rPr>
      </w:pPr>
    </w:p>
    <w:p w14:paraId="45A23AC9">
      <w:pPr>
        <w:pStyle w:val="38"/>
        <w:ind w:left="0" w:leftChars="0" w:firstLine="0" w:firstLineChars="0"/>
        <w:rPr>
          <w:rFonts w:hint="eastAsia" w:ascii="宋体" w:hAnsi="宋体" w:eastAsia="宋体" w:cs="宋体"/>
          <w:b/>
          <w:bCs/>
          <w:color w:val="auto"/>
          <w:sz w:val="36"/>
          <w:szCs w:val="36"/>
          <w:highlight w:val="none"/>
          <w:lang w:eastAsia="zh-CN"/>
        </w:rPr>
      </w:pPr>
    </w:p>
    <w:p w14:paraId="7C382E56">
      <w:pPr>
        <w:pStyle w:val="2"/>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第五章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主要合同条款</w:t>
      </w:r>
    </w:p>
    <w:p w14:paraId="65CB2D69">
      <w:pPr>
        <w:pStyle w:val="58"/>
        <w:rPr>
          <w:rFonts w:hint="eastAsia"/>
          <w:lang w:val="en-US" w:eastAsia="zh-CN"/>
        </w:rPr>
      </w:pPr>
    </w:p>
    <w:p w14:paraId="6328E62E">
      <w:pPr>
        <w:rPr>
          <w:rFonts w:hint="eastAsia"/>
          <w:lang w:val="en-US" w:eastAsia="zh-CN"/>
        </w:rPr>
      </w:pPr>
    </w:p>
    <w:p w14:paraId="4AC5EE95">
      <w:pPr>
        <w:pStyle w:val="39"/>
        <w:rPr>
          <w:rFonts w:hint="eastAsia"/>
          <w:lang w:val="en-US" w:eastAsia="zh-CN"/>
        </w:rPr>
      </w:pPr>
    </w:p>
    <w:p w14:paraId="7B6AC513">
      <w:pPr>
        <w:pStyle w:val="15"/>
        <w:rPr>
          <w:rFonts w:hint="eastAsia"/>
          <w:lang w:val="en-US" w:eastAsia="zh-CN"/>
        </w:rPr>
      </w:pPr>
    </w:p>
    <w:p w14:paraId="26B703D3">
      <w:pPr>
        <w:pStyle w:val="58"/>
        <w:rPr>
          <w:rFonts w:hint="eastAsia"/>
          <w:lang w:val="en-US" w:eastAsia="zh-CN"/>
        </w:rPr>
      </w:pPr>
    </w:p>
    <w:p w14:paraId="016ED74A">
      <w:pPr>
        <w:rPr>
          <w:rFonts w:hint="eastAsia"/>
          <w:lang w:val="en-US" w:eastAsia="zh-CN"/>
        </w:rPr>
      </w:pPr>
    </w:p>
    <w:p w14:paraId="70376E08">
      <w:pPr>
        <w:pStyle w:val="39"/>
        <w:rPr>
          <w:rFonts w:hint="eastAsia"/>
          <w:lang w:val="en-US" w:eastAsia="zh-CN"/>
        </w:rPr>
      </w:pPr>
    </w:p>
    <w:p w14:paraId="10DECC76">
      <w:pPr>
        <w:pStyle w:val="15"/>
        <w:rPr>
          <w:rFonts w:hint="eastAsia"/>
          <w:lang w:val="en-US" w:eastAsia="zh-CN"/>
        </w:rPr>
      </w:pPr>
    </w:p>
    <w:p w14:paraId="2EE57F39">
      <w:pPr>
        <w:pStyle w:val="58"/>
        <w:rPr>
          <w:rFonts w:hint="eastAsia"/>
          <w:lang w:val="en-US" w:eastAsia="zh-CN"/>
        </w:rPr>
      </w:pPr>
    </w:p>
    <w:p w14:paraId="57FEAFB6">
      <w:pPr>
        <w:rPr>
          <w:rFonts w:hint="eastAsia"/>
          <w:lang w:val="en-US" w:eastAsia="zh-CN"/>
        </w:rPr>
      </w:pPr>
    </w:p>
    <w:p w14:paraId="4C1D9A8F">
      <w:pPr>
        <w:pStyle w:val="39"/>
        <w:rPr>
          <w:rFonts w:hint="eastAsia"/>
          <w:lang w:val="en-US" w:eastAsia="zh-CN"/>
        </w:rPr>
      </w:pPr>
    </w:p>
    <w:p w14:paraId="1C5846BA">
      <w:pPr>
        <w:pStyle w:val="15"/>
        <w:rPr>
          <w:rFonts w:hint="eastAsia"/>
          <w:lang w:val="en-US" w:eastAsia="zh-CN"/>
        </w:rPr>
      </w:pPr>
    </w:p>
    <w:p w14:paraId="2D723E07">
      <w:pPr>
        <w:pStyle w:val="58"/>
        <w:rPr>
          <w:rFonts w:hint="eastAsia"/>
          <w:lang w:val="en-US" w:eastAsia="zh-CN"/>
        </w:rPr>
      </w:pPr>
    </w:p>
    <w:p w14:paraId="71195666">
      <w:pPr>
        <w:rPr>
          <w:rFonts w:hint="eastAsia"/>
          <w:lang w:val="en-US" w:eastAsia="zh-CN"/>
        </w:rPr>
      </w:pPr>
    </w:p>
    <w:p w14:paraId="1863F700">
      <w:pPr>
        <w:rPr>
          <w:rFonts w:hint="eastAsia"/>
          <w:lang w:val="en-US" w:eastAsia="zh-CN"/>
        </w:rPr>
      </w:pPr>
    </w:p>
    <w:p w14:paraId="3011655D">
      <w:pPr>
        <w:rPr>
          <w:rFonts w:hint="eastAsia"/>
          <w:lang w:val="en-US" w:eastAsia="zh-CN"/>
        </w:rPr>
      </w:pPr>
    </w:p>
    <w:p w14:paraId="28649F9F">
      <w:pPr>
        <w:rPr>
          <w:rFonts w:hint="eastAsia"/>
          <w:lang w:val="en-US" w:eastAsia="zh-CN"/>
        </w:rPr>
      </w:pPr>
    </w:p>
    <w:p w14:paraId="50714595">
      <w:pPr>
        <w:rPr>
          <w:rFonts w:hint="eastAsia"/>
          <w:lang w:val="en-US" w:eastAsia="zh-CN"/>
        </w:rPr>
      </w:pPr>
    </w:p>
    <w:p w14:paraId="5B3E3CC4">
      <w:pPr>
        <w:rPr>
          <w:rFonts w:hint="eastAsia"/>
          <w:lang w:val="en-US" w:eastAsia="zh-CN"/>
        </w:rPr>
      </w:pPr>
    </w:p>
    <w:p w14:paraId="4547AD3D">
      <w:pPr>
        <w:rPr>
          <w:rFonts w:hint="eastAsia"/>
          <w:lang w:val="en-US" w:eastAsia="zh-CN"/>
        </w:rPr>
      </w:pPr>
    </w:p>
    <w:p w14:paraId="71B2532C">
      <w:pPr>
        <w:pStyle w:val="58"/>
        <w:rPr>
          <w:rFonts w:hint="eastAsia"/>
          <w:lang w:val="en-US" w:eastAsia="zh-CN"/>
        </w:rPr>
      </w:pPr>
    </w:p>
    <w:p w14:paraId="21242FB2">
      <w:pPr>
        <w:rPr>
          <w:rFonts w:hint="eastAsia" w:ascii="宋体" w:hAnsi="宋体" w:eastAsia="宋体" w:cs="宋体"/>
          <w:b/>
          <w:bCs/>
          <w:sz w:val="36"/>
          <w:szCs w:val="36"/>
          <w:highlight w:val="none"/>
        </w:rPr>
      </w:pPr>
      <w:bookmarkStart w:id="21" w:name="_Toc17681"/>
    </w:p>
    <w:p w14:paraId="153AAFA1">
      <w:pPr>
        <w:pStyle w:val="39"/>
        <w:rPr>
          <w:rFonts w:hint="eastAsia" w:ascii="宋体" w:hAnsi="宋体" w:eastAsia="宋体" w:cs="宋体"/>
          <w:b/>
          <w:bCs/>
          <w:sz w:val="36"/>
          <w:szCs w:val="36"/>
          <w:highlight w:val="none"/>
        </w:rPr>
      </w:pPr>
    </w:p>
    <w:p w14:paraId="3B913A14">
      <w:pPr>
        <w:snapToGrid w:val="0"/>
        <w:jc w:val="center"/>
        <w:rPr>
          <w:rFonts w:hint="eastAsia" w:ascii="宋体" w:hAnsi="宋体" w:cs="宋体"/>
          <w:b/>
          <w:color w:val="000000"/>
          <w:sz w:val="48"/>
          <w:szCs w:val="48"/>
        </w:rPr>
      </w:pPr>
      <w:r>
        <w:rPr>
          <w:rFonts w:hint="eastAsia" w:ascii="宋体" w:hAnsi="宋体" w:cs="宋体"/>
          <w:sz w:val="24"/>
          <w:szCs w:val="24"/>
        </w:rPr>
        <w:t xml:space="preserve"> </w:t>
      </w:r>
      <w:bookmarkStart w:id="22" w:name="_Toc31274"/>
      <w:r>
        <w:rPr>
          <w:rFonts w:hint="eastAsia" w:ascii="宋体" w:hAnsi="宋体" w:cs="宋体"/>
          <w:b/>
          <w:color w:val="000000"/>
          <w:sz w:val="48"/>
          <w:szCs w:val="48"/>
        </w:rPr>
        <w:t>汉滨五里高级中学2026年食材采购项目</w:t>
      </w:r>
    </w:p>
    <w:p w14:paraId="673B921C">
      <w:pPr>
        <w:spacing w:after="120"/>
        <w:rPr>
          <w:rFonts w:ascii="宋体" w:hAnsi="宋体" w:cs="宋体"/>
          <w:b/>
          <w:kern w:val="0"/>
          <w:sz w:val="20"/>
        </w:rPr>
      </w:pPr>
    </w:p>
    <w:p w14:paraId="219B46D6">
      <w:pPr>
        <w:jc w:val="center"/>
        <w:rPr>
          <w:rFonts w:ascii="宋体" w:hAnsi="宋体" w:cs="宋体"/>
          <w:b/>
          <w:color w:val="000000"/>
          <w:sz w:val="84"/>
          <w:szCs w:val="84"/>
        </w:rPr>
      </w:pPr>
    </w:p>
    <w:p w14:paraId="0BAA2E10">
      <w:pPr>
        <w:pStyle w:val="16"/>
        <w:rPr>
          <w:rFonts w:ascii="宋体" w:hAnsi="宋体" w:cs="宋体"/>
          <w:b/>
          <w:color w:val="000000"/>
          <w:sz w:val="84"/>
          <w:szCs w:val="84"/>
        </w:rPr>
      </w:pPr>
    </w:p>
    <w:p w14:paraId="46F2028B">
      <w:pPr>
        <w:pStyle w:val="17"/>
      </w:pPr>
    </w:p>
    <w:p w14:paraId="411FFA5D">
      <w:pPr>
        <w:jc w:val="center"/>
        <w:rPr>
          <w:rFonts w:ascii="宋体" w:hAnsi="宋体" w:cs="宋体"/>
          <w:b/>
          <w:color w:val="000000"/>
          <w:sz w:val="84"/>
          <w:szCs w:val="84"/>
        </w:rPr>
      </w:pPr>
      <w:r>
        <w:rPr>
          <w:rFonts w:hint="eastAsia" w:ascii="宋体" w:hAnsi="宋体" w:cs="宋体"/>
          <w:b/>
          <w:color w:val="000000"/>
          <w:sz w:val="84"/>
          <w:szCs w:val="84"/>
        </w:rPr>
        <w:t>委托合同书</w:t>
      </w:r>
    </w:p>
    <w:p w14:paraId="4D9C16AA">
      <w:pPr>
        <w:jc w:val="center"/>
        <w:rPr>
          <w:rFonts w:ascii="宋体" w:hAnsi="宋体" w:cs="宋体"/>
          <w:b/>
          <w:color w:val="000000"/>
          <w:sz w:val="36"/>
          <w:szCs w:val="36"/>
        </w:rPr>
      </w:pPr>
    </w:p>
    <w:p w14:paraId="0B3E7E99">
      <w:pPr>
        <w:spacing w:line="360" w:lineRule="auto"/>
        <w:rPr>
          <w:rFonts w:ascii="宋体" w:hAnsi="宋体" w:cs="宋体"/>
          <w:b/>
          <w:color w:val="000000"/>
          <w:sz w:val="32"/>
          <w:szCs w:val="32"/>
        </w:rPr>
      </w:pPr>
    </w:p>
    <w:p w14:paraId="4DD0ABFB">
      <w:pPr>
        <w:pStyle w:val="16"/>
        <w:rPr>
          <w:rFonts w:ascii="宋体" w:hAnsi="宋体" w:cs="宋体"/>
          <w:b/>
          <w:color w:val="000000"/>
          <w:sz w:val="32"/>
          <w:szCs w:val="32"/>
        </w:rPr>
      </w:pPr>
    </w:p>
    <w:p w14:paraId="125B15C8">
      <w:pPr>
        <w:pStyle w:val="17"/>
      </w:pPr>
    </w:p>
    <w:p w14:paraId="78B0CA0C">
      <w:pPr>
        <w:spacing w:line="360" w:lineRule="auto"/>
        <w:rPr>
          <w:rFonts w:ascii="宋体" w:hAnsi="宋体" w:cs="宋体"/>
          <w:b/>
          <w:color w:val="000000"/>
          <w:sz w:val="32"/>
          <w:szCs w:val="32"/>
        </w:rPr>
      </w:pPr>
    </w:p>
    <w:p w14:paraId="56BDB469">
      <w:pPr>
        <w:spacing w:after="120"/>
        <w:rPr>
          <w:rFonts w:ascii="宋体" w:hAnsi="宋体" w:cs="宋体"/>
          <w:b/>
          <w:color w:val="000000"/>
          <w:kern w:val="0"/>
          <w:sz w:val="32"/>
          <w:szCs w:val="32"/>
        </w:rPr>
      </w:pPr>
    </w:p>
    <w:p w14:paraId="5E66BCE4">
      <w:pPr>
        <w:spacing w:after="120"/>
        <w:rPr>
          <w:rFonts w:ascii="宋体" w:hAnsi="宋体" w:cs="宋体"/>
          <w:b/>
          <w:color w:val="000000"/>
          <w:kern w:val="0"/>
          <w:sz w:val="32"/>
          <w:szCs w:val="32"/>
        </w:rPr>
      </w:pPr>
    </w:p>
    <w:p w14:paraId="099FBA21">
      <w:pPr>
        <w:spacing w:line="360" w:lineRule="auto"/>
        <w:ind w:left="2252" w:leftChars="915" w:hanging="331" w:hangingChars="103"/>
        <w:rPr>
          <w:rFonts w:hint="eastAsia" w:ascii="宋体" w:hAnsi="宋体" w:cs="宋体"/>
          <w:b/>
          <w:color w:val="000000"/>
          <w:sz w:val="32"/>
          <w:szCs w:val="32"/>
        </w:rPr>
      </w:pPr>
      <w:r>
        <w:rPr>
          <w:rFonts w:hint="eastAsia" w:ascii="宋体" w:hAnsi="宋体" w:cs="宋体"/>
          <w:b/>
          <w:color w:val="000000"/>
          <w:sz w:val="32"/>
          <w:szCs w:val="32"/>
        </w:rPr>
        <w:t>甲方：汉滨区五里高级中学</w:t>
      </w:r>
    </w:p>
    <w:p w14:paraId="20E4A0F9">
      <w:pPr>
        <w:spacing w:line="360" w:lineRule="auto"/>
        <w:ind w:left="2252" w:leftChars="915" w:hanging="331" w:hangingChars="103"/>
        <w:rPr>
          <w:rFonts w:ascii="宋体" w:hAnsi="宋体" w:cs="宋体"/>
          <w:b/>
          <w:color w:val="000000"/>
          <w:sz w:val="32"/>
          <w:szCs w:val="32"/>
        </w:rPr>
      </w:pPr>
      <w:r>
        <w:rPr>
          <w:rFonts w:hint="eastAsia" w:ascii="宋体" w:hAnsi="宋体" w:cs="宋体"/>
          <w:b/>
          <w:color w:val="000000"/>
          <w:sz w:val="32"/>
          <w:szCs w:val="32"/>
        </w:rPr>
        <w:t xml:space="preserve">乙方：    </w:t>
      </w:r>
    </w:p>
    <w:p w14:paraId="30EB8A0E">
      <w:pPr>
        <w:rPr>
          <w:rFonts w:ascii="宋体" w:hAnsi="宋体" w:cs="宋体"/>
          <w:b/>
          <w:color w:val="000000"/>
          <w:sz w:val="32"/>
          <w:szCs w:val="32"/>
        </w:rPr>
      </w:pPr>
    </w:p>
    <w:p w14:paraId="6774C970">
      <w:pPr>
        <w:ind w:firstLine="3694" w:firstLineChars="1150"/>
        <w:rPr>
          <w:rFonts w:ascii="宋体" w:hAnsi="宋体" w:cs="宋体"/>
          <w:b/>
          <w:color w:val="000000"/>
          <w:sz w:val="32"/>
          <w:szCs w:val="32"/>
        </w:rPr>
      </w:pPr>
    </w:p>
    <w:p w14:paraId="53A54A41">
      <w:pPr>
        <w:jc w:val="center"/>
        <w:rPr>
          <w:rFonts w:ascii="宋体" w:hAnsi="宋体" w:cs="宋体"/>
          <w:b/>
          <w:kern w:val="0"/>
          <w:sz w:val="32"/>
          <w:szCs w:val="21"/>
        </w:rPr>
      </w:pPr>
      <w:r>
        <w:rPr>
          <w:rFonts w:hint="eastAsia" w:ascii="宋体" w:hAnsi="宋体" w:cs="宋体"/>
          <w:b/>
          <w:color w:val="000000"/>
          <w:sz w:val="32"/>
          <w:szCs w:val="32"/>
          <w:u w:val="single"/>
        </w:rPr>
        <w:t xml:space="preserve">   </w:t>
      </w:r>
      <w:r>
        <w:rPr>
          <w:rFonts w:hint="eastAsia" w:ascii="宋体" w:hAnsi="宋体" w:cs="宋体"/>
          <w:b/>
          <w:color w:val="000000"/>
          <w:sz w:val="32"/>
          <w:szCs w:val="32"/>
        </w:rPr>
        <w:t>年</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月</w:t>
      </w:r>
    </w:p>
    <w:p w14:paraId="3824835A">
      <w:pPr>
        <w:spacing w:line="440" w:lineRule="exact"/>
        <w:ind w:firstLine="420" w:firstLineChars="200"/>
        <w:rPr>
          <w:rFonts w:hint="eastAsia" w:ascii="宋体" w:hAnsi="宋体" w:cs="宋体"/>
          <w:szCs w:val="24"/>
        </w:rPr>
        <w:sectPr>
          <w:footerReference r:id="rId5" w:type="default"/>
          <w:pgSz w:w="11906" w:h="16838"/>
          <w:pgMar w:top="1440" w:right="1417" w:bottom="1440" w:left="1417" w:header="851" w:footer="992" w:gutter="0"/>
          <w:pgNumType w:fmt="decimal" w:start="1"/>
          <w:cols w:space="720" w:num="1"/>
          <w:docGrid w:type="lines" w:linePitch="312" w:charSpace="0"/>
        </w:sectPr>
      </w:pPr>
    </w:p>
    <w:p w14:paraId="5CA120E6">
      <w:pPr>
        <w:spacing w:line="440" w:lineRule="exact"/>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rPr>
        <w:t>经甲、乙双方平等协商，在真实、充分地表达各自意愿的基础上，根据《中华人民共和国民法典》以及相关法律法规的规定，达成如下合同，并由双方共同恪守。</w:t>
      </w:r>
    </w:p>
    <w:p w14:paraId="17030E16">
      <w:pPr>
        <w:tabs>
          <w:tab w:val="left" w:pos="735"/>
        </w:tabs>
        <w:autoSpaceDE w:val="0"/>
        <w:autoSpaceDN w:val="0"/>
        <w:adjustRightInd w:val="0"/>
        <w:snapToGrid w:val="0"/>
        <w:spacing w:line="42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甲方：</w:t>
      </w:r>
      <w:r>
        <w:rPr>
          <w:rFonts w:hint="eastAsia" w:ascii="宋体" w:hAnsi="宋体" w:eastAsia="宋体" w:cs="宋体"/>
          <w:b/>
          <w:bCs/>
          <w:sz w:val="24"/>
          <w:szCs w:val="24"/>
          <w:u w:val="single"/>
        </w:rPr>
        <w:t xml:space="preserve">                </w:t>
      </w:r>
      <w:r>
        <w:rPr>
          <w:rFonts w:hint="eastAsia" w:ascii="宋体" w:hAnsi="宋体" w:eastAsia="宋体" w:cs="宋体"/>
          <w:bCs/>
          <w:sz w:val="24"/>
          <w:szCs w:val="24"/>
          <w:lang w:val="zh-CN"/>
        </w:rPr>
        <w:t>（</w:t>
      </w:r>
      <w:r>
        <w:rPr>
          <w:rFonts w:hint="eastAsia" w:ascii="宋体" w:hAnsi="宋体" w:eastAsia="宋体" w:cs="宋体"/>
          <w:bCs/>
          <w:sz w:val="24"/>
          <w:szCs w:val="24"/>
        </w:rPr>
        <w:t>采购单位</w:t>
      </w:r>
      <w:r>
        <w:rPr>
          <w:rFonts w:hint="eastAsia" w:ascii="宋体" w:hAnsi="宋体" w:eastAsia="宋体" w:cs="宋体"/>
          <w:bCs/>
          <w:sz w:val="24"/>
          <w:szCs w:val="24"/>
          <w:lang w:val="zh-CN"/>
        </w:rPr>
        <w:t>）</w:t>
      </w:r>
    </w:p>
    <w:p w14:paraId="42DB12E7">
      <w:pPr>
        <w:tabs>
          <w:tab w:val="left" w:pos="735"/>
        </w:tabs>
        <w:autoSpaceDE w:val="0"/>
        <w:autoSpaceDN w:val="0"/>
        <w:adjustRightInd w:val="0"/>
        <w:snapToGrid w:val="0"/>
        <w:spacing w:line="420" w:lineRule="exact"/>
        <w:ind w:firstLine="482" w:firstLineChars="200"/>
        <w:rPr>
          <w:rFonts w:hint="eastAsia" w:ascii="宋体" w:hAnsi="宋体" w:eastAsia="宋体" w:cs="宋体"/>
          <w:bCs/>
          <w:sz w:val="24"/>
          <w:szCs w:val="24"/>
          <w:lang w:val="zh-CN"/>
        </w:rPr>
      </w:pPr>
      <w:r>
        <w:rPr>
          <w:rFonts w:hint="eastAsia" w:ascii="宋体" w:hAnsi="宋体" w:eastAsia="宋体" w:cs="宋体"/>
          <w:b/>
          <w:bCs/>
          <w:sz w:val="24"/>
          <w:szCs w:val="24"/>
          <w:lang w:val="zh-CN"/>
        </w:rPr>
        <w:t>乙方：</w:t>
      </w:r>
      <w:r>
        <w:rPr>
          <w:rFonts w:hint="eastAsia" w:ascii="宋体" w:hAnsi="宋体" w:eastAsia="宋体" w:cs="宋体"/>
          <w:b/>
          <w:bCs/>
          <w:sz w:val="24"/>
          <w:szCs w:val="24"/>
          <w:u w:val="single"/>
        </w:rPr>
        <w:t xml:space="preserve">                </w:t>
      </w:r>
      <w:r>
        <w:rPr>
          <w:rFonts w:hint="eastAsia" w:ascii="宋体" w:hAnsi="宋体" w:eastAsia="宋体" w:cs="宋体"/>
          <w:bCs/>
          <w:sz w:val="24"/>
          <w:szCs w:val="24"/>
          <w:lang w:val="zh-CN"/>
        </w:rPr>
        <w:t>（中标人）</w:t>
      </w:r>
    </w:p>
    <w:p w14:paraId="486E9699">
      <w:pPr>
        <w:tabs>
          <w:tab w:val="left" w:pos="735"/>
        </w:tabs>
        <w:autoSpaceDE w:val="0"/>
        <w:autoSpaceDN w:val="0"/>
        <w:adjustRightInd w:val="0"/>
        <w:snapToGrid w:val="0"/>
        <w:spacing w:line="46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 xml:space="preserve">一、合同内容: </w:t>
      </w:r>
    </w:p>
    <w:p w14:paraId="499A6F55">
      <w:pPr>
        <w:tabs>
          <w:tab w:val="left" w:pos="735"/>
        </w:tabs>
        <w:adjustRightInd w:val="0"/>
        <w:snapToGrid w:val="0"/>
        <w:spacing w:line="4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二、合同价款：</w:t>
      </w:r>
    </w:p>
    <w:p w14:paraId="0029E384">
      <w:pPr>
        <w:tabs>
          <w:tab w:val="left" w:pos="735"/>
        </w:tabs>
        <w:adjustRightInd w:val="0"/>
        <w:snapToGrid w:val="0"/>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三、付款方式</w:t>
      </w:r>
    </w:p>
    <w:p w14:paraId="583E949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1.在资金到位的情况下，乙方凭甲方签章的送货单以正式发票原则上按月同</w:t>
      </w:r>
      <w:r>
        <w:rPr>
          <w:rFonts w:hint="eastAsia" w:ascii="宋体" w:hAnsi="宋体" w:eastAsia="宋体" w:cs="宋体"/>
          <w:kern w:val="0"/>
          <w:sz w:val="24"/>
          <w:szCs w:val="24"/>
        </w:rPr>
        <w:t>甲方</w:t>
      </w:r>
      <w:r>
        <w:rPr>
          <w:rFonts w:hint="eastAsia" w:ascii="宋体" w:hAnsi="宋体" w:eastAsia="宋体" w:cs="宋体"/>
          <w:sz w:val="24"/>
          <w:szCs w:val="24"/>
        </w:rPr>
        <w:t>据实结算。乙方须建好食品采购、配送台账，开具乙方印鉴齐全的配送三联单票据，双方责任人要签字。</w:t>
      </w:r>
    </w:p>
    <w:p w14:paraId="4266DC0D">
      <w:pPr>
        <w:tabs>
          <w:tab w:val="left" w:pos="735"/>
        </w:tabs>
        <w:autoSpaceDE w:val="0"/>
        <w:autoSpaceDN w:val="0"/>
        <w:adjustRightInd w:val="0"/>
        <w:snapToGrid w:val="0"/>
        <w:spacing w:line="460" w:lineRule="exact"/>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rPr>
        <w:t>2.合同执行时以实际供货数量为准，</w:t>
      </w:r>
      <w:r>
        <w:rPr>
          <w:rFonts w:hint="eastAsia" w:ascii="宋体" w:hAnsi="宋体" w:cs="宋体"/>
          <w:sz w:val="24"/>
          <w:szCs w:val="24"/>
          <w:lang w:val="en-US" w:eastAsia="zh-CN"/>
        </w:rPr>
        <w:t>按单价结算，</w:t>
      </w:r>
      <w:r>
        <w:rPr>
          <w:rFonts w:hint="eastAsia" w:ascii="宋体" w:hAnsi="宋体" w:eastAsia="宋体" w:cs="宋体"/>
          <w:sz w:val="24"/>
          <w:szCs w:val="24"/>
        </w:rPr>
        <w:t>据实结算。</w:t>
      </w:r>
    </w:p>
    <w:p w14:paraId="63FE280D">
      <w:pPr>
        <w:tabs>
          <w:tab w:val="left" w:pos="735"/>
        </w:tabs>
        <w:autoSpaceDE w:val="0"/>
        <w:autoSpaceDN w:val="0"/>
        <w:adjustRightInd w:val="0"/>
        <w:snapToGrid w:val="0"/>
        <w:spacing w:line="46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bCs/>
          <w:sz w:val="24"/>
          <w:szCs w:val="24"/>
          <w:lang w:val="en-US" w:eastAsia="zh-CN"/>
        </w:rPr>
        <w:t>本项目采用优惠率报价。每月食材用量及单价，按学校市场采价与上级部门监测价核算；所列总价为概算价。如遇生源减少、供餐方式调整等，食材费用将据实核减，最终结算金额以学校实际支付款项为准。</w:t>
      </w:r>
    </w:p>
    <w:p w14:paraId="15786C47">
      <w:pPr>
        <w:tabs>
          <w:tab w:val="left" w:pos="735"/>
        </w:tabs>
        <w:autoSpaceDE w:val="0"/>
        <w:autoSpaceDN w:val="0"/>
        <w:adjustRightInd w:val="0"/>
        <w:snapToGrid w:val="0"/>
        <w:spacing w:line="46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四、交货条件:</w:t>
      </w:r>
    </w:p>
    <w:p w14:paraId="1FAE59F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1.交货地点：</w:t>
      </w:r>
      <w:r>
        <w:rPr>
          <w:rFonts w:hint="eastAsia" w:ascii="宋体" w:hAnsi="宋体" w:eastAsia="宋体" w:cs="宋体"/>
          <w:kern w:val="0"/>
          <w:sz w:val="24"/>
          <w:szCs w:val="24"/>
        </w:rPr>
        <w:t>汉滨区五里高级中学指定地点</w:t>
      </w:r>
    </w:p>
    <w:p w14:paraId="5F920508">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2.合同履行期限：</w:t>
      </w:r>
      <w:r>
        <w:rPr>
          <w:rFonts w:hint="eastAsia" w:ascii="宋体" w:hAnsi="宋体" w:eastAsia="宋体" w:cs="宋体"/>
          <w:bCs/>
          <w:kern w:val="0"/>
          <w:sz w:val="24"/>
          <w:szCs w:val="24"/>
        </w:rPr>
        <w:t>自合同签订之日起1年。</w:t>
      </w:r>
    </w:p>
    <w:p w14:paraId="44A2059B">
      <w:pPr>
        <w:spacing w:line="460" w:lineRule="exact"/>
        <w:ind w:firstLine="480" w:firstLineChars="200"/>
        <w:rPr>
          <w:rFonts w:hint="eastAsia" w:ascii="宋体" w:hAnsi="宋体" w:eastAsia="宋体" w:cs="宋体"/>
          <w:sz w:val="24"/>
          <w:szCs w:val="24"/>
          <w:highlight w:val="yellow"/>
        </w:rPr>
      </w:pPr>
      <w:r>
        <w:rPr>
          <w:rFonts w:hint="eastAsia" w:ascii="宋体" w:hAnsi="宋体" w:eastAsia="宋体" w:cs="宋体"/>
          <w:bCs/>
          <w:sz w:val="24"/>
          <w:szCs w:val="24"/>
        </w:rPr>
        <w:t>在合同履行期限内，甲方对乙方每学期进行考核，若考核不合格，甲方有权终止合同。若在合同履行期限内，乙方提出终止合同要求，应提前三个月以书面形式告知甲方。</w:t>
      </w:r>
    </w:p>
    <w:p w14:paraId="50584ED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3.配送要求：所有食材乙方需配送至</w:t>
      </w:r>
      <w:r>
        <w:rPr>
          <w:rFonts w:hint="eastAsia" w:ascii="宋体" w:hAnsi="宋体" w:eastAsia="宋体" w:cs="宋体"/>
          <w:bCs/>
          <w:sz w:val="24"/>
          <w:szCs w:val="24"/>
        </w:rPr>
        <w:t>甲方</w:t>
      </w:r>
      <w:r>
        <w:rPr>
          <w:rFonts w:hint="eastAsia" w:ascii="宋体" w:hAnsi="宋体" w:eastAsia="宋体" w:cs="宋体"/>
          <w:sz w:val="24"/>
          <w:szCs w:val="24"/>
        </w:rPr>
        <w:t>指定储藏室，并协助做好相关验收工作。蔬菜类按需求每天配送，</w:t>
      </w:r>
      <w:r>
        <w:rPr>
          <w:rFonts w:hint="eastAsia" w:ascii="宋体" w:hAnsi="宋体" w:eastAsia="宋体" w:cs="宋体"/>
          <w:bCs/>
          <w:sz w:val="24"/>
          <w:szCs w:val="24"/>
        </w:rPr>
        <w:t>调味品类、干货类、其它类食材</w:t>
      </w:r>
      <w:r>
        <w:rPr>
          <w:rFonts w:hint="eastAsia" w:ascii="宋体" w:hAnsi="宋体" w:eastAsia="宋体" w:cs="宋体"/>
          <w:sz w:val="24"/>
          <w:szCs w:val="24"/>
        </w:rPr>
        <w:t>按需求协商配送，间隔时间不超过1个周。若</w:t>
      </w:r>
      <w:r>
        <w:rPr>
          <w:rFonts w:hint="eastAsia" w:ascii="宋体" w:hAnsi="宋体" w:eastAsia="宋体" w:cs="宋体"/>
          <w:bCs/>
          <w:sz w:val="24"/>
          <w:szCs w:val="24"/>
        </w:rPr>
        <w:t>甲方</w:t>
      </w:r>
      <w:r>
        <w:rPr>
          <w:rFonts w:hint="eastAsia" w:ascii="宋体" w:hAnsi="宋体" w:eastAsia="宋体" w:cs="宋体"/>
          <w:sz w:val="24"/>
          <w:szCs w:val="24"/>
        </w:rPr>
        <w:t>有其他配送方面（配送时间或临时配送等）的紧急要求，乙方应积极配合，确保保质保量完成配送任务。</w:t>
      </w:r>
    </w:p>
    <w:p w14:paraId="415484A9">
      <w:pPr>
        <w:autoSpaceDE w:val="0"/>
        <w:autoSpaceDN w:val="0"/>
        <w:adjustRightInd w:val="0"/>
        <w:spacing w:line="46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五、包装、储存及运输等要求：</w:t>
      </w:r>
    </w:p>
    <w:p w14:paraId="3E5F64F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1.包装：应采取防污染、防潮、防晒、防腐蚀、防震动及防止其它损坏的必要措施。乙方应对由于其包装或防护措施不妥而引起的货物变质、损坏和丢失等问题负责，并承担由此造成的损失和全部费用。</w:t>
      </w:r>
    </w:p>
    <w:p w14:paraId="7DFE5169">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sz w:val="24"/>
          <w:szCs w:val="24"/>
        </w:rPr>
        <w:t>储存：</w:t>
      </w:r>
      <w:r>
        <w:rPr>
          <w:rFonts w:hint="eastAsia" w:ascii="宋体" w:hAnsi="宋体" w:eastAsia="宋体" w:cs="宋体"/>
          <w:bCs/>
          <w:sz w:val="24"/>
          <w:szCs w:val="24"/>
        </w:rPr>
        <w:t xml:space="preserve"> </w:t>
      </w:r>
    </w:p>
    <w:p w14:paraId="2D06BA3B">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2.1 设置与配送食材相适应的专用库房。</w:t>
      </w:r>
    </w:p>
    <w:p w14:paraId="0734DD29">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（1）库房应位于交通便利、无闲杂人员流动的场所。</w:t>
      </w:r>
    </w:p>
    <w:p w14:paraId="0EAAAAB7">
      <w:pPr>
        <w:spacing w:line="44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（2）仓库须是独立（食品材料存储专用库）库，场地平整，库房面积、货柜架要满足本项目采购货物存储需求。</w:t>
      </w:r>
    </w:p>
    <w:p w14:paraId="429418A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（3）仓库应符合相关食材所要求的温、湿度条件。</w:t>
      </w:r>
    </w:p>
    <w:p w14:paraId="19D45788">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（4）库房“</w:t>
      </w:r>
      <w:r>
        <w:rPr>
          <w:rFonts w:hint="eastAsia" w:ascii="宋体" w:hAnsi="宋体" w:cs="宋体"/>
          <w:bCs/>
          <w:sz w:val="24"/>
          <w:szCs w:val="24"/>
          <w:lang w:eastAsia="zh-CN"/>
        </w:rPr>
        <w:t>五防</w:t>
      </w:r>
      <w:r>
        <w:rPr>
          <w:rFonts w:hint="eastAsia" w:ascii="宋体" w:hAnsi="宋体" w:eastAsia="宋体" w:cs="宋体"/>
          <w:bCs/>
          <w:sz w:val="24"/>
          <w:szCs w:val="24"/>
        </w:rPr>
        <w:t>”设施（防潮、防投毒、防鼠、防蝇虫、防尘）齐全。</w:t>
      </w:r>
    </w:p>
    <w:p w14:paraId="4E31B2C7">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（5）仓库应地面平整,通风换气。</w:t>
      </w:r>
    </w:p>
    <w:p w14:paraId="102DFD93">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2.2 库房应配备专人管理，制度完备，职责明确；要建立相关工作台账，有准确的入库、出库明细记录；</w:t>
      </w:r>
    </w:p>
    <w:p w14:paraId="2C7D0FE8">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（1）食品原料、半成品、成品应分区、分架、分类存放。贮存过程中，应与墙壁、地面保持适当距离（离墙、离地应在10cm以上）。应分隔或分离贮存不同类型的食品原料。</w:t>
      </w:r>
    </w:p>
    <w:p w14:paraId="1180F8E1">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食品常温库房应加装干湿温度计，保持阴凉、干燥。食品贮存过程应符合保证食品安全所需的温度、湿度等特殊要求，定期对贮存区温度、湿度进行监测，必要时采取一定的调控措施保证贮存条件符合要求。</w:t>
      </w:r>
    </w:p>
    <w:p w14:paraId="29B4E53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（3）冷冻、冷藏柜（库）应设置可正确显示内部温度的外显式温度计。冷藏温度0-8℃，冷冻温度＜-12℃，有温度要求的以要求温度为准。</w:t>
      </w:r>
    </w:p>
    <w:p w14:paraId="484EA975">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（4）对易腐食品原料、半成品规定使用期限，并在存放容器上标注加工时间及限用时间。</w:t>
      </w:r>
    </w:p>
    <w:p w14:paraId="5904B626">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（5）冷冻贮存食品前，应分割食品，避免使用时反复解冻、冷冻。在冷冻或冷藏设备中存放食品时，应将食品放置在密闭容器内或使用保鲜膜等进行无污染覆盖。</w:t>
      </w:r>
    </w:p>
    <w:p w14:paraId="61BE1470">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定期对库存、待加工的食品巡查，发现腐败变质、霉变生虫、掺假掺杂、污秽不洁、包装破损可能受污染、超过保质期、感官性状异常等情况的食品应及时清理；变质、超过保质期或者回收的食品应显著标示或者单独存放在有明确标志的场所，及时采取无害化处理、销毁等措施，并按规定记录。</w:t>
      </w:r>
    </w:p>
    <w:p w14:paraId="591C222A">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（7）货物出入库，应遵循先进先出的原则,及时清理出不符合质量和卫生要求的货物,防止相互污染。</w:t>
      </w:r>
    </w:p>
    <w:p w14:paraId="373A14F2">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3.运输</w:t>
      </w:r>
    </w:p>
    <w:p w14:paraId="17BBAFB6">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（1）货物在运输过程中，应做好货物防护，防止包装破损和食品受污染, 不得与非食品类货物混装，更不得与有毒有害等影响食品安全的货物同车装运。装卸时要轻拿轻放,防摔防压。</w:t>
      </w:r>
    </w:p>
    <w:p w14:paraId="4E1BBAC0">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具有冷藏或温度控制要求的货物，必须配备封闭式食品专用冷链车运输，必须符合安全卫生要求,具有防雨防尘设施，且应安装温度监控、车辆行驶轨迹监控、装卸视频监控等设备，监控数据保存时间不低于3个月。</w:t>
      </w:r>
    </w:p>
    <w:p w14:paraId="1C14E080">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（3）建立卫生管理制度,定期对车辆和工器具进行清洗、消毒，保持洁净卫生。</w:t>
      </w:r>
    </w:p>
    <w:p w14:paraId="1AEBE340">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4.卫生要求 </w:t>
      </w:r>
    </w:p>
    <w:p w14:paraId="06E2710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4.1 机构与管理 </w:t>
      </w:r>
    </w:p>
    <w:p w14:paraId="1671997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（1）乙方要制定和完善本单位的各项食品安全管理制度和作业规程。</w:t>
      </w:r>
    </w:p>
    <w:p w14:paraId="1B130C01">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（2）应配备经专业培训的专职或兼职的食品安全管理人员。</w:t>
      </w:r>
    </w:p>
    <w:p w14:paraId="52B5BF06">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4.2 职责 </w:t>
      </w:r>
    </w:p>
    <w:p w14:paraId="221334A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（1）宣传和贯彻食品</w:t>
      </w:r>
      <w:r>
        <w:rPr>
          <w:rFonts w:hint="eastAsia" w:ascii="宋体" w:hAnsi="宋体" w:cs="宋体"/>
          <w:bCs/>
          <w:sz w:val="24"/>
          <w:szCs w:val="24"/>
          <w:lang w:val="en-US" w:eastAsia="zh-CN"/>
        </w:rPr>
        <w:t>安全</w:t>
      </w:r>
      <w:r>
        <w:rPr>
          <w:rFonts w:hint="eastAsia" w:ascii="宋体" w:hAnsi="宋体" w:eastAsia="宋体" w:cs="宋体"/>
          <w:bCs/>
          <w:sz w:val="24"/>
          <w:szCs w:val="24"/>
        </w:rPr>
        <w:t xml:space="preserve">法规和有关规章制度,监督、检查在本单位的执行情况,做好相关记录，定期向食品卫生监督部门报告。 </w:t>
      </w:r>
    </w:p>
    <w:p w14:paraId="161015BD">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（2）制定和修改本单位的各项卫生管理制度和作业规程。 </w:t>
      </w:r>
    </w:p>
    <w:p w14:paraId="15F60C28">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（3）组织卫生宣传教育工作,培训食品相关从业人员。 </w:t>
      </w:r>
    </w:p>
    <w:p w14:paraId="078E209A">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（4）定期进行本单位从业人员的健康检查,并作好善后处理工作。</w:t>
      </w:r>
    </w:p>
    <w:p w14:paraId="12503C1C">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（5）积极开展卫生清洁，建立完善卫生消毒、卫生检查工作台账。</w:t>
      </w:r>
    </w:p>
    <w:p w14:paraId="753EE21A">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（6）所有参与食品存储及配送各环节人员均须具备有效期内的健康证。</w:t>
      </w:r>
    </w:p>
    <w:p w14:paraId="40E50BE9">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5.安全责任</w:t>
      </w:r>
    </w:p>
    <w:p w14:paraId="108DCD3E">
      <w:pPr>
        <w:adjustRightInd w:val="0"/>
        <w:snapToGrid w:val="0"/>
        <w:spacing w:line="460" w:lineRule="exact"/>
        <w:ind w:firstLine="480" w:firstLineChars="200"/>
        <w:rPr>
          <w:rFonts w:hint="eastAsia" w:ascii="宋体" w:hAnsi="宋体" w:eastAsia="宋体" w:cs="宋体"/>
          <w:b/>
          <w:sz w:val="24"/>
          <w:szCs w:val="24"/>
        </w:rPr>
      </w:pPr>
      <w:r>
        <w:rPr>
          <w:rFonts w:hint="eastAsia" w:ascii="宋体" w:hAnsi="宋体" w:eastAsia="宋体" w:cs="宋体"/>
          <w:bCs/>
          <w:sz w:val="24"/>
          <w:szCs w:val="24"/>
        </w:rPr>
        <w:t>在配送过程中的一切安全责任（包括车辆、人员等），由</w:t>
      </w:r>
      <w:r>
        <w:rPr>
          <w:rFonts w:hint="eastAsia" w:ascii="宋体" w:hAnsi="宋体" w:eastAsia="宋体" w:cs="宋体"/>
          <w:sz w:val="24"/>
          <w:szCs w:val="24"/>
        </w:rPr>
        <w:t>乙方</w:t>
      </w:r>
      <w:r>
        <w:rPr>
          <w:rFonts w:hint="eastAsia" w:ascii="宋体" w:hAnsi="宋体" w:eastAsia="宋体" w:cs="宋体"/>
          <w:bCs/>
          <w:sz w:val="24"/>
          <w:szCs w:val="24"/>
        </w:rPr>
        <w:t>全权负责。</w:t>
      </w:r>
    </w:p>
    <w:p w14:paraId="0EA7FEBA">
      <w:pPr>
        <w:adjustRightInd w:val="0"/>
        <w:snapToGrid w:val="0"/>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六、质量保证</w:t>
      </w:r>
    </w:p>
    <w:p w14:paraId="7E2541F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所投产品的生产厂商生产和销售的产品应符合国家、行业标准和企业标准。严格遵守国家《产品质量法》、《食品安全法》、《食品生产加工企业质量安全监督管理办法》等相关法律、法规的规定，保证食品质量安全符合国家有关产品标准。</w:t>
      </w:r>
    </w:p>
    <w:p w14:paraId="6ABA259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2.乙方应当保证所供货物的来源渠道正常，产品为保质期内新鲜食品，且完全符合合同规定的质量、规格、技术指标等要求，并在质保期内应对产品产生的质量问题负责。</w:t>
      </w:r>
    </w:p>
    <w:p w14:paraId="0591931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Cs/>
          <w:sz w:val="24"/>
          <w:szCs w:val="24"/>
        </w:rPr>
        <w:t>甲方</w:t>
      </w:r>
      <w:r>
        <w:rPr>
          <w:rFonts w:hint="eastAsia" w:ascii="宋体" w:hAnsi="宋体" w:eastAsia="宋体" w:cs="宋体"/>
          <w:sz w:val="24"/>
          <w:szCs w:val="24"/>
        </w:rPr>
        <w:t>只对投标人提出质量服务要求，所有涉及食品制造商的有关事项均由乙方负责。</w:t>
      </w:r>
    </w:p>
    <w:p w14:paraId="2F6E26A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4.乙方需每次提前备齐配送</w:t>
      </w:r>
      <w:r>
        <w:rPr>
          <w:rFonts w:hint="eastAsia" w:ascii="宋体" w:hAnsi="宋体" w:eastAsia="宋体" w:cs="宋体"/>
          <w:bCs/>
          <w:sz w:val="24"/>
          <w:szCs w:val="24"/>
        </w:rPr>
        <w:t>甲方</w:t>
      </w:r>
      <w:r>
        <w:rPr>
          <w:rFonts w:hint="eastAsia" w:ascii="宋体" w:hAnsi="宋体" w:eastAsia="宋体" w:cs="宋体"/>
          <w:sz w:val="24"/>
          <w:szCs w:val="24"/>
        </w:rPr>
        <w:t>所需食品数量。因运输装卸过程中造成的损耗（例如包装严重变形、破损，食品污损、变异等）。若发现的破损、变异货物必须无条件更换。</w:t>
      </w:r>
    </w:p>
    <w:p w14:paraId="05031AC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5.保证食品的包装材料、贮存、运输和装卸食品的容器、包装、工具、设备安全，保持清洁，对食品无污染。</w:t>
      </w:r>
    </w:p>
    <w:p w14:paraId="20AB027D">
      <w:pPr>
        <w:adjustRightInd w:val="0"/>
        <w:snapToGrid w:val="0"/>
        <w:spacing w:line="4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6.须用专用车辆配送、食品专用箱包装、专人配送（须具备有效期内的健康证），质保期出现的质量问题由乙方负责解决并承担所有费用。</w:t>
      </w:r>
    </w:p>
    <w:p w14:paraId="29FF5AFE">
      <w:pPr>
        <w:adjustRightInd w:val="0"/>
        <w:snapToGrid w:val="0"/>
        <w:spacing w:line="460" w:lineRule="exact"/>
        <w:ind w:firstLine="482" w:firstLineChars="200"/>
        <w:rPr>
          <w:rFonts w:hint="eastAsia" w:ascii="宋体" w:hAnsi="宋体" w:eastAsia="宋体" w:cs="宋体"/>
          <w:bCs/>
          <w:sz w:val="24"/>
          <w:szCs w:val="24"/>
        </w:rPr>
      </w:pPr>
      <w:r>
        <w:rPr>
          <w:rFonts w:hint="eastAsia" w:ascii="宋体" w:hAnsi="宋体" w:eastAsia="宋体" w:cs="宋体"/>
          <w:b/>
          <w:sz w:val="24"/>
          <w:szCs w:val="24"/>
        </w:rPr>
        <w:t>七、验收</w:t>
      </w:r>
    </w:p>
    <w:p w14:paraId="31B71879">
      <w:pPr>
        <w:spacing w:line="440" w:lineRule="exact"/>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bCs/>
          <w:sz w:val="24"/>
          <w:szCs w:val="24"/>
        </w:rPr>
        <w:t>甲方</w:t>
      </w:r>
      <w:r>
        <w:rPr>
          <w:rFonts w:hint="eastAsia" w:ascii="宋体" w:hAnsi="宋体" w:eastAsia="宋体" w:cs="宋体"/>
          <w:kern w:val="0"/>
          <w:sz w:val="24"/>
          <w:szCs w:val="24"/>
        </w:rPr>
        <w:t>根据相应的管理制度，落实专门的管理人员，在货送到后要履行严格的接货人、验货人、送货人签字手续。随货通行票据须标明批次和数量，建立配送台帐。</w:t>
      </w:r>
      <w:r>
        <w:rPr>
          <w:rFonts w:hint="eastAsia" w:ascii="宋体" w:hAnsi="宋体" w:eastAsia="宋体" w:cs="宋体"/>
          <w:sz w:val="24"/>
          <w:szCs w:val="24"/>
        </w:rPr>
        <w:t>乙方在货物送到</w:t>
      </w:r>
      <w:r>
        <w:rPr>
          <w:rFonts w:hint="eastAsia" w:ascii="宋体" w:hAnsi="宋体" w:eastAsia="宋体" w:cs="宋体"/>
          <w:bCs/>
          <w:sz w:val="24"/>
          <w:szCs w:val="24"/>
        </w:rPr>
        <w:t>甲方</w:t>
      </w:r>
      <w:r>
        <w:rPr>
          <w:rFonts w:hint="eastAsia" w:ascii="宋体" w:hAnsi="宋体" w:eastAsia="宋体" w:cs="宋体"/>
          <w:sz w:val="24"/>
          <w:szCs w:val="24"/>
        </w:rPr>
        <w:t>指定地点后由</w:t>
      </w:r>
      <w:r>
        <w:rPr>
          <w:rFonts w:hint="eastAsia" w:ascii="宋体" w:hAnsi="宋体" w:eastAsia="宋体" w:cs="宋体"/>
          <w:bCs/>
          <w:sz w:val="24"/>
          <w:szCs w:val="24"/>
        </w:rPr>
        <w:t>甲方</w:t>
      </w:r>
      <w:r>
        <w:rPr>
          <w:rFonts w:hint="eastAsia" w:ascii="宋体" w:hAnsi="宋体" w:eastAsia="宋体" w:cs="宋体"/>
          <w:sz w:val="24"/>
          <w:szCs w:val="24"/>
        </w:rPr>
        <w:t>进行验收，核对货物名称、数量、生产日期、质保期，检查食品的外观和质量等，乙方须提供每批次产品厂家检验报告等资料。</w:t>
      </w:r>
    </w:p>
    <w:p w14:paraId="435B42BB">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2.留样与检查。</w:t>
      </w:r>
      <w:r>
        <w:rPr>
          <w:rFonts w:hint="eastAsia" w:ascii="宋体" w:hAnsi="宋体" w:eastAsia="宋体" w:cs="宋体"/>
          <w:sz w:val="24"/>
          <w:szCs w:val="24"/>
        </w:rPr>
        <w:t>由采购单位或相关部门适时对所供产品进行抽样检查，并对检查情况建立档案，抽检的费用由中标人承担。抽样检查出现不合格产品的，采购单位有权终止合同，如出现因产品质量问题导致发生的安全事故，由中标人承担全部责任。</w:t>
      </w:r>
    </w:p>
    <w:p w14:paraId="12AA8136">
      <w:pPr>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3.验收依据</w:t>
      </w:r>
    </w:p>
    <w:p w14:paraId="6D4682C9">
      <w:pPr>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（1）合同文本及合同补充文件（条款）。 </w:t>
      </w:r>
    </w:p>
    <w:p w14:paraId="2ECDF828">
      <w:pPr>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（2）招标文件。</w:t>
      </w:r>
    </w:p>
    <w:p w14:paraId="2A736A29">
      <w:pPr>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（3）乙方的投标文件。</w:t>
      </w:r>
    </w:p>
    <w:p w14:paraId="257E48B9">
      <w:pPr>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（4）合同食品供货清单。</w:t>
      </w:r>
    </w:p>
    <w:p w14:paraId="1429EAE6">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（5）所供每批次产品的检验报告及国家相关执行标准等。</w:t>
      </w:r>
      <w:r>
        <w:rPr>
          <w:rFonts w:hint="eastAsia" w:ascii="宋体" w:hAnsi="宋体" w:eastAsia="宋体" w:cs="宋体"/>
          <w:b/>
          <w:bCs/>
          <w:sz w:val="24"/>
          <w:szCs w:val="24"/>
        </w:rPr>
        <w:t xml:space="preserve"> </w:t>
      </w:r>
    </w:p>
    <w:p w14:paraId="7AA1F7B8">
      <w:pPr>
        <w:adjustRightInd w:val="0"/>
        <w:snapToGrid w:val="0"/>
        <w:spacing w:line="4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4.验收单详见附件。</w:t>
      </w:r>
    </w:p>
    <w:p w14:paraId="766C2D54">
      <w:pPr>
        <w:adjustRightInd w:val="0"/>
        <w:snapToGrid w:val="0"/>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八、安全责任</w:t>
      </w:r>
    </w:p>
    <w:p w14:paraId="6491C705">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1.乙方负责人为本项目食品卫生安全的第一责任人，有责任、有义务组织参与本项目相关人员学习食品相关知识。</w:t>
      </w:r>
    </w:p>
    <w:p w14:paraId="12940146">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2.严格遵守国家《产品质量法》、《食品安全法》、《食品生产加工企业质量安全监督管理办法》等相关法律、法规的规定，保证食品质量安全符合国家有关产品标准。</w:t>
      </w:r>
    </w:p>
    <w:p w14:paraId="2163C317">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3.本项目所有接触食品者必须具有健康检查、卫生知识培训合格证，对新进人员，必须先办证后上岗；管理人员有责任相关人员进行健康监督，发现问题及时处理。</w:t>
      </w:r>
    </w:p>
    <w:p w14:paraId="04925865">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4.保证食品的包装材料、贮存、运输和装卸食品的容器、包装、工具、设备安全，保持清洁，对食品无污染。</w:t>
      </w:r>
    </w:p>
    <w:p w14:paraId="7A340D0A">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5.严格验收、保管货品原材料，保证食品原料新鲜、无腐烂、无虫害、无变质现象，凡过期、变质、标识不清或感官性状异常的，一律不得使用。</w:t>
      </w:r>
    </w:p>
    <w:p w14:paraId="737AF45E">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乙方负责所承包项目的全部安全责任（包含供货运输、包装、储存、装卸等实施过程中及供货后甲方正常使用过程的所有安全事项），如果在供货运输、包装、储存、装卸等实施过程中和使用过程中发生因乙方原因（包含食品质量，包装储存运输条件、装卸安全系数等）造成的乙方、甲方以及第三方生产安全事故或人身安全事故，由乙方承担全部的事故责任和经济责任。</w:t>
      </w:r>
    </w:p>
    <w:p w14:paraId="2001910E">
      <w:pPr>
        <w:adjustRightInd w:val="0"/>
        <w:snapToGrid w:val="0"/>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九、违约责任</w:t>
      </w:r>
    </w:p>
    <w:p w14:paraId="373FD43A">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1.按《中华人民共和国民法典》中的相关条款执行。</w:t>
      </w:r>
    </w:p>
    <w:p w14:paraId="0AC7B52C">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2.乙方履约延误</w:t>
      </w:r>
    </w:p>
    <w:p w14:paraId="4CACBF64">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如乙方事先未征得甲方同意并得到甲方的谅解而单方面延迟交货，将按违约终止合同。</w:t>
      </w:r>
    </w:p>
    <w:p w14:paraId="558E90D6">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w:t>
      </w:r>
    </w:p>
    <w:p w14:paraId="54D832E3">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3.违约终止合同：未按合同要求提供货物或质量不能满足技术要求，甲方会同监督机构有权终止合同，对乙方违约行为进行追究，同时按政府采购法的有关规定进行相应的处罚。</w:t>
      </w:r>
    </w:p>
    <w:p w14:paraId="3F2A0AFC">
      <w:pPr>
        <w:adjustRightInd w:val="0"/>
        <w:snapToGrid w:val="0"/>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十、合同组成</w:t>
      </w:r>
    </w:p>
    <w:p w14:paraId="4CE6C724">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1.中标通知书</w:t>
      </w:r>
    </w:p>
    <w:p w14:paraId="4532CF90">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2.合同文件</w:t>
      </w:r>
    </w:p>
    <w:p w14:paraId="5A44E81A">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3.国家相关规范及标准</w:t>
      </w:r>
    </w:p>
    <w:p w14:paraId="2FBB7E4C">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4.供货产品技术规格及参数表</w:t>
      </w:r>
    </w:p>
    <w:p w14:paraId="6F219E67">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5.招标文件</w:t>
      </w:r>
    </w:p>
    <w:p w14:paraId="43F7E922">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6.投标文件</w:t>
      </w:r>
    </w:p>
    <w:p w14:paraId="5FDB7A1B">
      <w:pPr>
        <w:adjustRightInd w:val="0"/>
        <w:snapToGrid w:val="0"/>
        <w:spacing w:line="4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十一、合同终止</w:t>
      </w:r>
    </w:p>
    <w:p w14:paraId="2BD9AA4B">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根据汉滨区教体局、汉滨区市场监管局关于印发《汉滨区学校校外供餐单位及食材供应商准入、评价、退出管理办法（暂行）》规定，乙方有下列情形之一的，将立即解除合同：</w:t>
      </w:r>
    </w:p>
    <w:p w14:paraId="6C827E22">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1.供货期内被有关部门吊销或依法注销食品生产、经营许可证、营业执照的；</w:t>
      </w:r>
    </w:p>
    <w:p w14:paraId="4DD197A4">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2.发生食品安全事故或食品安全舆情事件的；</w:t>
      </w:r>
    </w:p>
    <w:p w14:paraId="6AA3124C">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3.违反食品安全法律法规的（警告、通报批评除外）；</w:t>
      </w:r>
    </w:p>
    <w:p w14:paraId="6703C5D7">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4.提供食材的数量、质量、配送时间达不到规定要求，不能及时整改，影响食品安全和正常供餐的；</w:t>
      </w:r>
    </w:p>
    <w:p w14:paraId="3FCDA9D4">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5.评议结果连续3次为不合格的；</w:t>
      </w:r>
    </w:p>
    <w:p w14:paraId="636AF650">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6.在合同期限内，若因产品供货不及时、产品质量问题等造成的一切后果，由乙方承担全部责任。</w:t>
      </w:r>
    </w:p>
    <w:p w14:paraId="368298A0">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7.其他违反相关法律法规和政策要求的。</w:t>
      </w:r>
    </w:p>
    <w:p w14:paraId="33DD2B24">
      <w:pPr>
        <w:adjustRightInd w:val="0"/>
        <w:snapToGrid w:val="0"/>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十二、因下列情形导致本合同被迫终止并产生损失的，相关损失由乙方承担：</w:t>
      </w:r>
    </w:p>
    <w:p w14:paraId="7105A1D5">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1、因国家或地方相关政策发生调整，致使本合同无法继续履行而被迫终至的；</w:t>
      </w:r>
    </w:p>
    <w:p w14:paraId="3DDE7D6C">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2、因学生实际人数减少，造成服务或供应的实际发生量与招标文件清单载明数量存在差异的；</w:t>
      </w:r>
    </w:p>
    <w:p w14:paraId="4E6236EA">
      <w:pPr>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3、因不可抗力（包括但不限于地震、台风、火灾、洪水、疫情等自然灾害及其他不可预见、不可避免且不可克服的客观情况）造成的全部损失，由乙方自行承担。</w:t>
      </w:r>
    </w:p>
    <w:p w14:paraId="1E710F2A">
      <w:pPr>
        <w:widowControl/>
        <w:autoSpaceDE w:val="0"/>
        <w:autoSpaceDN w:val="0"/>
        <w:snapToGrid w:val="0"/>
        <w:spacing w:line="460" w:lineRule="exact"/>
        <w:ind w:right="893" w:firstLine="482" w:firstLineChars="200"/>
        <w:textAlignment w:val="bottom"/>
        <w:rPr>
          <w:rFonts w:hint="eastAsia" w:ascii="宋体" w:hAnsi="宋体" w:eastAsia="宋体" w:cs="宋体"/>
          <w:b/>
          <w:kern w:val="0"/>
          <w:sz w:val="24"/>
          <w:szCs w:val="24"/>
        </w:rPr>
      </w:pPr>
      <w:r>
        <w:rPr>
          <w:rFonts w:hint="eastAsia" w:ascii="宋体" w:hAnsi="宋体" w:eastAsia="宋体" w:cs="宋体"/>
          <w:b/>
          <w:kern w:val="0"/>
          <w:sz w:val="24"/>
          <w:szCs w:val="24"/>
        </w:rPr>
        <w:t>十三、合同生效及其它</w:t>
      </w:r>
    </w:p>
    <w:p w14:paraId="1A2D598F">
      <w:pPr>
        <w:widowControl/>
        <w:autoSpaceDE w:val="0"/>
        <w:autoSpaceDN w:val="0"/>
        <w:snapToGrid w:val="0"/>
        <w:spacing w:line="460" w:lineRule="exact"/>
        <w:ind w:right="-110"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1.合同未尽事宜、由甲、乙双方协商，作为合同补充，与原合同具有同等法律效力。</w:t>
      </w:r>
    </w:p>
    <w:p w14:paraId="72B18A6B">
      <w:pPr>
        <w:widowControl/>
        <w:tabs>
          <w:tab w:val="left" w:pos="8391"/>
        </w:tabs>
        <w:autoSpaceDE w:val="0"/>
        <w:autoSpaceDN w:val="0"/>
        <w:snapToGrid w:val="0"/>
        <w:spacing w:line="460" w:lineRule="exact"/>
        <w:ind w:right="-69"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2.本合同正本一式</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份，甲方、乙方双方分别执</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w:t>
      </w:r>
    </w:p>
    <w:p w14:paraId="271DAD05">
      <w:pPr>
        <w:widowControl/>
        <w:tabs>
          <w:tab w:val="left" w:pos="8391"/>
        </w:tabs>
        <w:autoSpaceDE w:val="0"/>
        <w:autoSpaceDN w:val="0"/>
        <w:snapToGrid w:val="0"/>
        <w:spacing w:line="460" w:lineRule="exact"/>
        <w:ind w:right="-69"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3.合同经甲乙双方盖章、签字后生效，合同签订地点为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744DEA9B">
      <w:pPr>
        <w:shd w:val="clear" w:color="auto" w:fill="FFFFFF"/>
        <w:spacing w:line="460" w:lineRule="exact"/>
        <w:ind w:firstLine="480" w:firstLineChars="200"/>
        <w:rPr>
          <w:rFonts w:hint="eastAsia" w:ascii="宋体" w:hAnsi="宋体" w:eastAsia="宋体" w:cs="宋体"/>
          <w:sz w:val="24"/>
          <w:szCs w:val="24"/>
          <w:lang w:val="zh-CN"/>
        </w:rPr>
      </w:pPr>
      <w:r>
        <w:rPr>
          <w:rFonts w:hint="eastAsia" w:ascii="宋体" w:hAnsi="宋体" w:eastAsia="宋体" w:cs="宋体"/>
          <w:kern w:val="0"/>
          <w:sz w:val="24"/>
          <w:szCs w:val="24"/>
        </w:rPr>
        <w:t>4.生效时间：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599D9F5B">
      <w:pPr>
        <w:spacing w:before="163" w:after="163" w:line="400" w:lineRule="exact"/>
        <w:rPr>
          <w:rFonts w:hint="eastAsia" w:ascii="宋体" w:hAnsi="宋体" w:eastAsia="宋体" w:cs="宋体"/>
          <w:sz w:val="24"/>
          <w:szCs w:val="24"/>
        </w:rPr>
      </w:pPr>
    </w:p>
    <w:p w14:paraId="7656FE2E">
      <w:pPr>
        <w:spacing w:before="163" w:after="163" w:line="400" w:lineRule="exact"/>
        <w:ind w:firstLine="482"/>
        <w:rPr>
          <w:rFonts w:hint="eastAsia" w:ascii="宋体" w:hAnsi="宋体" w:eastAsia="宋体" w:cs="宋体"/>
          <w:sz w:val="24"/>
          <w:szCs w:val="24"/>
        </w:rPr>
      </w:pPr>
      <w:r>
        <w:rPr>
          <w:rFonts w:hint="eastAsia" w:ascii="宋体" w:hAnsi="宋体" w:eastAsia="宋体" w:cs="宋体"/>
          <w:sz w:val="24"/>
          <w:szCs w:val="24"/>
        </w:rPr>
        <w:t>甲方: 汉滨区五里高级中学                   乙方：</w:t>
      </w:r>
    </w:p>
    <w:p w14:paraId="1BE112E1">
      <w:pPr>
        <w:spacing w:before="163" w:after="163" w:line="400" w:lineRule="exact"/>
        <w:ind w:firstLine="482"/>
        <w:rPr>
          <w:rFonts w:hint="eastAsia" w:ascii="宋体" w:hAnsi="宋体" w:eastAsia="宋体" w:cs="宋体"/>
          <w:sz w:val="24"/>
          <w:szCs w:val="24"/>
        </w:rPr>
      </w:pPr>
      <w:r>
        <w:rPr>
          <w:rFonts w:hint="eastAsia" w:ascii="宋体" w:hAnsi="宋体" w:eastAsia="宋体" w:cs="宋体"/>
          <w:sz w:val="24"/>
          <w:szCs w:val="24"/>
        </w:rPr>
        <w:t>甲方（公章）：                             乙方（公章）：</w:t>
      </w:r>
    </w:p>
    <w:p w14:paraId="081C5A73">
      <w:pPr>
        <w:spacing w:before="163" w:after="163" w:line="400" w:lineRule="exact"/>
        <w:ind w:firstLine="482"/>
        <w:rPr>
          <w:rFonts w:hint="eastAsia" w:ascii="宋体" w:hAnsi="宋体" w:eastAsia="宋体" w:cs="宋体"/>
          <w:sz w:val="24"/>
          <w:szCs w:val="24"/>
        </w:rPr>
      </w:pPr>
      <w:r>
        <w:rPr>
          <w:rFonts w:hint="eastAsia" w:ascii="宋体" w:hAnsi="宋体" w:eastAsia="宋体" w:cs="宋体"/>
          <w:sz w:val="24"/>
          <w:szCs w:val="24"/>
        </w:rPr>
        <w:t>法定代表人或授权代表(签名)：               法定代表人或授权代表(签名)：</w:t>
      </w:r>
    </w:p>
    <w:p w14:paraId="27DD4874">
      <w:pPr>
        <w:spacing w:line="400" w:lineRule="exact"/>
        <w:ind w:left="5159" w:leftChars="228" w:hanging="4680" w:hangingChars="1950"/>
        <w:jc w:val="left"/>
        <w:rPr>
          <w:rFonts w:hint="eastAsia" w:ascii="宋体" w:hAnsi="宋体" w:eastAsia="宋体" w:cs="宋体"/>
          <w:sz w:val="24"/>
          <w:szCs w:val="24"/>
        </w:rPr>
      </w:pPr>
      <w:r>
        <w:rPr>
          <w:rFonts w:hint="eastAsia" w:ascii="宋体" w:hAnsi="宋体" w:eastAsia="宋体" w:cs="宋体"/>
          <w:sz w:val="24"/>
          <w:szCs w:val="24"/>
        </w:rPr>
        <w:t xml:space="preserve">地址:                                      地址：  </w:t>
      </w:r>
    </w:p>
    <w:p w14:paraId="7CECBA1E">
      <w:pPr>
        <w:spacing w:line="400" w:lineRule="exact"/>
        <w:ind w:firstLine="482"/>
        <w:jc w:val="left"/>
        <w:rPr>
          <w:rFonts w:hint="eastAsia" w:ascii="宋体" w:hAnsi="宋体" w:eastAsia="宋体" w:cs="宋体"/>
          <w:sz w:val="24"/>
          <w:szCs w:val="24"/>
        </w:rPr>
      </w:pPr>
      <w:r>
        <w:rPr>
          <w:rFonts w:hint="eastAsia" w:ascii="宋体" w:hAnsi="宋体" w:eastAsia="宋体" w:cs="宋体"/>
          <w:sz w:val="24"/>
          <w:szCs w:val="24"/>
        </w:rPr>
        <w:t>邮编:                                      邮编：</w:t>
      </w:r>
    </w:p>
    <w:p w14:paraId="21A11F0B">
      <w:pPr>
        <w:spacing w:before="163" w:after="163" w:line="400" w:lineRule="exact"/>
        <w:ind w:firstLine="482"/>
        <w:rPr>
          <w:rFonts w:hint="eastAsia" w:ascii="宋体" w:hAnsi="宋体" w:eastAsia="宋体" w:cs="宋体"/>
          <w:sz w:val="24"/>
          <w:szCs w:val="24"/>
        </w:rPr>
      </w:pPr>
      <w:r>
        <w:rPr>
          <w:rFonts w:hint="eastAsia" w:ascii="宋体" w:hAnsi="宋体" w:eastAsia="宋体" w:cs="宋体"/>
          <w:sz w:val="24"/>
          <w:szCs w:val="24"/>
        </w:rPr>
        <w:t xml:space="preserve">电话:                                      电话： </w:t>
      </w:r>
    </w:p>
    <w:p w14:paraId="6ADB9B76">
      <w:pPr>
        <w:spacing w:before="163" w:after="163"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开户行：</w:t>
      </w:r>
    </w:p>
    <w:p w14:paraId="49CDA9A0">
      <w:pPr>
        <w:spacing w:after="120"/>
        <w:ind w:left="210" w:leftChars="100"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 xml:space="preserve">                                           账号：</w:t>
      </w:r>
    </w:p>
    <w:p w14:paraId="5C8CEDA3">
      <w:pPr>
        <w:tabs>
          <w:tab w:val="left" w:pos="4900"/>
        </w:tabs>
        <w:spacing w:after="120"/>
        <w:ind w:left="420" w:leftChars="200" w:firstLine="480" w:firstLineChars="200"/>
        <w:rPr>
          <w:rFonts w:hint="eastAsia" w:ascii="宋体" w:hAnsi="宋体" w:eastAsia="宋体" w:cs="宋体"/>
          <w:sz w:val="24"/>
          <w:szCs w:val="24"/>
        </w:rPr>
      </w:pPr>
    </w:p>
    <w:p w14:paraId="161878C9">
      <w:pPr>
        <w:spacing w:line="440" w:lineRule="exact"/>
        <w:ind w:firstLine="482" w:firstLineChars="200"/>
        <w:jc w:val="left"/>
        <w:rPr>
          <w:rFonts w:hint="eastAsia" w:ascii="宋体" w:hAnsi="宋体" w:eastAsia="宋体" w:cs="宋体"/>
          <w:b/>
          <w:bCs/>
          <w:sz w:val="24"/>
          <w:szCs w:val="24"/>
          <w:lang w:eastAsia="zh-CN"/>
        </w:rPr>
        <w:sectPr>
          <w:pgSz w:w="11906" w:h="16838"/>
          <w:pgMar w:top="1440" w:right="1417" w:bottom="1440" w:left="1417" w:header="851" w:footer="992" w:gutter="0"/>
          <w:pgNumType w:fmt="decimal"/>
          <w:cols w:space="720" w:num="1"/>
          <w:docGrid w:type="lines" w:linePitch="312" w:charSpace="0"/>
        </w:sectPr>
      </w:pPr>
      <w:r>
        <w:rPr>
          <w:rFonts w:hint="eastAsia" w:ascii="宋体" w:hAnsi="宋体" w:eastAsia="宋体" w:cs="宋体"/>
          <w:b/>
          <w:bCs/>
          <w:sz w:val="24"/>
          <w:szCs w:val="24"/>
        </w:rPr>
        <w:t>注：此合同仅作为甲乙双方签订合同进行参考，中标人需根据实际情况和采购人签订相应的合同，但不得与招标文件、中标人的投标文件及采购相关法律法规相违背</w:t>
      </w:r>
      <w:r>
        <w:rPr>
          <w:rFonts w:hint="eastAsia" w:ascii="宋体" w:hAnsi="宋体" w:eastAsia="宋体" w:cs="宋体"/>
          <w:b/>
          <w:bCs/>
          <w:sz w:val="24"/>
          <w:szCs w:val="24"/>
          <w:lang w:eastAsia="zh-CN"/>
        </w:rPr>
        <w:t>。</w:t>
      </w:r>
    </w:p>
    <w:bookmarkEnd w:id="22"/>
    <w:tbl>
      <w:tblPr>
        <w:tblStyle w:val="40"/>
        <w:tblpPr w:leftFromText="180" w:rightFromText="180" w:vertAnchor="text" w:horzAnchor="page" w:tblpX="1281" w:tblpY="-46"/>
        <w:tblOverlap w:val="never"/>
        <w:tblW w:w="0" w:type="auto"/>
        <w:tblInd w:w="0" w:type="dxa"/>
        <w:tblLayout w:type="autofit"/>
        <w:tblCellMar>
          <w:top w:w="0" w:type="dxa"/>
          <w:left w:w="108" w:type="dxa"/>
          <w:bottom w:w="0" w:type="dxa"/>
          <w:right w:w="108" w:type="dxa"/>
        </w:tblCellMar>
      </w:tblPr>
      <w:tblGrid>
        <w:gridCol w:w="1536"/>
        <w:gridCol w:w="656"/>
        <w:gridCol w:w="656"/>
        <w:gridCol w:w="1096"/>
        <w:gridCol w:w="1536"/>
        <w:gridCol w:w="1297"/>
        <w:gridCol w:w="1536"/>
        <w:gridCol w:w="876"/>
        <w:gridCol w:w="2409"/>
        <w:gridCol w:w="1096"/>
        <w:gridCol w:w="1096"/>
        <w:gridCol w:w="656"/>
      </w:tblGrid>
      <w:tr w14:paraId="305278DA">
        <w:tblPrEx>
          <w:tblCellMar>
            <w:top w:w="0" w:type="dxa"/>
            <w:left w:w="108" w:type="dxa"/>
            <w:bottom w:w="0" w:type="dxa"/>
            <w:right w:w="108" w:type="dxa"/>
          </w:tblCellMar>
        </w:tblPrEx>
        <w:trPr>
          <w:trHeight w:val="516" w:hRule="atLeast"/>
        </w:trPr>
        <w:tc>
          <w:tcPr>
            <w:tcW w:w="0" w:type="auto"/>
            <w:gridSpan w:val="12"/>
            <w:tcBorders>
              <w:top w:val="single" w:color="000000" w:sz="4" w:space="0"/>
              <w:left w:val="single" w:color="000000" w:sz="4" w:space="0"/>
              <w:bottom w:val="single" w:color="000000" w:sz="4" w:space="0"/>
              <w:right w:val="single" w:color="000000" w:sz="4" w:space="0"/>
            </w:tcBorders>
            <w:noWrap/>
            <w:vAlign w:val="center"/>
          </w:tcPr>
          <w:p w14:paraId="04A7219B">
            <w:pPr>
              <w:widowControl/>
              <w:jc w:val="center"/>
              <w:textAlignment w:val="center"/>
              <w:rPr>
                <w:rFonts w:ascii="宋体" w:hAnsi="宋体" w:cs="宋体"/>
                <w:b/>
                <w:bCs/>
                <w:sz w:val="36"/>
                <w:szCs w:val="36"/>
              </w:rPr>
            </w:pPr>
            <w:r>
              <w:rPr>
                <w:rFonts w:hint="eastAsia" w:ascii="宋体" w:hAnsi="宋体" w:cs="宋体"/>
                <w:b/>
                <w:bCs/>
                <w:kern w:val="0"/>
                <w:sz w:val="32"/>
                <w:szCs w:val="32"/>
                <w:lang w:bidi="ar"/>
              </w:rPr>
              <w:t>验收单</w:t>
            </w:r>
          </w:p>
        </w:tc>
      </w:tr>
      <w:tr w14:paraId="156017B6">
        <w:tblPrEx>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0D1F74">
            <w:pPr>
              <w:widowControl/>
              <w:jc w:val="center"/>
              <w:textAlignment w:val="center"/>
              <w:rPr>
                <w:rFonts w:ascii="宋体" w:hAnsi="宋体" w:cs="宋体"/>
                <w:sz w:val="22"/>
                <w:szCs w:val="22"/>
              </w:rPr>
            </w:pPr>
            <w:r>
              <w:rPr>
                <w:rFonts w:hint="eastAsia" w:ascii="宋体" w:hAnsi="宋体" w:cs="宋体"/>
                <w:kern w:val="0"/>
                <w:sz w:val="22"/>
                <w:szCs w:val="22"/>
                <w:lang w:bidi="ar"/>
              </w:rPr>
              <w:t>供货单位</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302542C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B7522">
            <w:pPr>
              <w:widowControl/>
              <w:jc w:val="center"/>
              <w:textAlignment w:val="center"/>
              <w:rPr>
                <w:rFonts w:ascii="宋体" w:hAnsi="宋体" w:cs="宋体"/>
                <w:sz w:val="22"/>
                <w:szCs w:val="22"/>
              </w:rPr>
            </w:pPr>
            <w:r>
              <w:rPr>
                <w:rFonts w:hint="eastAsia" w:ascii="宋体" w:hAnsi="宋体" w:cs="宋体"/>
                <w:kern w:val="0"/>
                <w:sz w:val="22"/>
                <w:szCs w:val="22"/>
                <w:lang w:bidi="ar"/>
              </w:rPr>
              <w:t>供货人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95904">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5D1E1">
            <w:pPr>
              <w:widowControl/>
              <w:jc w:val="center"/>
              <w:textAlignment w:val="center"/>
              <w:rPr>
                <w:rFonts w:ascii="宋体" w:hAnsi="宋体" w:cs="宋体"/>
                <w:sz w:val="22"/>
                <w:szCs w:val="22"/>
              </w:rPr>
            </w:pPr>
            <w:r>
              <w:rPr>
                <w:rFonts w:hint="eastAsia" w:ascii="宋体" w:hAnsi="宋体" w:cs="宋体"/>
                <w:kern w:val="0"/>
                <w:sz w:val="22"/>
                <w:szCs w:val="22"/>
                <w:lang w:bidi="ar"/>
              </w:rPr>
              <w:t>电话</w:t>
            </w:r>
          </w:p>
        </w:tc>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2DF89106">
            <w:pPr>
              <w:jc w:val="center"/>
              <w:rPr>
                <w:rFonts w:ascii="宋体" w:hAnsi="宋体" w:cs="宋体"/>
                <w:sz w:val="22"/>
                <w:szCs w:val="22"/>
              </w:rPr>
            </w:pPr>
          </w:p>
        </w:tc>
      </w:tr>
      <w:tr w14:paraId="23E091AA">
        <w:tblPrEx>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8B73E3">
            <w:pPr>
              <w:widowControl/>
              <w:jc w:val="center"/>
              <w:textAlignment w:val="center"/>
              <w:rPr>
                <w:rFonts w:ascii="宋体" w:hAnsi="宋体" w:cs="宋体"/>
                <w:sz w:val="22"/>
                <w:szCs w:val="22"/>
              </w:rPr>
            </w:pPr>
            <w:r>
              <w:rPr>
                <w:rFonts w:hint="eastAsia" w:ascii="宋体" w:hAnsi="宋体" w:cs="宋体"/>
                <w:kern w:val="0"/>
                <w:sz w:val="22"/>
                <w:szCs w:val="22"/>
                <w:lang w:bidi="ar"/>
              </w:rPr>
              <w:t>收货单位</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39297B59">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ECDB3">
            <w:pPr>
              <w:widowControl/>
              <w:jc w:val="center"/>
              <w:textAlignment w:val="center"/>
              <w:rPr>
                <w:rFonts w:ascii="宋体" w:hAnsi="宋体" w:cs="宋体"/>
                <w:sz w:val="22"/>
                <w:szCs w:val="22"/>
              </w:rPr>
            </w:pPr>
            <w:r>
              <w:rPr>
                <w:rFonts w:hint="eastAsia" w:ascii="宋体" w:hAnsi="宋体" w:cs="宋体"/>
                <w:kern w:val="0"/>
                <w:sz w:val="22"/>
                <w:szCs w:val="22"/>
                <w:lang w:bidi="ar"/>
              </w:rPr>
              <w:t>收货人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E59D8">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756E0">
            <w:pPr>
              <w:widowControl/>
              <w:jc w:val="center"/>
              <w:textAlignment w:val="center"/>
              <w:rPr>
                <w:rFonts w:ascii="宋体" w:hAnsi="宋体" w:cs="宋体"/>
                <w:sz w:val="22"/>
                <w:szCs w:val="22"/>
              </w:rPr>
            </w:pPr>
            <w:r>
              <w:rPr>
                <w:rFonts w:hint="eastAsia" w:ascii="宋体" w:hAnsi="宋体" w:cs="宋体"/>
                <w:kern w:val="0"/>
                <w:sz w:val="22"/>
                <w:szCs w:val="22"/>
                <w:lang w:bidi="ar"/>
              </w:rPr>
              <w:t>电话</w:t>
            </w:r>
          </w:p>
        </w:tc>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1E488ECF">
            <w:pPr>
              <w:jc w:val="center"/>
              <w:rPr>
                <w:rFonts w:ascii="宋体" w:hAnsi="宋体" w:cs="宋体"/>
                <w:sz w:val="22"/>
                <w:szCs w:val="22"/>
              </w:rPr>
            </w:pPr>
          </w:p>
        </w:tc>
      </w:tr>
      <w:tr w14:paraId="4859E5E6">
        <w:tblPrEx>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019CD8">
            <w:pPr>
              <w:widowControl/>
              <w:jc w:val="center"/>
              <w:textAlignment w:val="center"/>
              <w:rPr>
                <w:rFonts w:ascii="宋体" w:hAnsi="宋体" w:cs="宋体"/>
                <w:sz w:val="22"/>
                <w:szCs w:val="22"/>
              </w:rPr>
            </w:pPr>
            <w:r>
              <w:rPr>
                <w:rFonts w:hint="eastAsia" w:ascii="宋体" w:hAnsi="宋体" w:cs="宋体"/>
                <w:kern w:val="0"/>
                <w:sz w:val="22"/>
                <w:szCs w:val="22"/>
                <w:lang w:bidi="ar"/>
              </w:rPr>
              <w:t>收货地址</w:t>
            </w:r>
          </w:p>
        </w:tc>
        <w:tc>
          <w:tcPr>
            <w:tcW w:w="0" w:type="auto"/>
            <w:gridSpan w:val="11"/>
            <w:tcBorders>
              <w:top w:val="single" w:color="000000" w:sz="4" w:space="0"/>
              <w:left w:val="single" w:color="000000" w:sz="4" w:space="0"/>
              <w:bottom w:val="single" w:color="000000" w:sz="4" w:space="0"/>
              <w:right w:val="single" w:color="000000" w:sz="4" w:space="0"/>
            </w:tcBorders>
            <w:noWrap/>
            <w:vAlign w:val="center"/>
          </w:tcPr>
          <w:p w14:paraId="4BBD5B69">
            <w:pPr>
              <w:jc w:val="center"/>
              <w:rPr>
                <w:rFonts w:ascii="宋体" w:hAnsi="宋体" w:cs="宋体"/>
                <w:sz w:val="22"/>
                <w:szCs w:val="22"/>
              </w:rPr>
            </w:pPr>
          </w:p>
        </w:tc>
      </w:tr>
      <w:tr w14:paraId="10289F3D">
        <w:tblPrEx>
          <w:tblCellMar>
            <w:top w:w="0" w:type="dxa"/>
            <w:left w:w="108" w:type="dxa"/>
            <w:bottom w:w="0" w:type="dxa"/>
            <w:right w:w="108" w:type="dxa"/>
          </w:tblCellMar>
        </w:tblPrEx>
        <w:trPr>
          <w:trHeight w:val="516" w:hRule="atLeast"/>
        </w:trPr>
        <w:tc>
          <w:tcPr>
            <w:tcW w:w="0" w:type="auto"/>
            <w:gridSpan w:val="12"/>
            <w:tcBorders>
              <w:top w:val="single" w:color="000000" w:sz="4" w:space="0"/>
              <w:left w:val="single" w:color="000000" w:sz="4" w:space="0"/>
              <w:bottom w:val="single" w:color="000000" w:sz="4" w:space="0"/>
              <w:right w:val="single" w:color="000000" w:sz="4" w:space="0"/>
            </w:tcBorders>
            <w:noWrap/>
            <w:vAlign w:val="center"/>
          </w:tcPr>
          <w:p w14:paraId="242BA184">
            <w:pPr>
              <w:widowControl/>
              <w:jc w:val="center"/>
              <w:textAlignment w:val="center"/>
              <w:rPr>
                <w:rFonts w:ascii="宋体" w:hAnsi="宋体" w:cs="宋体"/>
                <w:b/>
                <w:bCs/>
                <w:sz w:val="36"/>
                <w:szCs w:val="36"/>
              </w:rPr>
            </w:pPr>
            <w:r>
              <w:rPr>
                <w:rFonts w:hint="eastAsia" w:ascii="宋体" w:hAnsi="宋体" w:cs="宋体"/>
                <w:b/>
                <w:bCs/>
                <w:kern w:val="0"/>
                <w:sz w:val="32"/>
                <w:szCs w:val="32"/>
                <w:lang w:bidi="ar"/>
              </w:rPr>
              <w:t>送货清单</w:t>
            </w:r>
          </w:p>
        </w:tc>
      </w:tr>
      <w:tr w14:paraId="2B947112">
        <w:tblPrEx>
          <w:tblCellMar>
            <w:top w:w="0" w:type="dxa"/>
            <w:left w:w="108" w:type="dxa"/>
            <w:bottom w:w="0" w:type="dxa"/>
            <w:right w:w="108" w:type="dxa"/>
          </w:tblCellMar>
        </w:tblPrEx>
        <w:trPr>
          <w:trHeight w:val="683" w:hRule="atLeast"/>
        </w:trPr>
        <w:tc>
          <w:tcPr>
            <w:tcW w:w="0" w:type="auto"/>
            <w:tcBorders>
              <w:top w:val="single" w:color="000000" w:sz="4" w:space="0"/>
              <w:left w:val="single" w:color="000000" w:sz="4" w:space="0"/>
              <w:bottom w:val="single" w:color="auto" w:sz="4" w:space="0"/>
              <w:right w:val="single" w:color="000000" w:sz="4" w:space="0"/>
            </w:tcBorders>
            <w:noWrap/>
            <w:vAlign w:val="center"/>
          </w:tcPr>
          <w:p w14:paraId="4C43F53C">
            <w:pPr>
              <w:widowControl/>
              <w:jc w:val="center"/>
              <w:textAlignment w:val="center"/>
              <w:rPr>
                <w:rFonts w:ascii="宋体" w:hAnsi="宋体" w:cs="宋体"/>
                <w:sz w:val="22"/>
                <w:szCs w:val="22"/>
              </w:rPr>
            </w:pPr>
            <w:r>
              <w:rPr>
                <w:rFonts w:hint="eastAsia" w:ascii="宋体" w:hAnsi="宋体" w:cs="宋体"/>
                <w:kern w:val="0"/>
                <w:sz w:val="22"/>
                <w:szCs w:val="22"/>
                <w:lang w:bidi="ar"/>
              </w:rPr>
              <w:t>产品名称</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13E63CA4">
            <w:pPr>
              <w:widowControl/>
              <w:jc w:val="center"/>
              <w:textAlignment w:val="center"/>
              <w:rPr>
                <w:rFonts w:ascii="宋体" w:hAnsi="宋体" w:cs="宋体"/>
                <w:sz w:val="22"/>
                <w:szCs w:val="22"/>
              </w:rPr>
            </w:pPr>
            <w:r>
              <w:rPr>
                <w:rFonts w:hint="eastAsia" w:ascii="宋体" w:hAnsi="宋体" w:cs="宋体"/>
                <w:kern w:val="0"/>
                <w:sz w:val="22"/>
                <w:szCs w:val="22"/>
                <w:lang w:bidi="ar"/>
              </w:rPr>
              <w:t>批次</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37427136">
            <w:pPr>
              <w:widowControl/>
              <w:jc w:val="center"/>
              <w:textAlignment w:val="center"/>
              <w:rPr>
                <w:rFonts w:ascii="宋体" w:hAnsi="宋体" w:cs="宋体"/>
                <w:sz w:val="22"/>
                <w:szCs w:val="22"/>
              </w:rPr>
            </w:pPr>
            <w:r>
              <w:rPr>
                <w:rFonts w:hint="eastAsia" w:ascii="宋体" w:hAnsi="宋体" w:cs="宋体"/>
                <w:kern w:val="0"/>
                <w:sz w:val="22"/>
                <w:szCs w:val="22"/>
                <w:lang w:bidi="ar"/>
              </w:rPr>
              <w:t>单位</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761062DB">
            <w:pPr>
              <w:widowControl/>
              <w:jc w:val="center"/>
              <w:textAlignment w:val="center"/>
              <w:rPr>
                <w:rFonts w:ascii="宋体" w:hAnsi="宋体" w:cs="宋体"/>
                <w:sz w:val="22"/>
                <w:szCs w:val="22"/>
              </w:rPr>
            </w:pPr>
            <w:r>
              <w:rPr>
                <w:rFonts w:hint="eastAsia" w:ascii="宋体" w:hAnsi="宋体" w:cs="宋体"/>
                <w:kern w:val="0"/>
                <w:sz w:val="22"/>
                <w:szCs w:val="22"/>
                <w:lang w:bidi="ar"/>
              </w:rPr>
              <w:t>送货数量</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66DBCE7E">
            <w:pPr>
              <w:widowControl/>
              <w:jc w:val="center"/>
              <w:textAlignment w:val="center"/>
              <w:rPr>
                <w:rFonts w:ascii="宋体" w:hAnsi="宋体" w:cs="宋体"/>
                <w:sz w:val="22"/>
                <w:szCs w:val="22"/>
              </w:rPr>
            </w:pPr>
            <w:r>
              <w:rPr>
                <w:rFonts w:hint="eastAsia" w:ascii="宋体" w:hAnsi="宋体" w:cs="宋体"/>
                <w:kern w:val="0"/>
                <w:sz w:val="22"/>
                <w:szCs w:val="22"/>
                <w:lang w:bidi="ar"/>
              </w:rPr>
              <w:t>产品具体要求</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40F451F">
            <w:pPr>
              <w:widowControl/>
              <w:jc w:val="center"/>
              <w:textAlignment w:val="center"/>
              <w:rPr>
                <w:rFonts w:ascii="宋体" w:hAnsi="宋体" w:cs="宋体"/>
                <w:sz w:val="22"/>
                <w:szCs w:val="22"/>
              </w:rPr>
            </w:pPr>
            <w:r>
              <w:rPr>
                <w:rFonts w:hint="eastAsia" w:ascii="宋体" w:hAnsi="宋体" w:cs="宋体"/>
                <w:kern w:val="0"/>
                <w:sz w:val="22"/>
                <w:szCs w:val="22"/>
                <w:lang w:bidi="ar"/>
              </w:rPr>
              <w:t>生产日期</w:t>
            </w:r>
            <w:r>
              <w:rPr>
                <w:rFonts w:hint="eastAsia" w:ascii="宋体" w:hAnsi="宋体" w:cs="宋体"/>
                <w:kern w:val="0"/>
                <w:sz w:val="22"/>
                <w:szCs w:val="22"/>
                <w:lang w:bidi="ar"/>
              </w:rPr>
              <w:br w:type="textWrapping"/>
            </w:r>
            <w:r>
              <w:rPr>
                <w:rFonts w:hint="eastAsia" w:ascii="宋体" w:hAnsi="宋体" w:cs="宋体"/>
                <w:kern w:val="0"/>
                <w:sz w:val="22"/>
                <w:szCs w:val="22"/>
                <w:lang w:bidi="ar"/>
              </w:rPr>
              <w:t>（产出时间）</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48F6A058">
            <w:pPr>
              <w:widowControl/>
              <w:jc w:val="center"/>
              <w:textAlignment w:val="center"/>
              <w:rPr>
                <w:rFonts w:ascii="宋体" w:hAnsi="宋体" w:cs="宋体"/>
                <w:sz w:val="22"/>
                <w:szCs w:val="22"/>
              </w:rPr>
            </w:pPr>
            <w:r>
              <w:rPr>
                <w:rFonts w:hint="eastAsia" w:ascii="宋体" w:hAnsi="宋体" w:cs="宋体"/>
                <w:kern w:val="0"/>
                <w:sz w:val="22"/>
                <w:szCs w:val="22"/>
                <w:lang w:bidi="ar"/>
              </w:rPr>
              <w:t>外观和质量</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1AE74B97">
            <w:pPr>
              <w:widowControl/>
              <w:jc w:val="center"/>
              <w:textAlignment w:val="center"/>
              <w:rPr>
                <w:rFonts w:ascii="宋体" w:hAnsi="宋体" w:cs="宋体"/>
                <w:sz w:val="22"/>
                <w:szCs w:val="22"/>
              </w:rPr>
            </w:pPr>
            <w:r>
              <w:rPr>
                <w:rFonts w:hint="eastAsia" w:ascii="宋体" w:hAnsi="宋体" w:cs="宋体"/>
                <w:kern w:val="0"/>
                <w:sz w:val="22"/>
                <w:szCs w:val="22"/>
                <w:lang w:bidi="ar"/>
              </w:rPr>
              <w:t>保质期</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0311AAD">
            <w:pPr>
              <w:widowControl/>
              <w:jc w:val="center"/>
              <w:textAlignment w:val="center"/>
              <w:rPr>
                <w:rFonts w:ascii="宋体" w:hAnsi="宋体" w:cs="宋体"/>
                <w:sz w:val="22"/>
                <w:szCs w:val="22"/>
              </w:rPr>
            </w:pPr>
            <w:r>
              <w:rPr>
                <w:rFonts w:hint="eastAsia" w:ascii="宋体" w:hAnsi="宋体" w:cs="宋体"/>
                <w:kern w:val="0"/>
                <w:sz w:val="22"/>
                <w:szCs w:val="22"/>
                <w:lang w:bidi="ar"/>
              </w:rPr>
              <w:t>是否提供质量相关证明文件</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5A787A14">
            <w:pPr>
              <w:widowControl/>
              <w:jc w:val="center"/>
              <w:textAlignment w:val="center"/>
              <w:rPr>
                <w:rFonts w:ascii="宋体" w:hAnsi="宋体" w:cs="宋体"/>
                <w:sz w:val="22"/>
                <w:szCs w:val="22"/>
              </w:rPr>
            </w:pPr>
            <w:r>
              <w:rPr>
                <w:rFonts w:hint="eastAsia" w:ascii="宋体" w:hAnsi="宋体" w:cs="宋体"/>
                <w:kern w:val="0"/>
                <w:sz w:val="22"/>
                <w:szCs w:val="22"/>
                <w:lang w:bidi="ar"/>
              </w:rPr>
              <w:t>留样数量</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504EA766">
            <w:pPr>
              <w:widowControl/>
              <w:jc w:val="center"/>
              <w:textAlignment w:val="center"/>
              <w:rPr>
                <w:rFonts w:ascii="宋体" w:hAnsi="宋体" w:cs="宋体"/>
                <w:sz w:val="22"/>
                <w:szCs w:val="22"/>
              </w:rPr>
            </w:pPr>
            <w:r>
              <w:rPr>
                <w:rFonts w:hint="eastAsia" w:ascii="宋体" w:hAnsi="宋体" w:cs="宋体"/>
                <w:kern w:val="0"/>
                <w:sz w:val="22"/>
                <w:szCs w:val="22"/>
                <w:lang w:bidi="ar"/>
              </w:rPr>
              <w:t>是否合格</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1856A8CA">
            <w:pPr>
              <w:widowControl/>
              <w:jc w:val="center"/>
              <w:textAlignment w:val="center"/>
              <w:rPr>
                <w:rFonts w:ascii="宋体" w:hAnsi="宋体" w:cs="宋体"/>
                <w:sz w:val="22"/>
                <w:szCs w:val="22"/>
              </w:rPr>
            </w:pPr>
            <w:r>
              <w:rPr>
                <w:rFonts w:hint="eastAsia" w:ascii="宋体" w:hAnsi="宋体" w:cs="宋体"/>
                <w:kern w:val="0"/>
                <w:sz w:val="22"/>
                <w:szCs w:val="22"/>
                <w:lang w:bidi="ar"/>
              </w:rPr>
              <w:t>备注</w:t>
            </w:r>
          </w:p>
        </w:tc>
      </w:tr>
      <w:tr w14:paraId="6EA42C84">
        <w:tblPrEx>
          <w:tblCellMar>
            <w:top w:w="0" w:type="dxa"/>
            <w:left w:w="108" w:type="dxa"/>
            <w:bottom w:w="0" w:type="dxa"/>
            <w:right w:w="108" w:type="dxa"/>
          </w:tblCellMar>
        </w:tblPrEx>
        <w:trPr>
          <w:trHeight w:val="624" w:hRule="atLeast"/>
        </w:trPr>
        <w:tc>
          <w:tcPr>
            <w:tcW w:w="0" w:type="auto"/>
            <w:tcBorders>
              <w:top w:val="single" w:color="auto" w:sz="4" w:space="0"/>
              <w:left w:val="single" w:color="auto" w:sz="4" w:space="0"/>
              <w:bottom w:val="single" w:color="000000" w:sz="4" w:space="0"/>
              <w:right w:val="single" w:color="000000" w:sz="4" w:space="0"/>
            </w:tcBorders>
            <w:noWrap/>
            <w:vAlign w:val="center"/>
          </w:tcPr>
          <w:p w14:paraId="02B7157A">
            <w:pPr>
              <w:widowControl/>
              <w:jc w:val="center"/>
              <w:textAlignment w:val="center"/>
              <w:rPr>
                <w:rFonts w:ascii="宋体" w:hAnsi="宋体" w:cs="宋体"/>
                <w:sz w:val="22"/>
                <w:szCs w:val="22"/>
              </w:rPr>
            </w:pPr>
          </w:p>
        </w:tc>
        <w:tc>
          <w:tcPr>
            <w:tcW w:w="0" w:type="auto"/>
            <w:tcBorders>
              <w:top w:val="single" w:color="auto" w:sz="4" w:space="0"/>
              <w:left w:val="single" w:color="000000" w:sz="4" w:space="0"/>
              <w:bottom w:val="single" w:color="000000" w:sz="4" w:space="0"/>
              <w:right w:val="single" w:color="000000" w:sz="4" w:space="0"/>
            </w:tcBorders>
            <w:noWrap/>
            <w:vAlign w:val="center"/>
          </w:tcPr>
          <w:p w14:paraId="0B3AF93B">
            <w:pPr>
              <w:rPr>
                <w:rFonts w:ascii="宋体" w:hAnsi="宋体" w:cs="宋体"/>
                <w:sz w:val="22"/>
                <w:szCs w:val="22"/>
              </w:rPr>
            </w:pPr>
          </w:p>
        </w:tc>
        <w:tc>
          <w:tcPr>
            <w:tcW w:w="0" w:type="auto"/>
            <w:tcBorders>
              <w:top w:val="single" w:color="auto" w:sz="4" w:space="0"/>
              <w:left w:val="single" w:color="000000" w:sz="4" w:space="0"/>
              <w:bottom w:val="single" w:color="000000" w:sz="4" w:space="0"/>
              <w:right w:val="single" w:color="000000" w:sz="4" w:space="0"/>
            </w:tcBorders>
            <w:noWrap/>
            <w:vAlign w:val="center"/>
          </w:tcPr>
          <w:p w14:paraId="4DB5A871">
            <w:pPr>
              <w:widowControl/>
              <w:jc w:val="center"/>
              <w:textAlignment w:val="center"/>
              <w:rPr>
                <w:rFonts w:ascii="宋体" w:hAnsi="宋体" w:cs="宋体"/>
                <w:sz w:val="22"/>
                <w:szCs w:val="22"/>
              </w:rPr>
            </w:pPr>
          </w:p>
        </w:tc>
        <w:tc>
          <w:tcPr>
            <w:tcW w:w="0" w:type="auto"/>
            <w:tcBorders>
              <w:top w:val="single" w:color="auto" w:sz="4" w:space="0"/>
              <w:left w:val="single" w:color="000000" w:sz="4" w:space="0"/>
              <w:bottom w:val="single" w:color="000000" w:sz="4" w:space="0"/>
              <w:right w:val="single" w:color="000000" w:sz="4" w:space="0"/>
            </w:tcBorders>
            <w:noWrap/>
            <w:vAlign w:val="center"/>
          </w:tcPr>
          <w:p w14:paraId="65C3F77B">
            <w:pPr>
              <w:rPr>
                <w:rFonts w:ascii="宋体" w:hAnsi="宋体" w:cs="宋体"/>
                <w:sz w:val="22"/>
                <w:szCs w:val="22"/>
              </w:rPr>
            </w:pP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19A57AE8">
            <w:pPr>
              <w:widowControl/>
              <w:jc w:val="left"/>
              <w:textAlignment w:val="center"/>
              <w:rPr>
                <w:rFonts w:ascii="宋体" w:hAnsi="宋体" w:cs="宋体"/>
                <w:sz w:val="22"/>
                <w:szCs w:val="22"/>
              </w:rPr>
            </w:pPr>
          </w:p>
        </w:tc>
        <w:tc>
          <w:tcPr>
            <w:tcW w:w="0" w:type="auto"/>
            <w:tcBorders>
              <w:top w:val="single" w:color="auto" w:sz="4" w:space="0"/>
              <w:left w:val="single" w:color="000000" w:sz="4" w:space="0"/>
              <w:bottom w:val="single" w:color="000000" w:sz="4" w:space="0"/>
              <w:right w:val="single" w:color="000000" w:sz="4" w:space="0"/>
            </w:tcBorders>
            <w:noWrap/>
            <w:vAlign w:val="center"/>
          </w:tcPr>
          <w:p w14:paraId="2EDA22BE">
            <w:pPr>
              <w:rPr>
                <w:rFonts w:ascii="宋体" w:hAnsi="宋体" w:cs="宋体"/>
                <w:sz w:val="22"/>
                <w:szCs w:val="22"/>
              </w:rPr>
            </w:pPr>
          </w:p>
        </w:tc>
        <w:tc>
          <w:tcPr>
            <w:tcW w:w="0" w:type="auto"/>
            <w:tcBorders>
              <w:top w:val="single" w:color="auto" w:sz="4" w:space="0"/>
              <w:left w:val="single" w:color="000000" w:sz="4" w:space="0"/>
              <w:bottom w:val="single" w:color="000000" w:sz="4" w:space="0"/>
              <w:right w:val="single" w:color="000000" w:sz="4" w:space="0"/>
            </w:tcBorders>
            <w:noWrap/>
            <w:vAlign w:val="center"/>
          </w:tcPr>
          <w:p w14:paraId="6DEBF850">
            <w:pPr>
              <w:jc w:val="center"/>
              <w:rPr>
                <w:rFonts w:ascii="宋体" w:hAnsi="宋体" w:cs="宋体"/>
                <w:sz w:val="22"/>
                <w:szCs w:val="22"/>
              </w:rPr>
            </w:pPr>
          </w:p>
        </w:tc>
        <w:tc>
          <w:tcPr>
            <w:tcW w:w="0" w:type="auto"/>
            <w:tcBorders>
              <w:top w:val="single" w:color="auto" w:sz="4" w:space="0"/>
              <w:left w:val="single" w:color="000000" w:sz="4" w:space="0"/>
              <w:bottom w:val="single" w:color="000000" w:sz="4" w:space="0"/>
              <w:right w:val="single" w:color="000000" w:sz="4" w:space="0"/>
            </w:tcBorders>
            <w:noWrap/>
            <w:vAlign w:val="center"/>
          </w:tcPr>
          <w:p w14:paraId="18EF0151">
            <w:pPr>
              <w:rPr>
                <w:rFonts w:ascii="宋体" w:hAnsi="宋体" w:cs="宋体"/>
                <w:sz w:val="22"/>
                <w:szCs w:val="22"/>
              </w:rPr>
            </w:pPr>
          </w:p>
        </w:tc>
        <w:tc>
          <w:tcPr>
            <w:tcW w:w="0" w:type="auto"/>
            <w:tcBorders>
              <w:top w:val="single" w:color="auto" w:sz="4" w:space="0"/>
              <w:left w:val="single" w:color="000000" w:sz="4" w:space="0"/>
              <w:bottom w:val="single" w:color="000000" w:sz="4" w:space="0"/>
              <w:right w:val="single" w:color="000000" w:sz="4" w:space="0"/>
            </w:tcBorders>
            <w:noWrap/>
            <w:vAlign w:val="center"/>
          </w:tcPr>
          <w:p w14:paraId="32DE2C9B">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□是 □否 </w:t>
            </w:r>
          </w:p>
        </w:tc>
        <w:tc>
          <w:tcPr>
            <w:tcW w:w="0" w:type="auto"/>
            <w:tcBorders>
              <w:top w:val="single" w:color="auto" w:sz="4" w:space="0"/>
              <w:left w:val="single" w:color="000000" w:sz="4" w:space="0"/>
              <w:bottom w:val="single" w:color="000000" w:sz="4" w:space="0"/>
              <w:right w:val="single" w:color="000000" w:sz="4" w:space="0"/>
            </w:tcBorders>
            <w:noWrap/>
            <w:vAlign w:val="center"/>
          </w:tcPr>
          <w:p w14:paraId="4C8A0E33">
            <w:pPr>
              <w:jc w:val="center"/>
              <w:rPr>
                <w:rFonts w:ascii="宋体" w:hAnsi="宋体" w:cs="宋体"/>
                <w:sz w:val="22"/>
                <w:szCs w:val="22"/>
              </w:rPr>
            </w:pP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7A12A5FB">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□合格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□不合格 </w:t>
            </w:r>
          </w:p>
        </w:tc>
        <w:tc>
          <w:tcPr>
            <w:tcW w:w="0" w:type="auto"/>
            <w:tcBorders>
              <w:top w:val="single" w:color="auto" w:sz="4" w:space="0"/>
              <w:left w:val="single" w:color="000000" w:sz="4" w:space="0"/>
              <w:bottom w:val="single" w:color="000000" w:sz="4" w:space="0"/>
              <w:right w:val="single" w:color="auto" w:sz="4" w:space="0"/>
            </w:tcBorders>
            <w:noWrap/>
            <w:vAlign w:val="center"/>
          </w:tcPr>
          <w:p w14:paraId="1B4FF968">
            <w:pPr>
              <w:rPr>
                <w:rFonts w:ascii="宋体" w:hAnsi="宋体" w:cs="宋体"/>
                <w:sz w:val="22"/>
                <w:szCs w:val="22"/>
              </w:rPr>
            </w:pPr>
          </w:p>
        </w:tc>
      </w:tr>
      <w:tr w14:paraId="441B73C9">
        <w:tblPrEx>
          <w:tblCellMar>
            <w:top w:w="0" w:type="dxa"/>
            <w:left w:w="108" w:type="dxa"/>
            <w:bottom w:w="0" w:type="dxa"/>
            <w:right w:w="108" w:type="dxa"/>
          </w:tblCellMar>
        </w:tblPrEx>
        <w:trPr>
          <w:trHeight w:val="624" w:hRule="atLeast"/>
        </w:trPr>
        <w:tc>
          <w:tcPr>
            <w:tcW w:w="0" w:type="auto"/>
            <w:tcBorders>
              <w:top w:val="single" w:color="000000" w:sz="4" w:space="0"/>
              <w:left w:val="single" w:color="auto" w:sz="4" w:space="0"/>
              <w:bottom w:val="single" w:color="000000" w:sz="4" w:space="0"/>
              <w:right w:val="single" w:color="000000" w:sz="4" w:space="0"/>
            </w:tcBorders>
            <w:noWrap/>
            <w:vAlign w:val="center"/>
          </w:tcPr>
          <w:p w14:paraId="7D40ADC0">
            <w:pPr>
              <w:widowControl/>
              <w:jc w:val="center"/>
              <w:textAlignment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FA562">
            <w:pP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090BA">
            <w:pPr>
              <w:widowControl/>
              <w:jc w:val="center"/>
              <w:textAlignment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A2D02">
            <w:pP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8982D7">
            <w:pPr>
              <w:widowControl/>
              <w:jc w:val="left"/>
              <w:textAlignment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B04E67">
            <w:pP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EC574">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678AE">
            <w:pP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CB5F3">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□是 □否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7C10D">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6D14CF">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□合格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□不合格 </w:t>
            </w:r>
          </w:p>
        </w:tc>
        <w:tc>
          <w:tcPr>
            <w:tcW w:w="0" w:type="auto"/>
            <w:tcBorders>
              <w:top w:val="single" w:color="000000" w:sz="4" w:space="0"/>
              <w:left w:val="single" w:color="000000" w:sz="4" w:space="0"/>
              <w:bottom w:val="single" w:color="000000" w:sz="4" w:space="0"/>
              <w:right w:val="single" w:color="auto" w:sz="4" w:space="0"/>
            </w:tcBorders>
            <w:noWrap/>
            <w:vAlign w:val="center"/>
          </w:tcPr>
          <w:p w14:paraId="572AFFEA">
            <w:pPr>
              <w:rPr>
                <w:rFonts w:ascii="宋体" w:hAnsi="宋体" w:cs="宋体"/>
                <w:sz w:val="22"/>
                <w:szCs w:val="22"/>
              </w:rPr>
            </w:pPr>
          </w:p>
        </w:tc>
      </w:tr>
      <w:tr w14:paraId="794F4387">
        <w:tblPrEx>
          <w:tblCellMar>
            <w:top w:w="0" w:type="dxa"/>
            <w:left w:w="108" w:type="dxa"/>
            <w:bottom w:w="0" w:type="dxa"/>
            <w:right w:w="108" w:type="dxa"/>
          </w:tblCellMar>
        </w:tblPrEx>
        <w:trPr>
          <w:trHeight w:val="624" w:hRule="atLeast"/>
        </w:trPr>
        <w:tc>
          <w:tcPr>
            <w:tcW w:w="0" w:type="auto"/>
            <w:tcBorders>
              <w:top w:val="single" w:color="000000" w:sz="4" w:space="0"/>
              <w:left w:val="single" w:color="auto" w:sz="4" w:space="0"/>
              <w:bottom w:val="single" w:color="000000" w:sz="4" w:space="0"/>
              <w:right w:val="single" w:color="000000" w:sz="4" w:space="0"/>
            </w:tcBorders>
            <w:noWrap/>
            <w:vAlign w:val="center"/>
          </w:tcPr>
          <w:p w14:paraId="5FC97A96">
            <w:pPr>
              <w:widowControl/>
              <w:jc w:val="center"/>
              <w:textAlignment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B6050">
            <w:pP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5C3F2">
            <w:pPr>
              <w:widowControl/>
              <w:jc w:val="center"/>
              <w:textAlignment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3A38A">
            <w:pP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7EFF13">
            <w:pPr>
              <w:widowControl/>
              <w:jc w:val="left"/>
              <w:textAlignment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C8398F">
            <w:pP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513F9">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101EA">
            <w:pP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2860A">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□是 □否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B9D6B">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972863">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□合格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□不合格 </w:t>
            </w:r>
          </w:p>
        </w:tc>
        <w:tc>
          <w:tcPr>
            <w:tcW w:w="0" w:type="auto"/>
            <w:tcBorders>
              <w:top w:val="single" w:color="000000" w:sz="4" w:space="0"/>
              <w:left w:val="single" w:color="000000" w:sz="4" w:space="0"/>
              <w:bottom w:val="single" w:color="000000" w:sz="4" w:space="0"/>
              <w:right w:val="single" w:color="auto" w:sz="4" w:space="0"/>
            </w:tcBorders>
            <w:noWrap/>
            <w:vAlign w:val="center"/>
          </w:tcPr>
          <w:p w14:paraId="62497B83">
            <w:pPr>
              <w:rPr>
                <w:rFonts w:ascii="宋体" w:hAnsi="宋体" w:cs="宋体"/>
                <w:sz w:val="22"/>
                <w:szCs w:val="22"/>
              </w:rPr>
            </w:pPr>
          </w:p>
        </w:tc>
      </w:tr>
      <w:tr w14:paraId="2F6C60B5">
        <w:tblPrEx>
          <w:tblCellMar>
            <w:top w:w="0" w:type="dxa"/>
            <w:left w:w="108" w:type="dxa"/>
            <w:bottom w:w="0" w:type="dxa"/>
            <w:right w:w="108" w:type="dxa"/>
          </w:tblCellMar>
        </w:tblPrEx>
        <w:trPr>
          <w:trHeight w:val="624" w:hRule="atLeast"/>
        </w:trPr>
        <w:tc>
          <w:tcPr>
            <w:tcW w:w="0" w:type="auto"/>
            <w:tcBorders>
              <w:top w:val="single" w:color="000000" w:sz="4" w:space="0"/>
              <w:left w:val="single" w:color="auto" w:sz="4" w:space="0"/>
              <w:bottom w:val="single" w:color="auto" w:sz="4" w:space="0"/>
              <w:right w:val="single" w:color="000000" w:sz="4" w:space="0"/>
            </w:tcBorders>
            <w:noWrap/>
            <w:vAlign w:val="center"/>
          </w:tcPr>
          <w:p w14:paraId="0FD162D1">
            <w:pPr>
              <w:widowControl/>
              <w:jc w:val="center"/>
              <w:textAlignment w:val="center"/>
              <w:rPr>
                <w:rFonts w:ascii="宋体" w:hAnsi="宋体" w:cs="宋体"/>
                <w:sz w:val="22"/>
                <w:szCs w:val="22"/>
              </w:rPr>
            </w:pPr>
          </w:p>
        </w:tc>
        <w:tc>
          <w:tcPr>
            <w:tcW w:w="0" w:type="auto"/>
            <w:tcBorders>
              <w:top w:val="single" w:color="000000" w:sz="4" w:space="0"/>
              <w:left w:val="single" w:color="000000" w:sz="4" w:space="0"/>
              <w:bottom w:val="single" w:color="auto" w:sz="4" w:space="0"/>
              <w:right w:val="single" w:color="000000" w:sz="4" w:space="0"/>
            </w:tcBorders>
            <w:noWrap/>
            <w:vAlign w:val="center"/>
          </w:tcPr>
          <w:p w14:paraId="5F372623">
            <w:pPr>
              <w:rPr>
                <w:rFonts w:ascii="宋体" w:hAnsi="宋体" w:cs="宋体"/>
                <w:sz w:val="22"/>
                <w:szCs w:val="22"/>
              </w:rPr>
            </w:pP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5ACABF57">
            <w:pPr>
              <w:widowControl/>
              <w:jc w:val="center"/>
              <w:textAlignment w:val="center"/>
              <w:rPr>
                <w:rFonts w:ascii="宋体" w:hAnsi="宋体" w:cs="宋体"/>
                <w:sz w:val="22"/>
                <w:szCs w:val="22"/>
              </w:rPr>
            </w:pPr>
          </w:p>
        </w:tc>
        <w:tc>
          <w:tcPr>
            <w:tcW w:w="0" w:type="auto"/>
            <w:tcBorders>
              <w:top w:val="single" w:color="000000" w:sz="4" w:space="0"/>
              <w:left w:val="single" w:color="000000" w:sz="4" w:space="0"/>
              <w:bottom w:val="single" w:color="auto" w:sz="4" w:space="0"/>
              <w:right w:val="single" w:color="000000" w:sz="4" w:space="0"/>
            </w:tcBorders>
            <w:noWrap/>
            <w:vAlign w:val="center"/>
          </w:tcPr>
          <w:p w14:paraId="56C58364">
            <w:pPr>
              <w:rPr>
                <w:rFonts w:ascii="宋体" w:hAnsi="宋体" w:cs="宋体"/>
                <w:sz w:val="22"/>
                <w:szCs w:val="22"/>
              </w:rPr>
            </w:pP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F174996">
            <w:pPr>
              <w:widowControl/>
              <w:jc w:val="left"/>
              <w:textAlignment w:val="center"/>
              <w:rPr>
                <w:rFonts w:ascii="宋体" w:hAnsi="宋体" w:cs="宋体"/>
                <w:sz w:val="22"/>
                <w:szCs w:val="22"/>
              </w:rPr>
            </w:pPr>
          </w:p>
        </w:tc>
        <w:tc>
          <w:tcPr>
            <w:tcW w:w="0" w:type="auto"/>
            <w:tcBorders>
              <w:top w:val="single" w:color="000000" w:sz="4" w:space="0"/>
              <w:left w:val="single" w:color="000000" w:sz="4" w:space="0"/>
              <w:bottom w:val="single" w:color="auto" w:sz="4" w:space="0"/>
              <w:right w:val="single" w:color="000000" w:sz="4" w:space="0"/>
            </w:tcBorders>
            <w:noWrap/>
            <w:vAlign w:val="center"/>
          </w:tcPr>
          <w:p w14:paraId="441B7D53">
            <w:pPr>
              <w:rPr>
                <w:rFonts w:ascii="宋体" w:hAnsi="宋体" w:cs="宋体"/>
                <w:sz w:val="22"/>
                <w:szCs w:val="22"/>
              </w:rPr>
            </w:pPr>
          </w:p>
        </w:tc>
        <w:tc>
          <w:tcPr>
            <w:tcW w:w="0" w:type="auto"/>
            <w:tcBorders>
              <w:top w:val="single" w:color="000000" w:sz="4" w:space="0"/>
              <w:left w:val="single" w:color="000000" w:sz="4" w:space="0"/>
              <w:bottom w:val="single" w:color="auto" w:sz="4" w:space="0"/>
              <w:right w:val="single" w:color="000000" w:sz="4" w:space="0"/>
            </w:tcBorders>
            <w:noWrap/>
            <w:vAlign w:val="center"/>
          </w:tcPr>
          <w:p w14:paraId="26D1B8D2">
            <w:pPr>
              <w:jc w:val="center"/>
              <w:rPr>
                <w:rFonts w:ascii="宋体" w:hAnsi="宋体" w:cs="宋体"/>
                <w:sz w:val="22"/>
                <w:szCs w:val="22"/>
              </w:rPr>
            </w:pPr>
          </w:p>
        </w:tc>
        <w:tc>
          <w:tcPr>
            <w:tcW w:w="0" w:type="auto"/>
            <w:tcBorders>
              <w:top w:val="single" w:color="000000" w:sz="4" w:space="0"/>
              <w:left w:val="single" w:color="000000" w:sz="4" w:space="0"/>
              <w:bottom w:val="single" w:color="auto" w:sz="4" w:space="0"/>
              <w:right w:val="single" w:color="000000" w:sz="4" w:space="0"/>
            </w:tcBorders>
            <w:noWrap/>
            <w:vAlign w:val="center"/>
          </w:tcPr>
          <w:p w14:paraId="7CAB03E2">
            <w:pPr>
              <w:rPr>
                <w:rFonts w:ascii="宋体" w:hAnsi="宋体" w:cs="宋体"/>
                <w:sz w:val="22"/>
                <w:szCs w:val="22"/>
              </w:rPr>
            </w:pPr>
          </w:p>
        </w:tc>
        <w:tc>
          <w:tcPr>
            <w:tcW w:w="0" w:type="auto"/>
            <w:tcBorders>
              <w:top w:val="single" w:color="000000" w:sz="4" w:space="0"/>
              <w:left w:val="single" w:color="000000" w:sz="4" w:space="0"/>
              <w:bottom w:val="single" w:color="auto" w:sz="4" w:space="0"/>
              <w:right w:val="single" w:color="000000" w:sz="4" w:space="0"/>
            </w:tcBorders>
            <w:noWrap/>
            <w:vAlign w:val="center"/>
          </w:tcPr>
          <w:p w14:paraId="00C0876E">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□是 □否 </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16553152">
            <w:pPr>
              <w:jc w:val="center"/>
              <w:rPr>
                <w:rFonts w:ascii="宋体" w:hAnsi="宋体" w:cs="宋体"/>
                <w:sz w:val="22"/>
                <w:szCs w:val="22"/>
              </w:rPr>
            </w:pP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69CF0E6A">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□合格 </w:t>
            </w:r>
            <w:r>
              <w:rPr>
                <w:rFonts w:hint="eastAsia" w:ascii="宋体" w:hAnsi="宋体" w:cs="宋体"/>
                <w:kern w:val="0"/>
                <w:sz w:val="22"/>
                <w:szCs w:val="22"/>
                <w:lang w:bidi="ar"/>
              </w:rPr>
              <w:br w:type="textWrapping"/>
            </w:r>
            <w:r>
              <w:rPr>
                <w:rFonts w:hint="eastAsia" w:ascii="宋体" w:hAnsi="宋体" w:cs="宋体"/>
                <w:kern w:val="0"/>
                <w:sz w:val="22"/>
                <w:szCs w:val="22"/>
                <w:lang w:bidi="ar"/>
              </w:rPr>
              <w:t xml:space="preserve">□不合格 </w:t>
            </w:r>
          </w:p>
        </w:tc>
        <w:tc>
          <w:tcPr>
            <w:tcW w:w="0" w:type="auto"/>
            <w:tcBorders>
              <w:top w:val="single" w:color="000000" w:sz="4" w:space="0"/>
              <w:left w:val="single" w:color="000000" w:sz="4" w:space="0"/>
              <w:bottom w:val="single" w:color="auto" w:sz="4" w:space="0"/>
              <w:right w:val="single" w:color="auto" w:sz="4" w:space="0"/>
            </w:tcBorders>
            <w:noWrap/>
            <w:vAlign w:val="center"/>
          </w:tcPr>
          <w:p w14:paraId="557DA9EC">
            <w:pPr>
              <w:rPr>
                <w:rFonts w:ascii="宋体" w:hAnsi="宋体" w:cs="宋体"/>
                <w:sz w:val="22"/>
                <w:szCs w:val="22"/>
              </w:rPr>
            </w:pPr>
          </w:p>
        </w:tc>
      </w:tr>
      <w:tr w14:paraId="41B9DD26">
        <w:tblPrEx>
          <w:tblCellMar>
            <w:top w:w="0" w:type="dxa"/>
            <w:left w:w="108" w:type="dxa"/>
            <w:bottom w:w="0" w:type="dxa"/>
            <w:right w:w="108" w:type="dxa"/>
          </w:tblCellMar>
        </w:tblPrEx>
        <w:trPr>
          <w:trHeight w:val="511" w:hRule="atLeast"/>
        </w:trPr>
        <w:tc>
          <w:tcPr>
            <w:tcW w:w="0" w:type="auto"/>
            <w:gridSpan w:val="12"/>
            <w:tcBorders>
              <w:top w:val="single" w:color="auto" w:sz="4" w:space="0"/>
              <w:left w:val="single" w:color="000000" w:sz="4" w:space="0"/>
              <w:bottom w:val="single" w:color="000000" w:sz="4" w:space="0"/>
              <w:right w:val="single" w:color="000000" w:sz="4" w:space="0"/>
            </w:tcBorders>
            <w:noWrap/>
            <w:vAlign w:val="center"/>
          </w:tcPr>
          <w:p w14:paraId="326C1B89">
            <w:pPr>
              <w:rPr>
                <w:rFonts w:ascii="宋体" w:hAnsi="宋体" w:cs="宋体"/>
                <w:sz w:val="22"/>
                <w:szCs w:val="22"/>
              </w:rPr>
            </w:pPr>
            <w:r>
              <w:rPr>
                <w:rFonts w:hint="eastAsia" w:ascii="宋体" w:hAnsi="宋体" w:cs="宋体"/>
                <w:kern w:val="0"/>
                <w:sz w:val="22"/>
                <w:szCs w:val="22"/>
                <w:lang w:bidi="ar"/>
              </w:rPr>
              <w:t>验收内容：</w:t>
            </w:r>
          </w:p>
        </w:tc>
      </w:tr>
      <w:tr w14:paraId="54F43896">
        <w:tblPrEx>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nil"/>
              <w:right w:val="nil"/>
            </w:tcBorders>
            <w:noWrap/>
            <w:vAlign w:val="center"/>
          </w:tcPr>
          <w:p w14:paraId="32458F5C">
            <w:pPr>
              <w:widowControl/>
              <w:jc w:val="left"/>
              <w:textAlignment w:val="center"/>
              <w:rPr>
                <w:rFonts w:ascii="宋体" w:hAnsi="宋体" w:cs="宋体"/>
                <w:sz w:val="22"/>
                <w:szCs w:val="22"/>
              </w:rPr>
            </w:pPr>
            <w:r>
              <w:rPr>
                <w:rFonts w:hint="eastAsia" w:ascii="宋体" w:hAnsi="宋体" w:cs="宋体"/>
                <w:kern w:val="0"/>
                <w:sz w:val="22"/>
                <w:szCs w:val="22"/>
                <w:lang w:bidi="ar"/>
              </w:rPr>
              <w:t>收货单位：</w:t>
            </w:r>
          </w:p>
        </w:tc>
        <w:tc>
          <w:tcPr>
            <w:tcW w:w="0" w:type="auto"/>
            <w:tcBorders>
              <w:top w:val="single" w:color="000000" w:sz="4" w:space="0"/>
              <w:left w:val="nil"/>
              <w:bottom w:val="nil"/>
              <w:right w:val="nil"/>
            </w:tcBorders>
            <w:noWrap/>
            <w:vAlign w:val="center"/>
          </w:tcPr>
          <w:p w14:paraId="5EA5C100">
            <w:pPr>
              <w:rPr>
                <w:rFonts w:ascii="宋体" w:hAnsi="宋体" w:cs="宋体"/>
                <w:sz w:val="22"/>
                <w:szCs w:val="22"/>
              </w:rPr>
            </w:pPr>
          </w:p>
        </w:tc>
        <w:tc>
          <w:tcPr>
            <w:tcW w:w="0" w:type="auto"/>
            <w:gridSpan w:val="4"/>
            <w:tcBorders>
              <w:top w:val="single" w:color="000000" w:sz="4" w:space="0"/>
              <w:left w:val="nil"/>
              <w:bottom w:val="nil"/>
              <w:right w:val="single" w:color="000000" w:sz="4" w:space="0"/>
            </w:tcBorders>
            <w:noWrap/>
            <w:vAlign w:val="center"/>
          </w:tcPr>
          <w:p w14:paraId="5BB2E43C">
            <w:pPr>
              <w:jc w:val="center"/>
              <w:rPr>
                <w:rFonts w:ascii="宋体" w:hAnsi="宋体" w:cs="宋体"/>
                <w:sz w:val="22"/>
                <w:szCs w:val="22"/>
              </w:rPr>
            </w:pPr>
          </w:p>
        </w:tc>
        <w:tc>
          <w:tcPr>
            <w:tcW w:w="0" w:type="auto"/>
            <w:tcBorders>
              <w:top w:val="single" w:color="000000" w:sz="4" w:space="0"/>
              <w:left w:val="single" w:color="000000" w:sz="4" w:space="0"/>
              <w:bottom w:val="nil"/>
              <w:right w:val="nil"/>
            </w:tcBorders>
            <w:noWrap/>
            <w:vAlign w:val="center"/>
          </w:tcPr>
          <w:p w14:paraId="2689723D">
            <w:pPr>
              <w:widowControl/>
              <w:jc w:val="left"/>
              <w:textAlignment w:val="center"/>
              <w:rPr>
                <w:rFonts w:ascii="宋体" w:hAnsi="宋体" w:cs="宋体"/>
                <w:sz w:val="22"/>
                <w:szCs w:val="22"/>
              </w:rPr>
            </w:pPr>
            <w:r>
              <w:rPr>
                <w:rFonts w:hint="eastAsia" w:ascii="宋体" w:hAnsi="宋体" w:cs="宋体"/>
                <w:kern w:val="0"/>
                <w:sz w:val="22"/>
                <w:szCs w:val="22"/>
                <w:lang w:bidi="ar"/>
              </w:rPr>
              <w:t>供货单位</w:t>
            </w:r>
          </w:p>
        </w:tc>
        <w:tc>
          <w:tcPr>
            <w:tcW w:w="0" w:type="auto"/>
            <w:gridSpan w:val="5"/>
            <w:tcBorders>
              <w:top w:val="single" w:color="000000" w:sz="4" w:space="0"/>
              <w:left w:val="nil"/>
              <w:bottom w:val="nil"/>
              <w:right w:val="single" w:color="000000" w:sz="4" w:space="0"/>
            </w:tcBorders>
            <w:noWrap/>
            <w:vAlign w:val="center"/>
          </w:tcPr>
          <w:p w14:paraId="37A03886">
            <w:pPr>
              <w:jc w:val="center"/>
              <w:rPr>
                <w:rFonts w:ascii="宋体" w:hAnsi="宋体" w:cs="宋体"/>
                <w:sz w:val="22"/>
                <w:szCs w:val="22"/>
              </w:rPr>
            </w:pPr>
          </w:p>
        </w:tc>
      </w:tr>
      <w:tr w14:paraId="169F9A0E">
        <w:tblPrEx>
          <w:tblCellMar>
            <w:top w:w="0" w:type="dxa"/>
            <w:left w:w="108" w:type="dxa"/>
            <w:bottom w:w="0" w:type="dxa"/>
            <w:right w:w="108" w:type="dxa"/>
          </w:tblCellMar>
        </w:tblPrEx>
        <w:trPr>
          <w:trHeight w:val="434" w:hRule="atLeast"/>
        </w:trPr>
        <w:tc>
          <w:tcPr>
            <w:tcW w:w="0" w:type="auto"/>
            <w:tcBorders>
              <w:top w:val="nil"/>
              <w:left w:val="single" w:color="000000" w:sz="4" w:space="0"/>
              <w:bottom w:val="nil"/>
              <w:right w:val="nil"/>
            </w:tcBorders>
            <w:noWrap/>
            <w:vAlign w:val="center"/>
          </w:tcPr>
          <w:p w14:paraId="222401A5">
            <w:pPr>
              <w:widowControl/>
              <w:jc w:val="left"/>
              <w:textAlignment w:val="center"/>
              <w:rPr>
                <w:rFonts w:ascii="宋体" w:hAnsi="宋体" w:cs="宋体"/>
                <w:sz w:val="22"/>
                <w:szCs w:val="22"/>
              </w:rPr>
            </w:pPr>
            <w:r>
              <w:rPr>
                <w:rFonts w:hint="eastAsia" w:ascii="宋体" w:hAnsi="宋体" w:cs="宋体"/>
                <w:kern w:val="0"/>
                <w:sz w:val="22"/>
                <w:szCs w:val="22"/>
                <w:lang w:bidi="ar"/>
              </w:rPr>
              <w:t>收货人签字：</w:t>
            </w:r>
          </w:p>
        </w:tc>
        <w:tc>
          <w:tcPr>
            <w:tcW w:w="0" w:type="auto"/>
            <w:tcBorders>
              <w:top w:val="nil"/>
              <w:left w:val="nil"/>
              <w:bottom w:val="nil"/>
              <w:right w:val="nil"/>
            </w:tcBorders>
            <w:noWrap/>
            <w:vAlign w:val="center"/>
          </w:tcPr>
          <w:p w14:paraId="6B1EC138">
            <w:pPr>
              <w:rPr>
                <w:rFonts w:ascii="宋体" w:hAnsi="宋体" w:cs="宋体"/>
                <w:sz w:val="22"/>
                <w:szCs w:val="22"/>
              </w:rPr>
            </w:pPr>
          </w:p>
        </w:tc>
        <w:tc>
          <w:tcPr>
            <w:tcW w:w="0" w:type="auto"/>
            <w:gridSpan w:val="4"/>
            <w:tcBorders>
              <w:top w:val="nil"/>
              <w:left w:val="nil"/>
              <w:bottom w:val="nil"/>
              <w:right w:val="single" w:color="000000" w:sz="4" w:space="0"/>
            </w:tcBorders>
            <w:noWrap/>
            <w:vAlign w:val="center"/>
          </w:tcPr>
          <w:p w14:paraId="46C54078">
            <w:pPr>
              <w:jc w:val="center"/>
              <w:rPr>
                <w:rFonts w:ascii="宋体" w:hAnsi="宋体" w:cs="宋体"/>
                <w:sz w:val="22"/>
                <w:szCs w:val="22"/>
              </w:rPr>
            </w:pPr>
          </w:p>
        </w:tc>
        <w:tc>
          <w:tcPr>
            <w:tcW w:w="0" w:type="auto"/>
            <w:tcBorders>
              <w:top w:val="nil"/>
              <w:left w:val="single" w:color="000000" w:sz="4" w:space="0"/>
              <w:bottom w:val="nil"/>
              <w:right w:val="nil"/>
            </w:tcBorders>
            <w:noWrap/>
            <w:vAlign w:val="center"/>
          </w:tcPr>
          <w:p w14:paraId="7CBFD5A2">
            <w:pPr>
              <w:widowControl/>
              <w:jc w:val="left"/>
              <w:textAlignment w:val="center"/>
              <w:rPr>
                <w:rFonts w:ascii="宋体" w:hAnsi="宋体" w:cs="宋体"/>
                <w:sz w:val="22"/>
                <w:szCs w:val="22"/>
              </w:rPr>
            </w:pPr>
            <w:r>
              <w:rPr>
                <w:rFonts w:hint="eastAsia" w:ascii="宋体" w:hAnsi="宋体" w:cs="宋体"/>
                <w:kern w:val="0"/>
                <w:sz w:val="22"/>
                <w:szCs w:val="22"/>
                <w:lang w:bidi="ar"/>
              </w:rPr>
              <w:t>送货人签字：</w:t>
            </w:r>
          </w:p>
        </w:tc>
        <w:tc>
          <w:tcPr>
            <w:tcW w:w="0" w:type="auto"/>
            <w:gridSpan w:val="5"/>
            <w:tcBorders>
              <w:top w:val="nil"/>
              <w:left w:val="nil"/>
              <w:bottom w:val="nil"/>
              <w:right w:val="single" w:color="000000" w:sz="4" w:space="0"/>
            </w:tcBorders>
            <w:noWrap/>
            <w:vAlign w:val="center"/>
          </w:tcPr>
          <w:p w14:paraId="3F010AEA">
            <w:pPr>
              <w:jc w:val="center"/>
              <w:rPr>
                <w:rFonts w:ascii="宋体" w:hAnsi="宋体" w:cs="宋体"/>
                <w:sz w:val="22"/>
                <w:szCs w:val="22"/>
              </w:rPr>
            </w:pPr>
          </w:p>
        </w:tc>
      </w:tr>
      <w:tr w14:paraId="54798342">
        <w:tblPrEx>
          <w:tblCellMar>
            <w:top w:w="0" w:type="dxa"/>
            <w:left w:w="108" w:type="dxa"/>
            <w:bottom w:w="0" w:type="dxa"/>
            <w:right w:w="108" w:type="dxa"/>
          </w:tblCellMar>
        </w:tblPrEx>
        <w:trPr>
          <w:trHeight w:val="434" w:hRule="atLeast"/>
        </w:trPr>
        <w:tc>
          <w:tcPr>
            <w:tcW w:w="0" w:type="auto"/>
            <w:tcBorders>
              <w:top w:val="nil"/>
              <w:left w:val="single" w:color="000000" w:sz="4" w:space="0"/>
              <w:bottom w:val="nil"/>
              <w:right w:val="nil"/>
            </w:tcBorders>
            <w:noWrap/>
            <w:vAlign w:val="center"/>
          </w:tcPr>
          <w:p w14:paraId="08E0735D">
            <w:pPr>
              <w:widowControl/>
              <w:jc w:val="left"/>
              <w:textAlignment w:val="center"/>
              <w:rPr>
                <w:rFonts w:ascii="宋体" w:hAnsi="宋体" w:cs="宋体"/>
                <w:sz w:val="22"/>
                <w:szCs w:val="22"/>
              </w:rPr>
            </w:pPr>
            <w:r>
              <w:rPr>
                <w:rFonts w:hint="eastAsia" w:ascii="宋体" w:hAnsi="宋体" w:cs="宋体"/>
                <w:kern w:val="0"/>
                <w:sz w:val="22"/>
                <w:szCs w:val="22"/>
                <w:lang w:bidi="ar"/>
              </w:rPr>
              <w:t>验货人签字：</w:t>
            </w:r>
          </w:p>
        </w:tc>
        <w:tc>
          <w:tcPr>
            <w:tcW w:w="0" w:type="auto"/>
            <w:tcBorders>
              <w:top w:val="nil"/>
              <w:left w:val="nil"/>
              <w:bottom w:val="nil"/>
              <w:right w:val="nil"/>
            </w:tcBorders>
            <w:noWrap/>
            <w:vAlign w:val="center"/>
          </w:tcPr>
          <w:p w14:paraId="6622F23D">
            <w:pPr>
              <w:rPr>
                <w:rFonts w:ascii="宋体" w:hAnsi="宋体" w:cs="宋体"/>
                <w:sz w:val="22"/>
                <w:szCs w:val="22"/>
              </w:rPr>
            </w:pPr>
          </w:p>
        </w:tc>
        <w:tc>
          <w:tcPr>
            <w:tcW w:w="0" w:type="auto"/>
            <w:gridSpan w:val="4"/>
            <w:tcBorders>
              <w:top w:val="nil"/>
              <w:left w:val="nil"/>
              <w:bottom w:val="nil"/>
              <w:right w:val="single" w:color="000000" w:sz="4" w:space="0"/>
            </w:tcBorders>
            <w:noWrap/>
            <w:vAlign w:val="center"/>
          </w:tcPr>
          <w:p w14:paraId="08384530">
            <w:pPr>
              <w:jc w:val="center"/>
              <w:rPr>
                <w:rFonts w:ascii="宋体" w:hAnsi="宋体" w:cs="宋体"/>
                <w:sz w:val="22"/>
                <w:szCs w:val="22"/>
              </w:rPr>
            </w:pPr>
          </w:p>
        </w:tc>
        <w:tc>
          <w:tcPr>
            <w:tcW w:w="0" w:type="auto"/>
            <w:tcBorders>
              <w:top w:val="nil"/>
              <w:left w:val="single" w:color="000000" w:sz="4" w:space="0"/>
              <w:bottom w:val="nil"/>
              <w:right w:val="nil"/>
            </w:tcBorders>
            <w:noWrap/>
            <w:vAlign w:val="center"/>
          </w:tcPr>
          <w:p w14:paraId="6F32848F">
            <w:pPr>
              <w:rPr>
                <w:rFonts w:ascii="宋体" w:hAnsi="宋体" w:cs="宋体"/>
                <w:sz w:val="22"/>
                <w:szCs w:val="22"/>
              </w:rPr>
            </w:pPr>
          </w:p>
        </w:tc>
        <w:tc>
          <w:tcPr>
            <w:tcW w:w="0" w:type="auto"/>
            <w:tcBorders>
              <w:top w:val="nil"/>
              <w:left w:val="nil"/>
              <w:bottom w:val="nil"/>
              <w:right w:val="nil"/>
            </w:tcBorders>
            <w:noWrap/>
            <w:vAlign w:val="center"/>
          </w:tcPr>
          <w:p w14:paraId="103E173C">
            <w:pPr>
              <w:rPr>
                <w:rFonts w:ascii="宋体" w:hAnsi="宋体" w:cs="宋体"/>
                <w:sz w:val="22"/>
                <w:szCs w:val="22"/>
              </w:rPr>
            </w:pPr>
          </w:p>
        </w:tc>
        <w:tc>
          <w:tcPr>
            <w:tcW w:w="0" w:type="auto"/>
            <w:tcBorders>
              <w:top w:val="nil"/>
              <w:left w:val="nil"/>
              <w:bottom w:val="nil"/>
              <w:right w:val="nil"/>
            </w:tcBorders>
            <w:noWrap/>
            <w:vAlign w:val="center"/>
          </w:tcPr>
          <w:p w14:paraId="7096923A">
            <w:pPr>
              <w:jc w:val="center"/>
              <w:rPr>
                <w:rFonts w:ascii="宋体" w:hAnsi="宋体" w:cs="宋体"/>
                <w:sz w:val="22"/>
                <w:szCs w:val="22"/>
              </w:rPr>
            </w:pPr>
          </w:p>
        </w:tc>
        <w:tc>
          <w:tcPr>
            <w:tcW w:w="0" w:type="auto"/>
            <w:tcBorders>
              <w:top w:val="nil"/>
              <w:left w:val="nil"/>
              <w:bottom w:val="nil"/>
              <w:right w:val="nil"/>
            </w:tcBorders>
            <w:noWrap/>
            <w:vAlign w:val="center"/>
          </w:tcPr>
          <w:p w14:paraId="3021302E">
            <w:pPr>
              <w:jc w:val="center"/>
              <w:rPr>
                <w:rFonts w:ascii="宋体" w:hAnsi="宋体" w:cs="宋体"/>
                <w:sz w:val="22"/>
                <w:szCs w:val="22"/>
              </w:rPr>
            </w:pPr>
          </w:p>
        </w:tc>
        <w:tc>
          <w:tcPr>
            <w:tcW w:w="0" w:type="auto"/>
            <w:tcBorders>
              <w:top w:val="nil"/>
              <w:left w:val="nil"/>
              <w:bottom w:val="nil"/>
              <w:right w:val="nil"/>
            </w:tcBorders>
            <w:noWrap/>
            <w:vAlign w:val="center"/>
          </w:tcPr>
          <w:p w14:paraId="60FFE969">
            <w:pPr>
              <w:rPr>
                <w:rFonts w:ascii="宋体" w:hAnsi="宋体" w:cs="宋体"/>
                <w:sz w:val="22"/>
                <w:szCs w:val="22"/>
              </w:rPr>
            </w:pPr>
          </w:p>
        </w:tc>
        <w:tc>
          <w:tcPr>
            <w:tcW w:w="0" w:type="auto"/>
            <w:tcBorders>
              <w:top w:val="nil"/>
              <w:left w:val="nil"/>
              <w:bottom w:val="nil"/>
              <w:right w:val="single" w:color="000000" w:sz="4" w:space="0"/>
            </w:tcBorders>
            <w:noWrap/>
            <w:vAlign w:val="center"/>
          </w:tcPr>
          <w:p w14:paraId="7A9AFB40">
            <w:pPr>
              <w:rPr>
                <w:rFonts w:ascii="宋体" w:hAnsi="宋体" w:cs="宋体"/>
                <w:sz w:val="22"/>
                <w:szCs w:val="22"/>
              </w:rPr>
            </w:pPr>
          </w:p>
        </w:tc>
      </w:tr>
      <w:tr w14:paraId="43A98F15">
        <w:tblPrEx>
          <w:tblCellMar>
            <w:top w:w="0" w:type="dxa"/>
            <w:left w:w="108" w:type="dxa"/>
            <w:bottom w:w="0" w:type="dxa"/>
            <w:right w:w="108" w:type="dxa"/>
          </w:tblCellMar>
        </w:tblPrEx>
        <w:trPr>
          <w:trHeight w:val="434" w:hRule="atLeast"/>
        </w:trPr>
        <w:tc>
          <w:tcPr>
            <w:tcW w:w="0" w:type="auto"/>
            <w:gridSpan w:val="2"/>
            <w:tcBorders>
              <w:top w:val="nil"/>
              <w:left w:val="single" w:color="000000" w:sz="4" w:space="0"/>
              <w:bottom w:val="single" w:color="000000" w:sz="4" w:space="0"/>
              <w:right w:val="nil"/>
            </w:tcBorders>
            <w:noWrap w:val="0"/>
            <w:vAlign w:val="center"/>
          </w:tcPr>
          <w:p w14:paraId="32C52885">
            <w:pPr>
              <w:widowControl/>
              <w:jc w:val="left"/>
              <w:textAlignment w:val="center"/>
              <w:rPr>
                <w:rFonts w:ascii="宋体" w:hAnsi="宋体" w:cs="宋体"/>
                <w:sz w:val="22"/>
                <w:szCs w:val="22"/>
              </w:rPr>
            </w:pPr>
            <w:r>
              <w:rPr>
                <w:rFonts w:hint="eastAsia" w:ascii="宋体" w:hAnsi="宋体" w:cs="宋体"/>
                <w:kern w:val="0"/>
                <w:sz w:val="22"/>
                <w:szCs w:val="22"/>
                <w:lang w:bidi="ar"/>
              </w:rPr>
              <w:t>验收日期：</w:t>
            </w:r>
          </w:p>
        </w:tc>
        <w:tc>
          <w:tcPr>
            <w:tcW w:w="0" w:type="auto"/>
            <w:gridSpan w:val="4"/>
            <w:tcBorders>
              <w:top w:val="nil"/>
              <w:left w:val="nil"/>
              <w:bottom w:val="single" w:color="000000" w:sz="4" w:space="0"/>
              <w:right w:val="single" w:color="000000" w:sz="4" w:space="0"/>
            </w:tcBorders>
            <w:noWrap/>
            <w:vAlign w:val="center"/>
          </w:tcPr>
          <w:p w14:paraId="3ABD7B9D">
            <w:pPr>
              <w:jc w:val="center"/>
              <w:rPr>
                <w:rFonts w:ascii="宋体" w:hAnsi="宋体" w:cs="宋体"/>
                <w:sz w:val="22"/>
                <w:szCs w:val="22"/>
              </w:rPr>
            </w:pPr>
          </w:p>
        </w:tc>
        <w:tc>
          <w:tcPr>
            <w:tcW w:w="0" w:type="auto"/>
            <w:tcBorders>
              <w:top w:val="nil"/>
              <w:left w:val="single" w:color="000000" w:sz="4" w:space="0"/>
              <w:bottom w:val="single" w:color="000000" w:sz="4" w:space="0"/>
              <w:right w:val="nil"/>
            </w:tcBorders>
            <w:noWrap w:val="0"/>
            <w:vAlign w:val="center"/>
          </w:tcPr>
          <w:p w14:paraId="3B2BA13A">
            <w:pPr>
              <w:widowControl/>
              <w:jc w:val="left"/>
              <w:textAlignment w:val="center"/>
              <w:rPr>
                <w:rFonts w:ascii="宋体" w:hAnsi="宋体" w:cs="宋体"/>
                <w:sz w:val="22"/>
                <w:szCs w:val="22"/>
              </w:rPr>
            </w:pPr>
            <w:r>
              <w:rPr>
                <w:rFonts w:hint="eastAsia" w:ascii="宋体" w:hAnsi="宋体" w:cs="宋体"/>
                <w:kern w:val="0"/>
                <w:sz w:val="22"/>
                <w:szCs w:val="22"/>
                <w:lang w:bidi="ar"/>
              </w:rPr>
              <w:t>验收日期：</w:t>
            </w:r>
          </w:p>
        </w:tc>
        <w:tc>
          <w:tcPr>
            <w:tcW w:w="0" w:type="auto"/>
            <w:gridSpan w:val="5"/>
            <w:tcBorders>
              <w:top w:val="nil"/>
              <w:left w:val="nil"/>
              <w:bottom w:val="single" w:color="000000" w:sz="4" w:space="0"/>
              <w:right w:val="single" w:color="000000" w:sz="4" w:space="0"/>
            </w:tcBorders>
            <w:noWrap/>
            <w:vAlign w:val="center"/>
          </w:tcPr>
          <w:p w14:paraId="0FDBDE2A">
            <w:pPr>
              <w:jc w:val="center"/>
              <w:rPr>
                <w:rFonts w:ascii="宋体" w:hAnsi="宋体" w:cs="宋体"/>
                <w:sz w:val="22"/>
                <w:szCs w:val="22"/>
              </w:rPr>
            </w:pPr>
          </w:p>
        </w:tc>
      </w:tr>
    </w:tbl>
    <w:p w14:paraId="6AEFF526">
      <w:pPr>
        <w:rPr>
          <w:szCs w:val="21"/>
        </w:rPr>
      </w:pPr>
    </w:p>
    <w:p w14:paraId="5006A098">
      <w:pPr>
        <w:pStyle w:val="15"/>
        <w:jc w:val="both"/>
        <w:rPr>
          <w:rFonts w:hint="eastAsia" w:ascii="宋体" w:hAnsi="宋体" w:eastAsia="宋体" w:cs="宋体"/>
          <w:b/>
          <w:bCs/>
          <w:sz w:val="36"/>
          <w:szCs w:val="36"/>
          <w:highlight w:val="none"/>
        </w:rPr>
      </w:pPr>
      <w:r>
        <w:rPr>
          <w:rFonts w:hint="eastAsia"/>
          <w:sz w:val="36"/>
          <w:szCs w:val="36"/>
        </w:rPr>
        <w:br w:type="page"/>
      </w:r>
    </w:p>
    <w:p w14:paraId="77120BF0">
      <w:pPr>
        <w:pStyle w:val="58"/>
        <w:rPr>
          <w:rFonts w:hint="eastAsia" w:ascii="宋体" w:hAnsi="宋体" w:eastAsia="宋体" w:cs="宋体"/>
          <w:b/>
          <w:bCs/>
          <w:sz w:val="36"/>
          <w:szCs w:val="36"/>
          <w:highlight w:val="none"/>
        </w:rPr>
        <w:sectPr>
          <w:headerReference r:id="rId6" w:type="default"/>
          <w:footerReference r:id="rId7" w:type="default"/>
          <w:footnotePr>
            <w:numFmt w:val="decimalEnclosedCircleChinese"/>
            <w:numRestart w:val="eachPage"/>
          </w:footnotePr>
          <w:pgSz w:w="16838" w:h="11905" w:orient="landscape"/>
          <w:pgMar w:top="1236" w:right="1304" w:bottom="1236" w:left="1304" w:header="1020" w:footer="680" w:gutter="0"/>
          <w:pgBorders w:zOrder="back">
            <w:top w:val="none" w:sz="0" w:space="0"/>
            <w:left w:val="none" w:sz="0" w:space="0"/>
            <w:bottom w:val="none" w:sz="0" w:space="0"/>
            <w:right w:val="none" w:sz="0" w:space="0"/>
          </w:pgBorders>
          <w:pgNumType w:fmt="decimal"/>
          <w:cols w:space="0" w:num="1"/>
          <w:rtlGutter w:val="0"/>
          <w:docGrid w:type="lines" w:linePitch="319" w:charSpace="0"/>
        </w:sectPr>
      </w:pPr>
    </w:p>
    <w:p w14:paraId="7E39A6CF">
      <w:pPr>
        <w:spacing w:line="440" w:lineRule="exact"/>
        <w:ind w:firstLine="420" w:firstLineChars="200"/>
        <w:rPr>
          <w:rFonts w:hint="eastAsia" w:ascii="宋体" w:hAnsi="宋体" w:cs="宋体"/>
          <w:b/>
          <w:bCs/>
        </w:rPr>
      </w:pPr>
      <w:r>
        <w:rPr>
          <w:rFonts w:hint="eastAsia" w:ascii="宋体" w:hAnsi="宋体"/>
          <w:szCs w:val="21"/>
        </w:rPr>
        <w:t>注：</w:t>
      </w:r>
      <w:r>
        <w:rPr>
          <w:rFonts w:hint="eastAsia" w:ascii="宋体" w:hAnsi="宋体" w:cs="宋体"/>
          <w:b/>
          <w:bCs/>
        </w:rPr>
        <w:t>凡涉及SC证和检验要求的产品，须提供相关证明文件并加盖公章；每半年提供一次具有合法资质的第三方检验机构出具的符合国家食品安全规定的检验报告。</w:t>
      </w:r>
    </w:p>
    <w:p w14:paraId="0B1E402B">
      <w:pPr>
        <w:spacing w:after="120" w:line="440" w:lineRule="exact"/>
        <w:ind w:firstLine="420" w:firstLineChars="200"/>
        <w:rPr>
          <w:rFonts w:hint="eastAsia" w:ascii="宋体" w:hAnsi="宋体" w:cs="宋体"/>
          <w:kern w:val="0"/>
          <w:szCs w:val="24"/>
        </w:rPr>
      </w:pPr>
      <w:r>
        <w:rPr>
          <w:rFonts w:hint="eastAsia" w:ascii="宋体" w:hAnsi="宋体" w:cs="宋体"/>
          <w:kern w:val="0"/>
          <w:szCs w:val="24"/>
        </w:rPr>
        <w:t>（1）蔬菜类：经过整理的干净新鲜、品质品相好；农药残留检验合格产品（已摘除了蔬菜的不可食用部分，如烂叶、黄叶、根、须、无泥沙、无杂物、无空心、</w:t>
      </w:r>
      <w:r>
        <w:rPr>
          <w:rFonts w:ascii="宋体" w:hAnsi="宋体" w:cs="宋体"/>
          <w:szCs w:val="24"/>
        </w:rPr>
        <w:t>无萎蔫</w:t>
      </w:r>
      <w:r>
        <w:rPr>
          <w:rFonts w:hint="eastAsia" w:ascii="宋体" w:hAnsi="宋体" w:cs="宋体"/>
          <w:szCs w:val="24"/>
        </w:rPr>
        <w:t>、</w:t>
      </w:r>
      <w:r>
        <w:rPr>
          <w:rFonts w:hint="eastAsia" w:ascii="宋体" w:hAnsi="宋体" w:cs="宋体"/>
          <w:kern w:val="0"/>
          <w:szCs w:val="24"/>
        </w:rPr>
        <w:t>无皱皮、无变色、无虫害、无残虫卵等现象）。</w:t>
      </w:r>
    </w:p>
    <w:p w14:paraId="7794716A">
      <w:pPr>
        <w:spacing w:after="120" w:line="440" w:lineRule="exact"/>
        <w:ind w:firstLine="420" w:firstLineChars="200"/>
        <w:rPr>
          <w:rFonts w:hint="eastAsia" w:ascii="宋体" w:hAnsi="宋体" w:cs="宋体"/>
          <w:kern w:val="0"/>
          <w:szCs w:val="24"/>
        </w:rPr>
      </w:pPr>
      <w:r>
        <w:rPr>
          <w:rFonts w:hint="eastAsia" w:ascii="宋体" w:hAnsi="宋体" w:cs="宋体"/>
          <w:kern w:val="0"/>
          <w:szCs w:val="24"/>
        </w:rPr>
        <w:t>（2）调味品类、干货类：每批次须提供产品质量合格证明并加盖红色公章，供货时</w:t>
      </w:r>
      <w:r>
        <w:rPr>
          <w:rFonts w:hint="eastAsia" w:ascii="宋体"/>
          <w:szCs w:val="24"/>
        </w:rPr>
        <w:t>调味品、干货</w:t>
      </w:r>
      <w:r>
        <w:rPr>
          <w:rFonts w:hint="eastAsia" w:ascii="宋体" w:hAnsi="宋体" w:cs="宋体"/>
          <w:kern w:val="0"/>
          <w:szCs w:val="24"/>
        </w:rPr>
        <w:t>生产日期须为近两个月内。</w:t>
      </w:r>
    </w:p>
    <w:p w14:paraId="11445754">
      <w:pPr>
        <w:rPr>
          <w:rFonts w:hint="eastAsia"/>
        </w:rPr>
        <w:sectPr>
          <w:footnotePr>
            <w:numFmt w:val="decimalEnclosedCircleChinese"/>
            <w:numRestart w:val="eachPage"/>
          </w:footnotePr>
          <w:pgSz w:w="11905" w:h="16838"/>
          <w:pgMar w:top="1304" w:right="1236" w:bottom="1304" w:left="1236" w:header="1020" w:footer="680" w:gutter="0"/>
          <w:pgBorders w:zOrder="back">
            <w:top w:val="none" w:sz="0" w:space="0"/>
            <w:left w:val="none" w:sz="0" w:space="0"/>
            <w:bottom w:val="none" w:sz="0" w:space="0"/>
            <w:right w:val="none" w:sz="0" w:space="0"/>
          </w:pgBorders>
          <w:pgNumType w:fmt="decimal"/>
          <w:cols w:space="0" w:num="1"/>
          <w:rtlGutter w:val="0"/>
          <w:docGrid w:type="lines" w:linePitch="319" w:charSpace="0"/>
        </w:sectPr>
      </w:pPr>
    </w:p>
    <w:p w14:paraId="77FD786F">
      <w:pPr>
        <w:pStyle w:val="16"/>
        <w:rPr>
          <w:rFonts w:hint="eastAsia"/>
        </w:rPr>
      </w:pPr>
    </w:p>
    <w:p w14:paraId="23A98C99">
      <w:pPr>
        <w:rPr>
          <w:rFonts w:hint="eastAsia" w:ascii="宋体" w:hAnsi="宋体" w:eastAsia="宋体" w:cs="宋体"/>
          <w:b/>
          <w:bCs/>
          <w:sz w:val="36"/>
          <w:szCs w:val="36"/>
          <w:highlight w:val="none"/>
        </w:rPr>
      </w:pPr>
    </w:p>
    <w:p w14:paraId="4AA60CDB">
      <w:pPr>
        <w:pStyle w:val="39"/>
        <w:rPr>
          <w:rFonts w:hint="eastAsia" w:ascii="宋体" w:hAnsi="宋体" w:eastAsia="宋体" w:cs="宋体"/>
          <w:b/>
          <w:bCs/>
          <w:sz w:val="36"/>
          <w:szCs w:val="36"/>
          <w:highlight w:val="none"/>
        </w:rPr>
      </w:pPr>
    </w:p>
    <w:p w14:paraId="31FECE4B">
      <w:pPr>
        <w:rPr>
          <w:rFonts w:hint="eastAsia" w:ascii="宋体" w:hAnsi="宋体" w:eastAsia="宋体" w:cs="宋体"/>
          <w:b/>
          <w:bCs/>
          <w:sz w:val="36"/>
          <w:szCs w:val="36"/>
          <w:highlight w:val="none"/>
        </w:rPr>
      </w:pPr>
    </w:p>
    <w:p w14:paraId="6B6E7B14">
      <w:pPr>
        <w:rPr>
          <w:rFonts w:hint="eastAsia"/>
        </w:rPr>
      </w:pPr>
    </w:p>
    <w:p w14:paraId="4F2F8FEA">
      <w:pPr>
        <w:pStyle w:val="2"/>
        <w:numPr>
          <w:ilvl w:val="0"/>
          <w:numId w:val="0"/>
        </w:numPr>
        <w:tabs>
          <w:tab w:val="clear" w:pos="324"/>
        </w:tabs>
        <w:ind w:leftChars="0"/>
        <w:jc w:val="center"/>
        <w:rPr>
          <w:rFonts w:hint="eastAsia" w:ascii="宋体" w:hAnsi="宋体" w:eastAsia="宋体" w:cs="宋体"/>
          <w:b/>
          <w:bCs/>
          <w:sz w:val="36"/>
          <w:szCs w:val="36"/>
          <w:highlight w:val="none"/>
        </w:rPr>
      </w:pPr>
    </w:p>
    <w:p w14:paraId="7FC45272">
      <w:pPr>
        <w:rPr>
          <w:rFonts w:hint="eastAsia" w:ascii="宋体" w:hAnsi="宋体" w:eastAsia="宋体" w:cs="宋体"/>
          <w:b/>
          <w:bCs/>
          <w:sz w:val="36"/>
          <w:szCs w:val="36"/>
          <w:highlight w:val="none"/>
        </w:rPr>
      </w:pPr>
    </w:p>
    <w:p w14:paraId="37562E52">
      <w:pPr>
        <w:rPr>
          <w:rFonts w:hint="eastAsia" w:ascii="宋体" w:hAnsi="宋体" w:eastAsia="宋体" w:cs="宋体"/>
          <w:b/>
          <w:bCs/>
          <w:sz w:val="36"/>
          <w:szCs w:val="36"/>
          <w:highlight w:val="none"/>
        </w:rPr>
      </w:pPr>
    </w:p>
    <w:p w14:paraId="58357718">
      <w:pPr>
        <w:rPr>
          <w:rFonts w:hint="eastAsia" w:ascii="宋体" w:hAnsi="宋体" w:eastAsia="宋体" w:cs="宋体"/>
          <w:b/>
          <w:bCs/>
          <w:sz w:val="36"/>
          <w:szCs w:val="36"/>
          <w:highlight w:val="none"/>
        </w:rPr>
      </w:pPr>
    </w:p>
    <w:p w14:paraId="3C0BD6C6">
      <w:pPr>
        <w:pStyle w:val="16"/>
        <w:rPr>
          <w:rFonts w:hint="eastAsia"/>
        </w:rPr>
      </w:pPr>
    </w:p>
    <w:p w14:paraId="30F9C73A">
      <w:pPr>
        <w:pStyle w:val="17"/>
        <w:rPr>
          <w:rFonts w:hint="eastAsia"/>
        </w:rPr>
      </w:pPr>
    </w:p>
    <w:p w14:paraId="26B4C73D">
      <w:pPr>
        <w:pStyle w:val="18"/>
        <w:rPr>
          <w:rFonts w:hint="eastAsia"/>
        </w:rPr>
      </w:pPr>
    </w:p>
    <w:p w14:paraId="44BB69FD">
      <w:pPr>
        <w:rPr>
          <w:rFonts w:hint="eastAsia"/>
        </w:rPr>
      </w:pPr>
    </w:p>
    <w:p w14:paraId="49157A0F">
      <w:pPr>
        <w:rPr>
          <w:rFonts w:hint="eastAsia"/>
        </w:rPr>
      </w:pPr>
    </w:p>
    <w:p w14:paraId="30E55E16">
      <w:pPr>
        <w:pStyle w:val="38"/>
        <w:ind w:left="0" w:leftChars="0" w:firstLine="0" w:firstLineChars="0"/>
        <w:rPr>
          <w:rFonts w:hint="eastAsia" w:ascii="宋体" w:hAnsi="宋体" w:eastAsia="宋体" w:cs="宋体"/>
          <w:b/>
          <w:bCs/>
          <w:sz w:val="36"/>
          <w:szCs w:val="36"/>
          <w:highlight w:val="none"/>
        </w:rPr>
      </w:pPr>
    </w:p>
    <w:p w14:paraId="752C022C">
      <w:pPr>
        <w:pStyle w:val="2"/>
        <w:numPr>
          <w:ilvl w:val="0"/>
          <w:numId w:val="0"/>
        </w:numPr>
        <w:tabs>
          <w:tab w:val="clear" w:pos="324"/>
        </w:tabs>
        <w:ind w:leftChars="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eastAsia="zh-CN"/>
        </w:rPr>
        <w:t>六</w:t>
      </w:r>
      <w:r>
        <w:rPr>
          <w:rFonts w:hint="eastAsia" w:ascii="宋体" w:hAnsi="宋体" w:eastAsia="宋体" w:cs="宋体"/>
          <w:b/>
          <w:bCs/>
          <w:sz w:val="36"/>
          <w:szCs w:val="36"/>
          <w:highlight w:val="none"/>
        </w:rPr>
        <w:t>章  投标文件格式</w:t>
      </w:r>
      <w:bookmarkEnd w:id="21"/>
    </w:p>
    <w:p w14:paraId="137C93F7">
      <w:pPr>
        <w:bidi w:val="0"/>
        <w:rPr>
          <w:rFonts w:hint="eastAsia"/>
          <w:highlight w:val="none"/>
        </w:rPr>
      </w:pPr>
    </w:p>
    <w:p w14:paraId="624F7FD1">
      <w:pPr>
        <w:bidi w:val="0"/>
        <w:rPr>
          <w:highlight w:val="none"/>
        </w:rPr>
      </w:pPr>
    </w:p>
    <w:p w14:paraId="31B42E68">
      <w:pPr>
        <w:rPr>
          <w:rFonts w:hint="eastAsia" w:ascii="宋体" w:hAnsi="宋体"/>
          <w:b/>
          <w:sz w:val="36"/>
          <w:szCs w:val="36"/>
          <w:highlight w:val="none"/>
        </w:rPr>
      </w:pPr>
      <w:r>
        <w:rPr>
          <w:rFonts w:hint="eastAsia" w:ascii="宋体" w:hAnsi="宋体"/>
          <w:b/>
          <w:sz w:val="36"/>
          <w:szCs w:val="36"/>
          <w:highlight w:val="none"/>
        </w:rPr>
        <w:br w:type="page"/>
      </w:r>
    </w:p>
    <w:p w14:paraId="22D06FEE">
      <w:pPr>
        <w:spacing w:after="360" w:afterLines="150" w:line="900" w:lineRule="exact"/>
        <w:jc w:val="center"/>
        <w:rPr>
          <w:rFonts w:hint="eastAsia" w:ascii="宋体" w:hAnsi="宋体"/>
          <w:b/>
          <w:sz w:val="36"/>
          <w:szCs w:val="36"/>
          <w:highlight w:val="none"/>
        </w:rPr>
      </w:pPr>
      <w:r>
        <w:rPr>
          <w:color w:val="auto"/>
          <w:sz w:val="36"/>
          <w:highlight w:val="none"/>
        </w:rPr>
        <mc:AlternateContent>
          <mc:Choice Requires="wps">
            <w:drawing>
              <wp:anchor distT="0" distB="0" distL="0" distR="0" simplePos="0" relativeHeight="251659264" behindDoc="0" locked="0" layoutInCell="1" allowOverlap="1">
                <wp:simplePos x="0" y="0"/>
                <wp:positionH relativeFrom="column">
                  <wp:posOffset>-19685</wp:posOffset>
                </wp:positionH>
                <wp:positionV relativeFrom="paragraph">
                  <wp:posOffset>45085</wp:posOffset>
                </wp:positionV>
                <wp:extent cx="1641475" cy="499110"/>
                <wp:effectExtent l="7620" t="7620" r="8255" b="26670"/>
                <wp:wrapNone/>
                <wp:docPr id="1028" name="自选图形 11"/>
                <wp:cNvGraphicFramePr/>
                <a:graphic xmlns:a="http://schemas.openxmlformats.org/drawingml/2006/main">
                  <a:graphicData uri="http://schemas.microsoft.com/office/word/2010/wordprocessingShape">
                    <wps:wsp>
                      <wps:cNvSpPr/>
                      <wps:spPr>
                        <a:xfrm>
                          <a:off x="0" y="0"/>
                          <a:ext cx="1641475" cy="499110"/>
                        </a:xfrm>
                        <a:prstGeom prst="roundRect">
                          <a:avLst>
                            <a:gd name="adj" fmla="val 16667"/>
                          </a:avLst>
                        </a:prstGeom>
                        <a:solidFill>
                          <a:srgbClr val="EEECE1"/>
                        </a:solidFill>
                        <a:ln w="15875" cap="flat" cmpd="sng">
                          <a:solidFill>
                            <a:srgbClr val="000000"/>
                          </a:solidFill>
                          <a:prstDash val="solid"/>
                          <a:round/>
                          <a:headEnd type="none" w="med" len="med"/>
                          <a:tailEnd type="none" w="med" len="med"/>
                        </a:ln>
                      </wps:spPr>
                      <wps:txbx>
                        <w:txbxContent>
                          <w:p w14:paraId="10FA9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政府采购项目</w:t>
                            </w:r>
                          </w:p>
                        </w:txbxContent>
                      </wps:txbx>
                      <wps:bodyPr wrap="square" upright="1"/>
                    </wps:wsp>
                  </a:graphicData>
                </a:graphic>
              </wp:anchor>
            </w:drawing>
          </mc:Choice>
          <mc:Fallback>
            <w:pict>
              <v:roundrect id="自选图形 11" o:spid="_x0000_s1026" o:spt="2" style="position:absolute;left:0pt;margin-left:-1.55pt;margin-top:3.55pt;height:39.3pt;width:129.25pt;z-index:251659264;mso-width-relative:page;mso-height-relative:page;" fillcolor="#EEECE1" filled="t" stroked="t" coordsize="21600,21600" arcsize="0.166666666666667" o:gfxdata="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kTjl1gAAAAcBAAAPAAAAAAAAAAEAIAAAACIAAABkcnMvZG93bnJl&#10;di54bWxQSwECFAAUAAAACACHTuJAYo5CxzgCAABzBAAADgAAAAAAAAABACAAAAAlAQAAZHJzL2Uy&#10;b0RvYy54bWxQSwUGAAAAAAYABgBZAQAAzwUAAAAA&#10;">
                <v:fill on="t" focussize="0,0"/>
                <v:stroke weight="1.25pt" color="#000000" joinstyle="round"/>
                <v:imagedata o:title=""/>
                <o:lock v:ext="edit" aspectratio="f"/>
                <v:textbox>
                  <w:txbxContent>
                    <w:p w14:paraId="10FA9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政府采购项目</w:t>
                      </w:r>
                    </w:p>
                  </w:txbxContent>
                </v:textbox>
              </v:roundrect>
            </w:pict>
          </mc:Fallback>
        </mc:AlternateContent>
      </w:r>
      <w:r>
        <w:rPr>
          <w:rFonts w:hint="eastAsia" w:ascii="宋体" w:hAnsi="宋体"/>
          <w:b/>
          <w:sz w:val="36"/>
          <w:szCs w:val="36"/>
          <w:highlight w:val="none"/>
        </w:rPr>
        <w:t xml:space="preserve">                                </w:t>
      </w:r>
    </w:p>
    <w:p w14:paraId="75B014C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b/>
          <w:color w:val="auto"/>
          <w:sz w:val="36"/>
          <w:szCs w:val="36"/>
          <w:highlight w:val="none"/>
          <w:lang w:val="en-US"/>
        </w:rPr>
      </w:pPr>
      <w:r>
        <w:rPr>
          <w:rFonts w:hint="eastAsia" w:ascii="宋体" w:hAnsi="宋体"/>
          <w:b/>
          <w:sz w:val="36"/>
          <w:szCs w:val="36"/>
          <w:highlight w:val="none"/>
        </w:rPr>
        <w:t>项目编号:</w:t>
      </w:r>
      <w:r>
        <w:rPr>
          <w:rFonts w:hint="eastAsia" w:ascii="宋体" w:hAnsi="宋体"/>
          <w:b/>
          <w:color w:val="auto"/>
          <w:sz w:val="36"/>
          <w:szCs w:val="36"/>
          <w:highlight w:val="none"/>
        </w:rPr>
        <w:t xml:space="preserve"> </w:t>
      </w:r>
      <w:r>
        <w:rPr>
          <w:rFonts w:hint="eastAsia" w:ascii="宋体" w:hAnsi="宋体"/>
          <w:b/>
          <w:color w:val="auto"/>
          <w:sz w:val="36"/>
          <w:szCs w:val="36"/>
          <w:highlight w:val="none"/>
          <w:lang w:eastAsia="zh-CN"/>
        </w:rPr>
        <w:t>RHAKCG-20260403</w:t>
      </w:r>
    </w:p>
    <w:p w14:paraId="303F0C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中宋" w:hAnsi="华文中宋" w:eastAsia="华文中宋"/>
          <w:b/>
          <w:color w:val="auto"/>
          <w:sz w:val="52"/>
          <w:szCs w:val="52"/>
          <w:highlight w:val="none"/>
          <w:lang w:eastAsia="zh-CN"/>
        </w:rPr>
      </w:pPr>
    </w:p>
    <w:p w14:paraId="4121BB07">
      <w:pPr>
        <w:spacing w:line="360" w:lineRule="auto"/>
        <w:ind w:firstLine="2008" w:firstLineChars="500"/>
        <w:jc w:val="both"/>
        <w:rPr>
          <w:rFonts w:hint="default" w:ascii="华文中宋" w:hAnsi="华文中宋" w:eastAsia="华文中宋"/>
          <w:b/>
          <w:color w:val="auto"/>
          <w:sz w:val="52"/>
          <w:szCs w:val="52"/>
          <w:highlight w:val="none"/>
          <w:u w:val="single"/>
          <w:lang w:val="en-US" w:eastAsia="zh-CN"/>
        </w:rPr>
      </w:pPr>
      <w:r>
        <w:rPr>
          <w:rFonts w:hint="eastAsia" w:ascii="华文中宋" w:hAnsi="华文中宋" w:eastAsia="华文中宋"/>
          <w:b/>
          <w:color w:val="auto"/>
          <w:sz w:val="40"/>
          <w:szCs w:val="40"/>
          <w:highlight w:val="none"/>
          <w:lang w:val="en-US" w:eastAsia="zh-CN"/>
        </w:rPr>
        <w:t>标段名称：</w:t>
      </w:r>
      <w:r>
        <w:rPr>
          <w:rFonts w:hint="eastAsia" w:ascii="华文中宋" w:hAnsi="华文中宋" w:eastAsia="华文中宋"/>
          <w:b/>
          <w:color w:val="auto"/>
          <w:sz w:val="40"/>
          <w:szCs w:val="40"/>
          <w:highlight w:val="none"/>
          <w:u w:val="single"/>
          <w:lang w:val="en-US" w:eastAsia="zh-CN"/>
        </w:rPr>
        <w:t xml:space="preserve">           </w:t>
      </w:r>
    </w:p>
    <w:p w14:paraId="502A1531">
      <w:pPr>
        <w:pStyle w:val="38"/>
        <w:ind w:left="0" w:leftChars="0" w:firstLine="0" w:firstLineChars="0"/>
        <w:rPr>
          <w:rFonts w:hint="eastAsia" w:ascii="宋体" w:hAnsi="宋体" w:eastAsia="宋体"/>
          <w:b/>
          <w:sz w:val="36"/>
          <w:highlight w:val="none"/>
          <w:lang w:eastAsia="zh-CN"/>
        </w:rPr>
      </w:pPr>
    </w:p>
    <w:p w14:paraId="4B9FE639">
      <w:pPr>
        <w:pStyle w:val="38"/>
        <w:rPr>
          <w:rFonts w:hint="eastAsia" w:ascii="宋体" w:hAnsi="宋体" w:eastAsia="宋体"/>
          <w:b/>
          <w:sz w:val="36"/>
          <w:highlight w:val="none"/>
          <w:lang w:eastAsia="zh-CN"/>
        </w:rPr>
      </w:pPr>
    </w:p>
    <w:p w14:paraId="1D9D81DA">
      <w:pPr>
        <w:pStyle w:val="38"/>
        <w:rPr>
          <w:rFonts w:hint="eastAsia" w:ascii="宋体" w:hAnsi="宋体" w:eastAsia="宋体"/>
          <w:b/>
          <w:sz w:val="36"/>
          <w:highlight w:val="none"/>
          <w:lang w:eastAsia="zh-CN"/>
        </w:rPr>
      </w:pPr>
    </w:p>
    <w:p w14:paraId="75A62353">
      <w:pPr>
        <w:pStyle w:val="38"/>
        <w:rPr>
          <w:rFonts w:hint="eastAsia" w:ascii="宋体" w:hAnsi="宋体" w:eastAsia="宋体"/>
          <w:b/>
          <w:sz w:val="36"/>
          <w:highlight w:val="none"/>
          <w:lang w:eastAsia="zh-CN"/>
        </w:rPr>
      </w:pPr>
    </w:p>
    <w:p w14:paraId="7BE6849F">
      <w:pPr>
        <w:spacing w:after="48" w:afterLines="20"/>
        <w:jc w:val="center"/>
        <w:rPr>
          <w:rFonts w:hint="eastAsia" w:ascii="宋体" w:hAnsi="宋体" w:eastAsia="宋体" w:cs="宋体"/>
          <w:b/>
          <w:sz w:val="104"/>
          <w:highlight w:val="none"/>
        </w:rPr>
      </w:pPr>
      <w:r>
        <w:rPr>
          <w:rFonts w:hint="eastAsia" w:ascii="宋体" w:hAnsi="宋体" w:eastAsia="宋体" w:cs="宋体"/>
          <w:b/>
          <w:sz w:val="104"/>
          <w:highlight w:val="none"/>
        </w:rPr>
        <w:t>投标文件</w:t>
      </w:r>
    </w:p>
    <w:p w14:paraId="35F5CDDA">
      <w:pPr>
        <w:rPr>
          <w:rFonts w:hint="eastAsia" w:ascii="宋体" w:hAnsi="宋体" w:cs="宋体"/>
          <w:b/>
          <w:sz w:val="44"/>
          <w:szCs w:val="44"/>
          <w:highlight w:val="none"/>
          <w:u w:val="none"/>
          <w:lang w:val="en-US" w:eastAsia="zh-CN"/>
        </w:rPr>
      </w:pPr>
      <w:r>
        <w:rPr>
          <w:rFonts w:hint="eastAsia" w:ascii="宋体" w:hAnsi="宋体" w:cs="宋体"/>
          <w:b/>
          <w:sz w:val="44"/>
          <w:szCs w:val="44"/>
          <w:highlight w:val="none"/>
          <w:u w:val="none"/>
          <w:lang w:val="en-US" w:eastAsia="zh-CN"/>
        </w:rPr>
        <w:t xml:space="preserve"> </w:t>
      </w:r>
    </w:p>
    <w:p w14:paraId="420F20BE">
      <w:pPr>
        <w:rPr>
          <w:rFonts w:hint="eastAsia"/>
          <w:sz w:val="30"/>
          <w:highlight w:val="none"/>
        </w:rPr>
      </w:pPr>
      <w:r>
        <w:rPr>
          <w:rFonts w:hint="eastAsia"/>
          <w:sz w:val="30"/>
          <w:highlight w:val="none"/>
        </w:rPr>
        <w:t xml:space="preserve">            </w:t>
      </w:r>
    </w:p>
    <w:p w14:paraId="54D6B59D">
      <w:pPr>
        <w:rPr>
          <w:rFonts w:hint="eastAsia"/>
          <w:sz w:val="30"/>
          <w:highlight w:val="none"/>
        </w:rPr>
      </w:pPr>
    </w:p>
    <w:p w14:paraId="348AA114">
      <w:pPr>
        <w:rPr>
          <w:rFonts w:hint="eastAsia"/>
          <w:sz w:val="30"/>
          <w:highlight w:val="none"/>
        </w:rPr>
      </w:pPr>
    </w:p>
    <w:p w14:paraId="167CEA5A">
      <w:pPr>
        <w:rPr>
          <w:rFonts w:hint="eastAsia"/>
          <w:sz w:val="30"/>
          <w:highlight w:val="none"/>
        </w:rPr>
      </w:pPr>
    </w:p>
    <w:p w14:paraId="309FCAFA">
      <w:pPr>
        <w:rPr>
          <w:rFonts w:hint="eastAsia"/>
          <w:sz w:val="30"/>
          <w:highlight w:val="none"/>
        </w:rPr>
      </w:pPr>
    </w:p>
    <w:p w14:paraId="69004633">
      <w:pPr>
        <w:rPr>
          <w:rFonts w:hint="eastAsia"/>
          <w:sz w:val="30"/>
          <w:highlight w:val="none"/>
        </w:rPr>
      </w:pPr>
    </w:p>
    <w:p w14:paraId="79B97C43">
      <w:pPr>
        <w:rPr>
          <w:rFonts w:hint="eastAsia"/>
          <w:sz w:val="30"/>
          <w:highlight w:val="none"/>
        </w:rPr>
      </w:pPr>
    </w:p>
    <w:p w14:paraId="74DE8DD4">
      <w:pPr>
        <w:rPr>
          <w:rFonts w:hint="eastAsia"/>
          <w:sz w:val="30"/>
          <w:highlight w:val="none"/>
        </w:rPr>
      </w:pPr>
    </w:p>
    <w:p w14:paraId="0078DFEA">
      <w:pPr>
        <w:rPr>
          <w:rFonts w:hint="eastAsia"/>
          <w:sz w:val="30"/>
          <w:highlight w:val="none"/>
        </w:rPr>
      </w:pPr>
    </w:p>
    <w:p w14:paraId="470D4031">
      <w:pPr>
        <w:rPr>
          <w:rFonts w:hint="eastAsia"/>
          <w:sz w:val="30"/>
          <w:highlight w:val="none"/>
        </w:rPr>
      </w:pPr>
    </w:p>
    <w:p w14:paraId="740095EA">
      <w:pPr>
        <w:spacing w:after="192" w:afterLines="80"/>
        <w:ind w:firstLine="1506" w:firstLineChars="500"/>
        <w:rPr>
          <w:rFonts w:hint="eastAsia" w:ascii="宋体" w:hAnsi="宋体" w:cs="宋体"/>
          <w:b/>
          <w:bCs/>
          <w:sz w:val="30"/>
          <w:highlight w:val="none"/>
          <w:u w:val="single"/>
        </w:rPr>
      </w:pPr>
      <w:r>
        <w:rPr>
          <w:rFonts w:hint="eastAsia" w:ascii="宋体" w:hAnsi="宋体" w:cs="宋体"/>
          <w:b/>
          <w:bCs/>
          <w:sz w:val="30"/>
          <w:highlight w:val="none"/>
        </w:rPr>
        <w:t>投标人：</w:t>
      </w:r>
      <w:r>
        <w:rPr>
          <w:rFonts w:hint="eastAsia" w:ascii="宋体" w:hAnsi="宋体" w:cs="宋体"/>
          <w:b/>
          <w:bCs/>
          <w:sz w:val="30"/>
          <w:highlight w:val="none"/>
          <w:u w:val="single"/>
        </w:rPr>
        <w:t xml:space="preserve">                           </w:t>
      </w:r>
      <w:r>
        <w:rPr>
          <w:rFonts w:hint="eastAsia" w:ascii="宋体" w:hAnsi="宋体" w:cs="宋体"/>
          <w:b/>
          <w:bCs/>
          <w:sz w:val="30"/>
          <w:highlight w:val="none"/>
        </w:rPr>
        <w:t>（盖章）</w:t>
      </w:r>
    </w:p>
    <w:p w14:paraId="33ED902E">
      <w:pPr>
        <w:ind w:firstLine="1506" w:firstLineChars="500"/>
        <w:rPr>
          <w:rFonts w:hint="eastAsia" w:ascii="宋体" w:hAnsi="宋体" w:cs="宋体"/>
          <w:b/>
          <w:bCs/>
          <w:sz w:val="30"/>
          <w:highlight w:val="none"/>
        </w:rPr>
      </w:pPr>
      <w:r>
        <w:rPr>
          <w:rFonts w:hint="eastAsia" w:ascii="宋体" w:hAnsi="宋体" w:cs="宋体"/>
          <w:b/>
          <w:bCs/>
          <w:sz w:val="30"/>
          <w:highlight w:val="none"/>
        </w:rPr>
        <w:t>法定代表人或其委托代理人：</w:t>
      </w:r>
      <w:r>
        <w:rPr>
          <w:rFonts w:hint="eastAsia" w:ascii="宋体" w:hAnsi="宋体" w:cs="宋体"/>
          <w:b/>
          <w:bCs/>
          <w:sz w:val="30"/>
          <w:highlight w:val="none"/>
          <w:u w:val="single"/>
        </w:rPr>
        <w:t xml:space="preserve">        </w:t>
      </w:r>
      <w:r>
        <w:rPr>
          <w:rFonts w:hint="eastAsia" w:ascii="宋体" w:hAnsi="宋体" w:cs="宋体"/>
          <w:b/>
          <w:bCs/>
          <w:sz w:val="30"/>
          <w:highlight w:val="none"/>
        </w:rPr>
        <w:t>（</w:t>
      </w:r>
      <w:r>
        <w:rPr>
          <w:rFonts w:hint="eastAsia" w:ascii="宋体" w:hAnsi="宋体" w:cs="宋体"/>
          <w:b/>
          <w:bCs/>
          <w:sz w:val="30"/>
          <w:highlight w:val="none"/>
          <w:lang w:eastAsia="zh-CN"/>
        </w:rPr>
        <w:t>盖章或</w:t>
      </w:r>
      <w:r>
        <w:rPr>
          <w:rFonts w:hint="eastAsia" w:ascii="宋体" w:hAnsi="宋体" w:cs="宋体"/>
          <w:b/>
          <w:bCs/>
          <w:sz w:val="30"/>
          <w:highlight w:val="none"/>
        </w:rPr>
        <w:t>签字）</w:t>
      </w:r>
    </w:p>
    <w:p w14:paraId="1BB5E7A8">
      <w:pPr>
        <w:spacing w:before="240" w:beforeLines="100"/>
        <w:jc w:val="center"/>
        <w:rPr>
          <w:rFonts w:hint="eastAsia" w:ascii="宋体" w:hAnsi="宋体" w:cs="宋体"/>
          <w:b/>
          <w:bCs/>
          <w:sz w:val="30"/>
          <w:highlight w:val="none"/>
        </w:rPr>
      </w:pPr>
      <w:r>
        <w:rPr>
          <w:rFonts w:hint="eastAsia" w:ascii="宋体" w:hAnsi="宋体" w:cs="宋体"/>
          <w:b/>
          <w:bCs/>
          <w:sz w:val="30"/>
          <w:highlight w:val="none"/>
        </w:rPr>
        <w:t xml:space="preserve">   </w:t>
      </w:r>
      <w:r>
        <w:rPr>
          <w:rFonts w:hint="eastAsia" w:ascii="宋体" w:hAnsi="宋体" w:cs="宋体"/>
          <w:b/>
          <w:bCs/>
          <w:sz w:val="30"/>
          <w:highlight w:val="none"/>
          <w:u w:val="single"/>
        </w:rPr>
        <w:t xml:space="preserve">        </w:t>
      </w:r>
      <w:r>
        <w:rPr>
          <w:rFonts w:hint="eastAsia" w:ascii="宋体" w:hAnsi="宋体" w:cs="宋体"/>
          <w:b/>
          <w:bCs/>
          <w:sz w:val="30"/>
          <w:highlight w:val="none"/>
        </w:rPr>
        <w:t>年</w:t>
      </w:r>
      <w:r>
        <w:rPr>
          <w:rFonts w:hint="eastAsia" w:ascii="宋体" w:hAnsi="宋体" w:cs="宋体"/>
          <w:b/>
          <w:bCs/>
          <w:sz w:val="30"/>
          <w:highlight w:val="none"/>
          <w:u w:val="single"/>
        </w:rPr>
        <w:t xml:space="preserve">    </w:t>
      </w:r>
      <w:r>
        <w:rPr>
          <w:rFonts w:hint="eastAsia" w:ascii="宋体" w:hAnsi="宋体" w:cs="宋体"/>
          <w:b/>
          <w:bCs/>
          <w:sz w:val="30"/>
          <w:highlight w:val="none"/>
        </w:rPr>
        <w:t>月</w:t>
      </w:r>
      <w:r>
        <w:rPr>
          <w:rFonts w:hint="eastAsia" w:ascii="宋体" w:hAnsi="宋体" w:cs="宋体"/>
          <w:b/>
          <w:bCs/>
          <w:sz w:val="30"/>
          <w:highlight w:val="none"/>
          <w:u w:val="single"/>
        </w:rPr>
        <w:t xml:space="preserve">    </w:t>
      </w:r>
      <w:r>
        <w:rPr>
          <w:rFonts w:hint="eastAsia" w:ascii="宋体" w:hAnsi="宋体" w:cs="宋体"/>
          <w:b/>
          <w:bCs/>
          <w:sz w:val="30"/>
          <w:highlight w:val="none"/>
        </w:rPr>
        <w:t>日</w:t>
      </w:r>
    </w:p>
    <w:p w14:paraId="62C8D25B">
      <w:pPr>
        <w:rPr>
          <w:rFonts w:hint="eastAsia" w:ascii="宋体" w:hAnsi="宋体" w:cs="宋体"/>
          <w:b/>
          <w:bCs/>
          <w:sz w:val="30"/>
          <w:highlight w:val="none"/>
        </w:rPr>
      </w:pPr>
      <w:r>
        <w:rPr>
          <w:rFonts w:hint="eastAsia" w:ascii="宋体" w:hAnsi="宋体" w:cs="宋体"/>
          <w:b/>
          <w:bCs/>
          <w:sz w:val="30"/>
          <w:highlight w:val="none"/>
        </w:rPr>
        <w:br w:type="page"/>
      </w:r>
    </w:p>
    <w:p w14:paraId="3889A33C">
      <w:pPr>
        <w:spacing w:line="600" w:lineRule="exact"/>
        <w:jc w:val="center"/>
        <w:rPr>
          <w:rFonts w:hint="eastAsia" w:ascii="宋体" w:hAnsi="宋体" w:cs="宋体"/>
          <w:b/>
          <w:bCs/>
          <w:sz w:val="30"/>
          <w:highlight w:val="none"/>
        </w:rPr>
      </w:pPr>
      <w:r>
        <w:rPr>
          <w:rFonts w:hint="eastAsia" w:ascii="宋体" w:hAnsi="宋体" w:cs="宋体"/>
          <w:b/>
          <w:bCs/>
          <w:sz w:val="30"/>
          <w:highlight w:val="none"/>
        </w:rPr>
        <w:t>目    录</w:t>
      </w:r>
    </w:p>
    <w:p w14:paraId="07A33A97">
      <w:pPr>
        <w:spacing w:line="600" w:lineRule="exact"/>
        <w:rPr>
          <w:rFonts w:hint="eastAsia"/>
          <w:sz w:val="24"/>
          <w:highlight w:val="none"/>
        </w:rPr>
      </w:pPr>
    </w:p>
    <w:p w14:paraId="755A83B3">
      <w:pPr>
        <w:spacing w:line="720" w:lineRule="exact"/>
        <w:ind w:firstLine="1680" w:firstLineChars="800"/>
        <w:rPr>
          <w:rFonts w:hint="eastAsia"/>
          <w:color w:val="auto"/>
          <w:szCs w:val="21"/>
          <w:highlight w:val="none"/>
        </w:rPr>
      </w:pPr>
      <w:r>
        <w:rPr>
          <w:rFonts w:hint="eastAsia"/>
          <w:color w:val="auto"/>
          <w:szCs w:val="21"/>
          <w:highlight w:val="none"/>
        </w:rPr>
        <w:t>一、投标函</w:t>
      </w:r>
    </w:p>
    <w:p w14:paraId="726571B5">
      <w:pPr>
        <w:spacing w:line="720" w:lineRule="exact"/>
        <w:ind w:firstLine="1680" w:firstLineChars="800"/>
        <w:rPr>
          <w:rFonts w:hint="eastAsia"/>
          <w:color w:val="auto"/>
          <w:szCs w:val="21"/>
          <w:highlight w:val="none"/>
        </w:rPr>
      </w:pPr>
      <w:r>
        <w:rPr>
          <w:rFonts w:hint="eastAsia"/>
          <w:color w:val="auto"/>
          <w:szCs w:val="21"/>
          <w:highlight w:val="none"/>
        </w:rPr>
        <w:t>二、开标一览表</w:t>
      </w:r>
    </w:p>
    <w:p w14:paraId="4F01FB5D">
      <w:pPr>
        <w:numPr>
          <w:ilvl w:val="0"/>
          <w:numId w:val="0"/>
        </w:numPr>
        <w:spacing w:line="720" w:lineRule="exact"/>
        <w:rPr>
          <w:rFonts w:hint="eastAsia" w:eastAsia="宋体"/>
          <w:highlight w:val="none"/>
          <w:lang w:val="en-US" w:eastAsia="zh-CN"/>
        </w:rPr>
      </w:pPr>
      <w:r>
        <w:rPr>
          <w:rFonts w:hint="eastAsia" w:ascii="宋体" w:hAnsi="宋体"/>
          <w:color w:val="auto"/>
          <w:szCs w:val="21"/>
          <w:highlight w:val="none"/>
          <w:lang w:val="en-US" w:eastAsia="zh-CN"/>
        </w:rPr>
        <w:t xml:space="preserve">                三、</w:t>
      </w:r>
      <w:r>
        <w:rPr>
          <w:rFonts w:hint="eastAsia" w:ascii="宋体" w:hAnsi="宋体"/>
          <w:color w:val="auto"/>
          <w:szCs w:val="21"/>
          <w:highlight w:val="none"/>
        </w:rPr>
        <w:t>资格文</w:t>
      </w:r>
      <w:r>
        <w:rPr>
          <w:rFonts w:hint="eastAsia" w:ascii="宋体" w:hAnsi="宋体"/>
          <w:color w:val="auto"/>
          <w:szCs w:val="21"/>
          <w:highlight w:val="none"/>
          <w:lang w:eastAsia="zh-CN"/>
        </w:rPr>
        <w:t>件</w:t>
      </w:r>
    </w:p>
    <w:p w14:paraId="17E7EBBE">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四、投标方案说明书</w:t>
      </w:r>
    </w:p>
    <w:p w14:paraId="6DE1A370">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五、</w:t>
      </w:r>
      <w:r>
        <w:rPr>
          <w:rFonts w:hint="eastAsia" w:ascii="宋体" w:hAnsi="宋体"/>
          <w:color w:val="auto"/>
          <w:szCs w:val="21"/>
          <w:highlight w:val="none"/>
        </w:rPr>
        <w:t>投标人认为有必要补充说明的事宜</w:t>
      </w:r>
    </w:p>
    <w:p w14:paraId="26875A9E">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六、</w:t>
      </w:r>
      <w:r>
        <w:rPr>
          <w:rFonts w:hint="eastAsia" w:ascii="宋体" w:hAnsi="宋体"/>
          <w:color w:val="auto"/>
          <w:szCs w:val="21"/>
          <w:highlight w:val="none"/>
        </w:rPr>
        <w:t>《拒绝政府采购领域商业贿赂承诺书》</w:t>
      </w:r>
    </w:p>
    <w:p w14:paraId="30ABBAAC">
      <w:pPr>
        <w:bidi w:val="0"/>
        <w:rPr>
          <w:highlight w:val="none"/>
        </w:rPr>
      </w:pPr>
    </w:p>
    <w:p w14:paraId="34655F90">
      <w:pPr>
        <w:bidi w:val="0"/>
        <w:rPr>
          <w:highlight w:val="none"/>
        </w:rPr>
      </w:pPr>
    </w:p>
    <w:p w14:paraId="498040C3">
      <w:pPr>
        <w:bidi w:val="0"/>
        <w:rPr>
          <w:highlight w:val="none"/>
        </w:rPr>
      </w:pPr>
    </w:p>
    <w:p w14:paraId="24F67C25">
      <w:pPr>
        <w:bidi w:val="0"/>
        <w:rPr>
          <w:highlight w:val="none"/>
        </w:rPr>
      </w:pPr>
    </w:p>
    <w:p w14:paraId="76490CB2">
      <w:pPr>
        <w:bidi w:val="0"/>
        <w:rPr>
          <w:highlight w:val="none"/>
        </w:rPr>
      </w:pPr>
    </w:p>
    <w:p w14:paraId="6730B18C">
      <w:pPr>
        <w:bidi w:val="0"/>
        <w:rPr>
          <w:highlight w:val="none"/>
        </w:rPr>
      </w:pPr>
    </w:p>
    <w:p w14:paraId="3213C5D4">
      <w:pPr>
        <w:bidi w:val="0"/>
        <w:rPr>
          <w:highlight w:val="none"/>
        </w:rPr>
      </w:pPr>
    </w:p>
    <w:p w14:paraId="2AD8E73E">
      <w:pPr>
        <w:bidi w:val="0"/>
        <w:rPr>
          <w:highlight w:val="none"/>
        </w:rPr>
      </w:pPr>
    </w:p>
    <w:p w14:paraId="577634A0">
      <w:pPr>
        <w:pStyle w:val="11"/>
        <w:ind w:left="0" w:leftChars="0" w:firstLine="0" w:firstLineChars="0"/>
        <w:rPr>
          <w:rFonts w:ascii="宋体" w:hAnsi="宋体" w:cs="宋体"/>
          <w:b/>
          <w:bCs/>
          <w:color w:val="000000"/>
          <w:sz w:val="36"/>
          <w:szCs w:val="36"/>
          <w:highlight w:val="none"/>
        </w:rPr>
      </w:pPr>
    </w:p>
    <w:p w14:paraId="1A72E0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color w:val="000000"/>
          <w:sz w:val="36"/>
          <w:szCs w:val="36"/>
          <w:highlight w:val="none"/>
          <w:lang w:eastAsia="zh-CN"/>
        </w:rPr>
      </w:pPr>
    </w:p>
    <w:p w14:paraId="43C861C8">
      <w:pPr>
        <w:pStyle w:val="15"/>
        <w:rPr>
          <w:rFonts w:hint="eastAsia"/>
          <w:highlight w:val="none"/>
          <w:lang w:eastAsia="zh-CN"/>
        </w:rPr>
      </w:pPr>
    </w:p>
    <w:p w14:paraId="582CFAC3">
      <w:pPr>
        <w:pStyle w:val="27"/>
        <w:rPr>
          <w:rFonts w:ascii="宋体" w:hAnsi="宋体" w:cs="宋体"/>
          <w:b/>
          <w:bCs/>
          <w:color w:val="000000"/>
          <w:sz w:val="36"/>
          <w:szCs w:val="36"/>
          <w:highlight w:val="none"/>
        </w:rPr>
      </w:pPr>
    </w:p>
    <w:p w14:paraId="1A1E3276">
      <w:pPr>
        <w:pStyle w:val="27"/>
        <w:rPr>
          <w:rFonts w:ascii="宋体" w:hAnsi="宋体" w:cs="宋体"/>
          <w:b/>
          <w:bCs/>
          <w:color w:val="000000"/>
          <w:sz w:val="36"/>
          <w:szCs w:val="36"/>
          <w:highlight w:val="none"/>
        </w:rPr>
      </w:pPr>
    </w:p>
    <w:p w14:paraId="28F83C95">
      <w:pPr>
        <w:pStyle w:val="27"/>
        <w:rPr>
          <w:rFonts w:ascii="宋体" w:hAnsi="宋体" w:cs="宋体"/>
          <w:b/>
          <w:bCs/>
          <w:color w:val="000000"/>
          <w:sz w:val="36"/>
          <w:szCs w:val="36"/>
          <w:highlight w:val="none"/>
        </w:rPr>
      </w:pPr>
    </w:p>
    <w:p w14:paraId="4CB520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p>
    <w:p w14:paraId="72B8E2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p>
    <w:p w14:paraId="3CBB038B">
      <w:pPr>
        <w:pStyle w:val="38"/>
        <w:rPr>
          <w:rFonts w:ascii="宋体" w:hAnsi="宋体" w:cs="宋体"/>
          <w:b/>
          <w:bCs/>
          <w:color w:val="000000"/>
          <w:sz w:val="36"/>
          <w:szCs w:val="36"/>
          <w:highlight w:val="none"/>
        </w:rPr>
      </w:pPr>
    </w:p>
    <w:p w14:paraId="7F137311">
      <w:pPr>
        <w:rPr>
          <w:rFonts w:ascii="宋体" w:hAnsi="宋体" w:cs="宋体"/>
          <w:b/>
          <w:bCs/>
          <w:color w:val="000000"/>
          <w:sz w:val="36"/>
          <w:szCs w:val="36"/>
          <w:highlight w:val="none"/>
        </w:rPr>
      </w:pPr>
      <w:r>
        <w:rPr>
          <w:rFonts w:ascii="宋体" w:hAnsi="宋体" w:cs="宋体"/>
          <w:b/>
          <w:bCs/>
          <w:color w:val="000000"/>
          <w:sz w:val="36"/>
          <w:szCs w:val="36"/>
          <w:highlight w:val="none"/>
        </w:rPr>
        <w:br w:type="page"/>
      </w:r>
    </w:p>
    <w:p w14:paraId="1324D6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r>
        <w:rPr>
          <w:rFonts w:ascii="宋体" w:hAnsi="宋体" w:cs="宋体"/>
          <w:b/>
          <w:bCs/>
          <w:color w:val="000000"/>
          <w:sz w:val="36"/>
          <w:szCs w:val="36"/>
          <w:highlight w:val="none"/>
        </w:rPr>
        <w:t>一、投标函</w:t>
      </w:r>
    </w:p>
    <w:p w14:paraId="69D67229">
      <w:pPr>
        <w:pStyle w:val="2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新宋体" w:hAnsi="新宋体" w:eastAsia="新宋体"/>
          <w:b/>
          <w:bCs/>
          <w:color w:val="auto"/>
          <w:szCs w:val="28"/>
          <w:highlight w:val="none"/>
          <w:lang w:eastAsia="zh-CN"/>
        </w:rPr>
      </w:pPr>
      <w:r>
        <w:rPr>
          <w:rFonts w:hint="eastAsia" w:ascii="新宋体" w:hAnsi="新宋体" w:eastAsia="新宋体"/>
          <w:b/>
          <w:bCs/>
          <w:color w:val="auto"/>
          <w:szCs w:val="28"/>
          <w:highlight w:val="none"/>
        </w:rPr>
        <w:t>致：</w:t>
      </w:r>
      <w:r>
        <w:rPr>
          <w:rFonts w:hint="eastAsia" w:ascii="新宋体" w:hAnsi="新宋体" w:eastAsia="新宋体"/>
          <w:b/>
          <w:bCs/>
          <w:color w:val="auto"/>
          <w:szCs w:val="28"/>
          <w:highlight w:val="none"/>
          <w:lang w:eastAsia="zh-CN"/>
        </w:rPr>
        <w:t>瑞恒项目管理有限公司</w:t>
      </w:r>
    </w:p>
    <w:p w14:paraId="21E6CD8F">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我方全面研究了</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采购项目招标文件（</w:t>
      </w:r>
      <w:r>
        <w:rPr>
          <w:rFonts w:hint="eastAsia" w:ascii="Times New Roman" w:hAnsi="Times New Roman" w:eastAsia="新宋体" w:cs="Times New Roman"/>
          <w:bCs/>
          <w:color w:val="auto"/>
          <w:szCs w:val="28"/>
          <w:highlight w:val="none"/>
          <w:lang w:eastAsia="zh-CN"/>
        </w:rPr>
        <w:t>RHAKCG-20260403</w:t>
      </w:r>
      <w:r>
        <w:rPr>
          <w:rFonts w:hint="default" w:ascii="Times New Roman" w:hAnsi="Times New Roman" w:eastAsia="新宋体" w:cs="Times New Roman"/>
          <w:bCs/>
          <w:color w:val="auto"/>
          <w:szCs w:val="28"/>
          <w:highlight w:val="none"/>
        </w:rPr>
        <w:t>）的全部内容，知悉参加投标的风险，我方承诺接受招标文件的全部条款且无任何异议，决定参加贵单位组织的本项目招标。我方正式授权</w:t>
      </w:r>
      <w:r>
        <w:rPr>
          <w:rFonts w:hint="default" w:ascii="Times New Roman" w:hAnsi="Times New Roman" w:eastAsia="新宋体" w:cs="Times New Roman"/>
          <w:bCs/>
          <w:color w:val="auto"/>
          <w:szCs w:val="28"/>
          <w:highlight w:val="none"/>
          <w:u w:val="single"/>
        </w:rPr>
        <w:t>（姓名、职务）</w:t>
      </w:r>
      <w:r>
        <w:rPr>
          <w:rFonts w:hint="default" w:ascii="Times New Roman" w:hAnsi="Times New Roman" w:eastAsia="新宋体" w:cs="Times New Roman"/>
          <w:bCs/>
          <w:color w:val="auto"/>
          <w:szCs w:val="28"/>
          <w:highlight w:val="none"/>
        </w:rPr>
        <w:t>代表我方</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（投标单位的名称）全权处理本项目投标的有关事宜。</w:t>
      </w:r>
    </w:p>
    <w:p w14:paraId="149E3145">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在此，我方郑重声明以下诸点</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并负法律责任。</w:t>
      </w:r>
    </w:p>
    <w:p w14:paraId="53D6FC40">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1</w:t>
      </w:r>
      <w:r>
        <w:rPr>
          <w:rFonts w:hint="default" w:ascii="Times New Roman" w:hAnsi="Times New Roman" w:eastAsia="新宋体" w:cs="Times New Roman"/>
          <w:bCs/>
          <w:color w:val="auto"/>
          <w:szCs w:val="28"/>
          <w:highlight w:val="none"/>
        </w:rPr>
        <w:t>、按照招标文件的规定，我方</w:t>
      </w:r>
      <w:r>
        <w:rPr>
          <w:rFonts w:hint="eastAsia" w:ascii="Times New Roman" w:hAnsi="Times New Roman" w:eastAsia="新宋体" w:cs="Times New Roman"/>
          <w:bCs/>
          <w:color w:val="auto"/>
          <w:szCs w:val="28"/>
          <w:highlight w:val="none"/>
          <w:lang w:eastAsia="zh-CN"/>
        </w:rPr>
        <w:t>投标报价</w:t>
      </w:r>
      <w:r>
        <w:rPr>
          <w:rFonts w:hint="default" w:ascii="Times New Roman" w:hAnsi="Times New Roman" w:eastAsia="新宋体" w:cs="Times New Roman"/>
          <w:bCs/>
          <w:color w:val="auto"/>
          <w:szCs w:val="28"/>
          <w:highlight w:val="none"/>
        </w:rPr>
        <w:t>为人民币：</w:t>
      </w:r>
      <w:r>
        <w:rPr>
          <w:rFonts w:hint="default" w:ascii="Arial" w:hAnsi="Arial" w:eastAsia="新宋体" w:cs="Arial"/>
          <w:bCs/>
          <w:color w:val="auto"/>
          <w:szCs w:val="28"/>
          <w:highlight w:val="none"/>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元</w:t>
      </w:r>
      <w:r>
        <w:rPr>
          <w:rFonts w:hint="default" w:ascii="Times New Roman" w:hAnsi="Times New Roman" w:eastAsia="新宋体" w:cs="Times New Roman"/>
          <w:bCs/>
          <w:color w:val="auto"/>
          <w:szCs w:val="28"/>
          <w:highlight w:val="none"/>
        </w:rPr>
        <w:t>（大写：</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w:t>
      </w:r>
      <w:r>
        <w:rPr>
          <w:rFonts w:hint="eastAsia" w:ascii="Times New Roman" w:hAnsi="Times New Roman" w:eastAsia="新宋体" w:cs="Times New Roman"/>
          <w:bCs/>
          <w:color w:val="auto"/>
          <w:szCs w:val="28"/>
          <w:highlight w:val="none"/>
          <w:lang w:eastAsia="zh-CN"/>
        </w:rPr>
        <w:t>，</w:t>
      </w:r>
      <w:r>
        <w:rPr>
          <w:rFonts w:hint="eastAsia" w:ascii="Times New Roman" w:hAnsi="Times New Roman" w:eastAsia="新宋体" w:cs="Times New Roman"/>
          <w:bCs/>
          <w:color w:val="auto"/>
          <w:szCs w:val="28"/>
          <w:highlight w:val="none"/>
          <w:lang w:val="en-US" w:eastAsia="zh-CN"/>
        </w:rPr>
        <w:t>投标优惠率：</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rPr>
        <w:t>。</w:t>
      </w:r>
    </w:p>
    <w:p w14:paraId="551923EE">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2、</w:t>
      </w:r>
      <w:r>
        <w:rPr>
          <w:rFonts w:hint="default" w:ascii="Times New Roman" w:hAnsi="Times New Roman" w:eastAsia="新宋体" w:cs="Times New Roman"/>
          <w:bCs/>
          <w:color w:val="auto"/>
          <w:szCs w:val="28"/>
          <w:highlight w:val="none"/>
        </w:rPr>
        <w:t>如果</w:t>
      </w:r>
      <w:r>
        <w:rPr>
          <w:rFonts w:hint="eastAsia" w:ascii="Times New Roman" w:hAnsi="Times New Roman" w:eastAsia="新宋体" w:cs="Times New Roman"/>
          <w:bCs/>
          <w:color w:val="auto"/>
          <w:szCs w:val="28"/>
          <w:highlight w:val="none"/>
          <w:lang w:eastAsia="zh-CN"/>
        </w:rPr>
        <w:t>我方</w:t>
      </w:r>
      <w:r>
        <w:rPr>
          <w:rFonts w:hint="default" w:ascii="Times New Roman" w:hAnsi="Times New Roman" w:eastAsia="新宋体" w:cs="Times New Roman"/>
          <w:bCs/>
          <w:color w:val="auto"/>
          <w:szCs w:val="28"/>
          <w:highlight w:val="none"/>
        </w:rPr>
        <w:t>中标，我</w:t>
      </w:r>
      <w:r>
        <w:rPr>
          <w:rFonts w:hint="eastAsia" w:ascii="Times New Roman" w:hAnsi="Times New Roman" w:eastAsia="新宋体" w:cs="Times New Roman"/>
          <w:bCs/>
          <w:color w:val="auto"/>
          <w:szCs w:val="28"/>
          <w:highlight w:val="none"/>
          <w:lang w:eastAsia="zh-CN"/>
        </w:rPr>
        <w:t>方</w:t>
      </w:r>
      <w:r>
        <w:rPr>
          <w:rFonts w:hint="default" w:ascii="Times New Roman" w:hAnsi="Times New Roman" w:eastAsia="新宋体" w:cs="Times New Roman"/>
          <w:bCs/>
          <w:color w:val="auto"/>
          <w:szCs w:val="28"/>
          <w:highlight w:val="none"/>
        </w:rPr>
        <w:t>根据招标文件的规定，履行合同的责任和义务；</w:t>
      </w:r>
    </w:p>
    <w:p w14:paraId="494120EB">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3</w:t>
      </w:r>
      <w:r>
        <w:rPr>
          <w:rFonts w:hint="default" w:ascii="Times New Roman" w:hAnsi="Times New Roman" w:eastAsia="新宋体" w:cs="Times New Roman"/>
          <w:bCs/>
          <w:color w:val="auto"/>
          <w:szCs w:val="28"/>
          <w:highlight w:val="none"/>
        </w:rPr>
        <w:t>、我方已仔细阅读了招标文件的全部内容</w:t>
      </w:r>
      <w:r>
        <w:rPr>
          <w:rFonts w:hint="eastAsia" w:ascii="Times New Roman" w:hAnsi="Times New Roman" w:eastAsia="新宋体" w:cs="Times New Roman"/>
          <w:bCs/>
          <w:color w:val="auto"/>
          <w:szCs w:val="28"/>
          <w:highlight w:val="none"/>
          <w:lang w:eastAsia="zh-CN"/>
        </w:rPr>
        <w:t>（含修改部分，如有的话）</w:t>
      </w:r>
      <w:r>
        <w:rPr>
          <w:rFonts w:hint="default" w:ascii="Times New Roman" w:hAnsi="Times New Roman" w:eastAsia="新宋体" w:cs="Times New Roman"/>
          <w:bCs/>
          <w:color w:val="auto"/>
          <w:szCs w:val="28"/>
          <w:highlight w:val="none"/>
        </w:rPr>
        <w:t>，完全理解并放弃提出含糊不清或易形成歧义的表述和资料</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同意和放弃对招标文件不明或误解而询问、质疑和投诉的权利。</w:t>
      </w:r>
    </w:p>
    <w:p w14:paraId="08A71164">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lang w:val="en-US" w:eastAsia="zh-CN"/>
        </w:rPr>
        <w:t xml:space="preserve">    </w:t>
      </w:r>
      <w:r>
        <w:rPr>
          <w:rFonts w:hint="eastAsia" w:ascii="Times New Roman" w:hAnsi="Times New Roman" w:eastAsia="新宋体" w:cs="Times New Roman"/>
          <w:bCs/>
          <w:color w:val="auto"/>
          <w:szCs w:val="28"/>
          <w:highlight w:val="none"/>
          <w:lang w:val="en-US" w:eastAsia="zh-CN"/>
        </w:rPr>
        <w:t>4</w:t>
      </w:r>
      <w:r>
        <w:rPr>
          <w:rFonts w:hint="default" w:ascii="Times New Roman" w:hAnsi="Times New Roman" w:eastAsia="新宋体" w:cs="Times New Roman"/>
          <w:bCs/>
          <w:color w:val="auto"/>
          <w:szCs w:val="28"/>
          <w:highlight w:val="none"/>
        </w:rPr>
        <w:t>、开标后在规定的投标有效期内撤回投标，我们愿接受政府采购的有关处罚决定。</w:t>
      </w:r>
    </w:p>
    <w:p w14:paraId="60F45594">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5</w:t>
      </w:r>
      <w:r>
        <w:rPr>
          <w:rFonts w:hint="default" w:ascii="Times New Roman" w:hAnsi="Times New Roman" w:eastAsia="新宋体" w:cs="Times New Roman"/>
          <w:bCs/>
          <w:color w:val="auto"/>
          <w:szCs w:val="28"/>
          <w:highlight w:val="none"/>
        </w:rPr>
        <w:t>、同意向贵方提供可能要求的，与本次投标有关的任何证据或资料，并保证我方已提供和将要提供的文件资料是真实、准确的</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否则，愿承担《中华人民共和国政府采购法》第七十七条规定的法律责任。我们完全理解最低投标报价不作为中标的唯一条件，且尊重评标委员会的评标结论和定标结果。</w:t>
      </w:r>
    </w:p>
    <w:p w14:paraId="3FF0CF66">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lang w:val="en-US" w:eastAsia="zh-CN"/>
        </w:rPr>
        <w:t xml:space="preserve">   </w:t>
      </w:r>
      <w:r>
        <w:rPr>
          <w:rFonts w:hint="eastAsia" w:ascii="Times New Roman" w:hAnsi="Times New Roman" w:eastAsia="新宋体" w:cs="Times New Roman"/>
          <w:bCs/>
          <w:color w:val="auto"/>
          <w:szCs w:val="28"/>
          <w:highlight w:val="none"/>
          <w:lang w:val="en-US" w:eastAsia="zh-CN"/>
        </w:rPr>
        <w:t xml:space="preserve"> 6</w:t>
      </w:r>
      <w:r>
        <w:rPr>
          <w:rFonts w:hint="default" w:ascii="Times New Roman" w:hAnsi="Times New Roman" w:eastAsia="新宋体" w:cs="Times New Roman"/>
          <w:bCs/>
          <w:color w:val="auto"/>
          <w:szCs w:val="28"/>
          <w:highlight w:val="none"/>
        </w:rPr>
        <w:t>、我方的投标文件</w:t>
      </w:r>
      <w:r>
        <w:rPr>
          <w:rFonts w:hint="eastAsia" w:ascii="Times New Roman" w:hAnsi="Times New Roman" w:eastAsia="新宋体" w:cs="Times New Roman"/>
          <w:bCs/>
          <w:color w:val="auto"/>
          <w:szCs w:val="28"/>
          <w:highlight w:val="none"/>
          <w:lang w:eastAsia="zh-CN"/>
        </w:rPr>
        <w:t>在自</w:t>
      </w:r>
      <w:r>
        <w:rPr>
          <w:rFonts w:hint="default" w:ascii="Times New Roman" w:hAnsi="Times New Roman" w:eastAsia="新宋体" w:cs="Times New Roman"/>
          <w:bCs/>
          <w:color w:val="auto"/>
          <w:szCs w:val="28"/>
          <w:highlight w:val="none"/>
        </w:rPr>
        <w:t>开标</w:t>
      </w:r>
      <w:r>
        <w:rPr>
          <w:rFonts w:hint="eastAsia" w:ascii="Times New Roman" w:hAnsi="Times New Roman" w:eastAsia="新宋体" w:cs="Times New Roman"/>
          <w:bCs/>
          <w:color w:val="auto"/>
          <w:szCs w:val="28"/>
          <w:highlight w:val="none"/>
          <w:lang w:eastAsia="zh-CN"/>
        </w:rPr>
        <w:t>之日起</w:t>
      </w:r>
      <w:r>
        <w:rPr>
          <w:rFonts w:hint="default" w:ascii="Times New Roman" w:hAnsi="Times New Roman" w:eastAsia="新宋体" w:cs="Times New Roman"/>
          <w:bCs/>
          <w:color w:val="auto"/>
          <w:szCs w:val="28"/>
          <w:highlight w:val="none"/>
        </w:rPr>
        <w:t>有效期为90个日历天，若我方中标，投标文件有效期延长至合同执行完毕。</w:t>
      </w:r>
    </w:p>
    <w:p w14:paraId="4A208B95">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7、</w:t>
      </w:r>
      <w:r>
        <w:rPr>
          <w:rFonts w:hint="default" w:ascii="Times New Roman" w:hAnsi="Times New Roman" w:eastAsia="新宋体" w:cs="Times New Roman"/>
          <w:bCs/>
          <w:color w:val="auto"/>
          <w:szCs w:val="28"/>
          <w:highlight w:val="none"/>
        </w:rPr>
        <w:t>有关本项目的所有函电，请按下列地址联系：</w:t>
      </w:r>
    </w:p>
    <w:p w14:paraId="110C3E60">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新宋体" w:cs="Times New Roman"/>
          <w:bCs/>
          <w:color w:val="auto"/>
          <w:szCs w:val="28"/>
          <w:highlight w:val="none"/>
        </w:rPr>
      </w:pPr>
    </w:p>
    <w:p w14:paraId="2DB39038">
      <w:pPr>
        <w:pStyle w:val="2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 xml:space="preserve">                        </w:t>
      </w: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投标人名称：</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（盖章）</w:t>
      </w:r>
    </w:p>
    <w:p w14:paraId="0FCCE61E">
      <w:pPr>
        <w:pStyle w:val="2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法定代表人或授权代表（</w:t>
      </w:r>
      <w:r>
        <w:rPr>
          <w:rFonts w:hint="eastAsia" w:ascii="Times New Roman" w:hAnsi="Times New Roman" w:eastAsia="新宋体" w:cs="Times New Roman"/>
          <w:bCs/>
          <w:color w:val="auto"/>
          <w:szCs w:val="28"/>
          <w:highlight w:val="none"/>
          <w:lang w:eastAsia="zh-CN"/>
        </w:rPr>
        <w:t>盖章或</w:t>
      </w:r>
      <w:r>
        <w:rPr>
          <w:rFonts w:hint="default" w:ascii="Times New Roman" w:hAnsi="Times New Roman" w:eastAsia="新宋体" w:cs="Times New Roman"/>
          <w:bCs/>
          <w:color w:val="auto"/>
          <w:szCs w:val="28"/>
          <w:highlight w:val="none"/>
        </w:rPr>
        <w:t>签字）：</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2B803A7">
      <w:pPr>
        <w:pStyle w:val="2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通讯地址：</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4B1DA0E">
      <w:pPr>
        <w:pStyle w:val="2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联系电话：</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52C57C7F">
      <w:pPr>
        <w:pStyle w:val="2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传    真：</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3FC6A570">
      <w:pPr>
        <w:pStyle w:val="2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电子邮件：</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F415218">
      <w:pPr>
        <w:pStyle w:val="2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开户银行</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3130D495">
      <w:pPr>
        <w:pStyle w:val="2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帐    号：</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099208B">
      <w:pPr>
        <w:pStyle w:val="2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eastAsia" w:ascii="宋体" w:hAnsi="宋体" w:cs="宋体"/>
          <w:b/>
          <w:bCs/>
          <w:color w:val="000000"/>
          <w:sz w:val="36"/>
          <w:szCs w:val="36"/>
          <w:highlight w:val="non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日    期：</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5162AB30">
      <w:pP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5AE5EAFA">
      <w:pPr>
        <w:spacing w:line="60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二、</w:t>
      </w:r>
      <w:r>
        <w:rPr>
          <w:rFonts w:hint="eastAsia" w:ascii="宋体" w:hAnsi="宋体" w:cs="宋体"/>
          <w:b/>
          <w:bCs/>
          <w:color w:val="000000"/>
          <w:sz w:val="36"/>
          <w:szCs w:val="36"/>
          <w:highlight w:val="none"/>
          <w:lang w:eastAsia="zh-CN"/>
        </w:rPr>
        <w:t>开标一览表</w:t>
      </w:r>
    </w:p>
    <w:p w14:paraId="2405CA5C">
      <w:pPr>
        <w:spacing w:line="560" w:lineRule="exact"/>
        <w:rPr>
          <w:rFonts w:hint="eastAsia" w:ascii="宋体" w:hAnsi="宋体"/>
          <w:szCs w:val="21"/>
          <w:highlight w:val="none"/>
          <w:u w:val="single"/>
          <w:vertAlign w:val="baseli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tbl>
      <w:tblPr>
        <w:tblStyle w:val="41"/>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116"/>
        <w:gridCol w:w="4200"/>
        <w:gridCol w:w="1947"/>
      </w:tblGrid>
      <w:tr w14:paraId="623D6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138" w:type="dxa"/>
            <w:tcBorders>
              <w:tl2br w:val="nil"/>
              <w:tr2bl w:val="nil"/>
            </w:tcBorders>
            <w:vAlign w:val="center"/>
          </w:tcPr>
          <w:p w14:paraId="19E5CAFD">
            <w:pPr>
              <w:spacing w:line="480" w:lineRule="exact"/>
              <w:ind w:right="143" w:rightChars="68"/>
              <w:jc w:val="center"/>
              <w:rPr>
                <w:rFonts w:hint="default" w:ascii="Times New Roman" w:hAnsi="Times New Roman" w:eastAsia="宋体" w:cs="Times New Roman"/>
                <w:b/>
                <w:bCs w:val="0"/>
                <w:sz w:val="21"/>
                <w:szCs w:val="21"/>
                <w:highlight w:val="none"/>
                <w:vertAlign w:val="baseline"/>
                <w:lang w:val="en-US" w:eastAsia="zh-CN"/>
              </w:rPr>
            </w:pPr>
            <w:r>
              <w:rPr>
                <w:rFonts w:hint="eastAsia" w:cs="Times New Roman"/>
                <w:b/>
                <w:bCs w:val="0"/>
                <w:color w:val="auto"/>
                <w:sz w:val="21"/>
                <w:szCs w:val="21"/>
                <w:highlight w:val="none"/>
                <w:lang w:val="en-US" w:eastAsia="zh-CN"/>
              </w:rPr>
              <w:t>投标优惠率</w:t>
            </w:r>
          </w:p>
        </w:tc>
        <w:tc>
          <w:tcPr>
            <w:tcW w:w="5316" w:type="dxa"/>
            <w:gridSpan w:val="2"/>
            <w:tcBorders>
              <w:tl2br w:val="nil"/>
              <w:tr2bl w:val="nil"/>
            </w:tcBorders>
            <w:vAlign w:val="center"/>
          </w:tcPr>
          <w:p w14:paraId="49050BC4">
            <w:pPr>
              <w:spacing w:line="480" w:lineRule="exact"/>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投标</w:t>
            </w:r>
            <w:r>
              <w:rPr>
                <w:rFonts w:hint="default" w:ascii="Times New Roman" w:hAnsi="Times New Roman" w:eastAsia="宋体" w:cs="Times New Roman"/>
                <w:b/>
                <w:bCs w:val="0"/>
                <w:color w:val="auto"/>
                <w:sz w:val="21"/>
                <w:szCs w:val="21"/>
                <w:highlight w:val="none"/>
                <w:lang w:eastAsia="zh-CN"/>
              </w:rPr>
              <w:t>报价</w:t>
            </w:r>
          </w:p>
          <w:p w14:paraId="1C350164">
            <w:pPr>
              <w:spacing w:line="480" w:lineRule="exact"/>
              <w:jc w:val="center"/>
              <w:rPr>
                <w:rFonts w:hint="default" w:ascii="Times New Roman" w:hAnsi="Times New Roman" w:eastAsia="宋体" w:cs="Times New Roman"/>
                <w:b/>
                <w:bCs w:val="0"/>
                <w:sz w:val="21"/>
                <w:szCs w:val="21"/>
                <w:highlight w:val="none"/>
                <w:vertAlign w:val="baseline"/>
              </w:rPr>
            </w:pPr>
            <w:r>
              <w:rPr>
                <w:rFonts w:hint="default" w:ascii="Times New Roman" w:hAnsi="Times New Roman" w:eastAsia="宋体" w:cs="Times New Roman"/>
                <w:b/>
                <w:bCs w:val="0"/>
                <w:color w:val="auto"/>
                <w:sz w:val="21"/>
                <w:szCs w:val="21"/>
                <w:highlight w:val="none"/>
              </w:rPr>
              <w:t>（人民币:元）</w:t>
            </w:r>
          </w:p>
        </w:tc>
        <w:tc>
          <w:tcPr>
            <w:tcW w:w="1947" w:type="dxa"/>
            <w:tcBorders>
              <w:tl2br w:val="nil"/>
              <w:tr2bl w:val="nil"/>
            </w:tcBorders>
            <w:vAlign w:val="center"/>
          </w:tcPr>
          <w:p w14:paraId="596154E6">
            <w:pPr>
              <w:spacing w:line="480" w:lineRule="exact"/>
              <w:jc w:val="center"/>
              <w:rPr>
                <w:rFonts w:hint="eastAsia" w:ascii="Times New Roman" w:hAnsi="Times New Roman" w:eastAsia="宋体" w:cs="Times New Roman"/>
                <w:b/>
                <w:bCs w:val="0"/>
                <w:sz w:val="21"/>
                <w:szCs w:val="21"/>
                <w:highlight w:val="none"/>
                <w:vertAlign w:val="baseline"/>
                <w:lang w:eastAsia="zh-CN"/>
              </w:rPr>
            </w:pPr>
            <w:r>
              <w:rPr>
                <w:rFonts w:hint="eastAsia" w:cs="Times New Roman"/>
                <w:b/>
                <w:bCs w:val="0"/>
                <w:color w:val="auto"/>
                <w:sz w:val="21"/>
                <w:szCs w:val="21"/>
                <w:highlight w:val="none"/>
                <w:lang w:val="en-US" w:eastAsia="zh-CN"/>
              </w:rPr>
              <w:t>合同履行期限</w:t>
            </w:r>
          </w:p>
        </w:tc>
      </w:tr>
      <w:tr w14:paraId="3E079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38" w:type="dxa"/>
            <w:vMerge w:val="restart"/>
            <w:tcBorders>
              <w:tl2br w:val="nil"/>
              <w:tr2bl w:val="nil"/>
            </w:tcBorders>
            <w:vAlign w:val="center"/>
          </w:tcPr>
          <w:p w14:paraId="0C26C805">
            <w:pPr>
              <w:spacing w:line="56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c>
          <w:tcPr>
            <w:tcW w:w="1116" w:type="dxa"/>
            <w:tcBorders>
              <w:tl2br w:val="nil"/>
              <w:tr2bl w:val="nil"/>
            </w:tcBorders>
            <w:vAlign w:val="center"/>
          </w:tcPr>
          <w:p w14:paraId="2097D302">
            <w:pPr>
              <w:spacing w:line="560" w:lineRule="exact"/>
              <w:jc w:val="center"/>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小写</w:t>
            </w:r>
          </w:p>
        </w:tc>
        <w:tc>
          <w:tcPr>
            <w:tcW w:w="4200" w:type="dxa"/>
            <w:tcBorders>
              <w:tl2br w:val="nil"/>
              <w:tr2bl w:val="nil"/>
            </w:tcBorders>
            <w:vAlign w:val="center"/>
          </w:tcPr>
          <w:p w14:paraId="0E4B5719">
            <w:pPr>
              <w:spacing w:line="560" w:lineRule="exact"/>
              <w:jc w:val="both"/>
              <w:rPr>
                <w:rFonts w:hint="eastAsia" w:ascii="Times New Roman" w:hAnsi="Times New Roman" w:eastAsia="宋体" w:cs="Times New Roman"/>
                <w:sz w:val="21"/>
                <w:szCs w:val="21"/>
                <w:highlight w:val="none"/>
                <w:vertAlign w:val="baseline"/>
                <w:lang w:eastAsia="zh-CN"/>
              </w:rPr>
            </w:pPr>
            <w:r>
              <w:rPr>
                <w:rFonts w:hint="eastAsia" w:ascii="Times New Roman" w:hAnsi="Times New Roman" w:eastAsia="宋体" w:cs="Times New Roman"/>
                <w:color w:val="auto"/>
                <w:sz w:val="21"/>
                <w:szCs w:val="21"/>
                <w:highlight w:val="none"/>
                <w:lang w:eastAsia="zh-CN"/>
              </w:rPr>
              <w:t>¥</w:t>
            </w:r>
          </w:p>
        </w:tc>
        <w:tc>
          <w:tcPr>
            <w:tcW w:w="1947" w:type="dxa"/>
            <w:vMerge w:val="restart"/>
            <w:tcBorders>
              <w:tl2br w:val="nil"/>
              <w:tr2bl w:val="nil"/>
            </w:tcBorders>
            <w:vAlign w:val="center"/>
          </w:tcPr>
          <w:p w14:paraId="1D9EF3B4">
            <w:pPr>
              <w:spacing w:line="560" w:lineRule="exact"/>
              <w:jc w:val="center"/>
              <w:rPr>
                <w:rFonts w:hint="default" w:ascii="Times New Roman" w:hAnsi="Times New Roman" w:eastAsia="宋体" w:cs="Times New Roman"/>
                <w:sz w:val="21"/>
                <w:szCs w:val="21"/>
                <w:highlight w:val="none"/>
                <w:vertAlign w:val="baseline"/>
              </w:rPr>
            </w:pPr>
          </w:p>
        </w:tc>
      </w:tr>
      <w:tr w14:paraId="72740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138" w:type="dxa"/>
            <w:vMerge w:val="continue"/>
            <w:tcBorders>
              <w:tl2br w:val="nil"/>
              <w:tr2bl w:val="nil"/>
            </w:tcBorders>
            <w:vAlign w:val="center"/>
          </w:tcPr>
          <w:p w14:paraId="56278787">
            <w:pPr>
              <w:spacing w:line="560" w:lineRule="exact"/>
              <w:jc w:val="center"/>
              <w:rPr>
                <w:rFonts w:hint="default" w:ascii="Times New Roman" w:hAnsi="Times New Roman" w:eastAsia="宋体" w:cs="Times New Roman"/>
                <w:sz w:val="21"/>
                <w:szCs w:val="21"/>
                <w:highlight w:val="none"/>
                <w:vertAlign w:val="baseline"/>
              </w:rPr>
            </w:pPr>
          </w:p>
        </w:tc>
        <w:tc>
          <w:tcPr>
            <w:tcW w:w="1116" w:type="dxa"/>
            <w:tcBorders>
              <w:tl2br w:val="nil"/>
              <w:tr2bl w:val="nil"/>
            </w:tcBorders>
            <w:vAlign w:val="center"/>
          </w:tcPr>
          <w:p w14:paraId="326101E6">
            <w:pPr>
              <w:spacing w:line="560" w:lineRule="exact"/>
              <w:jc w:val="center"/>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大写</w:t>
            </w:r>
          </w:p>
        </w:tc>
        <w:tc>
          <w:tcPr>
            <w:tcW w:w="4200" w:type="dxa"/>
            <w:tcBorders>
              <w:tl2br w:val="nil"/>
              <w:tr2bl w:val="nil"/>
            </w:tcBorders>
            <w:vAlign w:val="center"/>
          </w:tcPr>
          <w:p w14:paraId="0C227699">
            <w:pPr>
              <w:spacing w:line="560" w:lineRule="exact"/>
              <w:jc w:val="center"/>
              <w:rPr>
                <w:rFonts w:hint="default" w:ascii="Times New Roman" w:hAnsi="Times New Roman" w:eastAsia="宋体" w:cs="Times New Roman"/>
                <w:sz w:val="21"/>
                <w:szCs w:val="21"/>
                <w:highlight w:val="none"/>
                <w:vertAlign w:val="baseline"/>
              </w:rPr>
            </w:pPr>
          </w:p>
        </w:tc>
        <w:tc>
          <w:tcPr>
            <w:tcW w:w="1947" w:type="dxa"/>
            <w:vMerge w:val="continue"/>
            <w:tcBorders>
              <w:tl2br w:val="nil"/>
              <w:tr2bl w:val="nil"/>
            </w:tcBorders>
            <w:vAlign w:val="center"/>
          </w:tcPr>
          <w:p w14:paraId="14081131">
            <w:pPr>
              <w:spacing w:line="560" w:lineRule="exact"/>
              <w:jc w:val="center"/>
              <w:rPr>
                <w:rFonts w:hint="default" w:ascii="Times New Roman" w:hAnsi="Times New Roman" w:eastAsia="宋体" w:cs="Times New Roman"/>
                <w:sz w:val="21"/>
                <w:szCs w:val="21"/>
                <w:highlight w:val="none"/>
                <w:vertAlign w:val="baseline"/>
              </w:rPr>
            </w:pPr>
          </w:p>
        </w:tc>
      </w:tr>
    </w:tbl>
    <w:p w14:paraId="368FC360">
      <w:pPr>
        <w:spacing w:line="560" w:lineRule="exact"/>
        <w:rPr>
          <w:rFonts w:hint="eastAsia" w:ascii="Times New Roman" w:hAnsi="Times New Roman" w:cs="Times New Roman"/>
          <w:szCs w:val="21"/>
          <w:highlight w:val="none"/>
        </w:rPr>
      </w:pPr>
      <w:r>
        <w:rPr>
          <w:rFonts w:hint="default" w:ascii="Times New Roman" w:hAnsi="Times New Roman" w:cs="Times New Roman"/>
          <w:szCs w:val="21"/>
          <w:highlight w:val="none"/>
        </w:rPr>
        <w:t>注：</w:t>
      </w:r>
      <w:r>
        <w:rPr>
          <w:rFonts w:hint="eastAsia" w:cs="Times New Roman"/>
          <w:szCs w:val="21"/>
          <w:highlight w:val="none"/>
          <w:lang w:val="en-US" w:eastAsia="zh-CN"/>
        </w:rPr>
        <w:t>1、</w:t>
      </w:r>
      <w:r>
        <w:rPr>
          <w:rFonts w:hint="eastAsia" w:ascii="Times New Roman" w:hAnsi="Times New Roman" w:cs="Times New Roman"/>
          <w:szCs w:val="21"/>
          <w:highlight w:val="none"/>
        </w:rPr>
        <w:t>投标报价=1,600,000.00*（1-投标优惠率）。（本次投标报价金额仅作为报价得分计算依据，不作为后期合同结算的依据，后期结算按照中标优惠率据实结算。</w:t>
      </w:r>
    </w:p>
    <w:p w14:paraId="3AD1796C">
      <w:pPr>
        <w:spacing w:line="560" w:lineRule="exact"/>
        <w:ind w:firstLine="420"/>
        <w:rPr>
          <w:rFonts w:hint="eastAsia" w:ascii="Times New Roman" w:hAnsi="Times New Roman" w:cs="Times New Roman"/>
          <w:szCs w:val="21"/>
          <w:highlight w:val="none"/>
        </w:rPr>
      </w:pPr>
      <w:r>
        <w:rPr>
          <w:rFonts w:hint="eastAsia" w:cs="Times New Roman"/>
          <w:szCs w:val="21"/>
          <w:highlight w:val="none"/>
          <w:lang w:val="en-US" w:eastAsia="zh-CN"/>
        </w:rPr>
        <w:t>2、</w:t>
      </w:r>
      <w:r>
        <w:rPr>
          <w:rFonts w:hint="eastAsia" w:ascii="Times New Roman" w:hAnsi="Times New Roman" w:cs="Times New Roman"/>
          <w:szCs w:val="21"/>
          <w:highlight w:val="none"/>
        </w:rPr>
        <w:t>投标报价包括但不限于：食品供应价、运输费、仓储费、搬运费、抽检检验检测费、保险费、人工费、税费等其他一切伴随费用。投标人报价总价不得高于本项目最高限价，否则按无效文件处理。</w:t>
      </w:r>
    </w:p>
    <w:p w14:paraId="0B894511">
      <w:pPr>
        <w:spacing w:line="560" w:lineRule="exact"/>
        <w:ind w:firstLine="420"/>
        <w:rPr>
          <w:rFonts w:hint="eastAsia" w:ascii="Times New Roman" w:hAnsi="Times New Roman" w:cs="Times New Roman"/>
          <w:szCs w:val="21"/>
          <w:highlight w:val="none"/>
        </w:rPr>
      </w:pPr>
      <w:r>
        <w:rPr>
          <w:rFonts w:hint="eastAsia" w:cs="Times New Roman"/>
          <w:szCs w:val="21"/>
          <w:highlight w:val="none"/>
          <w:lang w:val="en-US" w:eastAsia="zh-CN"/>
        </w:rPr>
        <w:t>3、</w:t>
      </w:r>
      <w:r>
        <w:rPr>
          <w:rFonts w:hint="eastAsia" w:ascii="Times New Roman" w:hAnsi="Times New Roman" w:cs="Times New Roman"/>
          <w:szCs w:val="21"/>
          <w:highlight w:val="none"/>
        </w:rPr>
        <w:t>结算方式：以招标文件第四部分 采购内容及技术要求为准。</w:t>
      </w:r>
    </w:p>
    <w:p w14:paraId="1BD501D7">
      <w:pPr>
        <w:spacing w:line="560" w:lineRule="exact"/>
        <w:ind w:firstLine="420"/>
        <w:rPr>
          <w:rFonts w:hint="default" w:ascii="Times New Roman" w:hAnsi="Times New Roman" w:cs="Times New Roman"/>
          <w:szCs w:val="21"/>
          <w:highlight w:val="none"/>
        </w:rPr>
      </w:pPr>
      <w:r>
        <w:rPr>
          <w:rFonts w:hint="eastAsia" w:cs="Times New Roman"/>
          <w:szCs w:val="21"/>
          <w:highlight w:val="none"/>
          <w:lang w:val="en-US" w:eastAsia="zh-CN"/>
        </w:rPr>
        <w:t>4、</w:t>
      </w:r>
      <w:r>
        <w:rPr>
          <w:rFonts w:hint="eastAsia" w:ascii="Times New Roman" w:hAnsi="Times New Roman" w:cs="Times New Roman"/>
          <w:szCs w:val="21"/>
          <w:highlight w:val="none"/>
        </w:rPr>
        <w:t>报价精确到小数点后两位。</w:t>
      </w:r>
    </w:p>
    <w:p w14:paraId="546AE1E3">
      <w:pPr>
        <w:bidi w:val="0"/>
        <w:rPr>
          <w:highlight w:val="none"/>
        </w:rPr>
      </w:pPr>
    </w:p>
    <w:p w14:paraId="256AC0DF">
      <w:pPr>
        <w:pStyle w:val="80"/>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lang w:val="en-US" w:eastAsia="zh-CN"/>
        </w:rPr>
      </w:pPr>
      <w:r>
        <w:rPr>
          <w:rFonts w:hint="eastAsia" w:ascii="新宋体" w:hAnsi="新宋体"/>
          <w:b w:val="0"/>
          <w:color w:val="auto"/>
          <w:sz w:val="21"/>
          <w:szCs w:val="21"/>
          <w:highlight w:val="none"/>
          <w:lang w:val="en-US" w:eastAsia="zh-CN"/>
        </w:rPr>
        <w:t xml:space="preserve">                         </w:t>
      </w:r>
    </w:p>
    <w:p w14:paraId="5763422C">
      <w:pPr>
        <w:pStyle w:val="80"/>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lang w:val="en-US" w:eastAsia="zh-CN"/>
        </w:rPr>
      </w:pPr>
    </w:p>
    <w:p w14:paraId="2BAFF5E3">
      <w:pPr>
        <w:pStyle w:val="80"/>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righ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08C79B4D">
      <w:pPr>
        <w:pStyle w:val="80"/>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15BC60E9">
      <w:pPr>
        <w:bidi w:val="0"/>
        <w:spacing w:line="480" w:lineRule="auto"/>
        <w:rPr>
          <w:rFonts w:ascii="黑体" w:eastAsia="黑体"/>
          <w:b/>
          <w:bCs/>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3C65DC01">
      <w:pPr>
        <w:bidi w:val="0"/>
        <w:rPr>
          <w:highlight w:val="none"/>
        </w:rPr>
      </w:pPr>
    </w:p>
    <w:p w14:paraId="3485CA05">
      <w:pPr>
        <w:bidi w:val="0"/>
        <w:rPr>
          <w:rFonts w:hint="eastAsia" w:eastAsia="宋体"/>
          <w:highlight w:val="none"/>
          <w:lang w:eastAsia="zh-CN"/>
        </w:rPr>
      </w:pPr>
    </w:p>
    <w:p w14:paraId="54F1EB07">
      <w:pPr>
        <w:pStyle w:val="15"/>
        <w:rPr>
          <w:rFonts w:hint="eastAsia"/>
          <w:highlight w:val="none"/>
          <w:lang w:eastAsia="zh-CN"/>
        </w:rPr>
      </w:pPr>
    </w:p>
    <w:p w14:paraId="410BCD6A">
      <w:pPr>
        <w:pStyle w:val="15"/>
        <w:rPr>
          <w:rFonts w:hint="eastAsia"/>
          <w:highlight w:val="none"/>
          <w:lang w:eastAsia="zh-CN"/>
        </w:rPr>
      </w:pPr>
    </w:p>
    <w:p w14:paraId="79810725">
      <w:pPr>
        <w:pStyle w:val="15"/>
        <w:rPr>
          <w:rFonts w:hint="eastAsia"/>
          <w:highlight w:val="none"/>
          <w:lang w:eastAsia="zh-CN"/>
        </w:rPr>
      </w:pPr>
    </w:p>
    <w:p w14:paraId="4C925DC1">
      <w:pPr>
        <w:rPr>
          <w:rFonts w:hint="eastAsia" w:ascii="宋体" w:hAnsi="宋体" w:cs="宋体"/>
          <w:b/>
          <w:bCs/>
          <w:color w:val="000000"/>
          <w:sz w:val="36"/>
          <w:szCs w:val="36"/>
          <w:highlight w:val="none"/>
          <w:lang w:val="en-US" w:eastAsia="zh-CN"/>
        </w:rPr>
      </w:pPr>
      <w:r>
        <w:rPr>
          <w:rFonts w:hint="eastAsia" w:ascii="宋体" w:hAnsi="宋体" w:cs="宋体"/>
          <w:b/>
          <w:bCs/>
          <w:color w:val="000000"/>
          <w:sz w:val="36"/>
          <w:szCs w:val="36"/>
          <w:highlight w:val="none"/>
        </w:rPr>
        <w:br w:type="page"/>
      </w:r>
    </w:p>
    <w:p w14:paraId="13530EFD">
      <w:pPr>
        <w:pStyle w:val="15"/>
        <w:jc w:val="both"/>
        <w:rPr>
          <w:rFonts w:hint="eastAsia" w:ascii="宋体" w:hAnsi="宋体" w:cs="宋体"/>
          <w:b/>
          <w:bCs/>
          <w:color w:val="000000"/>
          <w:sz w:val="36"/>
          <w:szCs w:val="36"/>
          <w:highlight w:val="none"/>
          <w:lang w:val="en-US" w:eastAsia="zh-CN"/>
        </w:rPr>
      </w:pPr>
    </w:p>
    <w:p w14:paraId="765566AD">
      <w:pPr>
        <w:spacing w:line="56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val="en-US" w:eastAsia="zh-CN"/>
        </w:rPr>
        <w:t>三</w:t>
      </w:r>
      <w:r>
        <w:rPr>
          <w:rFonts w:hint="eastAsia" w:ascii="宋体" w:hAnsi="宋体" w:cs="宋体"/>
          <w:b/>
          <w:bCs/>
          <w:color w:val="000000"/>
          <w:sz w:val="36"/>
          <w:szCs w:val="36"/>
          <w:highlight w:val="none"/>
        </w:rPr>
        <w:t>、</w:t>
      </w:r>
      <w:r>
        <w:rPr>
          <w:rFonts w:hint="eastAsia" w:ascii="宋体" w:hAnsi="宋体" w:cs="宋体"/>
          <w:b/>
          <w:bCs/>
          <w:color w:val="000000"/>
          <w:sz w:val="36"/>
          <w:szCs w:val="36"/>
          <w:highlight w:val="none"/>
          <w:lang w:eastAsia="zh-CN"/>
        </w:rPr>
        <w:t>资格文件</w:t>
      </w:r>
    </w:p>
    <w:p w14:paraId="15E9F30C">
      <w:pPr>
        <w:spacing w:line="440" w:lineRule="exact"/>
        <w:rPr>
          <w:rFonts w:hint="eastAsia"/>
          <w:szCs w:val="21"/>
          <w:highlight w:val="none"/>
        </w:rPr>
      </w:pPr>
      <w:r>
        <w:rPr>
          <w:rFonts w:hint="eastAsia" w:ascii="新宋体" w:hAnsi="新宋体" w:cs="新宋体"/>
          <w:b/>
          <w:color w:val="auto"/>
          <w:sz w:val="28"/>
          <w:szCs w:val="28"/>
          <w:highlight w:val="none"/>
          <w:lang w:val="en-US" w:eastAsia="zh-CN"/>
        </w:rPr>
        <w:t>1、</w:t>
      </w:r>
      <w:r>
        <w:rPr>
          <w:rFonts w:hint="eastAsia" w:ascii="新宋体" w:hAnsi="新宋体" w:cs="新宋体"/>
          <w:b/>
          <w:color w:val="auto"/>
          <w:sz w:val="28"/>
          <w:szCs w:val="28"/>
          <w:highlight w:val="none"/>
        </w:rPr>
        <w:t>投标人基本情况表</w:t>
      </w:r>
    </w:p>
    <w:tbl>
      <w:tblPr>
        <w:tblStyle w:val="41"/>
        <w:tblW w:w="94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14:paraId="79F89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11" w:type="dxa"/>
            <w:tcBorders>
              <w:tl2br w:val="nil"/>
              <w:tr2bl w:val="nil"/>
            </w:tcBorders>
            <w:vAlign w:val="center"/>
          </w:tcPr>
          <w:p w14:paraId="0BBDA413">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投标人名称</w:t>
            </w:r>
          </w:p>
        </w:tc>
        <w:tc>
          <w:tcPr>
            <w:tcW w:w="7690" w:type="dxa"/>
            <w:gridSpan w:val="4"/>
            <w:tcBorders>
              <w:tl2br w:val="nil"/>
              <w:tr2bl w:val="nil"/>
            </w:tcBorders>
            <w:vAlign w:val="center"/>
          </w:tcPr>
          <w:p w14:paraId="288D6610">
            <w:pPr>
              <w:autoSpaceDE w:val="0"/>
              <w:autoSpaceDN w:val="0"/>
              <w:adjustRightInd w:val="0"/>
              <w:spacing w:line="400" w:lineRule="exact"/>
              <w:jc w:val="center"/>
              <w:rPr>
                <w:rFonts w:hint="eastAsia"/>
                <w:szCs w:val="21"/>
                <w:highlight w:val="none"/>
                <w:vertAlign w:val="baseline"/>
              </w:rPr>
            </w:pPr>
          </w:p>
        </w:tc>
      </w:tr>
      <w:tr w14:paraId="0175E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11" w:type="dxa"/>
            <w:tcBorders>
              <w:tl2br w:val="nil"/>
              <w:tr2bl w:val="nil"/>
            </w:tcBorders>
            <w:vAlign w:val="center"/>
          </w:tcPr>
          <w:p w14:paraId="6D45FCF5">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注册地址</w:t>
            </w:r>
          </w:p>
        </w:tc>
        <w:tc>
          <w:tcPr>
            <w:tcW w:w="3929" w:type="dxa"/>
            <w:gridSpan w:val="2"/>
            <w:tcBorders>
              <w:tl2br w:val="nil"/>
              <w:tr2bl w:val="nil"/>
            </w:tcBorders>
            <w:vAlign w:val="center"/>
          </w:tcPr>
          <w:p w14:paraId="2133CC3D">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5152CAEE">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邮政编码</w:t>
            </w:r>
          </w:p>
        </w:tc>
        <w:tc>
          <w:tcPr>
            <w:tcW w:w="1881" w:type="dxa"/>
            <w:tcBorders>
              <w:tl2br w:val="nil"/>
              <w:tr2bl w:val="nil"/>
            </w:tcBorders>
            <w:vAlign w:val="center"/>
          </w:tcPr>
          <w:p w14:paraId="42DA327C">
            <w:pPr>
              <w:spacing w:line="440" w:lineRule="exact"/>
              <w:jc w:val="center"/>
              <w:rPr>
                <w:rFonts w:hint="eastAsia"/>
                <w:szCs w:val="21"/>
                <w:highlight w:val="none"/>
                <w:vertAlign w:val="baseline"/>
              </w:rPr>
            </w:pPr>
          </w:p>
        </w:tc>
      </w:tr>
      <w:tr w14:paraId="1ED6B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11" w:type="dxa"/>
            <w:vMerge w:val="restart"/>
            <w:tcBorders>
              <w:tl2br w:val="nil"/>
              <w:tr2bl w:val="nil"/>
            </w:tcBorders>
            <w:vAlign w:val="center"/>
          </w:tcPr>
          <w:p w14:paraId="316A8B95">
            <w:pPr>
              <w:spacing w:line="440" w:lineRule="exact"/>
              <w:jc w:val="center"/>
              <w:rPr>
                <w:rFonts w:hint="eastAsia"/>
                <w:szCs w:val="21"/>
                <w:highlight w:val="none"/>
                <w:vertAlign w:val="baseline"/>
              </w:rPr>
            </w:pPr>
            <w:r>
              <w:rPr>
                <w:rFonts w:hint="eastAsia" w:ascii="新宋体" w:hAnsi="新宋体"/>
                <w:color w:val="auto"/>
                <w:szCs w:val="21"/>
                <w:highlight w:val="none"/>
              </w:rPr>
              <w:t>联系方式</w:t>
            </w:r>
          </w:p>
        </w:tc>
        <w:tc>
          <w:tcPr>
            <w:tcW w:w="2049" w:type="dxa"/>
            <w:tcBorders>
              <w:tl2br w:val="nil"/>
              <w:tr2bl w:val="nil"/>
            </w:tcBorders>
            <w:vAlign w:val="center"/>
          </w:tcPr>
          <w:p w14:paraId="436BC76D">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联系人</w:t>
            </w:r>
          </w:p>
        </w:tc>
        <w:tc>
          <w:tcPr>
            <w:tcW w:w="1880" w:type="dxa"/>
            <w:tcBorders>
              <w:tl2br w:val="nil"/>
              <w:tr2bl w:val="nil"/>
            </w:tcBorders>
            <w:vAlign w:val="center"/>
          </w:tcPr>
          <w:p w14:paraId="5A799274">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1489E7DC">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1E1DD194">
            <w:pPr>
              <w:spacing w:line="440" w:lineRule="exact"/>
              <w:jc w:val="center"/>
              <w:rPr>
                <w:rFonts w:hint="eastAsia"/>
                <w:szCs w:val="21"/>
                <w:highlight w:val="none"/>
                <w:vertAlign w:val="baseline"/>
              </w:rPr>
            </w:pPr>
          </w:p>
        </w:tc>
      </w:tr>
      <w:tr w14:paraId="4BDD8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1" w:type="dxa"/>
            <w:vMerge w:val="continue"/>
            <w:tcBorders>
              <w:tl2br w:val="nil"/>
              <w:tr2bl w:val="nil"/>
            </w:tcBorders>
            <w:vAlign w:val="center"/>
          </w:tcPr>
          <w:p w14:paraId="1378BA37">
            <w:pPr>
              <w:spacing w:line="440" w:lineRule="exact"/>
              <w:jc w:val="center"/>
              <w:rPr>
                <w:rFonts w:hint="eastAsia"/>
                <w:szCs w:val="21"/>
                <w:highlight w:val="none"/>
                <w:vertAlign w:val="baseline"/>
              </w:rPr>
            </w:pPr>
          </w:p>
        </w:tc>
        <w:tc>
          <w:tcPr>
            <w:tcW w:w="2049" w:type="dxa"/>
            <w:tcBorders>
              <w:tl2br w:val="nil"/>
              <w:tr2bl w:val="nil"/>
            </w:tcBorders>
            <w:vAlign w:val="center"/>
          </w:tcPr>
          <w:p w14:paraId="58FA72CB">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传真</w:t>
            </w:r>
          </w:p>
        </w:tc>
        <w:tc>
          <w:tcPr>
            <w:tcW w:w="1880" w:type="dxa"/>
            <w:tcBorders>
              <w:tl2br w:val="nil"/>
              <w:tr2bl w:val="nil"/>
            </w:tcBorders>
            <w:vAlign w:val="center"/>
          </w:tcPr>
          <w:p w14:paraId="4F8DF604">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6CA93BC1">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网址</w:t>
            </w:r>
          </w:p>
        </w:tc>
        <w:tc>
          <w:tcPr>
            <w:tcW w:w="1881" w:type="dxa"/>
            <w:tcBorders>
              <w:tl2br w:val="nil"/>
              <w:tr2bl w:val="nil"/>
            </w:tcBorders>
            <w:vAlign w:val="center"/>
          </w:tcPr>
          <w:p w14:paraId="00604B97">
            <w:pPr>
              <w:spacing w:line="440" w:lineRule="exact"/>
              <w:jc w:val="center"/>
              <w:rPr>
                <w:rFonts w:hint="eastAsia"/>
                <w:szCs w:val="21"/>
                <w:highlight w:val="none"/>
                <w:vertAlign w:val="baseline"/>
              </w:rPr>
            </w:pPr>
          </w:p>
        </w:tc>
      </w:tr>
      <w:tr w14:paraId="47F44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1" w:type="dxa"/>
            <w:tcBorders>
              <w:tl2br w:val="nil"/>
              <w:tr2bl w:val="nil"/>
            </w:tcBorders>
            <w:vAlign w:val="center"/>
          </w:tcPr>
          <w:p w14:paraId="0F3978AB">
            <w:pPr>
              <w:spacing w:line="440" w:lineRule="exact"/>
              <w:jc w:val="center"/>
              <w:rPr>
                <w:rFonts w:hint="eastAsia"/>
                <w:szCs w:val="21"/>
                <w:highlight w:val="none"/>
                <w:vertAlign w:val="baseline"/>
              </w:rPr>
            </w:pPr>
            <w:r>
              <w:rPr>
                <w:rFonts w:hint="eastAsia" w:ascii="新宋体" w:hAnsi="新宋体"/>
                <w:color w:val="auto"/>
                <w:szCs w:val="21"/>
                <w:highlight w:val="none"/>
              </w:rPr>
              <w:t>单位性质</w:t>
            </w:r>
          </w:p>
        </w:tc>
        <w:tc>
          <w:tcPr>
            <w:tcW w:w="7690" w:type="dxa"/>
            <w:gridSpan w:val="4"/>
            <w:tcBorders>
              <w:tl2br w:val="nil"/>
              <w:tr2bl w:val="nil"/>
            </w:tcBorders>
            <w:vAlign w:val="center"/>
          </w:tcPr>
          <w:p w14:paraId="1015CC4B">
            <w:pPr>
              <w:spacing w:line="440" w:lineRule="exact"/>
              <w:jc w:val="center"/>
              <w:rPr>
                <w:rFonts w:hint="eastAsia"/>
                <w:szCs w:val="21"/>
                <w:highlight w:val="none"/>
                <w:vertAlign w:val="baseline"/>
              </w:rPr>
            </w:pPr>
          </w:p>
        </w:tc>
      </w:tr>
      <w:tr w14:paraId="153A8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11" w:type="dxa"/>
            <w:tcBorders>
              <w:tl2br w:val="nil"/>
              <w:tr2bl w:val="nil"/>
            </w:tcBorders>
            <w:vAlign w:val="center"/>
          </w:tcPr>
          <w:p w14:paraId="74171E09">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法定代表人</w:t>
            </w:r>
          </w:p>
        </w:tc>
        <w:tc>
          <w:tcPr>
            <w:tcW w:w="2049" w:type="dxa"/>
            <w:tcBorders>
              <w:tl2br w:val="nil"/>
              <w:tr2bl w:val="nil"/>
            </w:tcBorders>
            <w:vAlign w:val="center"/>
          </w:tcPr>
          <w:p w14:paraId="715C4116">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姓名</w:t>
            </w:r>
          </w:p>
        </w:tc>
        <w:tc>
          <w:tcPr>
            <w:tcW w:w="1880" w:type="dxa"/>
            <w:tcBorders>
              <w:tl2br w:val="nil"/>
              <w:tr2bl w:val="nil"/>
            </w:tcBorders>
            <w:vAlign w:val="center"/>
          </w:tcPr>
          <w:p w14:paraId="642509E5">
            <w:pPr>
              <w:spacing w:line="440" w:lineRule="exact"/>
              <w:jc w:val="center"/>
              <w:rPr>
                <w:rFonts w:hint="eastAsia"/>
                <w:szCs w:val="21"/>
                <w:highlight w:val="none"/>
                <w:vertAlign w:val="baseline"/>
              </w:rPr>
            </w:pPr>
          </w:p>
        </w:tc>
        <w:tc>
          <w:tcPr>
            <w:tcW w:w="1880" w:type="dxa"/>
            <w:tcBorders>
              <w:tl2br w:val="nil"/>
              <w:tr2bl w:val="nil"/>
            </w:tcBorders>
            <w:vAlign w:val="center"/>
          </w:tcPr>
          <w:p w14:paraId="64A40FF8">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6073AD6F">
            <w:pPr>
              <w:spacing w:line="440" w:lineRule="exact"/>
              <w:jc w:val="center"/>
              <w:rPr>
                <w:rFonts w:hint="eastAsia"/>
                <w:szCs w:val="21"/>
                <w:highlight w:val="none"/>
                <w:vertAlign w:val="baseline"/>
              </w:rPr>
            </w:pPr>
          </w:p>
        </w:tc>
      </w:tr>
      <w:tr w14:paraId="56BA7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1" w:type="dxa"/>
            <w:tcBorders>
              <w:tl2br w:val="nil"/>
              <w:tr2bl w:val="nil"/>
            </w:tcBorders>
            <w:vAlign w:val="center"/>
          </w:tcPr>
          <w:p w14:paraId="5DA0D69F">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lang w:val="en-US" w:eastAsia="zh-CN"/>
              </w:rPr>
              <w:t>项目</w:t>
            </w:r>
            <w:r>
              <w:rPr>
                <w:rFonts w:hint="eastAsia" w:ascii="新宋体" w:hAnsi="新宋体"/>
                <w:color w:val="auto"/>
                <w:szCs w:val="21"/>
                <w:highlight w:val="none"/>
              </w:rPr>
              <w:t>负责人</w:t>
            </w:r>
          </w:p>
        </w:tc>
        <w:tc>
          <w:tcPr>
            <w:tcW w:w="2049" w:type="dxa"/>
            <w:tcBorders>
              <w:tl2br w:val="nil"/>
              <w:tr2bl w:val="nil"/>
            </w:tcBorders>
            <w:vAlign w:val="center"/>
          </w:tcPr>
          <w:p w14:paraId="17BBD4DC">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姓名</w:t>
            </w:r>
          </w:p>
        </w:tc>
        <w:tc>
          <w:tcPr>
            <w:tcW w:w="1880" w:type="dxa"/>
            <w:tcBorders>
              <w:tl2br w:val="nil"/>
              <w:tr2bl w:val="nil"/>
            </w:tcBorders>
            <w:vAlign w:val="center"/>
          </w:tcPr>
          <w:p w14:paraId="327C5F4F">
            <w:pPr>
              <w:spacing w:line="440" w:lineRule="exact"/>
              <w:jc w:val="center"/>
              <w:rPr>
                <w:rFonts w:hint="eastAsia"/>
                <w:szCs w:val="21"/>
                <w:highlight w:val="none"/>
                <w:vertAlign w:val="baseline"/>
              </w:rPr>
            </w:pPr>
          </w:p>
        </w:tc>
        <w:tc>
          <w:tcPr>
            <w:tcW w:w="1880" w:type="dxa"/>
            <w:tcBorders>
              <w:tl2br w:val="nil"/>
              <w:tr2bl w:val="nil"/>
            </w:tcBorders>
            <w:vAlign w:val="center"/>
          </w:tcPr>
          <w:p w14:paraId="4B5835D7">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279B2413">
            <w:pPr>
              <w:spacing w:line="440" w:lineRule="exact"/>
              <w:jc w:val="center"/>
              <w:rPr>
                <w:rFonts w:hint="eastAsia"/>
                <w:szCs w:val="21"/>
                <w:highlight w:val="none"/>
                <w:vertAlign w:val="baseline"/>
              </w:rPr>
            </w:pPr>
          </w:p>
        </w:tc>
      </w:tr>
      <w:tr w14:paraId="354A8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1" w:type="dxa"/>
            <w:tcBorders>
              <w:tl2br w:val="nil"/>
              <w:tr2bl w:val="nil"/>
            </w:tcBorders>
            <w:vAlign w:val="center"/>
          </w:tcPr>
          <w:p w14:paraId="03F26E3B">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企业资质等级</w:t>
            </w:r>
          </w:p>
        </w:tc>
        <w:tc>
          <w:tcPr>
            <w:tcW w:w="3929" w:type="dxa"/>
            <w:gridSpan w:val="2"/>
            <w:tcBorders>
              <w:tl2br w:val="nil"/>
              <w:tr2bl w:val="nil"/>
            </w:tcBorders>
            <w:vAlign w:val="center"/>
          </w:tcPr>
          <w:p w14:paraId="499BFADE">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65111750">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成立时间</w:t>
            </w:r>
          </w:p>
        </w:tc>
        <w:tc>
          <w:tcPr>
            <w:tcW w:w="1881" w:type="dxa"/>
            <w:tcBorders>
              <w:tl2br w:val="nil"/>
              <w:tr2bl w:val="nil"/>
            </w:tcBorders>
            <w:vAlign w:val="center"/>
          </w:tcPr>
          <w:p w14:paraId="49DCD7B3">
            <w:pPr>
              <w:spacing w:line="440" w:lineRule="exact"/>
              <w:jc w:val="center"/>
              <w:rPr>
                <w:rFonts w:hint="eastAsia"/>
                <w:szCs w:val="21"/>
                <w:highlight w:val="none"/>
                <w:vertAlign w:val="baseline"/>
              </w:rPr>
            </w:pPr>
          </w:p>
        </w:tc>
      </w:tr>
      <w:tr w14:paraId="21BCD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1" w:type="dxa"/>
            <w:tcBorders>
              <w:tl2br w:val="nil"/>
              <w:tr2bl w:val="nil"/>
            </w:tcBorders>
            <w:vAlign w:val="center"/>
          </w:tcPr>
          <w:p w14:paraId="15DC8D14">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注册资金</w:t>
            </w:r>
          </w:p>
        </w:tc>
        <w:tc>
          <w:tcPr>
            <w:tcW w:w="2049" w:type="dxa"/>
            <w:tcBorders>
              <w:tl2br w:val="nil"/>
              <w:tr2bl w:val="nil"/>
            </w:tcBorders>
            <w:vAlign w:val="center"/>
          </w:tcPr>
          <w:p w14:paraId="6159667F">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c>
          <w:tcPr>
            <w:tcW w:w="1880" w:type="dxa"/>
            <w:vMerge w:val="restart"/>
            <w:tcBorders>
              <w:tl2br w:val="nil"/>
              <w:tr2bl w:val="nil"/>
            </w:tcBorders>
            <w:vAlign w:val="center"/>
          </w:tcPr>
          <w:p w14:paraId="38C3765B">
            <w:pPr>
              <w:spacing w:line="440" w:lineRule="exact"/>
              <w:jc w:val="center"/>
              <w:rPr>
                <w:rFonts w:hint="eastAsia"/>
                <w:szCs w:val="21"/>
                <w:highlight w:val="none"/>
                <w:vertAlign w:val="baseline"/>
              </w:rPr>
            </w:pPr>
            <w:r>
              <w:rPr>
                <w:rFonts w:hint="eastAsia" w:ascii="新宋体" w:hAnsi="新宋体"/>
                <w:color w:val="auto"/>
                <w:szCs w:val="21"/>
                <w:highlight w:val="none"/>
              </w:rPr>
              <w:t>固定资产</w:t>
            </w:r>
          </w:p>
        </w:tc>
        <w:tc>
          <w:tcPr>
            <w:tcW w:w="1880" w:type="dxa"/>
            <w:tcBorders>
              <w:tl2br w:val="nil"/>
              <w:tr2bl w:val="nil"/>
            </w:tcBorders>
            <w:vAlign w:val="center"/>
          </w:tcPr>
          <w:p w14:paraId="1E1D6A8D">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原值</w:t>
            </w:r>
          </w:p>
        </w:tc>
        <w:tc>
          <w:tcPr>
            <w:tcW w:w="1881" w:type="dxa"/>
            <w:tcBorders>
              <w:tl2br w:val="nil"/>
              <w:tr2bl w:val="nil"/>
            </w:tcBorders>
            <w:vAlign w:val="center"/>
          </w:tcPr>
          <w:p w14:paraId="3DE5B439">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r>
      <w:tr w14:paraId="0EB99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1" w:type="dxa"/>
            <w:tcBorders>
              <w:tl2br w:val="nil"/>
              <w:tr2bl w:val="nil"/>
            </w:tcBorders>
            <w:vAlign w:val="center"/>
          </w:tcPr>
          <w:p w14:paraId="3ADFAD96">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流动资金</w:t>
            </w:r>
          </w:p>
        </w:tc>
        <w:tc>
          <w:tcPr>
            <w:tcW w:w="2049" w:type="dxa"/>
            <w:tcBorders>
              <w:tl2br w:val="nil"/>
              <w:tr2bl w:val="nil"/>
            </w:tcBorders>
            <w:vAlign w:val="center"/>
          </w:tcPr>
          <w:p w14:paraId="3A78A03A">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c>
          <w:tcPr>
            <w:tcW w:w="1880" w:type="dxa"/>
            <w:vMerge w:val="continue"/>
            <w:tcBorders>
              <w:tl2br w:val="nil"/>
              <w:tr2bl w:val="nil"/>
            </w:tcBorders>
            <w:vAlign w:val="center"/>
          </w:tcPr>
          <w:p w14:paraId="303B725D">
            <w:pPr>
              <w:spacing w:line="440" w:lineRule="exact"/>
              <w:jc w:val="center"/>
              <w:rPr>
                <w:rFonts w:hint="eastAsia"/>
                <w:szCs w:val="21"/>
                <w:highlight w:val="none"/>
                <w:vertAlign w:val="baseline"/>
              </w:rPr>
            </w:pPr>
          </w:p>
        </w:tc>
        <w:tc>
          <w:tcPr>
            <w:tcW w:w="1880" w:type="dxa"/>
            <w:tcBorders>
              <w:tl2br w:val="nil"/>
              <w:tr2bl w:val="nil"/>
            </w:tcBorders>
            <w:vAlign w:val="center"/>
          </w:tcPr>
          <w:p w14:paraId="32BF6463">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净值</w:t>
            </w:r>
          </w:p>
        </w:tc>
        <w:tc>
          <w:tcPr>
            <w:tcW w:w="1881" w:type="dxa"/>
            <w:tcBorders>
              <w:tl2br w:val="nil"/>
              <w:tr2bl w:val="nil"/>
            </w:tcBorders>
            <w:vAlign w:val="center"/>
          </w:tcPr>
          <w:p w14:paraId="30A25A0E">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r>
      <w:tr w14:paraId="3C373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11" w:type="dxa"/>
            <w:tcBorders>
              <w:tl2br w:val="nil"/>
              <w:tr2bl w:val="nil"/>
            </w:tcBorders>
            <w:vAlign w:val="center"/>
          </w:tcPr>
          <w:p w14:paraId="2A979D98">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开户银行</w:t>
            </w:r>
          </w:p>
        </w:tc>
        <w:tc>
          <w:tcPr>
            <w:tcW w:w="2049" w:type="dxa"/>
            <w:tcBorders>
              <w:tl2br w:val="nil"/>
              <w:tr2bl w:val="nil"/>
            </w:tcBorders>
            <w:vAlign w:val="center"/>
          </w:tcPr>
          <w:p w14:paraId="2398D39F">
            <w:pPr>
              <w:autoSpaceDE w:val="0"/>
              <w:autoSpaceDN w:val="0"/>
              <w:adjustRightInd w:val="0"/>
              <w:spacing w:line="400" w:lineRule="exact"/>
              <w:jc w:val="center"/>
              <w:rPr>
                <w:rFonts w:hint="eastAsia" w:ascii="新宋体" w:hAnsi="新宋体"/>
                <w:color w:val="auto"/>
                <w:szCs w:val="21"/>
                <w:highlight w:val="none"/>
              </w:rPr>
            </w:pPr>
          </w:p>
        </w:tc>
        <w:tc>
          <w:tcPr>
            <w:tcW w:w="1880" w:type="dxa"/>
            <w:vMerge w:val="restart"/>
            <w:tcBorders>
              <w:tl2br w:val="nil"/>
              <w:tr2bl w:val="nil"/>
            </w:tcBorders>
            <w:vAlign w:val="center"/>
          </w:tcPr>
          <w:p w14:paraId="1D01A8C3">
            <w:pPr>
              <w:spacing w:line="440" w:lineRule="exact"/>
              <w:jc w:val="center"/>
              <w:rPr>
                <w:rFonts w:hint="eastAsia"/>
                <w:szCs w:val="21"/>
                <w:highlight w:val="none"/>
                <w:vertAlign w:val="baseline"/>
              </w:rPr>
            </w:pPr>
            <w:r>
              <w:rPr>
                <w:rFonts w:hint="eastAsia" w:ascii="新宋体" w:hAnsi="新宋体"/>
                <w:color w:val="auto"/>
                <w:szCs w:val="21"/>
                <w:highlight w:val="none"/>
              </w:rPr>
              <w:t>职工</w:t>
            </w:r>
            <w:r>
              <w:rPr>
                <w:rFonts w:hint="eastAsia" w:ascii="新宋体" w:hAnsi="新宋体"/>
                <w:color w:val="auto"/>
                <w:szCs w:val="21"/>
                <w:highlight w:val="none"/>
                <w:lang w:eastAsia="zh-CN"/>
              </w:rPr>
              <w:t>人数</w:t>
            </w:r>
          </w:p>
        </w:tc>
        <w:tc>
          <w:tcPr>
            <w:tcW w:w="1880" w:type="dxa"/>
            <w:tcBorders>
              <w:tl2br w:val="nil"/>
              <w:tr2bl w:val="nil"/>
            </w:tcBorders>
            <w:vAlign w:val="center"/>
          </w:tcPr>
          <w:p w14:paraId="76521CA8">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生产工人</w:t>
            </w:r>
          </w:p>
        </w:tc>
        <w:tc>
          <w:tcPr>
            <w:tcW w:w="1881" w:type="dxa"/>
            <w:tcBorders>
              <w:tl2br w:val="nil"/>
              <w:tr2bl w:val="nil"/>
            </w:tcBorders>
            <w:vAlign w:val="center"/>
          </w:tcPr>
          <w:p w14:paraId="4C6BB693">
            <w:pPr>
              <w:autoSpaceDE w:val="0"/>
              <w:autoSpaceDN w:val="0"/>
              <w:adjustRightInd w:val="0"/>
              <w:spacing w:line="400" w:lineRule="exact"/>
              <w:jc w:val="right"/>
              <w:rPr>
                <w:rFonts w:hint="eastAsia" w:ascii="新宋体" w:hAnsi="新宋体"/>
                <w:color w:val="auto"/>
                <w:szCs w:val="21"/>
                <w:highlight w:val="none"/>
              </w:rPr>
            </w:pPr>
            <w:r>
              <w:rPr>
                <w:rFonts w:hint="eastAsia" w:ascii="新宋体" w:hAnsi="新宋体"/>
                <w:bCs/>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bCs/>
                <w:color w:val="auto"/>
                <w:szCs w:val="21"/>
                <w:highlight w:val="none"/>
              </w:rPr>
              <w:t>人</w:t>
            </w:r>
          </w:p>
        </w:tc>
      </w:tr>
      <w:tr w14:paraId="3D420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1" w:type="dxa"/>
            <w:tcBorders>
              <w:tl2br w:val="nil"/>
              <w:tr2bl w:val="nil"/>
            </w:tcBorders>
            <w:vAlign w:val="center"/>
          </w:tcPr>
          <w:p w14:paraId="070C9C70">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账号</w:t>
            </w:r>
          </w:p>
        </w:tc>
        <w:tc>
          <w:tcPr>
            <w:tcW w:w="2049" w:type="dxa"/>
            <w:tcBorders>
              <w:tl2br w:val="nil"/>
              <w:tr2bl w:val="nil"/>
            </w:tcBorders>
            <w:vAlign w:val="center"/>
          </w:tcPr>
          <w:p w14:paraId="14BD79E1">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基本银行账号</w:t>
            </w:r>
          </w:p>
        </w:tc>
        <w:tc>
          <w:tcPr>
            <w:tcW w:w="1880" w:type="dxa"/>
            <w:vMerge w:val="continue"/>
            <w:tcBorders>
              <w:tl2br w:val="nil"/>
              <w:tr2bl w:val="nil"/>
            </w:tcBorders>
            <w:vAlign w:val="center"/>
          </w:tcPr>
          <w:p w14:paraId="22925F7E">
            <w:pPr>
              <w:spacing w:line="440" w:lineRule="exact"/>
              <w:jc w:val="center"/>
              <w:rPr>
                <w:rFonts w:hint="eastAsia"/>
                <w:szCs w:val="21"/>
                <w:highlight w:val="none"/>
                <w:vertAlign w:val="baseline"/>
              </w:rPr>
            </w:pPr>
          </w:p>
        </w:tc>
        <w:tc>
          <w:tcPr>
            <w:tcW w:w="1880" w:type="dxa"/>
            <w:tcBorders>
              <w:tl2br w:val="nil"/>
              <w:tr2bl w:val="nil"/>
            </w:tcBorders>
            <w:vAlign w:val="center"/>
          </w:tcPr>
          <w:p w14:paraId="6805E851">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技术人员</w:t>
            </w:r>
          </w:p>
        </w:tc>
        <w:tc>
          <w:tcPr>
            <w:tcW w:w="1881" w:type="dxa"/>
            <w:tcBorders>
              <w:tl2br w:val="nil"/>
              <w:tr2bl w:val="nil"/>
            </w:tcBorders>
            <w:vAlign w:val="center"/>
          </w:tcPr>
          <w:p w14:paraId="4A08A92F">
            <w:pPr>
              <w:autoSpaceDE w:val="0"/>
              <w:autoSpaceDN w:val="0"/>
              <w:adjustRightInd w:val="0"/>
              <w:spacing w:line="400" w:lineRule="exact"/>
              <w:jc w:val="right"/>
              <w:rPr>
                <w:rFonts w:hint="eastAsia" w:ascii="新宋体" w:hAnsi="新宋体"/>
                <w:color w:val="auto"/>
                <w:szCs w:val="21"/>
                <w:highlight w:val="none"/>
              </w:rPr>
            </w:pPr>
            <w:r>
              <w:rPr>
                <w:rFonts w:hint="eastAsia" w:ascii="新宋体" w:hAnsi="新宋体"/>
                <w:bCs/>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bCs/>
                <w:color w:val="auto"/>
                <w:szCs w:val="21"/>
                <w:highlight w:val="none"/>
              </w:rPr>
              <w:t>人</w:t>
            </w:r>
          </w:p>
        </w:tc>
      </w:tr>
      <w:tr w14:paraId="60C71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11" w:type="dxa"/>
            <w:tcBorders>
              <w:tl2br w:val="nil"/>
              <w:tr2bl w:val="nil"/>
            </w:tcBorders>
            <w:vAlign w:val="center"/>
          </w:tcPr>
          <w:p w14:paraId="2FA37064">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经营范围</w:t>
            </w:r>
          </w:p>
        </w:tc>
        <w:tc>
          <w:tcPr>
            <w:tcW w:w="7690" w:type="dxa"/>
            <w:gridSpan w:val="4"/>
            <w:tcBorders>
              <w:tl2br w:val="nil"/>
              <w:tr2bl w:val="nil"/>
            </w:tcBorders>
            <w:vAlign w:val="center"/>
          </w:tcPr>
          <w:p w14:paraId="0A4F92D8">
            <w:pPr>
              <w:autoSpaceDE w:val="0"/>
              <w:autoSpaceDN w:val="0"/>
              <w:adjustRightInd w:val="0"/>
              <w:spacing w:line="400" w:lineRule="exact"/>
              <w:jc w:val="center"/>
              <w:rPr>
                <w:rFonts w:hint="eastAsia" w:ascii="新宋体" w:hAnsi="新宋体"/>
                <w:color w:val="auto"/>
                <w:szCs w:val="21"/>
                <w:highlight w:val="none"/>
              </w:rPr>
            </w:pPr>
          </w:p>
        </w:tc>
      </w:tr>
      <w:tr w14:paraId="58872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711" w:type="dxa"/>
            <w:tcBorders>
              <w:tl2br w:val="nil"/>
              <w:tr2bl w:val="nil"/>
            </w:tcBorders>
            <w:vAlign w:val="center"/>
          </w:tcPr>
          <w:p w14:paraId="7E618C7D">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备注</w:t>
            </w:r>
          </w:p>
        </w:tc>
        <w:tc>
          <w:tcPr>
            <w:tcW w:w="7690" w:type="dxa"/>
            <w:gridSpan w:val="4"/>
            <w:tcBorders>
              <w:tl2br w:val="nil"/>
              <w:tr2bl w:val="nil"/>
            </w:tcBorders>
            <w:vAlign w:val="center"/>
          </w:tcPr>
          <w:p w14:paraId="226779B6">
            <w:pPr>
              <w:autoSpaceDE w:val="0"/>
              <w:autoSpaceDN w:val="0"/>
              <w:adjustRightInd w:val="0"/>
              <w:spacing w:line="400" w:lineRule="exact"/>
              <w:jc w:val="center"/>
              <w:rPr>
                <w:rFonts w:hint="eastAsia" w:ascii="新宋体" w:hAnsi="新宋体"/>
                <w:color w:val="auto"/>
                <w:szCs w:val="21"/>
                <w:highlight w:val="none"/>
              </w:rPr>
            </w:pPr>
          </w:p>
        </w:tc>
      </w:tr>
    </w:tbl>
    <w:p w14:paraId="314D3DE3">
      <w:pPr>
        <w:spacing w:line="440" w:lineRule="exact"/>
        <w:rPr>
          <w:rFonts w:hint="eastAsia"/>
          <w:szCs w:val="21"/>
          <w:highlight w:val="none"/>
        </w:rPr>
      </w:pPr>
    </w:p>
    <w:p w14:paraId="3A31B019">
      <w:pPr>
        <w:pStyle w:val="80"/>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5110104E">
      <w:pPr>
        <w:pStyle w:val="80"/>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33137F7A">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034BB178">
      <w:pPr>
        <w:rPr>
          <w:rFonts w:hint="eastAsia" w:ascii="新宋体" w:hAnsi="新宋体" w:cs="新宋体"/>
          <w:b/>
          <w:color w:val="auto"/>
          <w:sz w:val="28"/>
          <w:szCs w:val="28"/>
          <w:highlight w:val="none"/>
        </w:rPr>
      </w:pPr>
      <w:r>
        <w:rPr>
          <w:rFonts w:hint="eastAsia" w:ascii="新宋体" w:hAnsi="新宋体" w:cs="新宋体"/>
          <w:b/>
          <w:color w:val="auto"/>
          <w:sz w:val="28"/>
          <w:szCs w:val="28"/>
          <w:highlight w:val="none"/>
        </w:rPr>
        <w:br w:type="page"/>
      </w:r>
    </w:p>
    <w:p w14:paraId="61DF9B49">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eastAsia" w:ascii="新宋体" w:hAnsi="新宋体" w:cs="新宋体"/>
          <w:b/>
          <w:color w:val="auto"/>
          <w:sz w:val="28"/>
          <w:szCs w:val="28"/>
          <w:highlight w:val="none"/>
        </w:rPr>
      </w:pPr>
      <w:r>
        <w:rPr>
          <w:rFonts w:hint="eastAsia" w:ascii="新宋体" w:hAnsi="新宋体" w:cs="新宋体"/>
          <w:b/>
          <w:color w:val="auto"/>
          <w:sz w:val="28"/>
          <w:szCs w:val="28"/>
          <w:highlight w:val="none"/>
        </w:rPr>
        <w:t>投标人资格文件</w:t>
      </w:r>
    </w:p>
    <w:p w14:paraId="58A5A0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2.1资质</w:t>
      </w:r>
    </w:p>
    <w:p w14:paraId="1DCA91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或2025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w:t>
      </w:r>
      <w:r>
        <w:rPr>
          <w:rFonts w:hint="eastAsia" w:ascii="宋体" w:hAnsi="宋体" w:cs="宋体"/>
          <w:i w:val="0"/>
          <w:iCs w:val="0"/>
          <w:caps w:val="0"/>
          <w:color w:val="333333"/>
          <w:spacing w:val="0"/>
          <w:sz w:val="24"/>
          <w:szCs w:val="24"/>
          <w:shd w:val="clear" w:fill="FFFFFF"/>
          <w:lang w:eastAsia="zh-CN"/>
        </w:rPr>
        <w:t>供应商须提供有效的《食品经营许可证》或《预包装食品经营者备案表》（蔬菜除外）</w:t>
      </w:r>
      <w:r>
        <w:rPr>
          <w:rFonts w:hint="eastAsia" w:ascii="宋体" w:hAnsi="宋体" w:eastAsia="宋体" w:cs="宋体"/>
          <w:i w:val="0"/>
          <w:iCs w:val="0"/>
          <w:caps w:val="0"/>
          <w:color w:val="333333"/>
          <w:spacing w:val="0"/>
          <w:sz w:val="24"/>
          <w:szCs w:val="24"/>
          <w:shd w:val="clear" w:fill="FFFFFF"/>
        </w:rPr>
        <w:t>。（9）本项目不接受联合体投标。（10）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E81ED1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541685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2782B5C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4552D6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348186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465928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77D780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6E8CBE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1FC9FF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621CB4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60DDE96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697D4E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45F039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5CD2D76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5D918D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333333"/>
          <w:spacing w:val="0"/>
          <w:sz w:val="24"/>
          <w:szCs w:val="24"/>
          <w:shd w:val="clear" w:fill="FFFFFF"/>
        </w:rPr>
      </w:pPr>
    </w:p>
    <w:p w14:paraId="5E16E803">
      <w:pPr>
        <w:spacing w:line="44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投标声明</w:t>
      </w:r>
      <w:r>
        <w:rPr>
          <w:rFonts w:hint="eastAsia" w:ascii="宋体" w:hAnsi="宋体" w:cs="宋体"/>
          <w:b/>
          <w:color w:val="auto"/>
          <w:sz w:val="21"/>
          <w:szCs w:val="21"/>
          <w:highlight w:val="none"/>
          <w:lang w:val="en-US" w:eastAsia="zh-CN"/>
        </w:rPr>
        <w:t>书</w:t>
      </w:r>
    </w:p>
    <w:p w14:paraId="48962505">
      <w:pPr>
        <w:spacing w:line="440" w:lineRule="exact"/>
        <w:rPr>
          <w:rFonts w:hint="default" w:ascii="宋体" w:hAnsi="宋体" w:eastAsia="宋体" w:cs="宋体"/>
          <w:b/>
          <w:color w:val="auto"/>
          <w:sz w:val="21"/>
          <w:szCs w:val="21"/>
          <w:highlight w:val="none"/>
          <w:lang w:eastAsia="zh-CN"/>
        </w:rPr>
      </w:pPr>
    </w:p>
    <w:p w14:paraId="55FE6699">
      <w:pPr>
        <w:pStyle w:val="11"/>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w:t>
      </w:r>
      <w:r>
        <w:rPr>
          <w:rFonts w:hint="eastAsia"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投标声明书</w:t>
      </w:r>
    </w:p>
    <w:p w14:paraId="5DBC6774">
      <w:pPr>
        <w:pStyle w:val="11"/>
        <w:spacing w:after="120" w:afterLines="50" w:line="360" w:lineRule="auto"/>
        <w:ind w:firstLine="0"/>
        <w:rPr>
          <w:rFonts w:hint="default" w:ascii="Times New Roman" w:hAnsi="Times New Roman" w:eastAsia="宋体" w:cs="Times New Roman"/>
          <w:b/>
          <w:color w:val="auto"/>
          <w:sz w:val="21"/>
          <w:szCs w:val="21"/>
          <w:highlight w:val="none"/>
        </w:rPr>
      </w:pPr>
      <w:r>
        <w:rPr>
          <w:rFonts w:hint="eastAsia" w:cs="Times New Roman"/>
          <w:b/>
          <w:color w:val="auto"/>
          <w:sz w:val="21"/>
          <w:szCs w:val="21"/>
          <w:highlight w:val="none"/>
          <w:lang w:eastAsia="zh-CN"/>
        </w:rPr>
        <w:t>瑞恒项目管理有限公司</w:t>
      </w:r>
      <w:r>
        <w:rPr>
          <w:rFonts w:hint="default" w:ascii="Times New Roman" w:hAnsi="Times New Roman" w:eastAsia="宋体" w:cs="Times New Roman"/>
          <w:b/>
          <w:color w:val="auto"/>
          <w:sz w:val="21"/>
          <w:szCs w:val="21"/>
          <w:highlight w:val="none"/>
        </w:rPr>
        <w:t>：</w:t>
      </w:r>
    </w:p>
    <w:p w14:paraId="0F86844E">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                   （投标人名称），就参加               采购项目（采购项目编号：             ）投标事宜，在此郑重声明：</w:t>
      </w:r>
    </w:p>
    <w:p w14:paraId="19E15F4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1、我公司所提交的所有证明文件及投标文件全部真实有效；</w:t>
      </w:r>
    </w:p>
    <w:p w14:paraId="2E98653A">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2、我公司近3年来无因安全事故、质量事故、投标违规等不良记录被政府有关部门处罚或仍在处罚期限内的情形存在；</w:t>
      </w:r>
    </w:p>
    <w:p w14:paraId="6DE5AEA5">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3、我公司近3年来无违规违法经营受到责令停产(或停止经营)、吊销生产许可证（或经营许可证）、较大数额罚款等行政处罚的情形存在；</w:t>
      </w:r>
    </w:p>
    <w:p w14:paraId="4AA1B747">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4、我公司无企业财产被查封、冻结或处于破产状态或严重亏损状态等情形存在；</w:t>
      </w:r>
    </w:p>
    <w:p w14:paraId="60EA22F3">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5、我公司承诺在投标过程中，保证不予其他单位围标、串标，不出让</w:t>
      </w:r>
      <w:r>
        <w:rPr>
          <w:rFonts w:hint="eastAsia" w:cs="Times New Roman"/>
          <w:color w:val="auto"/>
          <w:sz w:val="21"/>
          <w:szCs w:val="21"/>
          <w:highlight w:val="none"/>
          <w:lang w:eastAsia="zh-CN"/>
        </w:rPr>
        <w:t>投标</w:t>
      </w:r>
      <w:r>
        <w:rPr>
          <w:rFonts w:hint="default" w:ascii="Times New Roman" w:hAnsi="Times New Roman" w:eastAsia="宋体" w:cs="Times New Roman"/>
          <w:color w:val="auto"/>
          <w:sz w:val="21"/>
          <w:szCs w:val="21"/>
          <w:highlight w:val="none"/>
        </w:rPr>
        <w:t>资格，不采取不正当手段诋毁、排挤其他</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，不向采购人、采购代理机构、评标委员会成员行贿</w:t>
      </w:r>
      <w:r>
        <w:rPr>
          <w:rFonts w:hint="eastAsia" w:ascii="Times New Roman" w:hAnsi="Times New Roman" w:eastAsia="宋体" w:cs="Times New Roman"/>
          <w:color w:val="auto"/>
          <w:sz w:val="21"/>
          <w:szCs w:val="21"/>
          <w:highlight w:val="none"/>
          <w:lang w:eastAsia="zh-CN"/>
        </w:rPr>
        <w:t>；</w:t>
      </w:r>
    </w:p>
    <w:p w14:paraId="0E46452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6、我公司参加政府采购活动近3年内，在经营活动中没有重大违法记录</w:t>
      </w:r>
      <w:r>
        <w:rPr>
          <w:rFonts w:hint="eastAsia" w:cs="Times New Roman"/>
          <w:color w:val="auto"/>
          <w:sz w:val="21"/>
          <w:szCs w:val="21"/>
          <w:highlight w:val="none"/>
          <w:lang w:eastAsia="zh-CN"/>
        </w:rPr>
        <w:t>；</w:t>
      </w:r>
    </w:p>
    <w:p w14:paraId="383F9BA8">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7、</w:t>
      </w:r>
      <w:r>
        <w:rPr>
          <w:rFonts w:hint="eastAsia" w:cs="Times New Roman"/>
          <w:color w:val="auto"/>
          <w:sz w:val="21"/>
          <w:szCs w:val="21"/>
          <w:highlight w:val="none"/>
          <w:lang w:eastAsia="zh-CN"/>
        </w:rPr>
        <w:t>我公司参加本次公开招标项目为非联合体。</w:t>
      </w:r>
    </w:p>
    <w:p w14:paraId="5C605106">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lang w:val="en-US" w:eastAsia="zh-CN"/>
        </w:rPr>
      </w:pPr>
      <w:r>
        <w:rPr>
          <w:rFonts w:hint="eastAsia" w:cs="Times New Roman"/>
          <w:color w:val="auto"/>
          <w:sz w:val="21"/>
          <w:szCs w:val="21"/>
          <w:highlight w:val="none"/>
          <w:lang w:val="en-US" w:eastAsia="zh-CN"/>
        </w:rPr>
        <w:t>8、无与我公司单位负责人为同一人或者存在直接控股、管理关系的不同供应商。无为采购项目提供整体设计、规范编制或者项目管理、监理、检测等服务的供应商。</w:t>
      </w:r>
    </w:p>
    <w:p w14:paraId="7CF49FEF">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以上声明若有违反，一经查实，我公司愿意接受政府有关部门的相应处罚，并愿意承担由此带来的法律后果。</w:t>
      </w:r>
    </w:p>
    <w:p w14:paraId="3346F860">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特此声明！</w:t>
      </w:r>
    </w:p>
    <w:p w14:paraId="5CB2D18F">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p>
    <w:p w14:paraId="60D69F6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  明  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w:t>
      </w:r>
      <w:r>
        <w:rPr>
          <w:rFonts w:hint="eastAsia" w:cs="Times New Roman"/>
          <w:color w:val="auto"/>
          <w:sz w:val="21"/>
          <w:szCs w:val="21"/>
          <w:highlight w:val="none"/>
          <w:lang w:eastAsia="zh-CN"/>
        </w:rPr>
        <w:t>盖章</w:t>
      </w:r>
      <w:r>
        <w:rPr>
          <w:rFonts w:hint="eastAsia" w:ascii="Times New Roman" w:hAnsi="Times New Roman" w:eastAsia="宋体" w:cs="Times New Roman"/>
          <w:color w:val="auto"/>
          <w:sz w:val="21"/>
          <w:szCs w:val="21"/>
          <w:highlight w:val="none"/>
          <w:lang w:eastAsia="zh-CN"/>
        </w:rPr>
        <w:t>）</w:t>
      </w:r>
    </w:p>
    <w:p w14:paraId="095E1E49">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盖章或签字</w:t>
      </w:r>
      <w:r>
        <w:rPr>
          <w:rFonts w:hint="default" w:ascii="Times New Roman" w:hAnsi="Times New Roman" w:eastAsia="宋体" w:cs="Times New Roman"/>
          <w:color w:val="auto"/>
          <w:sz w:val="21"/>
          <w:szCs w:val="21"/>
          <w:highlight w:val="none"/>
        </w:rPr>
        <w:t>）</w:t>
      </w:r>
    </w:p>
    <w:p w14:paraId="1555982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日      期：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303EAC8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p>
    <w:p w14:paraId="44BE1F23">
      <w:pPr>
        <w:pStyle w:val="15"/>
        <w:jc w:val="both"/>
        <w:rPr>
          <w:rFonts w:hint="default"/>
        </w:rPr>
      </w:pPr>
    </w:p>
    <w:p w14:paraId="6B554A6D">
      <w:pPr>
        <w:rPr>
          <w:rFonts w:hint="default"/>
        </w:rPr>
      </w:pPr>
    </w:p>
    <w:p w14:paraId="47698780">
      <w:pPr>
        <w:rPr>
          <w:rFonts w:hint="default"/>
        </w:rPr>
      </w:pPr>
    </w:p>
    <w:p w14:paraId="07D77901">
      <w:pPr>
        <w:rPr>
          <w:rFonts w:hint="default"/>
        </w:rPr>
      </w:pPr>
    </w:p>
    <w:p w14:paraId="287CF7A0">
      <w:pPr>
        <w:rPr>
          <w:rFonts w:hint="default"/>
        </w:rPr>
      </w:pPr>
    </w:p>
    <w:p w14:paraId="672115C5">
      <w:pPr>
        <w:rPr>
          <w:rFonts w:hint="default"/>
        </w:rPr>
      </w:pPr>
    </w:p>
    <w:p w14:paraId="7AB7683D">
      <w:pPr>
        <w:rPr>
          <w:rFonts w:hint="eastAsia" w:ascii="Times New Roman" w:hAnsi="Times New Roman" w:eastAsia="宋体" w:cs="Times New Roman"/>
          <w:b/>
          <w:color w:val="auto"/>
          <w:kern w:val="2"/>
          <w:sz w:val="21"/>
          <w:szCs w:val="21"/>
          <w:highlight w:val="none"/>
          <w:lang w:val="en-US" w:eastAsia="zh-CN" w:bidi="ar-SA"/>
        </w:rPr>
      </w:pPr>
    </w:p>
    <w:p w14:paraId="2E48BB69">
      <w:pPr>
        <w:jc w:val="center"/>
        <w:rPr>
          <w:rFonts w:hint="eastAsia"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2</w:t>
      </w:r>
      <w:r>
        <w:rPr>
          <w:rFonts w:hint="eastAsia" w:ascii="Times New Roman" w:hAnsi="Times New Roman" w:eastAsia="宋体" w:cs="Times New Roman"/>
          <w:b/>
          <w:color w:val="auto"/>
          <w:kern w:val="2"/>
          <w:sz w:val="21"/>
          <w:szCs w:val="21"/>
          <w:highlight w:val="none"/>
          <w:lang w:val="en-US" w:eastAsia="zh-CN" w:bidi="ar-SA"/>
        </w:rPr>
        <w:t>）投标人具有履行本合同所必需的设备和专业技术能力的说明及承诺</w:t>
      </w:r>
    </w:p>
    <w:p w14:paraId="0BFD65BA">
      <w:pPr>
        <w:spacing w:line="440" w:lineRule="exact"/>
        <w:rPr>
          <w:rFonts w:hint="default" w:ascii="Times New Roman" w:hAnsi="Times New Roman" w:eastAsia="宋体" w:cs="Times New Roman"/>
          <w:color w:val="auto"/>
          <w:sz w:val="21"/>
          <w:szCs w:val="21"/>
          <w:highlight w:val="none"/>
        </w:rPr>
      </w:pPr>
    </w:p>
    <w:p w14:paraId="6346FE35">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致：</w:t>
      </w:r>
      <w:r>
        <w:rPr>
          <w:rFonts w:hint="default" w:ascii="Times New Roman" w:hAnsi="Times New Roman" w:eastAsia="宋体" w:cs="Times New Roman"/>
          <w:color w:val="auto"/>
          <w:sz w:val="21"/>
          <w:szCs w:val="21"/>
          <w:highlight w:val="none"/>
          <w:u w:val="single"/>
        </w:rPr>
        <w:t xml:space="preserve">     （采购人名称）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F770B62">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日在中华人民共和国境内</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（详细注册地址）</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合法注册并经营，公司主营业务为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，营业（生产经营）面积为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，现有员工数量为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，其中与履行本合同相关的专业技术人员有</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（专业能力、数量）</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，本公司郑重承诺，具有履行本合同所必需的设备和专业技术能力。</w:t>
      </w:r>
    </w:p>
    <w:p w14:paraId="6C93059D">
      <w:pPr>
        <w:spacing w:line="440" w:lineRule="exact"/>
        <w:ind w:firstLine="420"/>
        <w:rPr>
          <w:rFonts w:hint="default" w:ascii="Times New Roman" w:hAnsi="Times New Roman" w:eastAsia="宋体" w:cs="Times New Roman"/>
          <w:color w:val="auto"/>
          <w:sz w:val="21"/>
          <w:szCs w:val="21"/>
          <w:highlight w:val="none"/>
        </w:rPr>
      </w:pPr>
    </w:p>
    <w:p w14:paraId="3E54AF54">
      <w:pPr>
        <w:spacing w:line="440" w:lineRule="exact"/>
        <w:rPr>
          <w:rFonts w:hint="default" w:ascii="Times New Roman" w:hAnsi="Times New Roman" w:eastAsia="宋体" w:cs="Times New Roman"/>
          <w:color w:val="auto"/>
          <w:sz w:val="21"/>
          <w:szCs w:val="21"/>
          <w:highlight w:val="none"/>
        </w:rPr>
      </w:pPr>
    </w:p>
    <w:p w14:paraId="752515D7">
      <w:pPr>
        <w:spacing w:line="440" w:lineRule="exact"/>
        <w:rPr>
          <w:rFonts w:hint="default" w:ascii="Times New Roman" w:hAnsi="Times New Roman" w:eastAsia="宋体" w:cs="Times New Roman"/>
          <w:color w:val="auto"/>
          <w:sz w:val="21"/>
          <w:szCs w:val="21"/>
          <w:highlight w:val="none"/>
        </w:rPr>
      </w:pPr>
    </w:p>
    <w:p w14:paraId="6DFA278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承</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诺</w:t>
      </w:r>
      <w:r>
        <w:rPr>
          <w:rFonts w:hint="default" w:ascii="Times New Roman" w:hAnsi="Times New Roman" w:eastAsia="宋体" w:cs="Times New Roman"/>
          <w:color w:val="auto"/>
          <w:sz w:val="21"/>
          <w:szCs w:val="21"/>
          <w:highlight w:val="none"/>
        </w:rPr>
        <w:t xml:space="preserve">  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w:t>
      </w:r>
      <w:r>
        <w:rPr>
          <w:rFonts w:hint="eastAsia" w:cs="Times New Roman"/>
          <w:color w:val="auto"/>
          <w:sz w:val="21"/>
          <w:szCs w:val="21"/>
          <w:highlight w:val="none"/>
          <w:lang w:eastAsia="zh-CN"/>
        </w:rPr>
        <w:t>盖章</w:t>
      </w:r>
      <w:r>
        <w:rPr>
          <w:rFonts w:hint="eastAsia" w:ascii="Times New Roman" w:hAnsi="Times New Roman" w:eastAsia="宋体" w:cs="Times New Roman"/>
          <w:color w:val="auto"/>
          <w:sz w:val="21"/>
          <w:szCs w:val="21"/>
          <w:highlight w:val="none"/>
          <w:lang w:eastAsia="zh-CN"/>
        </w:rPr>
        <w:t>）</w:t>
      </w:r>
    </w:p>
    <w:p w14:paraId="7E4834B9">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盖章或签字</w:t>
      </w:r>
      <w:r>
        <w:rPr>
          <w:rFonts w:hint="default" w:ascii="Times New Roman" w:hAnsi="Times New Roman" w:eastAsia="宋体" w:cs="Times New Roman"/>
          <w:color w:val="auto"/>
          <w:sz w:val="21"/>
          <w:szCs w:val="21"/>
          <w:highlight w:val="none"/>
        </w:rPr>
        <w:t>）</w:t>
      </w:r>
    </w:p>
    <w:p w14:paraId="5CDD0E7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日      期：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46ACDCB9">
      <w:pPr>
        <w:spacing w:line="440" w:lineRule="exact"/>
        <w:rPr>
          <w:rFonts w:hint="default" w:ascii="Times New Roman" w:hAnsi="Times New Roman" w:eastAsia="宋体" w:cs="Times New Roman"/>
          <w:color w:val="auto"/>
          <w:sz w:val="21"/>
          <w:szCs w:val="21"/>
          <w:highlight w:val="none"/>
        </w:rPr>
      </w:pPr>
    </w:p>
    <w:p w14:paraId="386B0E24">
      <w:pPr>
        <w:spacing w:line="440" w:lineRule="exact"/>
        <w:rPr>
          <w:rFonts w:hint="default" w:ascii="Times New Roman" w:hAnsi="Times New Roman" w:eastAsia="宋体" w:cs="Times New Roman"/>
          <w:color w:val="auto"/>
          <w:sz w:val="21"/>
          <w:szCs w:val="21"/>
          <w:highlight w:val="none"/>
        </w:rPr>
      </w:pPr>
    </w:p>
    <w:p w14:paraId="66459F02">
      <w:pPr>
        <w:spacing w:line="440" w:lineRule="exact"/>
        <w:rPr>
          <w:rFonts w:hint="default" w:ascii="Times New Roman" w:hAnsi="Times New Roman" w:eastAsia="宋体" w:cs="Times New Roman"/>
          <w:color w:val="auto"/>
          <w:sz w:val="21"/>
          <w:szCs w:val="21"/>
          <w:highlight w:val="none"/>
        </w:rPr>
      </w:pPr>
    </w:p>
    <w:p w14:paraId="0935C174">
      <w:pPr>
        <w:spacing w:line="440" w:lineRule="exact"/>
        <w:rPr>
          <w:rFonts w:hint="default" w:ascii="Times New Roman" w:hAnsi="Times New Roman" w:eastAsia="宋体" w:cs="Times New Roman"/>
          <w:color w:val="auto"/>
          <w:sz w:val="21"/>
          <w:szCs w:val="21"/>
          <w:highlight w:val="none"/>
        </w:rPr>
      </w:pPr>
    </w:p>
    <w:p w14:paraId="10B1B230">
      <w:pPr>
        <w:spacing w:line="440" w:lineRule="exact"/>
        <w:rPr>
          <w:rFonts w:hint="default" w:ascii="Times New Roman" w:hAnsi="Times New Roman" w:eastAsia="宋体" w:cs="Times New Roman"/>
          <w:color w:val="auto"/>
          <w:sz w:val="21"/>
          <w:szCs w:val="21"/>
          <w:highlight w:val="none"/>
        </w:rPr>
      </w:pPr>
    </w:p>
    <w:p w14:paraId="28EE71F3">
      <w:pPr>
        <w:spacing w:line="440" w:lineRule="exact"/>
        <w:rPr>
          <w:rFonts w:hint="default" w:ascii="Times New Roman" w:hAnsi="Times New Roman" w:eastAsia="宋体" w:cs="Times New Roman"/>
          <w:color w:val="auto"/>
          <w:sz w:val="21"/>
          <w:szCs w:val="21"/>
          <w:highlight w:val="none"/>
        </w:rPr>
      </w:pPr>
    </w:p>
    <w:p w14:paraId="11C6EFCC">
      <w:pPr>
        <w:spacing w:line="440" w:lineRule="exact"/>
        <w:rPr>
          <w:rFonts w:hint="default" w:ascii="Times New Roman" w:hAnsi="Times New Roman" w:eastAsia="宋体" w:cs="Times New Roman"/>
          <w:color w:val="auto"/>
          <w:sz w:val="21"/>
          <w:szCs w:val="21"/>
          <w:highlight w:val="none"/>
        </w:rPr>
      </w:pPr>
    </w:p>
    <w:p w14:paraId="4DEED906">
      <w:pPr>
        <w:spacing w:line="440" w:lineRule="exact"/>
        <w:rPr>
          <w:rFonts w:hint="default" w:ascii="Times New Roman" w:hAnsi="Times New Roman" w:eastAsia="宋体" w:cs="Times New Roman"/>
          <w:color w:val="auto"/>
          <w:sz w:val="21"/>
          <w:szCs w:val="21"/>
          <w:highlight w:val="none"/>
        </w:rPr>
      </w:pPr>
    </w:p>
    <w:p w14:paraId="51F2AB9C">
      <w:pPr>
        <w:spacing w:line="440" w:lineRule="exact"/>
        <w:rPr>
          <w:rFonts w:hint="default" w:ascii="Times New Roman" w:hAnsi="Times New Roman" w:eastAsia="宋体" w:cs="Times New Roman"/>
          <w:color w:val="auto"/>
          <w:sz w:val="21"/>
          <w:szCs w:val="21"/>
          <w:highlight w:val="none"/>
        </w:rPr>
      </w:pPr>
    </w:p>
    <w:p w14:paraId="0AF1E10E">
      <w:pPr>
        <w:spacing w:line="440" w:lineRule="exact"/>
        <w:rPr>
          <w:rFonts w:hint="default" w:ascii="Times New Roman" w:hAnsi="Times New Roman" w:eastAsia="宋体" w:cs="Times New Roman"/>
          <w:color w:val="auto"/>
          <w:sz w:val="21"/>
          <w:szCs w:val="21"/>
          <w:highlight w:val="none"/>
        </w:rPr>
      </w:pPr>
    </w:p>
    <w:p w14:paraId="16B2CFCC">
      <w:pPr>
        <w:spacing w:line="440" w:lineRule="exact"/>
        <w:rPr>
          <w:rFonts w:hint="default" w:ascii="Times New Roman" w:hAnsi="Times New Roman" w:eastAsia="宋体" w:cs="Times New Roman"/>
          <w:color w:val="auto"/>
          <w:sz w:val="21"/>
          <w:szCs w:val="21"/>
          <w:highlight w:val="none"/>
        </w:rPr>
      </w:pPr>
    </w:p>
    <w:p w14:paraId="16B5B426">
      <w:pPr>
        <w:spacing w:line="440" w:lineRule="exact"/>
        <w:rPr>
          <w:rFonts w:hint="default" w:ascii="Times New Roman" w:hAnsi="Times New Roman" w:eastAsia="宋体" w:cs="Times New Roman"/>
          <w:color w:val="auto"/>
          <w:sz w:val="21"/>
          <w:szCs w:val="21"/>
          <w:highlight w:val="none"/>
        </w:rPr>
      </w:pPr>
    </w:p>
    <w:p w14:paraId="10CF86BE">
      <w:pPr>
        <w:spacing w:line="440" w:lineRule="exact"/>
        <w:rPr>
          <w:rFonts w:hint="default" w:ascii="Times New Roman" w:hAnsi="Times New Roman" w:eastAsia="宋体" w:cs="Times New Roman"/>
          <w:color w:val="auto"/>
          <w:sz w:val="21"/>
          <w:szCs w:val="21"/>
          <w:highlight w:val="none"/>
        </w:rPr>
      </w:pPr>
    </w:p>
    <w:p w14:paraId="55FCD378">
      <w:pPr>
        <w:spacing w:line="440" w:lineRule="exact"/>
        <w:rPr>
          <w:rFonts w:hint="default" w:ascii="Times New Roman" w:hAnsi="Times New Roman" w:eastAsia="宋体" w:cs="Times New Roman"/>
          <w:color w:val="auto"/>
          <w:sz w:val="21"/>
          <w:szCs w:val="21"/>
          <w:highlight w:val="none"/>
        </w:rPr>
      </w:pPr>
    </w:p>
    <w:p w14:paraId="7358117E">
      <w:pPr>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br w:type="page"/>
      </w:r>
    </w:p>
    <w:p w14:paraId="7FA7EECF">
      <w:pPr>
        <w:pageBreakBefore w:val="0"/>
        <w:topLinePunct w:val="0"/>
        <w:bidi w:val="0"/>
        <w:spacing w:line="500" w:lineRule="exact"/>
        <w:ind w:left="0" w:leftChars="0" w:right="0" w:rightChars="0" w:firstLine="482" w:firstLineChars="200"/>
        <w:jc w:val="center"/>
        <w:rPr>
          <w:color w:val="auto"/>
          <w:sz w:val="24"/>
          <w:szCs w:val="24"/>
          <w:lang w:val="en-US"/>
        </w:rPr>
      </w:pPr>
      <w:r>
        <w:rPr>
          <w:rFonts w:hint="eastAsia"/>
          <w:b/>
          <w:bCs/>
          <w:color w:val="auto"/>
          <w:sz w:val="24"/>
          <w:szCs w:val="24"/>
          <w:lang w:val="en-US"/>
        </w:rPr>
        <w:t>（</w:t>
      </w:r>
      <w:r>
        <w:rPr>
          <w:rFonts w:hint="eastAsia"/>
          <w:b/>
          <w:bCs/>
          <w:color w:val="auto"/>
          <w:sz w:val="24"/>
          <w:szCs w:val="24"/>
          <w:lang w:val="en-US" w:eastAsia="zh-CN"/>
        </w:rPr>
        <w:t>3</w:t>
      </w:r>
      <w:r>
        <w:rPr>
          <w:rFonts w:hint="eastAsia"/>
          <w:b/>
          <w:bCs/>
          <w:color w:val="auto"/>
          <w:sz w:val="24"/>
          <w:szCs w:val="24"/>
          <w:lang w:val="en-US"/>
        </w:rPr>
        <w:t>）食品安全承诺书</w:t>
      </w:r>
    </w:p>
    <w:p w14:paraId="3A4A694F">
      <w:pPr>
        <w:pageBreakBefore w:val="0"/>
        <w:topLinePunct w:val="0"/>
        <w:bidi w:val="0"/>
        <w:spacing w:line="500" w:lineRule="exact"/>
        <w:ind w:left="0" w:leftChars="0" w:right="0" w:rightChars="0" w:firstLine="480" w:firstLineChars="200"/>
        <w:rPr>
          <w:rFonts w:hint="eastAsia"/>
          <w:color w:val="auto"/>
          <w:sz w:val="24"/>
          <w:szCs w:val="24"/>
          <w:lang w:val="en-US"/>
        </w:rPr>
      </w:pPr>
    </w:p>
    <w:p w14:paraId="6F2AEB28">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汉滨区五里高级中学：</w:t>
      </w:r>
    </w:p>
    <w:p w14:paraId="3845D802">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根据《中华人民共和国食品安全法》（以下简称食品安全法）规定，保证食品安全，本企业郑重承诺：</w:t>
      </w:r>
    </w:p>
    <w:p w14:paraId="29DF84A6">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（一）认真履行食品经营者必须承担的食品安全“第一责任人”职责，对本企业配送的食品安全负责。</w:t>
      </w:r>
    </w:p>
    <w:p w14:paraId="0643E999">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依据《</w:t>
      </w:r>
      <w:r>
        <w:rPr>
          <w:rFonts w:hint="eastAsia"/>
          <w:color w:val="auto"/>
          <w:sz w:val="21"/>
          <w:szCs w:val="21"/>
          <w:lang w:val="en-US" w:eastAsia="zh-CN"/>
        </w:rPr>
        <w:t>中华人民共和国食品安全法</w:t>
      </w:r>
      <w:r>
        <w:rPr>
          <w:rFonts w:hint="eastAsia"/>
          <w:color w:val="auto"/>
          <w:sz w:val="21"/>
          <w:szCs w:val="21"/>
          <w:lang w:val="en-US"/>
        </w:rPr>
        <w:t>》的规定，有食品经营许可证制度。</w:t>
      </w:r>
    </w:p>
    <w:p w14:paraId="2E8D9AC6">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依据《</w:t>
      </w:r>
      <w:r>
        <w:rPr>
          <w:rFonts w:hint="eastAsia"/>
          <w:color w:val="auto"/>
          <w:sz w:val="21"/>
          <w:szCs w:val="21"/>
          <w:lang w:val="en-US" w:eastAsia="zh-CN"/>
        </w:rPr>
        <w:t>中华人民共和国食品安全法</w:t>
      </w:r>
      <w:r>
        <w:rPr>
          <w:rFonts w:hint="eastAsia"/>
          <w:color w:val="auto"/>
          <w:sz w:val="21"/>
          <w:szCs w:val="21"/>
          <w:lang w:val="en-US"/>
        </w:rPr>
        <w:t>》的规定建立食品安全</w:t>
      </w:r>
      <w:r>
        <w:rPr>
          <w:rFonts w:hint="eastAsia"/>
          <w:color w:val="auto"/>
          <w:sz w:val="21"/>
          <w:szCs w:val="21"/>
          <w:lang w:val="en-US" w:eastAsia="zh-CN"/>
        </w:rPr>
        <w:t>管理</w:t>
      </w:r>
      <w:r>
        <w:rPr>
          <w:rFonts w:hint="eastAsia"/>
          <w:color w:val="auto"/>
          <w:sz w:val="21"/>
          <w:szCs w:val="21"/>
          <w:lang w:val="en-US"/>
        </w:rPr>
        <w:t>组织，设立专职食品安全员。</w:t>
      </w:r>
    </w:p>
    <w:p w14:paraId="724C618F">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依据《</w:t>
      </w:r>
      <w:r>
        <w:rPr>
          <w:rFonts w:hint="eastAsia"/>
          <w:color w:val="auto"/>
          <w:sz w:val="21"/>
          <w:szCs w:val="21"/>
          <w:lang w:val="en-US" w:eastAsia="zh-CN"/>
        </w:rPr>
        <w:t>中华人民共和国食品安全法</w:t>
      </w:r>
      <w:r>
        <w:rPr>
          <w:rFonts w:hint="eastAsia"/>
          <w:color w:val="auto"/>
          <w:sz w:val="21"/>
          <w:szCs w:val="21"/>
          <w:lang w:val="en-US"/>
        </w:rPr>
        <w:t>》的规定制定经营环节卫生管理制度和食品安全制度，从业人员熟知并严格执行。</w:t>
      </w:r>
    </w:p>
    <w:p w14:paraId="6DB45BDC">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依据《</w:t>
      </w:r>
      <w:r>
        <w:rPr>
          <w:rFonts w:hint="eastAsia"/>
          <w:color w:val="auto"/>
          <w:sz w:val="21"/>
          <w:szCs w:val="21"/>
          <w:lang w:val="en-US" w:eastAsia="zh-CN"/>
        </w:rPr>
        <w:t>中华人民共和国食品安全法</w:t>
      </w:r>
      <w:r>
        <w:rPr>
          <w:rFonts w:hint="eastAsia"/>
          <w:color w:val="auto"/>
          <w:sz w:val="21"/>
          <w:szCs w:val="21"/>
          <w:lang w:val="en-US"/>
        </w:rPr>
        <w:t>》的规定组织职工参加食品安全培训，并建立培训档案， 负责人和负责食品安全管理人员必须在接受食品安全法律、法规和食品安全知识培训并考试合格后，方可从事食品安全管理工作。</w:t>
      </w:r>
    </w:p>
    <w:p w14:paraId="2F469C70">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依据《</w:t>
      </w:r>
      <w:r>
        <w:rPr>
          <w:rFonts w:hint="eastAsia"/>
          <w:color w:val="auto"/>
          <w:sz w:val="21"/>
          <w:szCs w:val="21"/>
          <w:lang w:val="en-US" w:eastAsia="zh-CN"/>
        </w:rPr>
        <w:t>中华人民共和国食品安全法</w:t>
      </w:r>
      <w:r>
        <w:rPr>
          <w:rFonts w:hint="eastAsia"/>
          <w:color w:val="auto"/>
          <w:sz w:val="21"/>
          <w:szCs w:val="21"/>
          <w:lang w:val="en-US"/>
        </w:rPr>
        <w:t>》的规定建立并执行从业人员的健康检查制度和健康档案制度，严禁患有《</w:t>
      </w:r>
      <w:r>
        <w:rPr>
          <w:rFonts w:hint="eastAsia"/>
          <w:color w:val="auto"/>
          <w:sz w:val="21"/>
          <w:szCs w:val="21"/>
          <w:lang w:val="en-US" w:eastAsia="zh-CN"/>
        </w:rPr>
        <w:t>中华人民共和国食品安全法</w:t>
      </w:r>
      <w:r>
        <w:rPr>
          <w:rFonts w:hint="eastAsia"/>
          <w:color w:val="auto"/>
          <w:sz w:val="21"/>
          <w:szCs w:val="21"/>
          <w:lang w:val="en-US"/>
        </w:rPr>
        <w:t>》规定不得从事接触直接入口食品工作的疾病从业人员从事接触直接入口的工作。</w:t>
      </w:r>
    </w:p>
    <w:p w14:paraId="08C59852">
      <w:pPr>
        <w:pageBreakBefore w:val="0"/>
        <w:topLinePunct w:val="0"/>
        <w:bidi w:val="0"/>
        <w:spacing w:line="360" w:lineRule="auto"/>
        <w:ind w:left="0" w:leftChars="0" w:right="0" w:rightChars="0" w:firstLine="420" w:firstLineChars="200"/>
        <w:rPr>
          <w:rFonts w:hint="eastAsia"/>
          <w:color w:val="auto"/>
          <w:sz w:val="21"/>
          <w:szCs w:val="21"/>
          <w:lang w:val="en-US" w:eastAsia="zh-CN"/>
        </w:rPr>
      </w:pPr>
      <w:r>
        <w:rPr>
          <w:rFonts w:hint="eastAsia"/>
          <w:color w:val="auto"/>
          <w:sz w:val="21"/>
          <w:szCs w:val="21"/>
          <w:lang w:val="en-US"/>
        </w:rPr>
        <w:t>依据《</w:t>
      </w:r>
      <w:r>
        <w:rPr>
          <w:rFonts w:hint="eastAsia"/>
          <w:color w:val="auto"/>
          <w:sz w:val="21"/>
          <w:szCs w:val="21"/>
          <w:lang w:val="en-US" w:eastAsia="zh-CN"/>
        </w:rPr>
        <w:t>中华人民共和国食品安全法</w:t>
      </w:r>
      <w:r>
        <w:rPr>
          <w:rFonts w:hint="eastAsia"/>
          <w:color w:val="auto"/>
          <w:sz w:val="21"/>
          <w:szCs w:val="21"/>
          <w:lang w:val="en-US"/>
        </w:rPr>
        <w:t>》的规定坚决不</w:t>
      </w:r>
      <w:r>
        <w:rPr>
          <w:rFonts w:hint="eastAsia"/>
          <w:color w:val="auto"/>
          <w:sz w:val="21"/>
          <w:szCs w:val="21"/>
          <w:lang w:val="en-US" w:eastAsia="zh-CN"/>
        </w:rPr>
        <w:t>食用</w:t>
      </w:r>
      <w:r>
        <w:rPr>
          <w:rFonts w:hint="eastAsia"/>
          <w:color w:val="auto"/>
          <w:sz w:val="21"/>
          <w:szCs w:val="21"/>
          <w:lang w:val="en-US"/>
        </w:rPr>
        <w:t>不合格的食品</w:t>
      </w:r>
      <w:r>
        <w:rPr>
          <w:rFonts w:hint="eastAsia"/>
          <w:color w:val="auto"/>
          <w:sz w:val="21"/>
          <w:szCs w:val="21"/>
          <w:lang w:val="en-US" w:eastAsia="zh-CN"/>
        </w:rPr>
        <w:t>。</w:t>
      </w:r>
    </w:p>
    <w:p w14:paraId="7FF17B32">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依据《</w:t>
      </w:r>
      <w:r>
        <w:rPr>
          <w:rFonts w:hint="eastAsia"/>
          <w:color w:val="auto"/>
          <w:sz w:val="21"/>
          <w:szCs w:val="21"/>
          <w:lang w:val="en-US" w:eastAsia="zh-CN"/>
        </w:rPr>
        <w:t>中华人民共和国食品安全法</w:t>
      </w:r>
      <w:r>
        <w:rPr>
          <w:rFonts w:hint="eastAsia"/>
          <w:color w:val="auto"/>
          <w:sz w:val="21"/>
          <w:szCs w:val="21"/>
          <w:lang w:val="en-US"/>
        </w:rPr>
        <w:t>》的规定定期维护食品储存，陈列等设施，设备定期清洗， 校验，保温设施。</w:t>
      </w:r>
    </w:p>
    <w:p w14:paraId="5206DEBA">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公示监督投诉电话</w:t>
      </w:r>
    </w:p>
    <w:p w14:paraId="7EC69607">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（二）依法建立健全食品进货检查验收和索证索票制度，认真查验供货商的供货资格，产品合格证明，产品标识和食品质量是否符合要求，严把进货关。</w:t>
      </w:r>
    </w:p>
    <w:p w14:paraId="6F9084D1">
      <w:pPr>
        <w:pageBreakBefore w:val="0"/>
        <w:topLinePunct w:val="0"/>
        <w:bidi w:val="0"/>
        <w:spacing w:line="360" w:lineRule="auto"/>
        <w:ind w:left="0" w:leftChars="0" w:right="0" w:rightChars="0" w:firstLine="420" w:firstLineChars="200"/>
        <w:rPr>
          <w:color w:val="auto"/>
          <w:sz w:val="21"/>
          <w:szCs w:val="21"/>
          <w:lang w:val="en-US"/>
        </w:rPr>
      </w:pPr>
      <w:r>
        <w:rPr>
          <w:rFonts w:hint="eastAsia"/>
          <w:color w:val="auto"/>
          <w:sz w:val="21"/>
          <w:szCs w:val="21"/>
          <w:lang w:val="en-US"/>
        </w:rPr>
        <w:t>（三）依法建立健全食品进货台账制度，如实记录、保存食品进货的各种信息， 保证本企业配送食品的可追溯性，以防范和控制食品安全风险。</w:t>
      </w:r>
    </w:p>
    <w:p w14:paraId="1DC27D02">
      <w:pPr>
        <w:pageBreakBefore w:val="0"/>
        <w:topLinePunct w:val="0"/>
        <w:bidi w:val="0"/>
        <w:spacing w:line="360" w:lineRule="auto"/>
        <w:ind w:left="0" w:leftChars="0" w:right="0" w:rightChars="0" w:firstLine="420" w:firstLineChars="200"/>
        <w:rPr>
          <w:rFonts w:hint="eastAsia"/>
          <w:color w:val="auto"/>
          <w:sz w:val="21"/>
          <w:szCs w:val="21"/>
          <w:lang w:val="en-US"/>
        </w:rPr>
      </w:pPr>
      <w:r>
        <w:rPr>
          <w:rFonts w:hint="eastAsia"/>
          <w:color w:val="auto"/>
          <w:sz w:val="21"/>
          <w:szCs w:val="21"/>
          <w:lang w:val="en-US"/>
        </w:rPr>
        <w:t>（四）建立健全并落实食品安全的日常管理措施，及时发现配送食品的安全隐患，不销售不符合法律要求的食品，过期食品、变质食品和存在安全隐患的食品。发现问题食品立即停止配送并立即向相关部门报告并拿出处理方案。</w:t>
      </w:r>
    </w:p>
    <w:p w14:paraId="6D9C10E5">
      <w:pPr>
        <w:pageBreakBefore w:val="0"/>
        <w:topLinePunct w:val="0"/>
        <w:bidi w:val="0"/>
        <w:spacing w:line="360" w:lineRule="auto"/>
        <w:ind w:left="0" w:leftChars="0" w:right="0" w:rightChars="0" w:firstLine="420" w:firstLineChars="200"/>
        <w:rPr>
          <w:rFonts w:hint="eastAsia"/>
          <w:color w:val="auto"/>
          <w:sz w:val="21"/>
          <w:szCs w:val="21"/>
          <w:lang w:val="en-US"/>
        </w:rPr>
      </w:pPr>
    </w:p>
    <w:p w14:paraId="2D8F955B">
      <w:pPr>
        <w:pageBreakBefore w:val="0"/>
        <w:numPr>
          <w:ilvl w:val="0"/>
          <w:numId w:val="13"/>
        </w:numPr>
        <w:topLinePunct w:val="0"/>
        <w:bidi w:val="0"/>
        <w:spacing w:line="360" w:lineRule="auto"/>
        <w:ind w:left="0" w:leftChars="0" w:right="0" w:rightChars="0" w:firstLine="420" w:firstLineChars="200"/>
        <w:rPr>
          <w:rFonts w:hint="eastAsia"/>
          <w:color w:val="auto"/>
          <w:sz w:val="21"/>
          <w:szCs w:val="21"/>
          <w:lang w:val="en-US"/>
        </w:rPr>
      </w:pPr>
      <w:r>
        <w:rPr>
          <w:rFonts w:hint="eastAsia"/>
          <w:color w:val="auto"/>
          <w:sz w:val="21"/>
          <w:szCs w:val="21"/>
          <w:lang w:val="en-US"/>
        </w:rPr>
        <w:t>自觉接受相关管理部门监督检查，自愿按照《</w:t>
      </w:r>
      <w:r>
        <w:rPr>
          <w:rFonts w:hint="eastAsia"/>
          <w:color w:val="auto"/>
          <w:sz w:val="21"/>
          <w:szCs w:val="21"/>
          <w:lang w:val="en-US" w:eastAsia="zh-CN"/>
        </w:rPr>
        <w:t>中华人民共和国食品安全法</w:t>
      </w:r>
      <w:r>
        <w:rPr>
          <w:rFonts w:hint="eastAsia"/>
          <w:color w:val="auto"/>
          <w:sz w:val="21"/>
          <w:szCs w:val="21"/>
          <w:lang w:val="en-US"/>
        </w:rPr>
        <w:t>》等法律法规规定接受处理。</w:t>
      </w:r>
    </w:p>
    <w:p w14:paraId="00769EBC">
      <w:pPr>
        <w:pageBreakBefore w:val="0"/>
        <w:widowControl w:val="0"/>
        <w:numPr>
          <w:ilvl w:val="0"/>
          <w:numId w:val="0"/>
        </w:numPr>
        <w:topLinePunct w:val="0"/>
        <w:autoSpaceDE w:val="0"/>
        <w:autoSpaceDN w:val="0"/>
        <w:bidi w:val="0"/>
        <w:spacing w:line="360" w:lineRule="auto"/>
        <w:ind w:right="0" w:rightChars="0"/>
        <w:rPr>
          <w:rFonts w:hint="eastAsia"/>
          <w:color w:val="auto"/>
          <w:sz w:val="21"/>
          <w:szCs w:val="21"/>
          <w:lang w:val="en-US"/>
        </w:rPr>
      </w:pPr>
    </w:p>
    <w:p w14:paraId="142678D5">
      <w:pPr>
        <w:pageBreakBefore w:val="0"/>
        <w:topLinePunct w:val="0"/>
        <w:bidi w:val="0"/>
        <w:spacing w:line="480" w:lineRule="auto"/>
        <w:ind w:left="0" w:leftChars="0" w:right="0" w:rightChars="0" w:firstLine="420" w:firstLineChars="200"/>
        <w:rPr>
          <w:color w:val="auto"/>
          <w:sz w:val="21"/>
          <w:szCs w:val="21"/>
          <w:lang w:val="en-US"/>
        </w:rPr>
      </w:pPr>
      <w:r>
        <w:rPr>
          <w:rFonts w:hint="eastAsia"/>
          <w:color w:val="auto"/>
          <w:sz w:val="21"/>
          <w:szCs w:val="21"/>
          <w:lang w:val="en-US"/>
        </w:rPr>
        <w:t>承诺单位法定代表人（签字）：</w:t>
      </w:r>
      <w:r>
        <w:rPr>
          <w:rFonts w:hint="eastAsia"/>
          <w:color w:val="auto"/>
          <w:sz w:val="21"/>
          <w:szCs w:val="21"/>
          <w:u w:val="single"/>
          <w:lang w:val="en-US"/>
        </w:rPr>
        <w:t xml:space="preserve">         </w:t>
      </w:r>
      <w:r>
        <w:rPr>
          <w:rFonts w:hint="eastAsia"/>
          <w:color w:val="auto"/>
          <w:sz w:val="21"/>
          <w:szCs w:val="21"/>
          <w:lang w:val="en-US"/>
        </w:rPr>
        <w:tab/>
      </w:r>
      <w:r>
        <w:rPr>
          <w:rFonts w:hint="eastAsia"/>
          <w:color w:val="auto"/>
          <w:sz w:val="21"/>
          <w:szCs w:val="21"/>
          <w:lang w:val="en-US"/>
        </w:rPr>
        <w:tab/>
      </w:r>
      <w:r>
        <w:rPr>
          <w:rFonts w:hint="eastAsia"/>
          <w:color w:val="auto"/>
          <w:sz w:val="21"/>
          <w:szCs w:val="21"/>
          <w:lang w:val="en-US"/>
        </w:rPr>
        <w:t xml:space="preserve"> </w:t>
      </w:r>
    </w:p>
    <w:p w14:paraId="4B3943EF">
      <w:pPr>
        <w:pageBreakBefore w:val="0"/>
        <w:topLinePunct w:val="0"/>
        <w:bidi w:val="0"/>
        <w:spacing w:line="480" w:lineRule="auto"/>
        <w:ind w:left="0" w:leftChars="0" w:right="0" w:rightChars="0" w:firstLine="420" w:firstLineChars="200"/>
        <w:rPr>
          <w:color w:val="auto"/>
          <w:sz w:val="21"/>
          <w:szCs w:val="21"/>
          <w:u w:val="single"/>
          <w:lang w:val="en-US"/>
        </w:rPr>
      </w:pPr>
      <w:r>
        <w:rPr>
          <w:rFonts w:hint="eastAsia"/>
          <w:color w:val="auto"/>
          <w:sz w:val="21"/>
          <w:szCs w:val="21"/>
          <w:lang w:val="en-US"/>
        </w:rPr>
        <w:t>承诺单位（盖章）</w:t>
      </w:r>
      <w:r>
        <w:rPr>
          <w:rFonts w:hint="eastAsia"/>
          <w:color w:val="auto"/>
          <w:sz w:val="21"/>
          <w:szCs w:val="21"/>
          <w:u w:val="single"/>
          <w:lang w:val="en-US"/>
        </w:rPr>
        <w:t xml:space="preserve"> </w:t>
      </w:r>
      <w:r>
        <w:rPr>
          <w:rFonts w:hint="eastAsia"/>
          <w:color w:val="auto"/>
          <w:sz w:val="21"/>
          <w:szCs w:val="21"/>
          <w:u w:val="single"/>
          <w:lang w:val="en-US"/>
        </w:rPr>
        <w:tab/>
      </w:r>
      <w:r>
        <w:rPr>
          <w:rFonts w:hint="eastAsia"/>
          <w:color w:val="auto"/>
          <w:sz w:val="21"/>
          <w:szCs w:val="21"/>
          <w:u w:val="single"/>
          <w:lang w:val="en-US"/>
        </w:rPr>
        <w:tab/>
      </w:r>
      <w:r>
        <w:rPr>
          <w:rFonts w:hint="eastAsia"/>
          <w:color w:val="auto"/>
          <w:sz w:val="21"/>
          <w:szCs w:val="21"/>
          <w:u w:val="single"/>
          <w:lang w:val="en-US"/>
        </w:rPr>
        <w:t xml:space="preserve"> </w:t>
      </w:r>
    </w:p>
    <w:p w14:paraId="2105D8CE">
      <w:pPr>
        <w:pageBreakBefore w:val="0"/>
        <w:topLinePunct w:val="0"/>
        <w:bidi w:val="0"/>
        <w:spacing w:line="480" w:lineRule="auto"/>
        <w:ind w:left="0" w:leftChars="0" w:right="0" w:rightChars="0" w:firstLine="420" w:firstLineChars="200"/>
        <w:rPr>
          <w:rFonts w:ascii="Times New Roman" w:eastAsia="Times New Roman"/>
          <w:color w:val="auto"/>
          <w:sz w:val="21"/>
          <w:szCs w:val="21"/>
        </w:rPr>
        <w:sectPr>
          <w:headerReference r:id="rId8" w:type="default"/>
          <w:footerReference r:id="rId9" w:type="default"/>
          <w:pgSz w:w="11910" w:h="16840"/>
          <w:pgMar w:top="1020" w:right="1304" w:bottom="1020" w:left="1304" w:header="720" w:footer="720" w:gutter="0"/>
          <w:pgNumType w:fmt="decimal"/>
          <w:cols w:space="720" w:num="1"/>
        </w:sectPr>
      </w:pPr>
      <w:r>
        <w:rPr>
          <w:rFonts w:hint="eastAsia"/>
          <w:color w:val="auto"/>
          <w:sz w:val="21"/>
          <w:szCs w:val="21"/>
          <w:lang w:val="en-US"/>
        </w:rPr>
        <w:t>承诺时间：</w:t>
      </w:r>
      <w:r>
        <w:rPr>
          <w:rFonts w:hint="eastAsia"/>
          <w:color w:val="auto"/>
          <w:sz w:val="21"/>
          <w:szCs w:val="21"/>
          <w:u w:val="single"/>
          <w:lang w:val="en-US"/>
        </w:rPr>
        <w:t xml:space="preserve">        </w:t>
      </w:r>
    </w:p>
    <w:p w14:paraId="434ED3FB">
      <w:pPr>
        <w:spacing w:line="440" w:lineRule="exact"/>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3</w:t>
      </w:r>
      <w:r>
        <w:rPr>
          <w:rFonts w:hint="default" w:ascii="宋体" w:hAnsi="宋体" w:eastAsia="宋体" w:cs="宋体"/>
          <w:b/>
          <w:color w:val="auto"/>
          <w:sz w:val="21"/>
          <w:szCs w:val="21"/>
          <w:highlight w:val="none"/>
          <w:lang w:eastAsia="zh-CN"/>
        </w:rPr>
        <w:t>其他证明材料：享受</w:t>
      </w:r>
      <w:r>
        <w:rPr>
          <w:rFonts w:hint="default" w:ascii="宋体" w:hAnsi="宋体" w:eastAsia="宋体" w:cs="宋体"/>
          <w:b/>
          <w:color w:val="auto"/>
          <w:sz w:val="21"/>
          <w:szCs w:val="21"/>
          <w:highlight w:val="none"/>
        </w:rPr>
        <w:t>政府采购</w:t>
      </w:r>
      <w:r>
        <w:rPr>
          <w:rFonts w:hint="default" w:ascii="宋体" w:hAnsi="宋体" w:eastAsia="宋体" w:cs="宋体"/>
          <w:b/>
          <w:color w:val="auto"/>
          <w:sz w:val="21"/>
          <w:szCs w:val="21"/>
          <w:highlight w:val="none"/>
          <w:lang w:eastAsia="zh-CN"/>
        </w:rPr>
        <w:t>优惠</w:t>
      </w:r>
      <w:r>
        <w:rPr>
          <w:rFonts w:hint="default" w:ascii="宋体" w:hAnsi="宋体" w:eastAsia="宋体" w:cs="宋体"/>
          <w:b/>
          <w:color w:val="auto"/>
          <w:sz w:val="21"/>
          <w:szCs w:val="21"/>
          <w:highlight w:val="none"/>
        </w:rPr>
        <w:t>政策产品</w:t>
      </w:r>
      <w:r>
        <w:rPr>
          <w:rFonts w:hint="default" w:ascii="宋体" w:hAnsi="宋体" w:eastAsia="宋体" w:cs="宋体"/>
          <w:b/>
          <w:color w:val="auto"/>
          <w:sz w:val="21"/>
          <w:szCs w:val="21"/>
          <w:highlight w:val="none"/>
          <w:lang w:eastAsia="zh-CN"/>
        </w:rPr>
        <w:t>的</w:t>
      </w:r>
      <w:r>
        <w:rPr>
          <w:rFonts w:hint="default" w:ascii="宋体" w:hAnsi="宋体" w:eastAsia="宋体" w:cs="宋体"/>
          <w:b/>
          <w:color w:val="auto"/>
          <w:sz w:val="21"/>
          <w:szCs w:val="21"/>
          <w:highlight w:val="none"/>
        </w:rPr>
        <w:t>证明材料</w:t>
      </w:r>
      <w:r>
        <w:rPr>
          <w:rFonts w:hint="default" w:ascii="宋体" w:hAnsi="宋体" w:eastAsia="宋体" w:cs="宋体"/>
          <w:b/>
          <w:color w:val="auto"/>
          <w:sz w:val="21"/>
          <w:szCs w:val="21"/>
          <w:highlight w:val="none"/>
          <w:lang w:eastAsia="zh-CN"/>
        </w:rPr>
        <w:t>（如有）</w:t>
      </w:r>
    </w:p>
    <w:p w14:paraId="494633D4">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1、中小企业声明函（货物）</w:t>
      </w:r>
    </w:p>
    <w:p w14:paraId="7651EEA4">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说明：投标人</w:t>
      </w:r>
      <w:r>
        <w:rPr>
          <w:rFonts w:hint="eastAsia" w:asciiTheme="minorEastAsia" w:hAnsiTheme="minorEastAsia" w:eastAsiaTheme="minorEastAsia"/>
        </w:rPr>
        <w:t>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Theme="minorEastAsia" w:hAnsiTheme="minorEastAsia" w:eastAsiaTheme="minorEastAsia"/>
        </w:rPr>
        <w:t>20</w:t>
      </w:r>
      <w:r>
        <w:rPr>
          <w:rFonts w:hint="eastAsia" w:asciiTheme="minorEastAsia" w:hAnsiTheme="minorEastAsia" w:eastAsiaTheme="minorEastAsia"/>
        </w:rPr>
        <w:t>〕</w:t>
      </w:r>
      <w:r>
        <w:rPr>
          <w:rFonts w:asciiTheme="minorEastAsia" w:hAnsiTheme="minorEastAsia" w:eastAsiaTheme="minorEastAsia"/>
        </w:rPr>
        <w:t>46</w:t>
      </w:r>
      <w:r>
        <w:rPr>
          <w:rFonts w:hint="eastAsia" w:asciiTheme="minorEastAsia" w:hAnsiTheme="minorEastAsia" w:eastAsiaTheme="minorEastAsia"/>
        </w:rPr>
        <w:t>号）相关规定。</w:t>
      </w:r>
    </w:p>
    <w:p w14:paraId="36FB4762">
      <w:pPr>
        <w:spacing w:line="460" w:lineRule="exact"/>
        <w:ind w:right="105" w:rightChars="50"/>
        <w:rPr>
          <w:rFonts w:asciiTheme="minorEastAsia" w:hAnsiTheme="minorEastAsia" w:eastAsiaTheme="minorEastAsia"/>
          <w:b/>
        </w:rPr>
      </w:pPr>
    </w:p>
    <w:p w14:paraId="2F4D930C">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lang w:val="en-US" w:eastAsia="zh-CN"/>
        </w:rPr>
        <w:t>2</w:t>
      </w:r>
      <w:r>
        <w:rPr>
          <w:rFonts w:hint="eastAsia" w:asciiTheme="minorEastAsia" w:hAnsiTheme="minorEastAsia" w:eastAsiaTheme="minorEastAsia"/>
          <w:b/>
        </w:rPr>
        <w:t>、残疾人福利性单位声明函</w:t>
      </w:r>
    </w:p>
    <w:p w14:paraId="44F3157E">
      <w:pPr>
        <w:spacing w:line="460" w:lineRule="exact"/>
        <w:ind w:right="105" w:rightChars="50" w:firstLine="420" w:firstLineChars="200"/>
        <w:rPr>
          <w:rFonts w:asciiTheme="minorEastAsia" w:hAnsiTheme="minorEastAsia" w:eastAsiaTheme="minorEastAsia"/>
        </w:rPr>
      </w:pPr>
      <w:r>
        <w:rPr>
          <w:rFonts w:hint="eastAsia" w:asciiTheme="minorEastAsia" w:hAnsiTheme="minorEastAsia" w:eastAsiaTheme="minorEastAsia"/>
        </w:rPr>
        <w:t>说明：</w:t>
      </w:r>
      <w:r>
        <w:rPr>
          <w:rFonts w:asciiTheme="minorEastAsia" w:hAnsiTheme="minorEastAsia" w:eastAsiaTheme="minorEastAsia"/>
        </w:rPr>
        <w:t>投标人</w:t>
      </w:r>
      <w:r>
        <w:rPr>
          <w:rFonts w:hint="eastAsia" w:asciiTheme="minorEastAsia" w:hAnsiTheme="minorEastAsia" w:eastAsiaTheme="minorEastAsia"/>
        </w:rPr>
        <w:t>为残疾人福利性单位的，应按下文给定格式填写声明函。</w:t>
      </w:r>
      <w:r>
        <w:rPr>
          <w:rFonts w:asciiTheme="minorEastAsia" w:hAnsiTheme="minorEastAsia" w:eastAsiaTheme="minorEastAsia"/>
        </w:rPr>
        <w:t>未提供或未按给定格式提供声明函的，</w:t>
      </w:r>
      <w:r>
        <w:rPr>
          <w:rFonts w:hint="eastAsia" w:asciiTheme="minorEastAsia" w:hAnsiTheme="minorEastAsia" w:eastAsiaTheme="minorEastAsia"/>
        </w:rPr>
        <w:t>将不能享受招标文件规定的价格优惠政策，但不影响投标文件的有效性。</w:t>
      </w:r>
    </w:p>
    <w:p w14:paraId="3FA4AEC5">
      <w:pPr>
        <w:spacing w:line="460" w:lineRule="exact"/>
        <w:ind w:right="105" w:rightChars="50" w:firstLine="420" w:firstLineChars="200"/>
        <w:rPr>
          <w:rFonts w:asciiTheme="minorEastAsia" w:hAnsiTheme="minorEastAsia" w:eastAsiaTheme="minorEastAsia"/>
        </w:rPr>
      </w:pPr>
      <w:r>
        <w:rPr>
          <w:rFonts w:hint="eastAsia" w:asciiTheme="minorEastAsia" w:hAnsiTheme="minorEastAsia" w:eastAsiaTheme="minorEastAsia"/>
        </w:rPr>
        <w:t>投标人在填报前请认真阅读《财政部、民政部、中国残疾人联合会关于促进残疾人就业政府采购政策的通知》（财库〔2017〕141号）相关规定。</w:t>
      </w:r>
    </w:p>
    <w:p w14:paraId="3244FEDD">
      <w:pPr>
        <w:spacing w:line="460" w:lineRule="exact"/>
        <w:ind w:right="105" w:rightChars="50" w:firstLine="211" w:firstLineChars="100"/>
        <w:rPr>
          <w:rFonts w:asciiTheme="minorEastAsia" w:hAnsiTheme="minorEastAsia" w:eastAsiaTheme="minorEastAsia"/>
          <w:b/>
        </w:rPr>
      </w:pPr>
    </w:p>
    <w:p w14:paraId="6208D257">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lang w:val="en-US" w:eastAsia="zh-CN"/>
        </w:rPr>
        <w:t>3</w:t>
      </w:r>
      <w:r>
        <w:rPr>
          <w:rFonts w:hint="eastAsia" w:asciiTheme="minorEastAsia" w:hAnsiTheme="minorEastAsia" w:eastAsiaTheme="minorEastAsia"/>
          <w:b/>
        </w:rPr>
        <w:t>、监狱企业证明</w:t>
      </w:r>
    </w:p>
    <w:p w14:paraId="6FF0F30E">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说明：投标人为监狱企业</w:t>
      </w:r>
      <w:r>
        <w:rPr>
          <w:rFonts w:hint="eastAsia" w:asciiTheme="minorEastAsia" w:hAnsiTheme="minorEastAsia" w:eastAsiaTheme="minorEastAsia"/>
        </w:rPr>
        <w:t>的</w:t>
      </w:r>
      <w:r>
        <w:rPr>
          <w:rFonts w:asciiTheme="minorEastAsia" w:hAnsiTheme="minorEastAsia" w:eastAsiaTheme="minorEastAsia"/>
        </w:rPr>
        <w:t>，应当提供由省级以上监狱管理局、戒毒管理局（含新疆生产建设兵团）出具的属于监狱企业的证明</w:t>
      </w:r>
      <w:r>
        <w:rPr>
          <w:rFonts w:hint="eastAsia" w:asciiTheme="minorEastAsia" w:hAnsiTheme="minorEastAsia" w:eastAsiaTheme="minorEastAsia"/>
        </w:rPr>
        <w:t>函</w:t>
      </w:r>
      <w:r>
        <w:rPr>
          <w:rFonts w:asciiTheme="minorEastAsia" w:hAnsiTheme="minorEastAsia" w:eastAsiaTheme="minorEastAsia"/>
        </w:rPr>
        <w:t>（格式不</w:t>
      </w:r>
      <w:r>
        <w:rPr>
          <w:rFonts w:hint="eastAsia" w:asciiTheme="minorEastAsia" w:hAnsiTheme="minorEastAsia" w:eastAsiaTheme="minorEastAsia"/>
        </w:rPr>
        <w:t>限</w:t>
      </w:r>
      <w:r>
        <w:rPr>
          <w:rFonts w:asciiTheme="minorEastAsia" w:hAnsiTheme="minorEastAsia" w:eastAsiaTheme="minorEastAsia"/>
        </w:rPr>
        <w:t>）。未提供证明</w:t>
      </w:r>
      <w:r>
        <w:rPr>
          <w:rFonts w:hint="eastAsia" w:asciiTheme="minorEastAsia" w:hAnsiTheme="minorEastAsia" w:eastAsiaTheme="minorEastAsia"/>
        </w:rPr>
        <w:t>函</w:t>
      </w:r>
      <w:r>
        <w:rPr>
          <w:rFonts w:asciiTheme="minorEastAsia" w:hAnsiTheme="minorEastAsia" w:eastAsiaTheme="minorEastAsia"/>
        </w:rPr>
        <w:t>的</w:t>
      </w:r>
      <w:r>
        <w:rPr>
          <w:rFonts w:hint="eastAsia" w:asciiTheme="minorEastAsia" w:hAnsiTheme="minorEastAsia" w:eastAsiaTheme="minorEastAsia"/>
        </w:rPr>
        <w:t>，</w:t>
      </w:r>
      <w:r>
        <w:rPr>
          <w:rFonts w:asciiTheme="minorEastAsia" w:hAnsiTheme="minorEastAsia" w:eastAsiaTheme="minorEastAsia"/>
        </w:rPr>
        <w:t>将不能享受</w:t>
      </w:r>
      <w:r>
        <w:rPr>
          <w:rFonts w:hint="eastAsia" w:asciiTheme="minorEastAsia" w:hAnsiTheme="minorEastAsia" w:eastAsiaTheme="minorEastAsia"/>
        </w:rPr>
        <w:t>招标文件</w:t>
      </w:r>
      <w:r>
        <w:rPr>
          <w:rFonts w:asciiTheme="minorEastAsia" w:hAnsiTheme="minorEastAsia" w:eastAsiaTheme="minorEastAsia"/>
        </w:rPr>
        <w:t>规定的价格</w:t>
      </w:r>
      <w:r>
        <w:rPr>
          <w:rFonts w:hint="eastAsia" w:asciiTheme="minorEastAsia" w:hAnsiTheme="minorEastAsia" w:eastAsiaTheme="minorEastAsia"/>
        </w:rPr>
        <w:t>优惠政策</w:t>
      </w:r>
      <w:r>
        <w:rPr>
          <w:rFonts w:asciiTheme="minorEastAsia" w:hAnsiTheme="minorEastAsia" w:eastAsiaTheme="minorEastAsia"/>
        </w:rPr>
        <w:t>，但不影响</w:t>
      </w:r>
      <w:r>
        <w:rPr>
          <w:rFonts w:hint="eastAsia" w:asciiTheme="minorEastAsia" w:hAnsiTheme="minorEastAsia" w:eastAsiaTheme="minorEastAsia"/>
        </w:rPr>
        <w:t>投标文件</w:t>
      </w:r>
      <w:r>
        <w:rPr>
          <w:rFonts w:asciiTheme="minorEastAsia" w:hAnsiTheme="minorEastAsia" w:eastAsiaTheme="minorEastAsia"/>
        </w:rPr>
        <w:t>的有效性。</w:t>
      </w:r>
    </w:p>
    <w:p w14:paraId="762B772B">
      <w:pPr>
        <w:spacing w:line="460" w:lineRule="exact"/>
        <w:ind w:right="105" w:rightChars="50" w:firstLine="211" w:firstLineChars="100"/>
        <w:rPr>
          <w:rFonts w:asciiTheme="minorEastAsia" w:hAnsiTheme="minorEastAsia" w:eastAsiaTheme="minorEastAsia"/>
          <w:b/>
        </w:rPr>
      </w:pPr>
    </w:p>
    <w:p w14:paraId="57BAEB1E">
      <w:pPr>
        <w:pStyle w:val="67"/>
        <w:spacing w:line="500" w:lineRule="exact"/>
        <w:rPr>
          <w:rFonts w:hint="eastAsia" w:ascii="宋体" w:hAnsi="宋体" w:eastAsia="宋体" w:cs="宋体"/>
          <w:sz w:val="21"/>
          <w:szCs w:val="21"/>
          <w:highlight w:val="none"/>
        </w:rPr>
      </w:pPr>
    </w:p>
    <w:p w14:paraId="4E760361">
      <w:pPr>
        <w:pStyle w:val="67"/>
        <w:spacing w:line="500" w:lineRule="exact"/>
        <w:rPr>
          <w:rFonts w:hint="eastAsia" w:ascii="宋体" w:hAnsi="宋体" w:eastAsia="宋体" w:cs="宋体"/>
          <w:sz w:val="21"/>
          <w:szCs w:val="21"/>
          <w:highlight w:val="none"/>
        </w:rPr>
      </w:pPr>
    </w:p>
    <w:p w14:paraId="1B4F654F">
      <w:pPr>
        <w:pStyle w:val="67"/>
        <w:spacing w:line="500" w:lineRule="exact"/>
        <w:rPr>
          <w:rFonts w:hint="eastAsia" w:ascii="宋体" w:hAnsi="宋体" w:eastAsia="宋体" w:cs="宋体"/>
          <w:sz w:val="21"/>
          <w:szCs w:val="21"/>
          <w:highlight w:val="none"/>
        </w:rPr>
      </w:pPr>
    </w:p>
    <w:p w14:paraId="5F95C798">
      <w:pPr>
        <w:pStyle w:val="67"/>
        <w:spacing w:line="500" w:lineRule="exact"/>
        <w:rPr>
          <w:rFonts w:hint="eastAsia" w:ascii="宋体" w:hAnsi="宋体" w:eastAsia="宋体" w:cs="宋体"/>
          <w:sz w:val="21"/>
          <w:szCs w:val="21"/>
          <w:highlight w:val="none"/>
        </w:rPr>
      </w:pPr>
    </w:p>
    <w:p w14:paraId="4974A1C2">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4F116001">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01211868">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1ED92973">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160FD87D">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64F36BA0">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0C7720F0">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6C88FB4B">
      <w:pPr>
        <w:pStyle w:val="30"/>
        <w:rPr>
          <w:rFonts w:hint="eastAsia"/>
          <w:lang w:val="en-US" w:eastAsia="zh-CN"/>
        </w:rPr>
      </w:pPr>
    </w:p>
    <w:p w14:paraId="4C2F7ADA">
      <w:pPr>
        <w:rPr>
          <w:rFonts w:hint="eastAsia"/>
          <w:lang w:val="en-US" w:eastAsia="zh-CN"/>
        </w:rPr>
      </w:pPr>
    </w:p>
    <w:p w14:paraId="36D8F1E6">
      <w:pPr>
        <w:spacing w:line="440" w:lineRule="exact"/>
        <w:rPr>
          <w:rFonts w:hint="eastAsia" w:ascii="宋体" w:hAnsi="宋体" w:eastAsia="宋体" w:cs="宋体"/>
          <w:b/>
          <w:color w:val="auto"/>
          <w:sz w:val="21"/>
          <w:szCs w:val="21"/>
          <w:highlight w:val="none"/>
        </w:rPr>
      </w:pPr>
    </w:p>
    <w:p w14:paraId="7A339889">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eastAsia="zh-CN"/>
        </w:rPr>
        <w:t>类似项目业绩</w:t>
      </w:r>
      <w:r>
        <w:rPr>
          <w:rFonts w:hint="eastAsia" w:ascii="宋体" w:hAnsi="宋体" w:eastAsia="宋体" w:cs="宋体"/>
          <w:b/>
          <w:color w:val="auto"/>
          <w:sz w:val="21"/>
          <w:szCs w:val="21"/>
          <w:highlight w:val="none"/>
        </w:rPr>
        <w:t>一览表</w:t>
      </w:r>
    </w:p>
    <w:p w14:paraId="25D4FC58">
      <w:pPr>
        <w:spacing w:line="4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类似项目业绩</w:t>
      </w:r>
      <w:r>
        <w:rPr>
          <w:rFonts w:hint="default" w:ascii="Times New Roman" w:hAnsi="Times New Roman" w:eastAsia="宋体" w:cs="Times New Roman"/>
          <w:b/>
          <w:color w:val="auto"/>
          <w:sz w:val="21"/>
          <w:szCs w:val="21"/>
          <w:highlight w:val="none"/>
        </w:rPr>
        <w:t>一览表</w:t>
      </w:r>
    </w:p>
    <w:p w14:paraId="77474C56">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投标人名称：</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项目编号：</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tbl>
      <w:tblPr>
        <w:tblStyle w:val="40"/>
        <w:tblW w:w="919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919"/>
        <w:gridCol w:w="1549"/>
        <w:gridCol w:w="1727"/>
        <w:gridCol w:w="1732"/>
        <w:gridCol w:w="1188"/>
      </w:tblGrid>
      <w:tr w14:paraId="4BA7E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82" w:type="dxa"/>
            <w:vAlign w:val="center"/>
          </w:tcPr>
          <w:p w14:paraId="15A2A108">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年份</w:t>
            </w:r>
          </w:p>
        </w:tc>
        <w:tc>
          <w:tcPr>
            <w:tcW w:w="1919" w:type="dxa"/>
            <w:vAlign w:val="center"/>
          </w:tcPr>
          <w:p w14:paraId="2067D0C5">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项目名称</w:t>
            </w:r>
          </w:p>
        </w:tc>
        <w:tc>
          <w:tcPr>
            <w:tcW w:w="1549" w:type="dxa"/>
            <w:vAlign w:val="center"/>
          </w:tcPr>
          <w:p w14:paraId="575EB190">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合同金额</w:t>
            </w:r>
          </w:p>
        </w:tc>
        <w:tc>
          <w:tcPr>
            <w:tcW w:w="1727" w:type="dxa"/>
            <w:vAlign w:val="center"/>
          </w:tcPr>
          <w:p w14:paraId="454DF43F">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完成时间</w:t>
            </w:r>
          </w:p>
        </w:tc>
        <w:tc>
          <w:tcPr>
            <w:tcW w:w="1732" w:type="dxa"/>
            <w:vAlign w:val="center"/>
          </w:tcPr>
          <w:p w14:paraId="14715E33">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完成质量</w:t>
            </w:r>
          </w:p>
        </w:tc>
        <w:tc>
          <w:tcPr>
            <w:tcW w:w="1188" w:type="dxa"/>
            <w:vAlign w:val="center"/>
          </w:tcPr>
          <w:p w14:paraId="6C8A30A9">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14:paraId="2E170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6C993680">
            <w:pPr>
              <w:pStyle w:val="11"/>
              <w:ind w:firstLine="0"/>
              <w:rPr>
                <w:rFonts w:hint="default" w:ascii="Times New Roman" w:hAnsi="Times New Roman" w:eastAsia="宋体" w:cs="Times New Roman"/>
                <w:color w:val="auto"/>
                <w:sz w:val="21"/>
                <w:szCs w:val="21"/>
                <w:highlight w:val="none"/>
              </w:rPr>
            </w:pPr>
          </w:p>
        </w:tc>
        <w:tc>
          <w:tcPr>
            <w:tcW w:w="1919" w:type="dxa"/>
          </w:tcPr>
          <w:p w14:paraId="54201ADF">
            <w:pPr>
              <w:pStyle w:val="11"/>
              <w:ind w:firstLine="0"/>
              <w:rPr>
                <w:rFonts w:hint="default" w:ascii="Times New Roman" w:hAnsi="Times New Roman" w:eastAsia="宋体" w:cs="Times New Roman"/>
                <w:color w:val="auto"/>
                <w:sz w:val="21"/>
                <w:szCs w:val="21"/>
                <w:highlight w:val="none"/>
              </w:rPr>
            </w:pPr>
          </w:p>
        </w:tc>
        <w:tc>
          <w:tcPr>
            <w:tcW w:w="1549" w:type="dxa"/>
          </w:tcPr>
          <w:p w14:paraId="3B4DE79B">
            <w:pPr>
              <w:pStyle w:val="11"/>
              <w:ind w:firstLine="0"/>
              <w:rPr>
                <w:rFonts w:hint="default" w:ascii="Times New Roman" w:hAnsi="Times New Roman" w:eastAsia="宋体" w:cs="Times New Roman"/>
                <w:color w:val="auto"/>
                <w:sz w:val="21"/>
                <w:szCs w:val="21"/>
                <w:highlight w:val="none"/>
              </w:rPr>
            </w:pPr>
          </w:p>
        </w:tc>
        <w:tc>
          <w:tcPr>
            <w:tcW w:w="1727" w:type="dxa"/>
          </w:tcPr>
          <w:p w14:paraId="45321496">
            <w:pPr>
              <w:pStyle w:val="11"/>
              <w:ind w:firstLine="0"/>
              <w:rPr>
                <w:rFonts w:hint="default" w:ascii="Times New Roman" w:hAnsi="Times New Roman" w:eastAsia="宋体" w:cs="Times New Roman"/>
                <w:color w:val="auto"/>
                <w:sz w:val="21"/>
                <w:szCs w:val="21"/>
                <w:highlight w:val="none"/>
              </w:rPr>
            </w:pPr>
          </w:p>
        </w:tc>
        <w:tc>
          <w:tcPr>
            <w:tcW w:w="1732" w:type="dxa"/>
          </w:tcPr>
          <w:p w14:paraId="7DF433FC">
            <w:pPr>
              <w:pStyle w:val="11"/>
              <w:ind w:firstLine="0"/>
              <w:rPr>
                <w:rFonts w:hint="default" w:ascii="Times New Roman" w:hAnsi="Times New Roman" w:eastAsia="宋体" w:cs="Times New Roman"/>
                <w:color w:val="auto"/>
                <w:sz w:val="21"/>
                <w:szCs w:val="21"/>
                <w:highlight w:val="none"/>
              </w:rPr>
            </w:pPr>
          </w:p>
        </w:tc>
        <w:tc>
          <w:tcPr>
            <w:tcW w:w="1188" w:type="dxa"/>
          </w:tcPr>
          <w:p w14:paraId="284929C0">
            <w:pPr>
              <w:pStyle w:val="11"/>
              <w:ind w:firstLine="0"/>
              <w:rPr>
                <w:rFonts w:hint="default" w:ascii="Times New Roman" w:hAnsi="Times New Roman" w:eastAsia="宋体" w:cs="Times New Roman"/>
                <w:color w:val="auto"/>
                <w:sz w:val="21"/>
                <w:szCs w:val="21"/>
                <w:highlight w:val="none"/>
              </w:rPr>
            </w:pPr>
          </w:p>
        </w:tc>
      </w:tr>
      <w:tr w14:paraId="3F8CB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90D9F29">
            <w:pPr>
              <w:pStyle w:val="11"/>
              <w:ind w:firstLine="0"/>
              <w:rPr>
                <w:rFonts w:hint="default" w:ascii="Times New Roman" w:hAnsi="Times New Roman" w:eastAsia="宋体" w:cs="Times New Roman"/>
                <w:color w:val="auto"/>
                <w:sz w:val="21"/>
                <w:szCs w:val="21"/>
                <w:highlight w:val="none"/>
              </w:rPr>
            </w:pPr>
          </w:p>
        </w:tc>
        <w:tc>
          <w:tcPr>
            <w:tcW w:w="1919" w:type="dxa"/>
          </w:tcPr>
          <w:p w14:paraId="6C16AAE1">
            <w:pPr>
              <w:pStyle w:val="11"/>
              <w:ind w:firstLine="0"/>
              <w:rPr>
                <w:rFonts w:hint="default" w:ascii="Times New Roman" w:hAnsi="Times New Roman" w:eastAsia="宋体" w:cs="Times New Roman"/>
                <w:color w:val="auto"/>
                <w:sz w:val="21"/>
                <w:szCs w:val="21"/>
                <w:highlight w:val="none"/>
              </w:rPr>
            </w:pPr>
          </w:p>
        </w:tc>
        <w:tc>
          <w:tcPr>
            <w:tcW w:w="1549" w:type="dxa"/>
          </w:tcPr>
          <w:p w14:paraId="4A6933C4">
            <w:pPr>
              <w:pStyle w:val="11"/>
              <w:ind w:firstLine="0"/>
              <w:rPr>
                <w:rFonts w:hint="default" w:ascii="Times New Roman" w:hAnsi="Times New Roman" w:eastAsia="宋体" w:cs="Times New Roman"/>
                <w:color w:val="auto"/>
                <w:sz w:val="21"/>
                <w:szCs w:val="21"/>
                <w:highlight w:val="none"/>
              </w:rPr>
            </w:pPr>
          </w:p>
        </w:tc>
        <w:tc>
          <w:tcPr>
            <w:tcW w:w="1727" w:type="dxa"/>
          </w:tcPr>
          <w:p w14:paraId="537F9276">
            <w:pPr>
              <w:pStyle w:val="11"/>
              <w:ind w:firstLine="0"/>
              <w:rPr>
                <w:rFonts w:hint="default" w:ascii="Times New Roman" w:hAnsi="Times New Roman" w:eastAsia="宋体" w:cs="Times New Roman"/>
                <w:color w:val="auto"/>
                <w:sz w:val="21"/>
                <w:szCs w:val="21"/>
                <w:highlight w:val="none"/>
              </w:rPr>
            </w:pPr>
          </w:p>
        </w:tc>
        <w:tc>
          <w:tcPr>
            <w:tcW w:w="1732" w:type="dxa"/>
          </w:tcPr>
          <w:p w14:paraId="3BAD9D50">
            <w:pPr>
              <w:pStyle w:val="11"/>
              <w:ind w:firstLine="0"/>
              <w:rPr>
                <w:rFonts w:hint="default" w:ascii="Times New Roman" w:hAnsi="Times New Roman" w:eastAsia="宋体" w:cs="Times New Roman"/>
                <w:color w:val="auto"/>
                <w:sz w:val="21"/>
                <w:szCs w:val="21"/>
                <w:highlight w:val="none"/>
              </w:rPr>
            </w:pPr>
          </w:p>
        </w:tc>
        <w:tc>
          <w:tcPr>
            <w:tcW w:w="1188" w:type="dxa"/>
          </w:tcPr>
          <w:p w14:paraId="1FF55EDB">
            <w:pPr>
              <w:pStyle w:val="11"/>
              <w:ind w:firstLine="0"/>
              <w:rPr>
                <w:rFonts w:hint="default" w:ascii="Times New Roman" w:hAnsi="Times New Roman" w:eastAsia="宋体" w:cs="Times New Roman"/>
                <w:color w:val="auto"/>
                <w:sz w:val="21"/>
                <w:szCs w:val="21"/>
                <w:highlight w:val="none"/>
              </w:rPr>
            </w:pPr>
          </w:p>
        </w:tc>
      </w:tr>
      <w:tr w14:paraId="5FD8D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72CDBF99">
            <w:pPr>
              <w:pStyle w:val="11"/>
              <w:ind w:firstLine="0"/>
              <w:rPr>
                <w:rFonts w:hint="default" w:ascii="Times New Roman" w:hAnsi="Times New Roman" w:eastAsia="宋体" w:cs="Times New Roman"/>
                <w:color w:val="auto"/>
                <w:sz w:val="21"/>
                <w:szCs w:val="21"/>
                <w:highlight w:val="none"/>
              </w:rPr>
            </w:pPr>
          </w:p>
        </w:tc>
        <w:tc>
          <w:tcPr>
            <w:tcW w:w="1919" w:type="dxa"/>
          </w:tcPr>
          <w:p w14:paraId="61B4EBFF">
            <w:pPr>
              <w:pStyle w:val="11"/>
              <w:ind w:firstLine="0"/>
              <w:rPr>
                <w:rFonts w:hint="default" w:ascii="Times New Roman" w:hAnsi="Times New Roman" w:eastAsia="宋体" w:cs="Times New Roman"/>
                <w:color w:val="auto"/>
                <w:sz w:val="21"/>
                <w:szCs w:val="21"/>
                <w:highlight w:val="none"/>
              </w:rPr>
            </w:pPr>
          </w:p>
        </w:tc>
        <w:tc>
          <w:tcPr>
            <w:tcW w:w="1549" w:type="dxa"/>
          </w:tcPr>
          <w:p w14:paraId="68AC8D6C">
            <w:pPr>
              <w:pStyle w:val="11"/>
              <w:ind w:firstLine="0"/>
              <w:rPr>
                <w:rFonts w:hint="default" w:ascii="Times New Roman" w:hAnsi="Times New Roman" w:eastAsia="宋体" w:cs="Times New Roman"/>
                <w:color w:val="auto"/>
                <w:sz w:val="21"/>
                <w:szCs w:val="21"/>
                <w:highlight w:val="none"/>
              </w:rPr>
            </w:pPr>
          </w:p>
        </w:tc>
        <w:tc>
          <w:tcPr>
            <w:tcW w:w="1727" w:type="dxa"/>
          </w:tcPr>
          <w:p w14:paraId="46E0E95E">
            <w:pPr>
              <w:pStyle w:val="11"/>
              <w:ind w:firstLine="0"/>
              <w:rPr>
                <w:rFonts w:hint="default" w:ascii="Times New Roman" w:hAnsi="Times New Roman" w:eastAsia="宋体" w:cs="Times New Roman"/>
                <w:color w:val="auto"/>
                <w:sz w:val="21"/>
                <w:szCs w:val="21"/>
                <w:highlight w:val="none"/>
              </w:rPr>
            </w:pPr>
          </w:p>
        </w:tc>
        <w:tc>
          <w:tcPr>
            <w:tcW w:w="1732" w:type="dxa"/>
          </w:tcPr>
          <w:p w14:paraId="538ABD5A">
            <w:pPr>
              <w:pStyle w:val="11"/>
              <w:ind w:firstLine="0"/>
              <w:rPr>
                <w:rFonts w:hint="default" w:ascii="Times New Roman" w:hAnsi="Times New Roman" w:eastAsia="宋体" w:cs="Times New Roman"/>
                <w:color w:val="auto"/>
                <w:sz w:val="21"/>
                <w:szCs w:val="21"/>
                <w:highlight w:val="none"/>
              </w:rPr>
            </w:pPr>
          </w:p>
        </w:tc>
        <w:tc>
          <w:tcPr>
            <w:tcW w:w="1188" w:type="dxa"/>
          </w:tcPr>
          <w:p w14:paraId="32E2DD64">
            <w:pPr>
              <w:pStyle w:val="11"/>
              <w:ind w:firstLine="0"/>
              <w:rPr>
                <w:rFonts w:hint="default" w:ascii="Times New Roman" w:hAnsi="Times New Roman" w:eastAsia="宋体" w:cs="Times New Roman"/>
                <w:color w:val="auto"/>
                <w:sz w:val="21"/>
                <w:szCs w:val="21"/>
                <w:highlight w:val="none"/>
              </w:rPr>
            </w:pPr>
          </w:p>
        </w:tc>
      </w:tr>
      <w:tr w14:paraId="278BA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33BA4ACC">
            <w:pPr>
              <w:pStyle w:val="11"/>
              <w:ind w:firstLine="0"/>
              <w:rPr>
                <w:rFonts w:hint="default" w:ascii="Times New Roman" w:hAnsi="Times New Roman" w:eastAsia="宋体" w:cs="Times New Roman"/>
                <w:color w:val="auto"/>
                <w:sz w:val="21"/>
                <w:szCs w:val="21"/>
                <w:highlight w:val="none"/>
              </w:rPr>
            </w:pPr>
          </w:p>
        </w:tc>
        <w:tc>
          <w:tcPr>
            <w:tcW w:w="1919" w:type="dxa"/>
          </w:tcPr>
          <w:p w14:paraId="4D3CEFE4">
            <w:pPr>
              <w:pStyle w:val="11"/>
              <w:ind w:firstLine="0"/>
              <w:rPr>
                <w:rFonts w:hint="default" w:ascii="Times New Roman" w:hAnsi="Times New Roman" w:eastAsia="宋体" w:cs="Times New Roman"/>
                <w:color w:val="auto"/>
                <w:sz w:val="21"/>
                <w:szCs w:val="21"/>
                <w:highlight w:val="none"/>
              </w:rPr>
            </w:pPr>
          </w:p>
        </w:tc>
        <w:tc>
          <w:tcPr>
            <w:tcW w:w="1549" w:type="dxa"/>
          </w:tcPr>
          <w:p w14:paraId="6E870CED">
            <w:pPr>
              <w:pStyle w:val="11"/>
              <w:ind w:firstLine="0"/>
              <w:rPr>
                <w:rFonts w:hint="default" w:ascii="Times New Roman" w:hAnsi="Times New Roman" w:eastAsia="宋体" w:cs="Times New Roman"/>
                <w:color w:val="auto"/>
                <w:sz w:val="21"/>
                <w:szCs w:val="21"/>
                <w:highlight w:val="none"/>
              </w:rPr>
            </w:pPr>
          </w:p>
        </w:tc>
        <w:tc>
          <w:tcPr>
            <w:tcW w:w="1727" w:type="dxa"/>
          </w:tcPr>
          <w:p w14:paraId="7DB321A4">
            <w:pPr>
              <w:pStyle w:val="11"/>
              <w:ind w:firstLine="0"/>
              <w:rPr>
                <w:rFonts w:hint="default" w:ascii="Times New Roman" w:hAnsi="Times New Roman" w:eastAsia="宋体" w:cs="Times New Roman"/>
                <w:color w:val="auto"/>
                <w:sz w:val="21"/>
                <w:szCs w:val="21"/>
                <w:highlight w:val="none"/>
              </w:rPr>
            </w:pPr>
          </w:p>
        </w:tc>
        <w:tc>
          <w:tcPr>
            <w:tcW w:w="1732" w:type="dxa"/>
          </w:tcPr>
          <w:p w14:paraId="190C0E58">
            <w:pPr>
              <w:pStyle w:val="11"/>
              <w:ind w:firstLine="0"/>
              <w:rPr>
                <w:rFonts w:hint="default" w:ascii="Times New Roman" w:hAnsi="Times New Roman" w:eastAsia="宋体" w:cs="Times New Roman"/>
                <w:color w:val="auto"/>
                <w:sz w:val="21"/>
                <w:szCs w:val="21"/>
                <w:highlight w:val="none"/>
              </w:rPr>
            </w:pPr>
          </w:p>
        </w:tc>
        <w:tc>
          <w:tcPr>
            <w:tcW w:w="1188" w:type="dxa"/>
          </w:tcPr>
          <w:p w14:paraId="4A819995">
            <w:pPr>
              <w:pStyle w:val="11"/>
              <w:ind w:firstLine="0"/>
              <w:rPr>
                <w:rFonts w:hint="default" w:ascii="Times New Roman" w:hAnsi="Times New Roman" w:eastAsia="宋体" w:cs="Times New Roman"/>
                <w:color w:val="auto"/>
                <w:sz w:val="21"/>
                <w:szCs w:val="21"/>
                <w:highlight w:val="none"/>
              </w:rPr>
            </w:pPr>
          </w:p>
        </w:tc>
      </w:tr>
      <w:tr w14:paraId="11498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13FE6CB2">
            <w:pPr>
              <w:pStyle w:val="11"/>
              <w:ind w:firstLine="0"/>
              <w:rPr>
                <w:rFonts w:hint="default" w:ascii="Times New Roman" w:hAnsi="Times New Roman" w:eastAsia="宋体" w:cs="Times New Roman"/>
                <w:color w:val="auto"/>
                <w:sz w:val="21"/>
                <w:szCs w:val="21"/>
                <w:highlight w:val="none"/>
              </w:rPr>
            </w:pPr>
          </w:p>
        </w:tc>
        <w:tc>
          <w:tcPr>
            <w:tcW w:w="1919" w:type="dxa"/>
          </w:tcPr>
          <w:p w14:paraId="60652C16">
            <w:pPr>
              <w:pStyle w:val="11"/>
              <w:ind w:firstLine="0"/>
              <w:rPr>
                <w:rFonts w:hint="default" w:ascii="Times New Roman" w:hAnsi="Times New Roman" w:eastAsia="宋体" w:cs="Times New Roman"/>
                <w:color w:val="auto"/>
                <w:sz w:val="21"/>
                <w:szCs w:val="21"/>
                <w:highlight w:val="none"/>
              </w:rPr>
            </w:pPr>
          </w:p>
        </w:tc>
        <w:tc>
          <w:tcPr>
            <w:tcW w:w="1549" w:type="dxa"/>
          </w:tcPr>
          <w:p w14:paraId="0450BE46">
            <w:pPr>
              <w:pStyle w:val="11"/>
              <w:ind w:firstLine="0"/>
              <w:rPr>
                <w:rFonts w:hint="default" w:ascii="Times New Roman" w:hAnsi="Times New Roman" w:eastAsia="宋体" w:cs="Times New Roman"/>
                <w:color w:val="auto"/>
                <w:sz w:val="21"/>
                <w:szCs w:val="21"/>
                <w:highlight w:val="none"/>
              </w:rPr>
            </w:pPr>
          </w:p>
        </w:tc>
        <w:tc>
          <w:tcPr>
            <w:tcW w:w="1727" w:type="dxa"/>
          </w:tcPr>
          <w:p w14:paraId="7BFFFAA9">
            <w:pPr>
              <w:pStyle w:val="11"/>
              <w:ind w:firstLine="0"/>
              <w:rPr>
                <w:rFonts w:hint="default" w:ascii="Times New Roman" w:hAnsi="Times New Roman" w:eastAsia="宋体" w:cs="Times New Roman"/>
                <w:color w:val="auto"/>
                <w:sz w:val="21"/>
                <w:szCs w:val="21"/>
                <w:highlight w:val="none"/>
              </w:rPr>
            </w:pPr>
          </w:p>
        </w:tc>
        <w:tc>
          <w:tcPr>
            <w:tcW w:w="1732" w:type="dxa"/>
          </w:tcPr>
          <w:p w14:paraId="1D0F789F">
            <w:pPr>
              <w:pStyle w:val="11"/>
              <w:ind w:firstLine="0"/>
              <w:rPr>
                <w:rFonts w:hint="default" w:ascii="Times New Roman" w:hAnsi="Times New Roman" w:eastAsia="宋体" w:cs="Times New Roman"/>
                <w:color w:val="auto"/>
                <w:sz w:val="21"/>
                <w:szCs w:val="21"/>
                <w:highlight w:val="none"/>
              </w:rPr>
            </w:pPr>
          </w:p>
        </w:tc>
        <w:tc>
          <w:tcPr>
            <w:tcW w:w="1188" w:type="dxa"/>
          </w:tcPr>
          <w:p w14:paraId="3FC6A9CB">
            <w:pPr>
              <w:pStyle w:val="11"/>
              <w:ind w:firstLine="0"/>
              <w:rPr>
                <w:rFonts w:hint="default" w:ascii="Times New Roman" w:hAnsi="Times New Roman" w:eastAsia="宋体" w:cs="Times New Roman"/>
                <w:color w:val="auto"/>
                <w:sz w:val="21"/>
                <w:szCs w:val="21"/>
                <w:highlight w:val="none"/>
              </w:rPr>
            </w:pPr>
          </w:p>
        </w:tc>
      </w:tr>
      <w:tr w14:paraId="13A5E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7813216C">
            <w:pPr>
              <w:pStyle w:val="11"/>
              <w:ind w:firstLine="0"/>
              <w:rPr>
                <w:rFonts w:hint="default" w:ascii="Times New Roman" w:hAnsi="Times New Roman" w:eastAsia="宋体" w:cs="Times New Roman"/>
                <w:color w:val="auto"/>
                <w:sz w:val="21"/>
                <w:szCs w:val="21"/>
                <w:highlight w:val="none"/>
              </w:rPr>
            </w:pPr>
          </w:p>
        </w:tc>
        <w:tc>
          <w:tcPr>
            <w:tcW w:w="1919" w:type="dxa"/>
          </w:tcPr>
          <w:p w14:paraId="78FE19F7">
            <w:pPr>
              <w:pStyle w:val="11"/>
              <w:ind w:firstLine="0"/>
              <w:rPr>
                <w:rFonts w:hint="default" w:ascii="Times New Roman" w:hAnsi="Times New Roman" w:eastAsia="宋体" w:cs="Times New Roman"/>
                <w:color w:val="auto"/>
                <w:sz w:val="21"/>
                <w:szCs w:val="21"/>
                <w:highlight w:val="none"/>
              </w:rPr>
            </w:pPr>
          </w:p>
        </w:tc>
        <w:tc>
          <w:tcPr>
            <w:tcW w:w="1549" w:type="dxa"/>
          </w:tcPr>
          <w:p w14:paraId="2CAC1397">
            <w:pPr>
              <w:pStyle w:val="11"/>
              <w:ind w:firstLine="0"/>
              <w:rPr>
                <w:rFonts w:hint="default" w:ascii="Times New Roman" w:hAnsi="Times New Roman" w:eastAsia="宋体" w:cs="Times New Roman"/>
                <w:color w:val="auto"/>
                <w:sz w:val="21"/>
                <w:szCs w:val="21"/>
                <w:highlight w:val="none"/>
              </w:rPr>
            </w:pPr>
          </w:p>
        </w:tc>
        <w:tc>
          <w:tcPr>
            <w:tcW w:w="1727" w:type="dxa"/>
          </w:tcPr>
          <w:p w14:paraId="03635DC5">
            <w:pPr>
              <w:pStyle w:val="11"/>
              <w:ind w:firstLine="0"/>
              <w:rPr>
                <w:rFonts w:hint="default" w:ascii="Times New Roman" w:hAnsi="Times New Roman" w:eastAsia="宋体" w:cs="Times New Roman"/>
                <w:color w:val="auto"/>
                <w:sz w:val="21"/>
                <w:szCs w:val="21"/>
                <w:highlight w:val="none"/>
              </w:rPr>
            </w:pPr>
          </w:p>
        </w:tc>
        <w:tc>
          <w:tcPr>
            <w:tcW w:w="1732" w:type="dxa"/>
          </w:tcPr>
          <w:p w14:paraId="4162798A">
            <w:pPr>
              <w:pStyle w:val="11"/>
              <w:ind w:firstLine="0"/>
              <w:rPr>
                <w:rFonts w:hint="default" w:ascii="Times New Roman" w:hAnsi="Times New Roman" w:eastAsia="宋体" w:cs="Times New Roman"/>
                <w:color w:val="auto"/>
                <w:sz w:val="21"/>
                <w:szCs w:val="21"/>
                <w:highlight w:val="none"/>
              </w:rPr>
            </w:pPr>
          </w:p>
        </w:tc>
        <w:tc>
          <w:tcPr>
            <w:tcW w:w="1188" w:type="dxa"/>
          </w:tcPr>
          <w:p w14:paraId="3F553FA2">
            <w:pPr>
              <w:pStyle w:val="11"/>
              <w:ind w:firstLine="0"/>
              <w:rPr>
                <w:rFonts w:hint="default" w:ascii="Times New Roman" w:hAnsi="Times New Roman" w:eastAsia="宋体" w:cs="Times New Roman"/>
                <w:color w:val="auto"/>
                <w:sz w:val="21"/>
                <w:szCs w:val="21"/>
                <w:highlight w:val="none"/>
              </w:rPr>
            </w:pPr>
          </w:p>
        </w:tc>
      </w:tr>
      <w:tr w14:paraId="0051F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1AF1A90A">
            <w:pPr>
              <w:pStyle w:val="11"/>
              <w:ind w:firstLine="0"/>
              <w:rPr>
                <w:rFonts w:hint="default" w:ascii="Times New Roman" w:hAnsi="Times New Roman" w:eastAsia="宋体" w:cs="Times New Roman"/>
                <w:color w:val="auto"/>
                <w:sz w:val="21"/>
                <w:szCs w:val="21"/>
                <w:highlight w:val="none"/>
              </w:rPr>
            </w:pPr>
          </w:p>
        </w:tc>
        <w:tc>
          <w:tcPr>
            <w:tcW w:w="1919" w:type="dxa"/>
          </w:tcPr>
          <w:p w14:paraId="57487399">
            <w:pPr>
              <w:pStyle w:val="11"/>
              <w:ind w:firstLine="0"/>
              <w:rPr>
                <w:rFonts w:hint="default" w:ascii="Times New Roman" w:hAnsi="Times New Roman" w:eastAsia="宋体" w:cs="Times New Roman"/>
                <w:color w:val="auto"/>
                <w:sz w:val="21"/>
                <w:szCs w:val="21"/>
                <w:highlight w:val="none"/>
              </w:rPr>
            </w:pPr>
          </w:p>
        </w:tc>
        <w:tc>
          <w:tcPr>
            <w:tcW w:w="1549" w:type="dxa"/>
          </w:tcPr>
          <w:p w14:paraId="5C977F05">
            <w:pPr>
              <w:pStyle w:val="11"/>
              <w:ind w:firstLine="0"/>
              <w:rPr>
                <w:rFonts w:hint="default" w:ascii="Times New Roman" w:hAnsi="Times New Roman" w:eastAsia="宋体" w:cs="Times New Roman"/>
                <w:color w:val="auto"/>
                <w:sz w:val="21"/>
                <w:szCs w:val="21"/>
                <w:highlight w:val="none"/>
              </w:rPr>
            </w:pPr>
          </w:p>
        </w:tc>
        <w:tc>
          <w:tcPr>
            <w:tcW w:w="1727" w:type="dxa"/>
          </w:tcPr>
          <w:p w14:paraId="0C842FA8">
            <w:pPr>
              <w:pStyle w:val="11"/>
              <w:ind w:firstLine="0"/>
              <w:rPr>
                <w:rFonts w:hint="default" w:ascii="Times New Roman" w:hAnsi="Times New Roman" w:eastAsia="宋体" w:cs="Times New Roman"/>
                <w:color w:val="auto"/>
                <w:sz w:val="21"/>
                <w:szCs w:val="21"/>
                <w:highlight w:val="none"/>
              </w:rPr>
            </w:pPr>
          </w:p>
        </w:tc>
        <w:tc>
          <w:tcPr>
            <w:tcW w:w="1732" w:type="dxa"/>
          </w:tcPr>
          <w:p w14:paraId="3FC8507E">
            <w:pPr>
              <w:pStyle w:val="11"/>
              <w:ind w:firstLine="0"/>
              <w:rPr>
                <w:rFonts w:hint="default" w:ascii="Times New Roman" w:hAnsi="Times New Roman" w:eastAsia="宋体" w:cs="Times New Roman"/>
                <w:color w:val="auto"/>
                <w:sz w:val="21"/>
                <w:szCs w:val="21"/>
                <w:highlight w:val="none"/>
              </w:rPr>
            </w:pPr>
          </w:p>
        </w:tc>
        <w:tc>
          <w:tcPr>
            <w:tcW w:w="1188" w:type="dxa"/>
          </w:tcPr>
          <w:p w14:paraId="2D1EFE1D">
            <w:pPr>
              <w:pStyle w:val="11"/>
              <w:ind w:firstLine="0"/>
              <w:rPr>
                <w:rFonts w:hint="default" w:ascii="Times New Roman" w:hAnsi="Times New Roman" w:eastAsia="宋体" w:cs="Times New Roman"/>
                <w:color w:val="auto"/>
                <w:sz w:val="21"/>
                <w:szCs w:val="21"/>
                <w:highlight w:val="none"/>
              </w:rPr>
            </w:pPr>
          </w:p>
        </w:tc>
      </w:tr>
      <w:tr w14:paraId="7994A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712C7EBF">
            <w:pPr>
              <w:pStyle w:val="11"/>
              <w:ind w:firstLine="0"/>
              <w:rPr>
                <w:rFonts w:hint="default" w:ascii="Times New Roman" w:hAnsi="Times New Roman" w:eastAsia="宋体" w:cs="Times New Roman"/>
                <w:color w:val="auto"/>
                <w:sz w:val="21"/>
                <w:szCs w:val="21"/>
                <w:highlight w:val="none"/>
              </w:rPr>
            </w:pPr>
          </w:p>
        </w:tc>
        <w:tc>
          <w:tcPr>
            <w:tcW w:w="1919" w:type="dxa"/>
          </w:tcPr>
          <w:p w14:paraId="3F3A7BE6">
            <w:pPr>
              <w:pStyle w:val="11"/>
              <w:ind w:firstLine="0"/>
              <w:rPr>
                <w:rFonts w:hint="default" w:ascii="Times New Roman" w:hAnsi="Times New Roman" w:eastAsia="宋体" w:cs="Times New Roman"/>
                <w:color w:val="auto"/>
                <w:sz w:val="21"/>
                <w:szCs w:val="21"/>
                <w:highlight w:val="none"/>
              </w:rPr>
            </w:pPr>
          </w:p>
        </w:tc>
        <w:tc>
          <w:tcPr>
            <w:tcW w:w="1549" w:type="dxa"/>
          </w:tcPr>
          <w:p w14:paraId="379856F6">
            <w:pPr>
              <w:pStyle w:val="11"/>
              <w:ind w:firstLine="0"/>
              <w:rPr>
                <w:rFonts w:hint="default" w:ascii="Times New Roman" w:hAnsi="Times New Roman" w:eastAsia="宋体" w:cs="Times New Roman"/>
                <w:color w:val="auto"/>
                <w:sz w:val="21"/>
                <w:szCs w:val="21"/>
                <w:highlight w:val="none"/>
              </w:rPr>
            </w:pPr>
          </w:p>
        </w:tc>
        <w:tc>
          <w:tcPr>
            <w:tcW w:w="1727" w:type="dxa"/>
          </w:tcPr>
          <w:p w14:paraId="253372B7">
            <w:pPr>
              <w:pStyle w:val="11"/>
              <w:ind w:firstLine="0"/>
              <w:rPr>
                <w:rFonts w:hint="default" w:ascii="Times New Roman" w:hAnsi="Times New Roman" w:eastAsia="宋体" w:cs="Times New Roman"/>
                <w:color w:val="auto"/>
                <w:sz w:val="21"/>
                <w:szCs w:val="21"/>
                <w:highlight w:val="none"/>
              </w:rPr>
            </w:pPr>
          </w:p>
        </w:tc>
        <w:tc>
          <w:tcPr>
            <w:tcW w:w="1732" w:type="dxa"/>
          </w:tcPr>
          <w:p w14:paraId="4F5F93F7">
            <w:pPr>
              <w:pStyle w:val="11"/>
              <w:ind w:firstLine="0"/>
              <w:rPr>
                <w:rFonts w:hint="default" w:ascii="Times New Roman" w:hAnsi="Times New Roman" w:eastAsia="宋体" w:cs="Times New Roman"/>
                <w:color w:val="auto"/>
                <w:sz w:val="21"/>
                <w:szCs w:val="21"/>
                <w:highlight w:val="none"/>
              </w:rPr>
            </w:pPr>
          </w:p>
        </w:tc>
        <w:tc>
          <w:tcPr>
            <w:tcW w:w="1188" w:type="dxa"/>
          </w:tcPr>
          <w:p w14:paraId="315E0EFA">
            <w:pPr>
              <w:pStyle w:val="11"/>
              <w:ind w:firstLine="0"/>
              <w:rPr>
                <w:rFonts w:hint="default" w:ascii="Times New Roman" w:hAnsi="Times New Roman" w:eastAsia="宋体" w:cs="Times New Roman"/>
                <w:color w:val="auto"/>
                <w:sz w:val="21"/>
                <w:szCs w:val="21"/>
                <w:highlight w:val="none"/>
              </w:rPr>
            </w:pPr>
          </w:p>
        </w:tc>
      </w:tr>
      <w:tr w14:paraId="31095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FB194FB">
            <w:pPr>
              <w:pStyle w:val="11"/>
              <w:ind w:firstLine="0"/>
              <w:rPr>
                <w:rFonts w:hint="default" w:ascii="Times New Roman" w:hAnsi="Times New Roman" w:eastAsia="宋体" w:cs="Times New Roman"/>
                <w:color w:val="auto"/>
                <w:sz w:val="21"/>
                <w:szCs w:val="21"/>
                <w:highlight w:val="none"/>
              </w:rPr>
            </w:pPr>
          </w:p>
        </w:tc>
        <w:tc>
          <w:tcPr>
            <w:tcW w:w="1919" w:type="dxa"/>
          </w:tcPr>
          <w:p w14:paraId="7CF22347">
            <w:pPr>
              <w:pStyle w:val="11"/>
              <w:ind w:firstLine="0"/>
              <w:rPr>
                <w:rFonts w:hint="default" w:ascii="Times New Roman" w:hAnsi="Times New Roman" w:eastAsia="宋体" w:cs="Times New Roman"/>
                <w:color w:val="auto"/>
                <w:sz w:val="21"/>
                <w:szCs w:val="21"/>
                <w:highlight w:val="none"/>
              </w:rPr>
            </w:pPr>
          </w:p>
        </w:tc>
        <w:tc>
          <w:tcPr>
            <w:tcW w:w="1549" w:type="dxa"/>
          </w:tcPr>
          <w:p w14:paraId="5B8778C1">
            <w:pPr>
              <w:pStyle w:val="11"/>
              <w:ind w:firstLine="0"/>
              <w:rPr>
                <w:rFonts w:hint="default" w:ascii="Times New Roman" w:hAnsi="Times New Roman" w:eastAsia="宋体" w:cs="Times New Roman"/>
                <w:color w:val="auto"/>
                <w:sz w:val="21"/>
                <w:szCs w:val="21"/>
                <w:highlight w:val="none"/>
              </w:rPr>
            </w:pPr>
          </w:p>
        </w:tc>
        <w:tc>
          <w:tcPr>
            <w:tcW w:w="1727" w:type="dxa"/>
          </w:tcPr>
          <w:p w14:paraId="049CEA07">
            <w:pPr>
              <w:pStyle w:val="11"/>
              <w:ind w:firstLine="0"/>
              <w:rPr>
                <w:rFonts w:hint="default" w:ascii="Times New Roman" w:hAnsi="Times New Roman" w:eastAsia="宋体" w:cs="Times New Roman"/>
                <w:color w:val="auto"/>
                <w:sz w:val="21"/>
                <w:szCs w:val="21"/>
                <w:highlight w:val="none"/>
              </w:rPr>
            </w:pPr>
          </w:p>
        </w:tc>
        <w:tc>
          <w:tcPr>
            <w:tcW w:w="1732" w:type="dxa"/>
          </w:tcPr>
          <w:p w14:paraId="336EFF9B">
            <w:pPr>
              <w:pStyle w:val="11"/>
              <w:ind w:firstLine="0"/>
              <w:rPr>
                <w:rFonts w:hint="default" w:ascii="Times New Roman" w:hAnsi="Times New Roman" w:eastAsia="宋体" w:cs="Times New Roman"/>
                <w:color w:val="auto"/>
                <w:sz w:val="21"/>
                <w:szCs w:val="21"/>
                <w:highlight w:val="none"/>
              </w:rPr>
            </w:pPr>
          </w:p>
        </w:tc>
        <w:tc>
          <w:tcPr>
            <w:tcW w:w="1188" w:type="dxa"/>
          </w:tcPr>
          <w:p w14:paraId="35026530">
            <w:pPr>
              <w:pStyle w:val="11"/>
              <w:ind w:firstLine="0"/>
              <w:rPr>
                <w:rFonts w:hint="default" w:ascii="Times New Roman" w:hAnsi="Times New Roman" w:eastAsia="宋体" w:cs="Times New Roman"/>
                <w:color w:val="auto"/>
                <w:sz w:val="21"/>
                <w:szCs w:val="21"/>
                <w:highlight w:val="none"/>
              </w:rPr>
            </w:pPr>
          </w:p>
        </w:tc>
      </w:tr>
      <w:tr w14:paraId="2B01F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68E3832D">
            <w:pPr>
              <w:pStyle w:val="11"/>
              <w:ind w:firstLine="0"/>
              <w:rPr>
                <w:rFonts w:hint="default" w:ascii="Times New Roman" w:hAnsi="Times New Roman" w:eastAsia="宋体" w:cs="Times New Roman"/>
                <w:color w:val="auto"/>
                <w:sz w:val="21"/>
                <w:szCs w:val="21"/>
                <w:highlight w:val="none"/>
              </w:rPr>
            </w:pPr>
          </w:p>
        </w:tc>
        <w:tc>
          <w:tcPr>
            <w:tcW w:w="1919" w:type="dxa"/>
          </w:tcPr>
          <w:p w14:paraId="26C402AD">
            <w:pPr>
              <w:pStyle w:val="11"/>
              <w:ind w:firstLine="0"/>
              <w:rPr>
                <w:rFonts w:hint="default" w:ascii="Times New Roman" w:hAnsi="Times New Roman" w:eastAsia="宋体" w:cs="Times New Roman"/>
                <w:color w:val="auto"/>
                <w:sz w:val="21"/>
                <w:szCs w:val="21"/>
                <w:highlight w:val="none"/>
              </w:rPr>
            </w:pPr>
          </w:p>
        </w:tc>
        <w:tc>
          <w:tcPr>
            <w:tcW w:w="1549" w:type="dxa"/>
          </w:tcPr>
          <w:p w14:paraId="210F2ADC">
            <w:pPr>
              <w:pStyle w:val="11"/>
              <w:ind w:firstLine="0"/>
              <w:rPr>
                <w:rFonts w:hint="default" w:ascii="Times New Roman" w:hAnsi="Times New Roman" w:eastAsia="宋体" w:cs="Times New Roman"/>
                <w:color w:val="auto"/>
                <w:sz w:val="21"/>
                <w:szCs w:val="21"/>
                <w:highlight w:val="none"/>
              </w:rPr>
            </w:pPr>
          </w:p>
        </w:tc>
        <w:tc>
          <w:tcPr>
            <w:tcW w:w="1727" w:type="dxa"/>
          </w:tcPr>
          <w:p w14:paraId="3EA2690D">
            <w:pPr>
              <w:pStyle w:val="11"/>
              <w:ind w:firstLine="0"/>
              <w:rPr>
                <w:rFonts w:hint="default" w:ascii="Times New Roman" w:hAnsi="Times New Roman" w:eastAsia="宋体" w:cs="Times New Roman"/>
                <w:color w:val="auto"/>
                <w:sz w:val="21"/>
                <w:szCs w:val="21"/>
                <w:highlight w:val="none"/>
              </w:rPr>
            </w:pPr>
          </w:p>
        </w:tc>
        <w:tc>
          <w:tcPr>
            <w:tcW w:w="1732" w:type="dxa"/>
          </w:tcPr>
          <w:p w14:paraId="321D9978">
            <w:pPr>
              <w:pStyle w:val="11"/>
              <w:ind w:firstLine="0"/>
              <w:rPr>
                <w:rFonts w:hint="default" w:ascii="Times New Roman" w:hAnsi="Times New Roman" w:eastAsia="宋体" w:cs="Times New Roman"/>
                <w:color w:val="auto"/>
                <w:sz w:val="21"/>
                <w:szCs w:val="21"/>
                <w:highlight w:val="none"/>
              </w:rPr>
            </w:pPr>
          </w:p>
        </w:tc>
        <w:tc>
          <w:tcPr>
            <w:tcW w:w="1188" w:type="dxa"/>
          </w:tcPr>
          <w:p w14:paraId="765DADF7">
            <w:pPr>
              <w:pStyle w:val="11"/>
              <w:ind w:firstLine="0"/>
              <w:rPr>
                <w:rFonts w:hint="default" w:ascii="Times New Roman" w:hAnsi="Times New Roman" w:eastAsia="宋体" w:cs="Times New Roman"/>
                <w:color w:val="auto"/>
                <w:sz w:val="21"/>
                <w:szCs w:val="21"/>
                <w:highlight w:val="none"/>
              </w:rPr>
            </w:pPr>
          </w:p>
        </w:tc>
      </w:tr>
      <w:tr w14:paraId="20173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85E2E16">
            <w:pPr>
              <w:pStyle w:val="11"/>
              <w:ind w:firstLine="0"/>
              <w:rPr>
                <w:rFonts w:hint="default" w:ascii="Times New Roman" w:hAnsi="Times New Roman" w:eastAsia="宋体" w:cs="Times New Roman"/>
                <w:color w:val="auto"/>
                <w:sz w:val="21"/>
                <w:szCs w:val="21"/>
                <w:highlight w:val="none"/>
              </w:rPr>
            </w:pPr>
          </w:p>
        </w:tc>
        <w:tc>
          <w:tcPr>
            <w:tcW w:w="1919" w:type="dxa"/>
          </w:tcPr>
          <w:p w14:paraId="2E570658">
            <w:pPr>
              <w:pStyle w:val="11"/>
              <w:ind w:firstLine="0"/>
              <w:rPr>
                <w:rFonts w:hint="default" w:ascii="Times New Roman" w:hAnsi="Times New Roman" w:eastAsia="宋体" w:cs="Times New Roman"/>
                <w:color w:val="auto"/>
                <w:sz w:val="21"/>
                <w:szCs w:val="21"/>
                <w:highlight w:val="none"/>
              </w:rPr>
            </w:pPr>
          </w:p>
        </w:tc>
        <w:tc>
          <w:tcPr>
            <w:tcW w:w="1549" w:type="dxa"/>
          </w:tcPr>
          <w:p w14:paraId="60721D9C">
            <w:pPr>
              <w:pStyle w:val="11"/>
              <w:ind w:firstLine="0"/>
              <w:rPr>
                <w:rFonts w:hint="default" w:ascii="Times New Roman" w:hAnsi="Times New Roman" w:eastAsia="宋体" w:cs="Times New Roman"/>
                <w:color w:val="auto"/>
                <w:sz w:val="21"/>
                <w:szCs w:val="21"/>
                <w:highlight w:val="none"/>
              </w:rPr>
            </w:pPr>
          </w:p>
        </w:tc>
        <w:tc>
          <w:tcPr>
            <w:tcW w:w="1727" w:type="dxa"/>
          </w:tcPr>
          <w:p w14:paraId="28347296">
            <w:pPr>
              <w:pStyle w:val="11"/>
              <w:ind w:firstLine="0"/>
              <w:rPr>
                <w:rFonts w:hint="default" w:ascii="Times New Roman" w:hAnsi="Times New Roman" w:eastAsia="宋体" w:cs="Times New Roman"/>
                <w:color w:val="auto"/>
                <w:sz w:val="21"/>
                <w:szCs w:val="21"/>
                <w:highlight w:val="none"/>
              </w:rPr>
            </w:pPr>
          </w:p>
        </w:tc>
        <w:tc>
          <w:tcPr>
            <w:tcW w:w="1732" w:type="dxa"/>
          </w:tcPr>
          <w:p w14:paraId="33FA422A">
            <w:pPr>
              <w:pStyle w:val="11"/>
              <w:ind w:firstLine="0"/>
              <w:rPr>
                <w:rFonts w:hint="default" w:ascii="Times New Roman" w:hAnsi="Times New Roman" w:eastAsia="宋体" w:cs="Times New Roman"/>
                <w:color w:val="auto"/>
                <w:sz w:val="21"/>
                <w:szCs w:val="21"/>
                <w:highlight w:val="none"/>
              </w:rPr>
            </w:pPr>
          </w:p>
        </w:tc>
        <w:tc>
          <w:tcPr>
            <w:tcW w:w="1188" w:type="dxa"/>
          </w:tcPr>
          <w:p w14:paraId="4569DA0E">
            <w:pPr>
              <w:pStyle w:val="11"/>
              <w:ind w:firstLine="0"/>
              <w:rPr>
                <w:rFonts w:hint="default" w:ascii="Times New Roman" w:hAnsi="Times New Roman" w:eastAsia="宋体" w:cs="Times New Roman"/>
                <w:color w:val="auto"/>
                <w:sz w:val="21"/>
                <w:szCs w:val="21"/>
                <w:highlight w:val="none"/>
              </w:rPr>
            </w:pPr>
          </w:p>
        </w:tc>
      </w:tr>
      <w:tr w14:paraId="32413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76BEE168">
            <w:pPr>
              <w:pStyle w:val="11"/>
              <w:ind w:firstLine="0"/>
              <w:rPr>
                <w:rFonts w:hint="default" w:ascii="Times New Roman" w:hAnsi="Times New Roman" w:eastAsia="宋体" w:cs="Times New Roman"/>
                <w:color w:val="auto"/>
                <w:sz w:val="21"/>
                <w:szCs w:val="21"/>
                <w:highlight w:val="none"/>
              </w:rPr>
            </w:pPr>
          </w:p>
        </w:tc>
        <w:tc>
          <w:tcPr>
            <w:tcW w:w="1919" w:type="dxa"/>
          </w:tcPr>
          <w:p w14:paraId="2E8471A4">
            <w:pPr>
              <w:pStyle w:val="11"/>
              <w:ind w:firstLine="0"/>
              <w:rPr>
                <w:rFonts w:hint="default" w:ascii="Times New Roman" w:hAnsi="Times New Roman" w:eastAsia="宋体" w:cs="Times New Roman"/>
                <w:color w:val="auto"/>
                <w:sz w:val="21"/>
                <w:szCs w:val="21"/>
                <w:highlight w:val="none"/>
              </w:rPr>
            </w:pPr>
          </w:p>
        </w:tc>
        <w:tc>
          <w:tcPr>
            <w:tcW w:w="1549" w:type="dxa"/>
          </w:tcPr>
          <w:p w14:paraId="7980B404">
            <w:pPr>
              <w:pStyle w:val="11"/>
              <w:ind w:firstLine="0"/>
              <w:rPr>
                <w:rFonts w:hint="default" w:ascii="Times New Roman" w:hAnsi="Times New Roman" w:eastAsia="宋体" w:cs="Times New Roman"/>
                <w:color w:val="auto"/>
                <w:sz w:val="21"/>
                <w:szCs w:val="21"/>
                <w:highlight w:val="none"/>
              </w:rPr>
            </w:pPr>
          </w:p>
        </w:tc>
        <w:tc>
          <w:tcPr>
            <w:tcW w:w="1727" w:type="dxa"/>
          </w:tcPr>
          <w:p w14:paraId="1FDDF159">
            <w:pPr>
              <w:pStyle w:val="11"/>
              <w:ind w:firstLine="0"/>
              <w:rPr>
                <w:rFonts w:hint="default" w:ascii="Times New Roman" w:hAnsi="Times New Roman" w:eastAsia="宋体" w:cs="Times New Roman"/>
                <w:color w:val="auto"/>
                <w:sz w:val="21"/>
                <w:szCs w:val="21"/>
                <w:highlight w:val="none"/>
              </w:rPr>
            </w:pPr>
          </w:p>
        </w:tc>
        <w:tc>
          <w:tcPr>
            <w:tcW w:w="1732" w:type="dxa"/>
          </w:tcPr>
          <w:p w14:paraId="71D04AB8">
            <w:pPr>
              <w:pStyle w:val="11"/>
              <w:ind w:firstLine="0"/>
              <w:rPr>
                <w:rFonts w:hint="default" w:ascii="Times New Roman" w:hAnsi="Times New Roman" w:eastAsia="宋体" w:cs="Times New Roman"/>
                <w:color w:val="auto"/>
                <w:sz w:val="21"/>
                <w:szCs w:val="21"/>
                <w:highlight w:val="none"/>
              </w:rPr>
            </w:pPr>
          </w:p>
        </w:tc>
        <w:tc>
          <w:tcPr>
            <w:tcW w:w="1188" w:type="dxa"/>
          </w:tcPr>
          <w:p w14:paraId="500B53A9">
            <w:pPr>
              <w:pStyle w:val="11"/>
              <w:ind w:firstLine="0"/>
              <w:rPr>
                <w:rFonts w:hint="default" w:ascii="Times New Roman" w:hAnsi="Times New Roman" w:eastAsia="宋体" w:cs="Times New Roman"/>
                <w:color w:val="auto"/>
                <w:sz w:val="21"/>
                <w:szCs w:val="21"/>
                <w:highlight w:val="none"/>
              </w:rPr>
            </w:pPr>
          </w:p>
        </w:tc>
      </w:tr>
      <w:tr w14:paraId="4568E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2" w:type="dxa"/>
          </w:tcPr>
          <w:p w14:paraId="1ADE0D29">
            <w:pPr>
              <w:pStyle w:val="11"/>
              <w:ind w:firstLine="0"/>
              <w:rPr>
                <w:rFonts w:hint="default" w:ascii="Times New Roman" w:hAnsi="Times New Roman" w:eastAsia="宋体" w:cs="Times New Roman"/>
                <w:color w:val="auto"/>
                <w:sz w:val="21"/>
                <w:szCs w:val="21"/>
                <w:highlight w:val="none"/>
              </w:rPr>
            </w:pPr>
          </w:p>
        </w:tc>
        <w:tc>
          <w:tcPr>
            <w:tcW w:w="1919" w:type="dxa"/>
          </w:tcPr>
          <w:p w14:paraId="59622BCF">
            <w:pPr>
              <w:pStyle w:val="11"/>
              <w:ind w:firstLine="0"/>
              <w:rPr>
                <w:rFonts w:hint="default" w:ascii="Times New Roman" w:hAnsi="Times New Roman" w:eastAsia="宋体" w:cs="Times New Roman"/>
                <w:color w:val="auto"/>
                <w:sz w:val="21"/>
                <w:szCs w:val="21"/>
                <w:highlight w:val="none"/>
              </w:rPr>
            </w:pPr>
          </w:p>
        </w:tc>
        <w:tc>
          <w:tcPr>
            <w:tcW w:w="1549" w:type="dxa"/>
          </w:tcPr>
          <w:p w14:paraId="40EFBACA">
            <w:pPr>
              <w:pStyle w:val="11"/>
              <w:ind w:firstLine="0"/>
              <w:rPr>
                <w:rFonts w:hint="default" w:ascii="Times New Roman" w:hAnsi="Times New Roman" w:eastAsia="宋体" w:cs="Times New Roman"/>
                <w:color w:val="auto"/>
                <w:sz w:val="21"/>
                <w:szCs w:val="21"/>
                <w:highlight w:val="none"/>
              </w:rPr>
            </w:pPr>
          </w:p>
        </w:tc>
        <w:tc>
          <w:tcPr>
            <w:tcW w:w="1727" w:type="dxa"/>
          </w:tcPr>
          <w:p w14:paraId="1ACC4D07">
            <w:pPr>
              <w:pStyle w:val="11"/>
              <w:ind w:firstLine="0"/>
              <w:rPr>
                <w:rFonts w:hint="default" w:ascii="Times New Roman" w:hAnsi="Times New Roman" w:eastAsia="宋体" w:cs="Times New Roman"/>
                <w:color w:val="auto"/>
                <w:sz w:val="21"/>
                <w:szCs w:val="21"/>
                <w:highlight w:val="none"/>
              </w:rPr>
            </w:pPr>
          </w:p>
        </w:tc>
        <w:tc>
          <w:tcPr>
            <w:tcW w:w="1732" w:type="dxa"/>
          </w:tcPr>
          <w:p w14:paraId="4326C33D">
            <w:pPr>
              <w:pStyle w:val="11"/>
              <w:ind w:firstLine="0"/>
              <w:rPr>
                <w:rFonts w:hint="default" w:ascii="Times New Roman" w:hAnsi="Times New Roman" w:eastAsia="宋体" w:cs="Times New Roman"/>
                <w:color w:val="auto"/>
                <w:sz w:val="21"/>
                <w:szCs w:val="21"/>
                <w:highlight w:val="none"/>
              </w:rPr>
            </w:pPr>
          </w:p>
        </w:tc>
        <w:tc>
          <w:tcPr>
            <w:tcW w:w="1188" w:type="dxa"/>
          </w:tcPr>
          <w:p w14:paraId="6E7D894F">
            <w:pPr>
              <w:pStyle w:val="11"/>
              <w:ind w:firstLine="0"/>
              <w:rPr>
                <w:rFonts w:hint="default" w:ascii="Times New Roman" w:hAnsi="Times New Roman" w:eastAsia="宋体" w:cs="Times New Roman"/>
                <w:color w:val="auto"/>
                <w:sz w:val="21"/>
                <w:szCs w:val="21"/>
                <w:highlight w:val="none"/>
              </w:rPr>
            </w:pPr>
          </w:p>
        </w:tc>
      </w:tr>
    </w:tbl>
    <w:p w14:paraId="62EDA54F">
      <w:pPr>
        <w:tabs>
          <w:tab w:val="left" w:pos="1680"/>
        </w:tabs>
        <w:snapToGrid w:val="0"/>
        <w:spacing w:line="360" w:lineRule="exact"/>
        <w:ind w:left="480" w:right="-42" w:rightChars="-20" w:hanging="420" w:hangingChars="200"/>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注：1、投标人应随此表后附相关的业绩证明（</w:t>
      </w:r>
      <w:r>
        <w:rPr>
          <w:rFonts w:hint="eastAsia" w:cs="Times New Roman"/>
          <w:caps/>
          <w:color w:val="auto"/>
          <w:sz w:val="21"/>
          <w:szCs w:val="21"/>
          <w:highlight w:val="none"/>
          <w:lang w:eastAsia="zh-CN"/>
        </w:rPr>
        <w:t>合同或中标通知书的扫描件</w:t>
      </w:r>
      <w:r>
        <w:rPr>
          <w:rFonts w:hint="default" w:ascii="Times New Roman" w:hAnsi="Times New Roman" w:eastAsia="宋体" w:cs="Times New Roman"/>
          <w:caps/>
          <w:color w:val="auto"/>
          <w:sz w:val="21"/>
          <w:szCs w:val="21"/>
          <w:highlight w:val="none"/>
        </w:rPr>
        <w:t>）</w:t>
      </w:r>
    </w:p>
    <w:p w14:paraId="1F5F8B2F">
      <w:pPr>
        <w:tabs>
          <w:tab w:val="left" w:pos="1680"/>
        </w:tabs>
        <w:snapToGrid w:val="0"/>
        <w:spacing w:line="360" w:lineRule="exact"/>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 xml:space="preserve">    2、如有多个</w:t>
      </w:r>
      <w:r>
        <w:rPr>
          <w:rFonts w:hint="default" w:ascii="Times New Roman" w:hAnsi="Times New Roman" w:eastAsia="宋体" w:cs="Times New Roman"/>
          <w:caps/>
          <w:color w:val="auto"/>
          <w:sz w:val="21"/>
          <w:szCs w:val="21"/>
          <w:highlight w:val="none"/>
          <w:lang w:eastAsia="zh-CN"/>
        </w:rPr>
        <w:t>同类</w:t>
      </w:r>
      <w:r>
        <w:rPr>
          <w:rFonts w:hint="default" w:ascii="Times New Roman" w:hAnsi="Times New Roman" w:eastAsia="宋体" w:cs="Times New Roman"/>
          <w:caps/>
          <w:color w:val="auto"/>
          <w:sz w:val="21"/>
          <w:szCs w:val="21"/>
          <w:highlight w:val="none"/>
        </w:rPr>
        <w:t>项目，可按此表格扩展。</w:t>
      </w:r>
    </w:p>
    <w:p w14:paraId="31FC3EE1">
      <w:pPr>
        <w:spacing w:line="440" w:lineRule="exact"/>
        <w:rPr>
          <w:rFonts w:hint="default" w:ascii="Times New Roman" w:hAnsi="Times New Roman" w:eastAsia="宋体" w:cs="Times New Roman"/>
          <w:color w:val="auto"/>
          <w:sz w:val="21"/>
          <w:szCs w:val="21"/>
          <w:highlight w:val="none"/>
        </w:rPr>
      </w:pPr>
    </w:p>
    <w:p w14:paraId="535ACF9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投标人：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（单位全称、盖章）</w:t>
      </w:r>
    </w:p>
    <w:p w14:paraId="73E2171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法定代表人或授权代表：</w:t>
      </w:r>
      <w:r>
        <w:rPr>
          <w:rFonts w:hint="default" w:ascii="Times New Roman" w:hAnsi="Times New Roman" w:eastAsia="宋体" w:cs="Times New Roman"/>
          <w:color w:val="auto"/>
          <w:sz w:val="21"/>
          <w:szCs w:val="21"/>
          <w:highlight w:val="none"/>
          <w:u w:val="single"/>
        </w:rPr>
        <w:t xml:space="preserve">   （</w:t>
      </w:r>
      <w:r>
        <w:rPr>
          <w:rFonts w:hint="eastAsia" w:cs="Times New Roman"/>
          <w:color w:val="auto"/>
          <w:sz w:val="21"/>
          <w:szCs w:val="21"/>
          <w:highlight w:val="none"/>
          <w:u w:val="single"/>
          <w:lang w:eastAsia="zh-CN"/>
        </w:rPr>
        <w:t>盖章或签字</w:t>
      </w:r>
      <w:r>
        <w:rPr>
          <w:rFonts w:hint="default" w:ascii="Times New Roman" w:hAnsi="Times New Roman" w:eastAsia="宋体" w:cs="Times New Roman"/>
          <w:color w:val="auto"/>
          <w:sz w:val="21"/>
          <w:szCs w:val="21"/>
          <w:highlight w:val="none"/>
          <w:u w:val="single"/>
        </w:rPr>
        <w:t xml:space="preserve">）           </w:t>
      </w:r>
    </w:p>
    <w:p w14:paraId="7499620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投标日期：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72156AE3">
      <w:pPr>
        <w:spacing w:line="440" w:lineRule="exact"/>
        <w:rPr>
          <w:rFonts w:hint="eastAsia" w:ascii="宋体" w:hAnsi="宋体" w:cs="宋体"/>
          <w:b/>
          <w:szCs w:val="21"/>
        </w:rPr>
      </w:pPr>
      <w:bookmarkStart w:id="23" w:name="_Toc28712"/>
      <w:bookmarkStart w:id="24" w:name="_Toc30379"/>
    </w:p>
    <w:p w14:paraId="7ABFCFE9">
      <w:pPr>
        <w:rPr>
          <w:rFonts w:hint="eastAsia"/>
          <w:b/>
          <w:bCs/>
          <w:color w:val="auto"/>
          <w:sz w:val="36"/>
          <w:szCs w:val="36"/>
          <w:highlight w:val="none"/>
          <w:lang w:val="en-US" w:eastAsia="zh-CN"/>
        </w:rPr>
      </w:pPr>
    </w:p>
    <w:p w14:paraId="1B5A5B89">
      <w:pPr>
        <w:jc w:val="center"/>
        <w:rPr>
          <w:rFonts w:hint="eastAsia"/>
          <w:b/>
          <w:bCs/>
          <w:color w:val="auto"/>
          <w:sz w:val="36"/>
          <w:szCs w:val="36"/>
          <w:highlight w:val="none"/>
          <w:lang w:val="en-US" w:eastAsia="zh-CN"/>
        </w:rPr>
      </w:pPr>
    </w:p>
    <w:p w14:paraId="1D002890">
      <w:pPr>
        <w:jc w:val="center"/>
        <w:rPr>
          <w:rFonts w:hint="eastAsia" w:ascii="宋体" w:hAnsi="宋体" w:eastAsia="宋体" w:cs="宋体"/>
          <w:b/>
          <w:bCs/>
          <w:color w:val="auto"/>
          <w:kern w:val="2"/>
          <w:sz w:val="36"/>
          <w:szCs w:val="36"/>
          <w:highlight w:val="none"/>
          <w:lang w:val="en-US" w:eastAsia="zh-CN" w:bidi="ar-SA"/>
        </w:rPr>
      </w:pPr>
      <w:r>
        <w:rPr>
          <w:rFonts w:hint="eastAsia"/>
          <w:b/>
          <w:bCs/>
          <w:color w:val="auto"/>
          <w:sz w:val="36"/>
          <w:szCs w:val="36"/>
          <w:highlight w:val="none"/>
          <w:lang w:val="en-US" w:eastAsia="zh-CN"/>
        </w:rPr>
        <w:t>四、</w:t>
      </w:r>
      <w:bookmarkEnd w:id="23"/>
      <w:bookmarkEnd w:id="24"/>
      <w:r>
        <w:rPr>
          <w:rFonts w:hint="eastAsia"/>
          <w:b/>
          <w:bCs/>
          <w:color w:val="auto"/>
          <w:sz w:val="36"/>
          <w:szCs w:val="36"/>
          <w:highlight w:val="none"/>
          <w:lang w:val="en-US" w:eastAsia="zh-CN"/>
        </w:rPr>
        <w:t>投标方案说明书</w:t>
      </w:r>
    </w:p>
    <w:p w14:paraId="0953F13A">
      <w:pPr>
        <w:rPr>
          <w:rFonts w:hint="eastAsia"/>
          <w:color w:val="auto"/>
          <w:highlight w:val="none"/>
        </w:rPr>
      </w:pPr>
    </w:p>
    <w:p w14:paraId="559D1D32">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投标人应根据第四章“</w:t>
      </w:r>
      <w:r>
        <w:rPr>
          <w:rFonts w:hint="eastAsia" w:cs="Times New Roman"/>
          <w:color w:val="auto"/>
          <w:sz w:val="21"/>
          <w:szCs w:val="21"/>
          <w:highlight w:val="none"/>
          <w:lang w:val="en-US" w:eastAsia="zh-CN"/>
        </w:rPr>
        <w:t>采购</w:t>
      </w:r>
      <w:r>
        <w:rPr>
          <w:rFonts w:hint="eastAsia" w:ascii="Times New Roman" w:hAnsi="Times New Roman" w:eastAsia="宋体" w:cs="Times New Roman"/>
          <w:color w:val="auto"/>
          <w:sz w:val="21"/>
          <w:szCs w:val="21"/>
          <w:highlight w:val="none"/>
          <w:lang w:val="en-US" w:eastAsia="zh-CN"/>
        </w:rPr>
        <w:t>内容及要求”及第三章“评分办法”</w:t>
      </w:r>
      <w:r>
        <w:rPr>
          <w:rFonts w:hint="eastAsia" w:cs="Times New Roman"/>
          <w:color w:val="auto"/>
          <w:sz w:val="21"/>
          <w:szCs w:val="21"/>
          <w:highlight w:val="none"/>
          <w:lang w:val="en-US" w:eastAsia="zh-CN"/>
        </w:rPr>
        <w:t>进行编制</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eastAsia="zh-CN"/>
        </w:rPr>
        <w:t>格式自拟。</w:t>
      </w:r>
    </w:p>
    <w:p w14:paraId="57AA4030">
      <w:pPr>
        <w:spacing w:line="440" w:lineRule="exact"/>
        <w:rPr>
          <w:rFonts w:hint="eastAsia" w:ascii="Tahoma" w:hAnsi="Tahoma"/>
          <w:b/>
          <w:bCs/>
          <w:color w:val="auto"/>
          <w:sz w:val="21"/>
          <w:szCs w:val="21"/>
          <w:highlight w:val="none"/>
          <w:lang w:eastAsia="zh-CN"/>
        </w:rPr>
      </w:pPr>
    </w:p>
    <w:p w14:paraId="263324F1">
      <w:pPr>
        <w:spacing w:line="440" w:lineRule="exact"/>
        <w:rPr>
          <w:rFonts w:hint="eastAsia" w:ascii="Tahoma" w:hAnsi="Tahoma"/>
          <w:b/>
          <w:bCs/>
          <w:color w:val="auto"/>
          <w:sz w:val="21"/>
          <w:szCs w:val="21"/>
          <w:highlight w:val="none"/>
          <w:lang w:eastAsia="zh-CN"/>
        </w:rPr>
      </w:pPr>
    </w:p>
    <w:p w14:paraId="061115CD">
      <w:pPr>
        <w:spacing w:line="440" w:lineRule="exact"/>
        <w:rPr>
          <w:rFonts w:hint="eastAsia" w:ascii="Tahoma" w:hAnsi="Tahoma"/>
          <w:b/>
          <w:bCs/>
          <w:color w:val="auto"/>
          <w:sz w:val="21"/>
          <w:szCs w:val="21"/>
          <w:highlight w:val="none"/>
          <w:lang w:eastAsia="zh-CN"/>
        </w:rPr>
      </w:pPr>
    </w:p>
    <w:p w14:paraId="2CAC4CC6">
      <w:pPr>
        <w:spacing w:line="440" w:lineRule="exact"/>
        <w:rPr>
          <w:rFonts w:hint="eastAsia" w:ascii="Tahoma" w:hAnsi="Tahoma"/>
          <w:b/>
          <w:bCs/>
          <w:color w:val="auto"/>
          <w:sz w:val="21"/>
          <w:szCs w:val="21"/>
          <w:highlight w:val="none"/>
          <w:lang w:eastAsia="zh-CN"/>
        </w:rPr>
      </w:pPr>
    </w:p>
    <w:p w14:paraId="3D6A8066">
      <w:pPr>
        <w:spacing w:line="440" w:lineRule="exact"/>
        <w:rPr>
          <w:rFonts w:hint="eastAsia" w:ascii="Tahoma" w:hAnsi="Tahoma"/>
          <w:b/>
          <w:bCs/>
          <w:color w:val="auto"/>
          <w:sz w:val="21"/>
          <w:szCs w:val="21"/>
          <w:highlight w:val="none"/>
          <w:lang w:eastAsia="zh-CN"/>
        </w:rPr>
      </w:pPr>
    </w:p>
    <w:p w14:paraId="72D97193">
      <w:pPr>
        <w:spacing w:line="440" w:lineRule="exact"/>
        <w:rPr>
          <w:rFonts w:hint="eastAsia" w:ascii="Tahoma" w:hAnsi="Tahoma"/>
          <w:b/>
          <w:bCs/>
          <w:color w:val="auto"/>
          <w:sz w:val="21"/>
          <w:szCs w:val="21"/>
          <w:highlight w:val="none"/>
          <w:lang w:eastAsia="zh-CN"/>
        </w:rPr>
      </w:pPr>
    </w:p>
    <w:p w14:paraId="5B7CDF99">
      <w:pPr>
        <w:spacing w:line="440" w:lineRule="exact"/>
        <w:rPr>
          <w:rFonts w:hint="eastAsia" w:ascii="Tahoma" w:hAnsi="Tahoma"/>
          <w:b/>
          <w:bCs/>
          <w:color w:val="auto"/>
          <w:sz w:val="21"/>
          <w:szCs w:val="21"/>
          <w:highlight w:val="none"/>
          <w:lang w:eastAsia="zh-CN"/>
        </w:rPr>
      </w:pPr>
    </w:p>
    <w:p w14:paraId="2F02FC73">
      <w:pPr>
        <w:spacing w:line="440" w:lineRule="exact"/>
        <w:rPr>
          <w:rFonts w:hint="eastAsia" w:ascii="Tahoma" w:hAnsi="Tahoma"/>
          <w:b/>
          <w:bCs/>
          <w:color w:val="auto"/>
          <w:sz w:val="21"/>
          <w:szCs w:val="21"/>
          <w:highlight w:val="none"/>
          <w:lang w:eastAsia="zh-CN"/>
        </w:rPr>
      </w:pPr>
    </w:p>
    <w:p w14:paraId="136D4464">
      <w:pPr>
        <w:spacing w:line="440" w:lineRule="exact"/>
        <w:rPr>
          <w:rFonts w:hint="eastAsia" w:ascii="Tahoma" w:hAnsi="Tahoma"/>
          <w:b/>
          <w:bCs/>
          <w:color w:val="auto"/>
          <w:sz w:val="21"/>
          <w:szCs w:val="21"/>
          <w:highlight w:val="none"/>
          <w:lang w:eastAsia="zh-CN"/>
        </w:rPr>
      </w:pPr>
    </w:p>
    <w:p w14:paraId="62F9EDB1">
      <w:pPr>
        <w:spacing w:line="440" w:lineRule="exact"/>
        <w:rPr>
          <w:rFonts w:hint="eastAsia" w:ascii="Tahoma" w:hAnsi="Tahoma"/>
          <w:b/>
          <w:bCs/>
          <w:color w:val="auto"/>
          <w:sz w:val="21"/>
          <w:szCs w:val="21"/>
          <w:highlight w:val="none"/>
          <w:lang w:eastAsia="zh-CN"/>
        </w:rPr>
      </w:pPr>
    </w:p>
    <w:p w14:paraId="2CA92333">
      <w:pPr>
        <w:spacing w:line="440" w:lineRule="exact"/>
        <w:rPr>
          <w:rFonts w:hint="eastAsia" w:ascii="Tahoma" w:hAnsi="Tahoma"/>
          <w:b/>
          <w:bCs/>
          <w:color w:val="auto"/>
          <w:sz w:val="21"/>
          <w:szCs w:val="21"/>
          <w:highlight w:val="none"/>
          <w:lang w:eastAsia="zh-CN"/>
        </w:rPr>
      </w:pPr>
    </w:p>
    <w:p w14:paraId="4E2D504C">
      <w:pPr>
        <w:spacing w:line="440" w:lineRule="exact"/>
        <w:rPr>
          <w:rFonts w:hint="eastAsia" w:ascii="Tahoma" w:hAnsi="Tahoma"/>
          <w:b/>
          <w:bCs/>
          <w:color w:val="auto"/>
          <w:sz w:val="21"/>
          <w:szCs w:val="21"/>
          <w:highlight w:val="none"/>
          <w:lang w:eastAsia="zh-CN"/>
        </w:rPr>
      </w:pPr>
    </w:p>
    <w:p w14:paraId="68414268">
      <w:pPr>
        <w:spacing w:line="440" w:lineRule="exact"/>
        <w:rPr>
          <w:rFonts w:hint="eastAsia" w:ascii="Tahoma" w:hAnsi="Tahoma"/>
          <w:b/>
          <w:bCs/>
          <w:color w:val="auto"/>
          <w:sz w:val="21"/>
          <w:szCs w:val="21"/>
          <w:highlight w:val="none"/>
          <w:lang w:eastAsia="zh-CN"/>
        </w:rPr>
      </w:pPr>
    </w:p>
    <w:p w14:paraId="14C5CE35">
      <w:pPr>
        <w:spacing w:line="440" w:lineRule="exact"/>
        <w:rPr>
          <w:rFonts w:hint="eastAsia" w:ascii="Tahoma" w:hAnsi="Tahoma"/>
          <w:b/>
          <w:bCs/>
          <w:color w:val="auto"/>
          <w:sz w:val="21"/>
          <w:szCs w:val="21"/>
          <w:highlight w:val="none"/>
          <w:lang w:eastAsia="zh-CN"/>
        </w:rPr>
      </w:pPr>
    </w:p>
    <w:p w14:paraId="2424E1F9">
      <w:pPr>
        <w:spacing w:line="440" w:lineRule="exact"/>
        <w:rPr>
          <w:rFonts w:hint="eastAsia" w:ascii="Tahoma" w:hAnsi="Tahoma"/>
          <w:b/>
          <w:bCs/>
          <w:color w:val="auto"/>
          <w:sz w:val="21"/>
          <w:szCs w:val="21"/>
          <w:highlight w:val="none"/>
          <w:lang w:eastAsia="zh-CN"/>
        </w:rPr>
      </w:pPr>
    </w:p>
    <w:p w14:paraId="6B5B54D6">
      <w:pPr>
        <w:spacing w:line="440" w:lineRule="exact"/>
        <w:rPr>
          <w:rFonts w:hint="eastAsia" w:ascii="Tahoma" w:hAnsi="Tahoma"/>
          <w:b/>
          <w:bCs/>
          <w:color w:val="auto"/>
          <w:sz w:val="21"/>
          <w:szCs w:val="21"/>
          <w:highlight w:val="none"/>
          <w:lang w:eastAsia="zh-CN"/>
        </w:rPr>
      </w:pPr>
    </w:p>
    <w:p w14:paraId="6A8FD6B5">
      <w:pPr>
        <w:spacing w:line="440" w:lineRule="exact"/>
        <w:rPr>
          <w:rFonts w:hint="eastAsia" w:ascii="Tahoma" w:hAnsi="Tahoma"/>
          <w:b/>
          <w:bCs/>
          <w:color w:val="auto"/>
          <w:sz w:val="21"/>
          <w:szCs w:val="21"/>
          <w:highlight w:val="none"/>
          <w:lang w:eastAsia="zh-CN"/>
        </w:rPr>
      </w:pPr>
    </w:p>
    <w:p w14:paraId="03F4CEE5">
      <w:pPr>
        <w:spacing w:line="440" w:lineRule="exact"/>
        <w:rPr>
          <w:rFonts w:hint="eastAsia" w:ascii="Tahoma" w:hAnsi="Tahoma"/>
          <w:b/>
          <w:bCs/>
          <w:color w:val="auto"/>
          <w:sz w:val="21"/>
          <w:szCs w:val="21"/>
          <w:highlight w:val="none"/>
          <w:lang w:eastAsia="zh-CN"/>
        </w:rPr>
      </w:pPr>
    </w:p>
    <w:p w14:paraId="2138B081">
      <w:pPr>
        <w:spacing w:line="440" w:lineRule="exact"/>
        <w:ind w:firstLine="420" w:firstLineChars="200"/>
        <w:rPr>
          <w:szCs w:val="21"/>
          <w:highlight w:val="none"/>
        </w:rPr>
      </w:pPr>
    </w:p>
    <w:p w14:paraId="19488E20">
      <w:pPr>
        <w:spacing w:line="440" w:lineRule="exact"/>
        <w:rPr>
          <w:rFonts w:hint="eastAsia"/>
          <w:szCs w:val="21"/>
          <w:highlight w:val="none"/>
        </w:rPr>
      </w:pPr>
    </w:p>
    <w:p w14:paraId="0B92B36D">
      <w:pPr>
        <w:spacing w:line="440" w:lineRule="exact"/>
        <w:rPr>
          <w:rFonts w:hint="eastAsia"/>
          <w:szCs w:val="21"/>
          <w:highlight w:val="none"/>
        </w:rPr>
      </w:pPr>
    </w:p>
    <w:p w14:paraId="21385B93">
      <w:pPr>
        <w:spacing w:line="440" w:lineRule="exact"/>
        <w:rPr>
          <w:rFonts w:hint="eastAsia"/>
          <w:szCs w:val="21"/>
          <w:highlight w:val="none"/>
        </w:rPr>
      </w:pPr>
    </w:p>
    <w:p w14:paraId="0A6B74D3">
      <w:pPr>
        <w:spacing w:line="440" w:lineRule="exact"/>
        <w:rPr>
          <w:rFonts w:hint="eastAsia"/>
          <w:szCs w:val="21"/>
          <w:highlight w:val="none"/>
        </w:rPr>
      </w:pPr>
    </w:p>
    <w:p w14:paraId="47FB47F2">
      <w:pPr>
        <w:spacing w:line="440" w:lineRule="exact"/>
        <w:rPr>
          <w:rFonts w:hint="eastAsia" w:ascii="Tahoma" w:hAnsi="Tahoma"/>
          <w:b/>
          <w:bCs/>
          <w:color w:val="auto"/>
          <w:sz w:val="21"/>
          <w:szCs w:val="21"/>
          <w:highlight w:val="none"/>
          <w:lang w:eastAsia="zh-CN"/>
        </w:rPr>
      </w:pPr>
    </w:p>
    <w:p w14:paraId="4022BEFF">
      <w:pPr>
        <w:pStyle w:val="16"/>
        <w:rPr>
          <w:rFonts w:hint="eastAsia" w:ascii="Tahoma" w:hAnsi="Tahoma"/>
          <w:b/>
          <w:bCs/>
          <w:color w:val="auto"/>
          <w:sz w:val="21"/>
          <w:szCs w:val="21"/>
          <w:highlight w:val="none"/>
          <w:lang w:eastAsia="zh-CN"/>
        </w:rPr>
      </w:pPr>
    </w:p>
    <w:p w14:paraId="0B449AE6">
      <w:pPr>
        <w:pStyle w:val="17"/>
        <w:rPr>
          <w:rFonts w:hint="eastAsia" w:ascii="Tahoma" w:hAnsi="Tahoma"/>
          <w:b/>
          <w:bCs/>
          <w:color w:val="auto"/>
          <w:sz w:val="21"/>
          <w:szCs w:val="21"/>
          <w:highlight w:val="none"/>
          <w:lang w:eastAsia="zh-CN"/>
        </w:rPr>
      </w:pPr>
    </w:p>
    <w:p w14:paraId="084E5A97">
      <w:pPr>
        <w:pStyle w:val="17"/>
        <w:rPr>
          <w:rFonts w:hint="eastAsia" w:ascii="Tahoma" w:hAnsi="Tahoma"/>
          <w:b/>
          <w:bCs/>
          <w:color w:val="auto"/>
          <w:sz w:val="21"/>
          <w:szCs w:val="21"/>
          <w:highlight w:val="none"/>
          <w:lang w:eastAsia="zh-CN"/>
        </w:rPr>
      </w:pPr>
    </w:p>
    <w:p w14:paraId="511B2F62">
      <w:pPr>
        <w:pStyle w:val="17"/>
        <w:rPr>
          <w:rFonts w:hint="eastAsia" w:ascii="Tahoma" w:hAnsi="Tahoma"/>
          <w:b/>
          <w:bCs/>
          <w:color w:val="auto"/>
          <w:sz w:val="21"/>
          <w:szCs w:val="21"/>
          <w:highlight w:val="none"/>
          <w:lang w:eastAsia="zh-CN"/>
        </w:rPr>
      </w:pPr>
    </w:p>
    <w:p w14:paraId="15F21DDE">
      <w:pPr>
        <w:rPr>
          <w:rFonts w:hint="default" w:ascii="Tahoma" w:hAnsi="Tahoma"/>
          <w:b/>
          <w:bCs/>
          <w:color w:val="auto"/>
          <w:sz w:val="21"/>
          <w:szCs w:val="21"/>
          <w:highlight w:val="none"/>
          <w:lang w:val="en-US" w:eastAsia="zh-CN"/>
        </w:rPr>
      </w:pPr>
    </w:p>
    <w:p w14:paraId="4BDCAF03">
      <w:pPr>
        <w:keepNext w:val="0"/>
        <w:keepLines w:val="0"/>
        <w:pageBreakBefore w:val="0"/>
        <w:widowControl w:val="0"/>
        <w:kinsoku/>
        <w:wordWrap/>
        <w:overflowPunct/>
        <w:topLinePunct w:val="0"/>
        <w:autoSpaceDE/>
        <w:autoSpaceDN/>
        <w:bidi w:val="0"/>
        <w:adjustRightInd/>
        <w:snapToGrid/>
        <w:spacing w:before="0" w:beforeLines="100" w:after="0" w:afterLines="50" w:line="56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eastAsia="zh-CN"/>
        </w:rPr>
        <w:t>商务条款</w:t>
      </w:r>
      <w:r>
        <w:rPr>
          <w:rFonts w:hint="eastAsia" w:ascii="宋体" w:hAnsi="宋体" w:cs="宋体"/>
          <w:b/>
          <w:bCs/>
          <w:color w:val="000000"/>
          <w:sz w:val="36"/>
          <w:szCs w:val="36"/>
          <w:highlight w:val="none"/>
        </w:rPr>
        <w:t>偏离表</w:t>
      </w:r>
    </w:p>
    <w:p w14:paraId="3AEA7665">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41"/>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E4E7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14:paraId="1109CB70">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vAlign w:val="center"/>
          </w:tcPr>
          <w:p w14:paraId="0658C1D7">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招标文件商务要求</w:t>
            </w:r>
          </w:p>
        </w:tc>
        <w:tc>
          <w:tcPr>
            <w:tcW w:w="2625" w:type="dxa"/>
            <w:tcBorders>
              <w:tl2br w:val="nil"/>
              <w:tr2bl w:val="nil"/>
            </w:tcBorders>
            <w:vAlign w:val="center"/>
          </w:tcPr>
          <w:p w14:paraId="741ACA8C">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投标文件商务响应</w:t>
            </w:r>
          </w:p>
        </w:tc>
        <w:tc>
          <w:tcPr>
            <w:tcW w:w="1590" w:type="dxa"/>
            <w:tcBorders>
              <w:tl2br w:val="nil"/>
              <w:tr2bl w:val="nil"/>
            </w:tcBorders>
            <w:vAlign w:val="center"/>
          </w:tcPr>
          <w:p w14:paraId="3E70F5F9">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vAlign w:val="center"/>
          </w:tcPr>
          <w:p w14:paraId="03369C18">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47854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2C801F03">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3FDCF93">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13DE4DB4">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64E6DE89">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336A657B">
            <w:pPr>
              <w:spacing w:line="560" w:lineRule="exact"/>
              <w:rPr>
                <w:rFonts w:hint="eastAsia" w:ascii="宋体" w:hAnsi="宋体"/>
                <w:b/>
                <w:bCs/>
                <w:position w:val="4"/>
                <w:sz w:val="32"/>
                <w:szCs w:val="32"/>
                <w:highlight w:val="none"/>
                <w:vertAlign w:val="baseline"/>
              </w:rPr>
            </w:pPr>
          </w:p>
        </w:tc>
      </w:tr>
      <w:tr w14:paraId="5A7AD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26129EE2">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63AF07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106D6C7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6329D698">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64547D49">
            <w:pPr>
              <w:spacing w:line="560" w:lineRule="exact"/>
              <w:rPr>
                <w:rFonts w:hint="eastAsia" w:ascii="宋体" w:hAnsi="宋体"/>
                <w:b/>
                <w:bCs/>
                <w:position w:val="4"/>
                <w:sz w:val="32"/>
                <w:szCs w:val="32"/>
                <w:highlight w:val="none"/>
                <w:vertAlign w:val="baseline"/>
              </w:rPr>
            </w:pPr>
          </w:p>
        </w:tc>
      </w:tr>
      <w:tr w14:paraId="00AB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2CCD68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4398F61D">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B933707">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0A0D74B">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2F536536">
            <w:pPr>
              <w:spacing w:line="560" w:lineRule="exact"/>
              <w:rPr>
                <w:rFonts w:hint="eastAsia" w:ascii="宋体" w:hAnsi="宋体"/>
                <w:b/>
                <w:bCs/>
                <w:position w:val="4"/>
                <w:sz w:val="32"/>
                <w:szCs w:val="32"/>
                <w:highlight w:val="none"/>
                <w:vertAlign w:val="baseline"/>
              </w:rPr>
            </w:pPr>
          </w:p>
        </w:tc>
      </w:tr>
      <w:tr w14:paraId="64D91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AF8FC7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61C49A5">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6A106849">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04AFFDA1">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2472C7DC">
            <w:pPr>
              <w:spacing w:line="560" w:lineRule="exact"/>
              <w:rPr>
                <w:rFonts w:hint="eastAsia" w:ascii="宋体" w:hAnsi="宋体"/>
                <w:b/>
                <w:bCs/>
                <w:position w:val="4"/>
                <w:sz w:val="32"/>
                <w:szCs w:val="32"/>
                <w:highlight w:val="none"/>
                <w:vertAlign w:val="baseline"/>
              </w:rPr>
            </w:pPr>
          </w:p>
        </w:tc>
      </w:tr>
      <w:tr w14:paraId="2CED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D03BEE6">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7E6890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3DA65403">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EFC64D9">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6EB3EF6">
            <w:pPr>
              <w:spacing w:line="560" w:lineRule="exact"/>
              <w:rPr>
                <w:rFonts w:hint="eastAsia" w:ascii="宋体" w:hAnsi="宋体"/>
                <w:b/>
                <w:bCs/>
                <w:position w:val="4"/>
                <w:sz w:val="32"/>
                <w:szCs w:val="32"/>
                <w:highlight w:val="none"/>
                <w:vertAlign w:val="baseline"/>
              </w:rPr>
            </w:pPr>
          </w:p>
        </w:tc>
      </w:tr>
      <w:tr w14:paraId="400F6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402750B">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18AB639">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2B71C23A">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098EDAC">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4150F26E">
            <w:pPr>
              <w:spacing w:line="560" w:lineRule="exact"/>
              <w:rPr>
                <w:rFonts w:hint="eastAsia" w:ascii="宋体" w:hAnsi="宋体"/>
                <w:b/>
                <w:bCs/>
                <w:position w:val="4"/>
                <w:sz w:val="32"/>
                <w:szCs w:val="32"/>
                <w:highlight w:val="none"/>
                <w:vertAlign w:val="baseline"/>
              </w:rPr>
            </w:pPr>
          </w:p>
        </w:tc>
      </w:tr>
    </w:tbl>
    <w:p w14:paraId="28B1D7ED">
      <w:pPr>
        <w:spacing w:line="440" w:lineRule="exact"/>
        <w:rPr>
          <w:rFonts w:hint="eastAsia"/>
          <w:color w:val="auto"/>
          <w:szCs w:val="21"/>
          <w:highlight w:val="none"/>
        </w:rPr>
      </w:pPr>
      <w:r>
        <w:rPr>
          <w:rFonts w:hint="eastAsia"/>
          <w:color w:val="auto"/>
          <w:szCs w:val="21"/>
          <w:highlight w:val="none"/>
          <w:lang w:val="en-US" w:eastAsia="zh-CN"/>
        </w:rPr>
        <w:t>注：1、</w:t>
      </w:r>
      <w:r>
        <w:rPr>
          <w:rFonts w:hint="eastAsia"/>
          <w:color w:val="auto"/>
          <w:szCs w:val="21"/>
          <w:highlight w:val="none"/>
        </w:rPr>
        <w:t>商务偏离表应按照招标文件</w:t>
      </w:r>
      <w:r>
        <w:rPr>
          <w:rFonts w:hint="eastAsia"/>
          <w:color w:val="auto"/>
          <w:szCs w:val="21"/>
          <w:highlight w:val="none"/>
          <w:lang w:val="en-US" w:eastAsia="zh-CN"/>
        </w:rPr>
        <w:t>第四章采购</w:t>
      </w:r>
      <w:r>
        <w:rPr>
          <w:rFonts w:hint="eastAsia"/>
          <w:color w:val="auto"/>
          <w:szCs w:val="21"/>
          <w:highlight w:val="none"/>
        </w:rPr>
        <w:t>内容及要求</w:t>
      </w:r>
      <w:r>
        <w:rPr>
          <w:rFonts w:hint="eastAsia"/>
          <w:color w:val="auto"/>
          <w:szCs w:val="21"/>
          <w:highlight w:val="none"/>
          <w:lang w:val="en-US" w:eastAsia="zh-CN"/>
        </w:rPr>
        <w:t>中商务要求逐条响应</w:t>
      </w:r>
      <w:r>
        <w:rPr>
          <w:rFonts w:hint="eastAsia"/>
          <w:color w:val="auto"/>
          <w:szCs w:val="21"/>
          <w:highlight w:val="none"/>
        </w:rPr>
        <w:t>，</w:t>
      </w:r>
      <w:r>
        <w:rPr>
          <w:rFonts w:hint="eastAsia"/>
          <w:color w:val="auto"/>
          <w:szCs w:val="21"/>
          <w:highlight w:val="none"/>
          <w:lang w:val="en-US" w:eastAsia="zh-CN"/>
        </w:rPr>
        <w:t>偏离情况应该实际情况说明：</w:t>
      </w:r>
      <w:r>
        <w:rPr>
          <w:rFonts w:hint="eastAsia"/>
          <w:b/>
          <w:bCs/>
          <w:color w:val="auto"/>
          <w:szCs w:val="21"/>
          <w:highlight w:val="none"/>
        </w:rPr>
        <w:t>正偏离或无偏离</w:t>
      </w:r>
      <w:r>
        <w:rPr>
          <w:rFonts w:hint="eastAsia"/>
          <w:b/>
          <w:bCs/>
          <w:color w:val="auto"/>
          <w:szCs w:val="21"/>
          <w:highlight w:val="none"/>
          <w:lang w:eastAsia="zh-CN"/>
        </w:rPr>
        <w:t>，</w:t>
      </w:r>
      <w:r>
        <w:rPr>
          <w:rFonts w:hint="eastAsia"/>
          <w:b/>
          <w:bCs/>
          <w:color w:val="auto"/>
          <w:szCs w:val="21"/>
          <w:highlight w:val="none"/>
        </w:rPr>
        <w:t>商务偏离不得出现负偏离</w:t>
      </w:r>
      <w:r>
        <w:rPr>
          <w:rFonts w:hint="eastAsia"/>
          <w:color w:val="auto"/>
          <w:szCs w:val="21"/>
          <w:highlight w:val="none"/>
        </w:rPr>
        <w:t>，否则按无效文件处理。</w:t>
      </w:r>
    </w:p>
    <w:p w14:paraId="338DA7AF">
      <w:pPr>
        <w:spacing w:line="440" w:lineRule="exact"/>
        <w:ind w:firstLine="420" w:firstLineChars="200"/>
        <w:rPr>
          <w:rFonts w:hint="eastAsia"/>
          <w:color w:val="auto"/>
          <w:szCs w:val="21"/>
          <w:highlight w:val="none"/>
        </w:rPr>
      </w:pPr>
      <w:r>
        <w:rPr>
          <w:rFonts w:hint="eastAsia"/>
          <w:color w:val="auto"/>
          <w:szCs w:val="21"/>
          <w:highlight w:val="none"/>
          <w:lang w:val="en-US" w:eastAsia="zh-CN"/>
        </w:rPr>
        <w:t>2、</w:t>
      </w:r>
      <w:r>
        <w:rPr>
          <w:rFonts w:hint="eastAsia"/>
          <w:color w:val="auto"/>
          <w:szCs w:val="21"/>
          <w:highlight w:val="none"/>
        </w:rPr>
        <w:t>投标人必须据实填写，不得虚假响应，否则将取消其投标或中标资格，并按有关规定进行处罚。</w:t>
      </w:r>
    </w:p>
    <w:p w14:paraId="0B29AD88">
      <w:pPr>
        <w:numPr>
          <w:ilvl w:val="0"/>
          <w:numId w:val="0"/>
        </w:numPr>
        <w:spacing w:line="440" w:lineRule="exact"/>
        <w:rPr>
          <w:rFonts w:hint="eastAsia"/>
          <w:szCs w:val="21"/>
          <w:highlight w:val="none"/>
        </w:rPr>
      </w:pPr>
    </w:p>
    <w:p w14:paraId="72B44526">
      <w:pPr>
        <w:numPr>
          <w:ilvl w:val="0"/>
          <w:numId w:val="0"/>
        </w:numPr>
        <w:spacing w:line="440" w:lineRule="exact"/>
        <w:rPr>
          <w:rFonts w:hint="eastAsia"/>
          <w:szCs w:val="21"/>
          <w:highlight w:val="none"/>
        </w:rPr>
      </w:pPr>
    </w:p>
    <w:p w14:paraId="2CC43C59">
      <w:pPr>
        <w:pStyle w:val="80"/>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2D803CE2">
      <w:pPr>
        <w:pStyle w:val="80"/>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49A112A2">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64EB8F50">
      <w:pPr>
        <w:spacing w:line="440" w:lineRule="exact"/>
        <w:rPr>
          <w:rFonts w:hint="eastAsia"/>
          <w:szCs w:val="21"/>
          <w:highlight w:val="none"/>
        </w:rPr>
      </w:pPr>
    </w:p>
    <w:p w14:paraId="124FAF49">
      <w:pPr>
        <w:spacing w:line="440" w:lineRule="exact"/>
        <w:rPr>
          <w:rFonts w:hint="eastAsia"/>
          <w:szCs w:val="21"/>
          <w:highlight w:val="none"/>
        </w:rPr>
      </w:pPr>
    </w:p>
    <w:p w14:paraId="29FC8950">
      <w:pPr>
        <w:spacing w:line="440" w:lineRule="exact"/>
        <w:rPr>
          <w:rFonts w:hint="eastAsia"/>
          <w:szCs w:val="21"/>
          <w:highlight w:val="none"/>
        </w:rPr>
      </w:pPr>
    </w:p>
    <w:p w14:paraId="2D6ACED3">
      <w:pPr>
        <w:spacing w:line="440" w:lineRule="exact"/>
        <w:rPr>
          <w:rFonts w:hint="eastAsia"/>
          <w:szCs w:val="21"/>
          <w:highlight w:val="none"/>
        </w:rPr>
      </w:pPr>
    </w:p>
    <w:p w14:paraId="58A51FFB">
      <w:pPr>
        <w:spacing w:line="440" w:lineRule="exact"/>
        <w:rPr>
          <w:rFonts w:hint="eastAsia"/>
          <w:szCs w:val="21"/>
          <w:highlight w:val="none"/>
        </w:rPr>
      </w:pPr>
    </w:p>
    <w:p w14:paraId="48FF8966">
      <w:pPr>
        <w:spacing w:line="440" w:lineRule="exact"/>
        <w:rPr>
          <w:rFonts w:hint="eastAsia"/>
          <w:szCs w:val="21"/>
          <w:highlight w:val="none"/>
        </w:rPr>
      </w:pPr>
    </w:p>
    <w:p w14:paraId="40F09EBF">
      <w:pPr>
        <w:pStyle w:val="38"/>
        <w:rPr>
          <w:rFonts w:hint="eastAsia"/>
        </w:rPr>
      </w:pPr>
    </w:p>
    <w:p w14:paraId="1161A23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bookmarkStart w:id="25" w:name="_Toc4043"/>
      <w:bookmarkStart w:id="26" w:name="_Toc3536"/>
      <w:bookmarkStart w:id="27" w:name="_Toc193187111"/>
      <w:bookmarkStart w:id="28" w:name="_Toc194663942"/>
      <w:bookmarkStart w:id="29" w:name="_Toc193126905"/>
      <w:bookmarkStart w:id="30" w:name="_Toc188808855"/>
      <w:bookmarkStart w:id="31" w:name="_Toc188808842"/>
      <w:bookmarkStart w:id="32" w:name="_Toc193126891"/>
    </w:p>
    <w:p w14:paraId="4625CB6A">
      <w:pPr>
        <w:pStyle w:val="15"/>
        <w:rPr>
          <w:rFonts w:hint="eastAsia"/>
          <w:lang w:val="en-US" w:eastAsia="zh-CN"/>
        </w:rPr>
      </w:pPr>
    </w:p>
    <w:p w14:paraId="3859F05E">
      <w:pPr>
        <w:rPr>
          <w:rFonts w:hint="eastAsia"/>
          <w:lang w:val="en-US" w:eastAsia="zh-CN"/>
        </w:rPr>
      </w:pPr>
    </w:p>
    <w:p w14:paraId="29556EAC">
      <w:pPr>
        <w:rPr>
          <w:rFonts w:hint="eastAsia"/>
          <w:lang w:val="en-US" w:eastAsia="zh-CN"/>
        </w:rPr>
      </w:pPr>
    </w:p>
    <w:p w14:paraId="083F33A2">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r>
        <w:rPr>
          <w:rFonts w:hint="eastAsia" w:ascii="宋体" w:hAnsi="宋体" w:cs="宋体"/>
          <w:b/>
          <w:bCs/>
          <w:color w:val="000000"/>
          <w:sz w:val="36"/>
          <w:szCs w:val="36"/>
          <w:highlight w:val="none"/>
          <w:lang w:val="en-US" w:eastAsia="zh-CN"/>
        </w:rPr>
        <w:t>产品技术参数</w:t>
      </w:r>
      <w:r>
        <w:rPr>
          <w:rFonts w:hint="eastAsia"/>
          <w:b/>
          <w:bCs/>
          <w:sz w:val="36"/>
          <w:szCs w:val="36"/>
          <w:highlight w:val="none"/>
          <w:lang w:val="en-US" w:eastAsia="zh-CN"/>
        </w:rPr>
        <w:t>偏离表</w:t>
      </w:r>
    </w:p>
    <w:p w14:paraId="7F71B090">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41"/>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4D4B9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14:paraId="54DDB639">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vAlign w:val="center"/>
          </w:tcPr>
          <w:p w14:paraId="37D0EB1C">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招标文件</w:t>
            </w:r>
            <w:r>
              <w:rPr>
                <w:rFonts w:hint="eastAsia" w:ascii="新宋体" w:hAnsi="新宋体" w:cs="新宋体"/>
                <w:b/>
                <w:color w:val="auto"/>
                <w:sz w:val="21"/>
                <w:szCs w:val="21"/>
                <w:highlight w:val="none"/>
                <w:lang w:val="en-US" w:eastAsia="zh-CN"/>
              </w:rPr>
              <w:t>技术参数</w:t>
            </w:r>
            <w:r>
              <w:rPr>
                <w:rFonts w:hint="eastAsia" w:ascii="新宋体" w:hAnsi="新宋体" w:cs="新宋体"/>
                <w:b/>
                <w:color w:val="auto"/>
                <w:sz w:val="21"/>
                <w:szCs w:val="21"/>
                <w:highlight w:val="none"/>
              </w:rPr>
              <w:t>要求</w:t>
            </w:r>
          </w:p>
        </w:tc>
        <w:tc>
          <w:tcPr>
            <w:tcW w:w="2625" w:type="dxa"/>
            <w:tcBorders>
              <w:tl2br w:val="nil"/>
              <w:tr2bl w:val="nil"/>
            </w:tcBorders>
            <w:vAlign w:val="center"/>
          </w:tcPr>
          <w:p w14:paraId="54432E6E">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投标文件</w:t>
            </w:r>
            <w:r>
              <w:rPr>
                <w:rFonts w:hint="eastAsia" w:ascii="新宋体" w:hAnsi="新宋体" w:cs="新宋体"/>
                <w:b/>
                <w:color w:val="auto"/>
                <w:sz w:val="21"/>
                <w:szCs w:val="21"/>
                <w:highlight w:val="none"/>
                <w:lang w:val="en-US" w:eastAsia="zh-CN"/>
              </w:rPr>
              <w:t>技术参数</w:t>
            </w:r>
            <w:r>
              <w:rPr>
                <w:rFonts w:hint="eastAsia" w:ascii="新宋体" w:hAnsi="新宋体" w:cs="新宋体"/>
                <w:b/>
                <w:color w:val="auto"/>
                <w:sz w:val="21"/>
                <w:szCs w:val="21"/>
                <w:highlight w:val="none"/>
              </w:rPr>
              <w:t>响应</w:t>
            </w:r>
          </w:p>
        </w:tc>
        <w:tc>
          <w:tcPr>
            <w:tcW w:w="1590" w:type="dxa"/>
            <w:tcBorders>
              <w:tl2br w:val="nil"/>
              <w:tr2bl w:val="nil"/>
            </w:tcBorders>
            <w:vAlign w:val="center"/>
          </w:tcPr>
          <w:p w14:paraId="625642D4">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vAlign w:val="center"/>
          </w:tcPr>
          <w:p w14:paraId="1134A209">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37A8F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BB90D97">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792971E1">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41B2DF71">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26923B20">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3CD96E49">
            <w:pPr>
              <w:spacing w:line="560" w:lineRule="exact"/>
              <w:rPr>
                <w:rFonts w:hint="eastAsia" w:ascii="宋体" w:hAnsi="宋体"/>
                <w:b/>
                <w:bCs/>
                <w:position w:val="4"/>
                <w:sz w:val="32"/>
                <w:szCs w:val="32"/>
                <w:highlight w:val="none"/>
                <w:vertAlign w:val="baseline"/>
              </w:rPr>
            </w:pPr>
          </w:p>
        </w:tc>
      </w:tr>
      <w:tr w14:paraId="3921F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35FEF592">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11230B1E">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060150A">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096C2512">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43DBE31D">
            <w:pPr>
              <w:spacing w:line="560" w:lineRule="exact"/>
              <w:rPr>
                <w:rFonts w:hint="eastAsia" w:ascii="宋体" w:hAnsi="宋体"/>
                <w:b/>
                <w:bCs/>
                <w:position w:val="4"/>
                <w:sz w:val="32"/>
                <w:szCs w:val="32"/>
                <w:highlight w:val="none"/>
                <w:vertAlign w:val="baseline"/>
              </w:rPr>
            </w:pPr>
          </w:p>
        </w:tc>
      </w:tr>
      <w:tr w14:paraId="36BD8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AF82A9B">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5D0BD44">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72DE575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51A2BCB6">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03576926">
            <w:pPr>
              <w:spacing w:line="560" w:lineRule="exact"/>
              <w:rPr>
                <w:rFonts w:hint="eastAsia" w:ascii="宋体" w:hAnsi="宋体"/>
                <w:b/>
                <w:bCs/>
                <w:position w:val="4"/>
                <w:sz w:val="32"/>
                <w:szCs w:val="32"/>
                <w:highlight w:val="none"/>
                <w:vertAlign w:val="baseline"/>
              </w:rPr>
            </w:pPr>
          </w:p>
        </w:tc>
      </w:tr>
      <w:tr w14:paraId="44E07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772AD572">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2046163F">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79602D27">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47B4CAC3">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448EA87">
            <w:pPr>
              <w:spacing w:line="560" w:lineRule="exact"/>
              <w:rPr>
                <w:rFonts w:hint="eastAsia" w:ascii="宋体" w:hAnsi="宋体"/>
                <w:b/>
                <w:bCs/>
                <w:position w:val="4"/>
                <w:sz w:val="32"/>
                <w:szCs w:val="32"/>
                <w:highlight w:val="none"/>
                <w:vertAlign w:val="baseline"/>
              </w:rPr>
            </w:pPr>
          </w:p>
        </w:tc>
      </w:tr>
      <w:tr w14:paraId="2C12C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30F8C258">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21EF240F">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74533E9C">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5D28C4DD">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32C7DC3A">
            <w:pPr>
              <w:spacing w:line="560" w:lineRule="exact"/>
              <w:rPr>
                <w:rFonts w:hint="eastAsia" w:ascii="宋体" w:hAnsi="宋体"/>
                <w:b/>
                <w:bCs/>
                <w:position w:val="4"/>
                <w:sz w:val="32"/>
                <w:szCs w:val="32"/>
                <w:highlight w:val="none"/>
                <w:vertAlign w:val="baseline"/>
              </w:rPr>
            </w:pPr>
          </w:p>
        </w:tc>
      </w:tr>
      <w:tr w14:paraId="41619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72A718C9">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33FA78E">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E43F6D2">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21B11B62">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4FF1DC69">
            <w:pPr>
              <w:spacing w:line="560" w:lineRule="exact"/>
              <w:rPr>
                <w:rFonts w:hint="eastAsia" w:ascii="宋体" w:hAnsi="宋体"/>
                <w:b/>
                <w:bCs/>
                <w:position w:val="4"/>
                <w:sz w:val="32"/>
                <w:szCs w:val="32"/>
                <w:highlight w:val="none"/>
                <w:vertAlign w:val="baseline"/>
              </w:rPr>
            </w:pPr>
          </w:p>
        </w:tc>
      </w:tr>
    </w:tbl>
    <w:p w14:paraId="2378E373">
      <w:pPr>
        <w:spacing w:line="440" w:lineRule="exact"/>
        <w:rPr>
          <w:rFonts w:hint="eastAsia"/>
          <w:color w:val="auto"/>
          <w:szCs w:val="21"/>
          <w:highlight w:val="none"/>
        </w:rPr>
      </w:pPr>
      <w:r>
        <w:rPr>
          <w:rFonts w:hint="eastAsia"/>
          <w:color w:val="auto"/>
          <w:szCs w:val="21"/>
          <w:highlight w:val="none"/>
        </w:rPr>
        <w:t>注：</w:t>
      </w:r>
      <w:r>
        <w:rPr>
          <w:rFonts w:hint="eastAsia"/>
          <w:color w:val="auto"/>
          <w:szCs w:val="21"/>
          <w:highlight w:val="none"/>
          <w:lang w:val="en-US" w:eastAsia="zh-CN"/>
        </w:rPr>
        <w:t>1、</w:t>
      </w:r>
      <w:r>
        <w:rPr>
          <w:rFonts w:hint="eastAsia"/>
          <w:color w:val="auto"/>
          <w:szCs w:val="21"/>
          <w:highlight w:val="none"/>
        </w:rPr>
        <w:t>须按招标文件要求的格式填写“技术偏离表”，提供逐条对应招标文件要求响应的详细且明确的技术参数及要求为评标依据，</w:t>
      </w:r>
      <w:r>
        <w:rPr>
          <w:rFonts w:hint="eastAsia"/>
          <w:color w:val="auto"/>
          <w:szCs w:val="21"/>
          <w:highlight w:val="none"/>
          <w:lang w:val="en-US" w:eastAsia="zh-CN"/>
        </w:rPr>
        <w:t>不得缺项漏项，否则按无效文件处理</w:t>
      </w:r>
      <w:r>
        <w:rPr>
          <w:rFonts w:hint="eastAsia"/>
          <w:color w:val="auto"/>
          <w:szCs w:val="21"/>
          <w:highlight w:val="none"/>
        </w:rPr>
        <w:t>。</w:t>
      </w:r>
    </w:p>
    <w:p w14:paraId="63D35343">
      <w:pPr>
        <w:numPr>
          <w:ilvl w:val="0"/>
          <w:numId w:val="0"/>
        </w:numPr>
        <w:spacing w:line="440" w:lineRule="exact"/>
        <w:ind w:firstLine="420" w:firstLineChars="200"/>
        <w:rPr>
          <w:rFonts w:hint="eastAsia"/>
          <w:szCs w:val="21"/>
          <w:highlight w:val="none"/>
        </w:rPr>
      </w:pPr>
      <w:r>
        <w:rPr>
          <w:rFonts w:hint="eastAsia"/>
          <w:szCs w:val="21"/>
          <w:highlight w:val="none"/>
          <w:lang w:val="en-US" w:eastAsia="zh-CN"/>
        </w:rPr>
        <w:t>2、</w:t>
      </w:r>
      <w:r>
        <w:rPr>
          <w:rFonts w:hint="eastAsia"/>
          <w:szCs w:val="21"/>
          <w:highlight w:val="none"/>
        </w:rPr>
        <w:t>投标人必须据实填写，不得虚假响应，否则将取消其投标或中标资格，并按有关规定进行处罚。</w:t>
      </w:r>
    </w:p>
    <w:p w14:paraId="45C2D8EA">
      <w:pPr>
        <w:numPr>
          <w:ilvl w:val="0"/>
          <w:numId w:val="0"/>
        </w:numPr>
        <w:spacing w:line="440" w:lineRule="exact"/>
        <w:rPr>
          <w:rFonts w:hint="eastAsia"/>
          <w:szCs w:val="21"/>
          <w:highlight w:val="none"/>
        </w:rPr>
      </w:pPr>
    </w:p>
    <w:p w14:paraId="6CEC16CF">
      <w:pPr>
        <w:numPr>
          <w:ilvl w:val="0"/>
          <w:numId w:val="0"/>
        </w:numPr>
        <w:spacing w:line="440" w:lineRule="exact"/>
        <w:rPr>
          <w:rFonts w:hint="eastAsia"/>
          <w:szCs w:val="21"/>
          <w:highlight w:val="none"/>
        </w:rPr>
      </w:pPr>
    </w:p>
    <w:p w14:paraId="3E9DE211">
      <w:pPr>
        <w:pStyle w:val="80"/>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5AFDE1F5">
      <w:pPr>
        <w:pStyle w:val="80"/>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27D99447">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1F9EF5D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0F841F4A">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1DEB87B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33E7FB49">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A777C3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7AAA966F">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CF2FFAF">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745E5E6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0161A360">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433CF259">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6E5C001">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2CBD860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C55AF56">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p>
    <w:p w14:paraId="56D900C7">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1727BC7">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p>
    <w:p w14:paraId="25D3D84A">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highlight w:val="none"/>
        </w:rPr>
      </w:pPr>
      <w:r>
        <w:rPr>
          <w:rFonts w:hint="eastAsia"/>
          <w:b/>
          <w:bCs/>
          <w:sz w:val="36"/>
          <w:szCs w:val="36"/>
          <w:highlight w:val="none"/>
          <w:lang w:val="en-US" w:eastAsia="zh-CN"/>
        </w:rPr>
        <w:t>五</w:t>
      </w:r>
      <w:r>
        <w:rPr>
          <w:rFonts w:hint="eastAsia"/>
          <w:b/>
          <w:bCs/>
          <w:sz w:val="36"/>
          <w:szCs w:val="36"/>
          <w:highlight w:val="none"/>
        </w:rPr>
        <w:t>、投标人认为有必要补充说明的事宜</w:t>
      </w:r>
      <w:bookmarkEnd w:id="25"/>
      <w:bookmarkEnd w:id="26"/>
    </w:p>
    <w:p w14:paraId="6CB9EE51">
      <w:pPr>
        <w:rPr>
          <w:rFonts w:hint="eastAsia"/>
          <w:color w:val="auto"/>
          <w:highlight w:val="none"/>
        </w:rPr>
      </w:pPr>
    </w:p>
    <w:p w14:paraId="2F31E1C2">
      <w:pPr>
        <w:rPr>
          <w:rFonts w:hint="eastAsia"/>
          <w:color w:val="auto"/>
          <w:highlight w:val="none"/>
        </w:rPr>
      </w:pPr>
    </w:p>
    <w:p w14:paraId="16E2319B">
      <w:pPr>
        <w:rPr>
          <w:rFonts w:hint="eastAsia"/>
          <w:color w:val="auto"/>
          <w:highlight w:val="none"/>
        </w:rPr>
      </w:pPr>
    </w:p>
    <w:p w14:paraId="522869BC">
      <w:pPr>
        <w:rPr>
          <w:rFonts w:hint="eastAsia"/>
          <w:color w:val="auto"/>
          <w:highlight w:val="none"/>
        </w:rPr>
      </w:pPr>
    </w:p>
    <w:p w14:paraId="46CDDE7E">
      <w:pPr>
        <w:rPr>
          <w:rFonts w:hint="eastAsia"/>
          <w:color w:val="auto"/>
          <w:highlight w:val="none"/>
        </w:rPr>
      </w:pPr>
    </w:p>
    <w:p w14:paraId="1626487C">
      <w:pPr>
        <w:rPr>
          <w:rFonts w:hint="eastAsia"/>
          <w:color w:val="auto"/>
          <w:highlight w:val="none"/>
        </w:rPr>
      </w:pPr>
    </w:p>
    <w:p w14:paraId="2D623824">
      <w:pPr>
        <w:rPr>
          <w:rFonts w:hint="eastAsia"/>
          <w:color w:val="auto"/>
          <w:highlight w:val="none"/>
        </w:rPr>
      </w:pPr>
    </w:p>
    <w:p w14:paraId="1CC97A3F">
      <w:pPr>
        <w:rPr>
          <w:rFonts w:hint="eastAsia"/>
          <w:color w:val="auto"/>
          <w:highlight w:val="none"/>
        </w:rPr>
      </w:pPr>
    </w:p>
    <w:p w14:paraId="076B7847">
      <w:pPr>
        <w:rPr>
          <w:rFonts w:hint="eastAsia"/>
          <w:color w:val="auto"/>
          <w:highlight w:val="none"/>
        </w:rPr>
      </w:pPr>
    </w:p>
    <w:p w14:paraId="4E784812">
      <w:pPr>
        <w:rPr>
          <w:rFonts w:hint="eastAsia"/>
          <w:color w:val="auto"/>
          <w:highlight w:val="none"/>
        </w:rPr>
      </w:pPr>
    </w:p>
    <w:p w14:paraId="36CA7AFD">
      <w:pPr>
        <w:rPr>
          <w:rFonts w:hint="eastAsia"/>
          <w:color w:val="auto"/>
          <w:highlight w:val="none"/>
        </w:rPr>
      </w:pPr>
    </w:p>
    <w:p w14:paraId="0836EA3A">
      <w:pPr>
        <w:rPr>
          <w:rFonts w:hint="eastAsia"/>
          <w:color w:val="auto"/>
          <w:highlight w:val="none"/>
        </w:rPr>
      </w:pPr>
    </w:p>
    <w:p w14:paraId="196DC7A2">
      <w:pPr>
        <w:rPr>
          <w:rFonts w:hint="eastAsia"/>
          <w:color w:val="auto"/>
          <w:highlight w:val="none"/>
        </w:rPr>
      </w:pPr>
    </w:p>
    <w:p w14:paraId="16CA9FFD">
      <w:pPr>
        <w:rPr>
          <w:rFonts w:hint="eastAsia"/>
          <w:color w:val="auto"/>
          <w:highlight w:val="none"/>
        </w:rPr>
      </w:pPr>
    </w:p>
    <w:p w14:paraId="496111B3">
      <w:pPr>
        <w:rPr>
          <w:rFonts w:hint="eastAsia"/>
          <w:color w:val="auto"/>
          <w:highlight w:val="none"/>
        </w:rPr>
      </w:pPr>
    </w:p>
    <w:p w14:paraId="3CBA326D">
      <w:pPr>
        <w:rPr>
          <w:rFonts w:hint="eastAsia"/>
          <w:color w:val="auto"/>
          <w:highlight w:val="none"/>
        </w:rPr>
      </w:pPr>
    </w:p>
    <w:p w14:paraId="618A5690">
      <w:pPr>
        <w:rPr>
          <w:rFonts w:hint="eastAsia"/>
          <w:color w:val="auto"/>
          <w:highlight w:val="none"/>
        </w:rPr>
      </w:pPr>
    </w:p>
    <w:p w14:paraId="6503D667">
      <w:pPr>
        <w:rPr>
          <w:rFonts w:hint="eastAsia"/>
          <w:color w:val="auto"/>
          <w:highlight w:val="none"/>
        </w:rPr>
      </w:pPr>
    </w:p>
    <w:p w14:paraId="43BEEA06">
      <w:pPr>
        <w:rPr>
          <w:rFonts w:hint="eastAsia"/>
          <w:color w:val="auto"/>
          <w:highlight w:val="none"/>
        </w:rPr>
      </w:pPr>
    </w:p>
    <w:p w14:paraId="12F6B3A5">
      <w:pPr>
        <w:rPr>
          <w:rFonts w:hint="eastAsia"/>
          <w:color w:val="auto"/>
          <w:highlight w:val="none"/>
        </w:rPr>
      </w:pPr>
    </w:p>
    <w:p w14:paraId="4D1E6A4B">
      <w:pPr>
        <w:rPr>
          <w:rFonts w:hint="eastAsia"/>
          <w:color w:val="auto"/>
          <w:highlight w:val="none"/>
        </w:rPr>
      </w:pPr>
    </w:p>
    <w:p w14:paraId="264D60B7">
      <w:pPr>
        <w:rPr>
          <w:rFonts w:hint="eastAsia"/>
          <w:color w:val="auto"/>
          <w:highlight w:val="none"/>
        </w:rPr>
      </w:pPr>
    </w:p>
    <w:p w14:paraId="5E698732">
      <w:pPr>
        <w:rPr>
          <w:rFonts w:hint="eastAsia"/>
          <w:color w:val="auto"/>
          <w:highlight w:val="none"/>
        </w:rPr>
      </w:pPr>
    </w:p>
    <w:p w14:paraId="77AE99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6"/>
          <w:szCs w:val="36"/>
          <w:highlight w:val="none"/>
          <w:lang w:val="en-US" w:eastAsia="zh-CN"/>
        </w:rPr>
      </w:pPr>
      <w:bookmarkStart w:id="33" w:name="_Toc22572"/>
      <w:bookmarkStart w:id="34" w:name="_Toc27"/>
    </w:p>
    <w:p w14:paraId="5BE249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bCs/>
          <w:sz w:val="36"/>
          <w:szCs w:val="36"/>
          <w:highlight w:val="none"/>
          <w:lang w:val="en-US" w:eastAsia="zh-CN"/>
        </w:rPr>
      </w:pPr>
    </w:p>
    <w:p w14:paraId="387D1B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bCs/>
          <w:sz w:val="36"/>
          <w:szCs w:val="36"/>
          <w:highlight w:val="none"/>
          <w:lang w:val="en-US" w:eastAsia="zh-CN"/>
        </w:rPr>
      </w:pPr>
    </w:p>
    <w:p w14:paraId="694B14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bCs/>
          <w:sz w:val="36"/>
          <w:szCs w:val="36"/>
          <w:highlight w:val="none"/>
        </w:rPr>
      </w:pPr>
      <w:r>
        <w:rPr>
          <w:rFonts w:hint="eastAsia"/>
          <w:b/>
          <w:bCs/>
          <w:sz w:val="36"/>
          <w:szCs w:val="36"/>
          <w:highlight w:val="none"/>
          <w:lang w:val="en-US" w:eastAsia="zh-CN"/>
        </w:rPr>
        <w:t>六</w:t>
      </w:r>
      <w:r>
        <w:rPr>
          <w:rFonts w:hint="eastAsia"/>
          <w:b/>
          <w:bCs/>
          <w:sz w:val="36"/>
          <w:szCs w:val="36"/>
          <w:highlight w:val="none"/>
        </w:rPr>
        <w:t>、《拒绝政府采购领域商业贿赂承诺书》</w:t>
      </w:r>
      <w:bookmarkEnd w:id="27"/>
      <w:bookmarkEnd w:id="28"/>
      <w:bookmarkEnd w:id="29"/>
      <w:bookmarkEnd w:id="30"/>
      <w:bookmarkEnd w:id="33"/>
      <w:bookmarkEnd w:id="34"/>
    </w:p>
    <w:p w14:paraId="37267C36">
      <w:pPr>
        <w:widowControl/>
        <w:spacing w:line="480" w:lineRule="exact"/>
        <w:jc w:val="center"/>
        <w:rPr>
          <w:rFonts w:hint="default" w:ascii="Times New Roman" w:hAnsi="Times New Roman" w:eastAsia="宋体" w:cs="Times New Roman"/>
          <w:b/>
          <w:bCs/>
          <w:color w:val="auto"/>
          <w:sz w:val="21"/>
          <w:szCs w:val="21"/>
          <w:highlight w:val="none"/>
        </w:rPr>
      </w:pPr>
    </w:p>
    <w:bookmarkEnd w:id="31"/>
    <w:bookmarkEnd w:id="32"/>
    <w:p w14:paraId="1B57D33D">
      <w:pPr>
        <w:widowControl/>
        <w:spacing w:line="48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陕西省政府采购投标人拒绝政府采购领域商业贿赂承诺书</w:t>
      </w:r>
    </w:p>
    <w:p w14:paraId="5BA5BECD">
      <w:pPr>
        <w:widowControl/>
        <w:spacing w:line="240" w:lineRule="exact"/>
        <w:ind w:firstLine="420" w:firstLineChars="200"/>
        <w:jc w:val="left"/>
        <w:rPr>
          <w:rFonts w:hint="default" w:ascii="Times New Roman" w:hAnsi="Times New Roman" w:eastAsia="宋体" w:cs="Times New Roman"/>
          <w:color w:val="auto"/>
          <w:sz w:val="21"/>
          <w:szCs w:val="21"/>
          <w:highlight w:val="none"/>
        </w:rPr>
      </w:pPr>
    </w:p>
    <w:p w14:paraId="008B9570">
      <w:pPr>
        <w:widowControl/>
        <w:spacing w:line="440" w:lineRule="exac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为响应党中央、国务院关于治理政府采购领域商业贿赂行为的号召，我单位在此庄严承诺： </w:t>
      </w:r>
    </w:p>
    <w:p w14:paraId="68A19772">
      <w:pPr>
        <w:widowControl/>
        <w:spacing w:line="44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1、在参与政府采购活动中遵纪守法、诚信经营、公平竞标。 </w:t>
      </w:r>
    </w:p>
    <w:p w14:paraId="33496791">
      <w:pPr>
        <w:widowControl/>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2、不向采购人、采购代理机构和政府采购评审专家进行任何形式的商业贿赂以谋取交易机会。 </w:t>
      </w:r>
    </w:p>
    <w:p w14:paraId="0B878E6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3、不向政府采购代理机构和采购人提供虚假资质文件或采用虚假应标方式参与政府采购市场竞争并谋取中标、成交。</w:t>
      </w:r>
    </w:p>
    <w:p w14:paraId="73930222">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4、不采取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围标、陪标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等商业欺诈手段获得政府采购定单。 </w:t>
      </w:r>
    </w:p>
    <w:p w14:paraId="72DDAE2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5、不采取不正当手段抵毁、排挤其他投标人。 </w:t>
      </w:r>
    </w:p>
    <w:p w14:paraId="4FBC55B1">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6、不在提供商品和服务时</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偷梁换柱、以次充好</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损害采购人的合法权益。</w:t>
      </w:r>
    </w:p>
    <w:p w14:paraId="19C219CF">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7、不与采购人、采购代理机构政府采购评审专家或其它投标人恶意串通，进行质疑和投诉，维护政府采购市场秩序。 </w:t>
      </w:r>
    </w:p>
    <w:p w14:paraId="40BAE4FC">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8、尊重和接受政府采购监督管理部门的监督和政府采购代理机构招标要求，承担因违约行为给采购人造成的损失。 </w:t>
      </w:r>
    </w:p>
    <w:p w14:paraId="2236BE29">
      <w:pPr>
        <w:widowControl/>
        <w:spacing w:line="440" w:lineRule="exact"/>
        <w:ind w:firstLine="420" w:firstLineChars="20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9、不发生其他有悖于政府采购公开、公平、公正和诚信原则的行为。 </w:t>
      </w:r>
    </w:p>
    <w:p w14:paraId="1893A98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14:paraId="36232345">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承诺单位：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（盖章）</w:t>
      </w:r>
    </w:p>
    <w:p w14:paraId="06B169C8">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val="en-US" w:eastAsia="zh-CN"/>
        </w:rPr>
        <w:t xml:space="preserve">          </w:t>
      </w:r>
      <w:r>
        <w:rPr>
          <w:rFonts w:hint="eastAsia" w:ascii="新宋体" w:hAnsi="新宋体"/>
          <w:b w:val="0"/>
          <w:color w:val="auto"/>
          <w:sz w:val="21"/>
          <w:szCs w:val="21"/>
          <w:highlight w:val="none"/>
          <w:u w:val="none"/>
        </w:rPr>
        <w:t>（</w:t>
      </w:r>
      <w:r>
        <w:rPr>
          <w:rFonts w:hint="eastAsia" w:ascii="新宋体" w:hAnsi="新宋体"/>
          <w:b w:val="0"/>
          <w:color w:val="auto"/>
          <w:sz w:val="21"/>
          <w:szCs w:val="21"/>
          <w:highlight w:val="none"/>
          <w:u w:val="none"/>
          <w:lang w:eastAsia="zh-CN"/>
        </w:rPr>
        <w:t>盖章或签字</w:t>
      </w:r>
      <w:r>
        <w:rPr>
          <w:rFonts w:hint="eastAsia" w:ascii="新宋体" w:hAnsi="新宋体"/>
          <w:b w:val="0"/>
          <w:color w:val="auto"/>
          <w:sz w:val="21"/>
          <w:szCs w:val="21"/>
          <w:highlight w:val="none"/>
          <w:u w:val="none"/>
        </w:rPr>
        <w:t>）</w:t>
      </w:r>
    </w:p>
    <w:p w14:paraId="01402614">
      <w:pPr>
        <w:widowControl/>
        <w:spacing w:line="5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6161789C">
      <w:pPr>
        <w:widowControl/>
        <w:spacing w:line="520" w:lineRule="exac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    邮    编：</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0B567D11">
      <w:pPr>
        <w:widowControl/>
        <w:spacing w:line="52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w:t>
      </w:r>
    </w:p>
    <w:p w14:paraId="159CA282">
      <w:pPr>
        <w:widowControl/>
        <w:spacing w:line="440" w:lineRule="exact"/>
        <w:ind w:firstLine="420" w:firstLineChars="200"/>
        <w:rPr>
          <w:rFonts w:hint="eastAsia" w:ascii="新宋体" w:hAnsi="新宋体" w:cs="新宋体"/>
          <w:color w:val="auto"/>
          <w:sz w:val="28"/>
          <w:szCs w:val="28"/>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11D877D2">
      <w:pPr>
        <w:spacing w:line="340" w:lineRule="exact"/>
        <w:ind w:firstLine="5740" w:firstLineChars="2050"/>
        <w:rPr>
          <w:rFonts w:hint="eastAsia" w:ascii="新宋体" w:hAnsi="新宋体" w:cs="新宋体"/>
          <w:color w:val="auto"/>
          <w:sz w:val="28"/>
          <w:szCs w:val="28"/>
          <w:highlight w:val="none"/>
        </w:rPr>
      </w:pPr>
    </w:p>
    <w:p w14:paraId="0D56A909">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01547D88">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77648C5A">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53A9B5E0">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1B83EE5E">
      <w:pPr>
        <w:rPr>
          <w:rFonts w:hint="eastAsia" w:ascii="宋体" w:hAnsi="宋体" w:eastAsia="宋体" w:cs="宋体"/>
          <w:b/>
          <w:color w:val="auto"/>
          <w:sz w:val="21"/>
          <w:szCs w:val="21"/>
          <w:highlight w:val="none"/>
          <w:lang w:eastAsia="zh-CN"/>
        </w:rPr>
      </w:pPr>
    </w:p>
    <w:p w14:paraId="52C0DD1B">
      <w:pPr>
        <w:rPr>
          <w:rFonts w:hint="eastAsia" w:ascii="宋体" w:hAnsi="宋体" w:eastAsia="宋体" w:cs="宋体"/>
          <w:b/>
          <w:color w:val="auto"/>
          <w:sz w:val="21"/>
          <w:szCs w:val="21"/>
          <w:highlight w:val="none"/>
          <w:lang w:eastAsia="zh-CN"/>
        </w:rPr>
      </w:pPr>
    </w:p>
    <w:p w14:paraId="2E658F31">
      <w:pPr>
        <w:pStyle w:val="39"/>
        <w:rPr>
          <w:rFonts w:hint="eastAsia"/>
          <w:lang w:eastAsia="zh-CN"/>
        </w:rPr>
      </w:pPr>
    </w:p>
    <w:p w14:paraId="0AEC121E">
      <w:pPr>
        <w:pStyle w:val="15"/>
        <w:rPr>
          <w:rFonts w:hint="eastAsia"/>
          <w:lang w:eastAsia="zh-CN"/>
        </w:rPr>
      </w:pPr>
    </w:p>
    <w:p w14:paraId="5ECD8D30">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eastAsia="宋体" w:cs="宋体"/>
          <w:b/>
          <w:color w:val="auto"/>
          <w:sz w:val="21"/>
          <w:szCs w:val="21"/>
          <w:highlight w:val="none"/>
          <w:lang w:val="en-US" w:eastAsia="zh-CN"/>
        </w:rPr>
        <w:t>1：</w:t>
      </w:r>
    </w:p>
    <w:p w14:paraId="1E234E91">
      <w:pPr>
        <w:keepNext w:val="0"/>
        <w:keepLines w:val="0"/>
        <w:pageBreakBefore w:val="0"/>
        <w:widowControl w:val="0"/>
        <w:kinsoku/>
        <w:wordWrap/>
        <w:overflowPunct/>
        <w:topLinePunct w:val="0"/>
        <w:autoSpaceDE/>
        <w:autoSpaceDN/>
        <w:bidi w:val="0"/>
        <w:adjustRightInd/>
        <w:snapToGrid/>
        <w:spacing w:after="0" w:afterLines="50" w:line="440" w:lineRule="exact"/>
        <w:ind w:left="0" w:leftChars="0" w:right="0" w:rightChars="0" w:firstLine="0" w:firstLineChars="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法定代表人授权书</w:t>
      </w:r>
      <w:r>
        <w:rPr>
          <w:rFonts w:hint="eastAsia" w:ascii="宋体" w:hAnsi="宋体" w:eastAsia="宋体" w:cs="宋体"/>
          <w:b/>
          <w:color w:val="auto"/>
          <w:sz w:val="21"/>
          <w:szCs w:val="21"/>
          <w:highlight w:val="none"/>
          <w:lang w:eastAsia="zh-CN"/>
        </w:rPr>
        <w:t>（格式）</w:t>
      </w:r>
    </w:p>
    <w:p w14:paraId="64FD929E">
      <w:pPr>
        <w:spacing w:beforeLines="50" w:line="44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致：</w:t>
      </w:r>
      <w:r>
        <w:rPr>
          <w:rFonts w:hint="eastAsia" w:ascii="宋体" w:hAnsi="宋体" w:cs="宋体"/>
          <w:b/>
          <w:color w:val="auto"/>
          <w:sz w:val="21"/>
          <w:szCs w:val="21"/>
          <w:highlight w:val="none"/>
          <w:lang w:eastAsia="zh-CN"/>
        </w:rPr>
        <w:t>瑞恒项目管理有限公司</w:t>
      </w:r>
    </w:p>
    <w:p w14:paraId="22C2B06C">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本授权声明：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（投标人名称）按中华人民共和国法律于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日</w:t>
      </w:r>
      <w:r>
        <w:rPr>
          <w:rFonts w:hint="default" w:ascii="Times New Roman" w:hAnsi="Times New Roman" w:eastAsia="宋体" w:cs="Times New Roman"/>
          <w:color w:val="auto"/>
          <w:sz w:val="21"/>
          <w:szCs w:val="21"/>
          <w:highlight w:val="none"/>
        </w:rPr>
        <w:t>成立。</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（法定代表人姓名、职务）特授权</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（被授权人姓名、职务、）</w:t>
      </w:r>
      <w:r>
        <w:rPr>
          <w:szCs w:val="21"/>
        </w:rPr>
        <w:t>为我方</w:t>
      </w:r>
      <w:r>
        <w:rPr>
          <w:rFonts w:hint="eastAsia"/>
          <w:szCs w:val="21"/>
        </w:rPr>
        <w:t>“</w:t>
      </w:r>
      <w:r>
        <w:rPr>
          <w:szCs w:val="21"/>
          <w:u w:val="single"/>
        </w:rPr>
        <w:t xml:space="preserve">             </w:t>
      </w:r>
      <w:r>
        <w:rPr>
          <w:rFonts w:hint="eastAsia"/>
          <w:szCs w:val="21"/>
        </w:rPr>
        <w:t>”</w:t>
      </w:r>
      <w:r>
        <w:rPr>
          <w:szCs w:val="21"/>
        </w:rPr>
        <w:t>项目</w:t>
      </w:r>
      <w:r>
        <w:rPr>
          <w:szCs w:val="21"/>
          <w:highlight w:val="none"/>
        </w:rPr>
        <w:t>（采购项目编号：</w:t>
      </w:r>
      <w:r>
        <w:rPr>
          <w:rFonts w:hint="eastAsia"/>
          <w:szCs w:val="21"/>
          <w:highlight w:val="none"/>
          <w:u w:val="single"/>
        </w:rPr>
        <w:t xml:space="preserve">           </w:t>
      </w:r>
      <w:r>
        <w:rPr>
          <w:szCs w:val="21"/>
          <w:highlight w:val="none"/>
        </w:rPr>
        <w:t>）</w:t>
      </w:r>
      <w:r>
        <w:rPr>
          <w:rFonts w:hint="default" w:ascii="Times New Roman" w:hAnsi="Times New Roman" w:eastAsia="宋体" w:cs="Times New Roman"/>
          <w:color w:val="auto"/>
          <w:sz w:val="21"/>
          <w:szCs w:val="21"/>
          <w:highlight w:val="none"/>
        </w:rPr>
        <w:t>投标活动的合法代表，以我方名义全权处理该项目有关投标、签订合同以及执行合同等一切事宜，本单位均予承认并负全部责任。</w:t>
      </w:r>
    </w:p>
    <w:p w14:paraId="6B9E86D7">
      <w:pPr>
        <w:spacing w:line="440" w:lineRule="exact"/>
        <w:ind w:firstLine="422" w:firstLineChars="200"/>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b/>
          <w:bCs w:val="0"/>
          <w:caps/>
          <w:color w:val="auto"/>
          <w:sz w:val="21"/>
          <w:szCs w:val="21"/>
          <w:highlight w:val="none"/>
        </w:rPr>
        <w:t>本授权有效期自</w:t>
      </w:r>
      <w:r>
        <w:rPr>
          <w:rFonts w:hint="eastAsia" w:ascii="宋体" w:hAnsi="宋体" w:cs="宋体"/>
          <w:b/>
          <w:bCs w:val="0"/>
          <w:caps/>
          <w:color w:val="auto"/>
          <w:sz w:val="21"/>
          <w:szCs w:val="21"/>
          <w:highlight w:val="none"/>
          <w:lang w:eastAsia="zh-CN"/>
        </w:rPr>
        <w:t>提交投标文件截止之日算起</w:t>
      </w:r>
      <w:r>
        <w:rPr>
          <w:rFonts w:hint="eastAsia" w:ascii="宋体" w:hAnsi="宋体" w:eastAsia="宋体" w:cs="宋体"/>
          <w:b/>
          <w:bCs w:val="0"/>
          <w:caps/>
          <w:color w:val="auto"/>
          <w:sz w:val="21"/>
          <w:szCs w:val="21"/>
          <w:highlight w:val="none"/>
        </w:rPr>
        <w:t>90</w:t>
      </w:r>
      <w:r>
        <w:rPr>
          <w:rFonts w:hint="eastAsia" w:ascii="宋体" w:hAnsi="宋体" w:eastAsia="宋体" w:cs="宋体"/>
          <w:b/>
          <w:bCs w:val="0"/>
          <w:caps/>
          <w:color w:val="auto"/>
          <w:sz w:val="21"/>
          <w:szCs w:val="21"/>
          <w:highlight w:val="none"/>
          <w:lang w:eastAsia="zh-CN"/>
        </w:rPr>
        <w:t>日历日</w:t>
      </w:r>
    </w:p>
    <w:p w14:paraId="503BB36E">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附：1、授权代表信息：</w:t>
      </w:r>
    </w:p>
    <w:p w14:paraId="3A3F0D60">
      <w:pPr>
        <w:spacing w:line="440" w:lineRule="exact"/>
        <w:ind w:firstLine="735" w:firstLineChars="3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授权代表姓名：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性别：</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年龄：</w:t>
      </w:r>
      <w:r>
        <w:rPr>
          <w:rFonts w:hint="default" w:ascii="Times New Roman" w:hAnsi="Times New Roman" w:eastAsia="宋体" w:cs="Times New Roman"/>
          <w:color w:val="auto"/>
          <w:sz w:val="21"/>
          <w:szCs w:val="21"/>
          <w:highlight w:val="none"/>
          <w:u w:val="single"/>
        </w:rPr>
        <w:t xml:space="preserve">      </w:t>
      </w:r>
    </w:p>
    <w:p w14:paraId="337F15E7">
      <w:pPr>
        <w:spacing w:line="440" w:lineRule="exact"/>
        <w:ind w:firstLine="555"/>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  身份证号码：</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职务：</w:t>
      </w:r>
      <w:r>
        <w:rPr>
          <w:rFonts w:hint="default" w:ascii="Times New Roman" w:hAnsi="Times New Roman" w:eastAsia="宋体" w:cs="Times New Roman"/>
          <w:color w:val="auto"/>
          <w:sz w:val="21"/>
          <w:szCs w:val="21"/>
          <w:highlight w:val="none"/>
          <w:u w:val="single"/>
        </w:rPr>
        <w:t xml:space="preserve">            </w:t>
      </w:r>
    </w:p>
    <w:p w14:paraId="067116BF">
      <w:pPr>
        <w:spacing w:line="440" w:lineRule="exact"/>
        <w:ind w:firstLine="55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通讯地址：</w:t>
      </w:r>
      <w:r>
        <w:rPr>
          <w:rFonts w:hint="default" w:ascii="Times New Roman" w:hAnsi="Times New Roman" w:eastAsia="宋体" w:cs="Times New Roman"/>
          <w:color w:val="auto"/>
          <w:sz w:val="21"/>
          <w:szCs w:val="21"/>
          <w:highlight w:val="none"/>
          <w:u w:val="single"/>
        </w:rPr>
        <w:t xml:space="preserve">                                    </w:t>
      </w:r>
    </w:p>
    <w:p w14:paraId="7D647CFC">
      <w:pPr>
        <w:spacing w:line="440" w:lineRule="exact"/>
        <w:ind w:firstLine="55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 xml:space="preserve">  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传真：</w:t>
      </w:r>
      <w:r>
        <w:rPr>
          <w:rFonts w:hint="default" w:ascii="Times New Roman" w:hAnsi="Times New Roman" w:eastAsia="宋体" w:cs="Times New Roman"/>
          <w:color w:val="auto"/>
          <w:sz w:val="21"/>
          <w:szCs w:val="21"/>
          <w:highlight w:val="none"/>
          <w:u w:val="single"/>
        </w:rPr>
        <w:t xml:space="preserve">      </w:t>
      </w:r>
    </w:p>
    <w:p w14:paraId="13FC42D4">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color w:val="auto"/>
          <w:sz w:val="21"/>
          <w:szCs w:val="21"/>
          <w:highlight w:val="none"/>
        </w:rPr>
        <w:t>2、法定代表人身份证复印件、授权代表身份证复印件（正反两面）</w:t>
      </w:r>
    </w:p>
    <w:tbl>
      <w:tblPr>
        <w:tblStyle w:val="40"/>
        <w:tblW w:w="93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14:paraId="062E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50" w:type="dxa"/>
            <w:tcBorders>
              <w:tl2br w:val="nil"/>
              <w:tr2bl w:val="nil"/>
            </w:tcBorders>
          </w:tcPr>
          <w:p w14:paraId="07190D53">
            <w:pPr>
              <w:spacing w:line="480" w:lineRule="exact"/>
              <w:rPr>
                <w:rFonts w:hint="eastAsia" w:ascii="宋体" w:hAnsi="宋体" w:eastAsia="宋体" w:cs="宋体"/>
                <w:color w:val="auto"/>
                <w:sz w:val="21"/>
                <w:szCs w:val="21"/>
                <w:highlight w:val="none"/>
              </w:rPr>
            </w:pPr>
          </w:p>
        </w:tc>
        <w:tc>
          <w:tcPr>
            <w:tcW w:w="4650" w:type="dxa"/>
            <w:tcBorders>
              <w:tl2br w:val="nil"/>
              <w:tr2bl w:val="nil"/>
            </w:tcBorders>
          </w:tcPr>
          <w:p w14:paraId="7829A58F">
            <w:pPr>
              <w:spacing w:line="480" w:lineRule="exact"/>
              <w:rPr>
                <w:rFonts w:hint="eastAsia" w:ascii="宋体" w:hAnsi="宋体" w:eastAsia="宋体" w:cs="宋体"/>
                <w:color w:val="auto"/>
                <w:sz w:val="21"/>
                <w:szCs w:val="21"/>
                <w:highlight w:val="none"/>
              </w:rPr>
            </w:pPr>
          </w:p>
        </w:tc>
      </w:tr>
      <w:tr w14:paraId="6E13D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650" w:type="dxa"/>
            <w:tcBorders>
              <w:tl2br w:val="nil"/>
              <w:tr2bl w:val="nil"/>
            </w:tcBorders>
          </w:tcPr>
          <w:p w14:paraId="2B9FAD9E">
            <w:pPr>
              <w:spacing w:line="480" w:lineRule="exact"/>
              <w:rPr>
                <w:rFonts w:hint="eastAsia" w:ascii="宋体" w:hAnsi="宋体" w:eastAsia="宋体" w:cs="宋体"/>
                <w:color w:val="auto"/>
                <w:sz w:val="21"/>
                <w:szCs w:val="21"/>
                <w:highlight w:val="none"/>
              </w:rPr>
            </w:pPr>
          </w:p>
        </w:tc>
        <w:tc>
          <w:tcPr>
            <w:tcW w:w="4650" w:type="dxa"/>
            <w:tcBorders>
              <w:tl2br w:val="nil"/>
              <w:tr2bl w:val="nil"/>
            </w:tcBorders>
          </w:tcPr>
          <w:p w14:paraId="498BFE78">
            <w:pPr>
              <w:spacing w:line="480" w:lineRule="exact"/>
              <w:rPr>
                <w:rFonts w:hint="eastAsia" w:ascii="宋体" w:hAnsi="宋体" w:eastAsia="宋体" w:cs="宋体"/>
                <w:color w:val="auto"/>
                <w:sz w:val="21"/>
                <w:szCs w:val="21"/>
                <w:highlight w:val="none"/>
              </w:rPr>
            </w:pPr>
          </w:p>
        </w:tc>
      </w:tr>
    </w:tbl>
    <w:p w14:paraId="56ED94F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51BC7875">
      <w:pPr>
        <w:keepNext w:val="0"/>
        <w:keepLines w:val="0"/>
        <w:pageBreakBefore w:val="0"/>
        <w:widowControl w:val="0"/>
        <w:kinsoku/>
        <w:wordWrap/>
        <w:overflowPunct/>
        <w:topLinePunct w:val="0"/>
        <w:autoSpaceDE/>
        <w:autoSpaceDN/>
        <w:bidi w:val="0"/>
        <w:adjustRightInd/>
        <w:snapToGrid w:val="0"/>
        <w:spacing w:line="360" w:lineRule="auto"/>
        <w:ind w:firstLine="4620" w:firstLineChars="2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p>
    <w:p w14:paraId="62A7B5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授权代表签字：</w:t>
      </w:r>
      <w:r>
        <w:rPr>
          <w:rFonts w:hint="eastAsia" w:ascii="宋体" w:hAnsi="宋体" w:eastAsia="宋体" w:cs="宋体"/>
          <w:color w:val="auto"/>
          <w:sz w:val="21"/>
          <w:szCs w:val="21"/>
          <w:highlight w:val="none"/>
          <w:u w:val="single"/>
        </w:rPr>
        <w:t xml:space="preserve">                 </w:t>
      </w:r>
    </w:p>
    <w:p w14:paraId="5FE3B1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B48BD5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FF0000"/>
          <w:sz w:val="21"/>
          <w:szCs w:val="21"/>
          <w:highlight w:val="none"/>
          <w:lang w:val="en-US" w:eastAsia="zh-CN"/>
        </w:rPr>
        <w:t>　　</w:t>
      </w:r>
      <w:r>
        <w:rPr>
          <w:rFonts w:hint="eastAsia" w:ascii="宋体" w:hAnsi="宋体" w:cs="宋体"/>
          <w:color w:val="000000"/>
          <w:sz w:val="21"/>
          <w:szCs w:val="21"/>
          <w:highlight w:val="none"/>
          <w:lang w:val="en-US" w:eastAsia="zh-CN"/>
        </w:rPr>
        <w:t>日      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33DCD140">
      <w:pPr>
        <w:spacing w:beforeLines="50" w:afterLines="50" w:line="480" w:lineRule="exact"/>
        <w:rPr>
          <w:rFonts w:hint="default" w:ascii="宋体" w:hAnsi="宋体" w:eastAsia="宋体" w:cs="宋体"/>
          <w:b/>
          <w:color w:val="auto"/>
          <w:sz w:val="21"/>
          <w:szCs w:val="21"/>
          <w:highlight w:val="none"/>
          <w:lang w:eastAsia="zh-CN"/>
        </w:rPr>
      </w:pPr>
    </w:p>
    <w:p w14:paraId="2195A95A">
      <w:pPr>
        <w:spacing w:beforeLines="50" w:afterLines="50" w:line="480" w:lineRule="exact"/>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val="en-US" w:eastAsia="zh-CN"/>
        </w:rPr>
        <w:t>2</w:t>
      </w:r>
      <w:r>
        <w:rPr>
          <w:rFonts w:hint="default" w:ascii="宋体" w:hAnsi="宋体" w:eastAsia="宋体" w:cs="宋体"/>
          <w:b/>
          <w:color w:val="auto"/>
          <w:sz w:val="21"/>
          <w:szCs w:val="21"/>
          <w:highlight w:val="none"/>
          <w:lang w:eastAsia="zh-CN"/>
        </w:rPr>
        <w:t>：</w:t>
      </w:r>
    </w:p>
    <w:p w14:paraId="54F58FF6">
      <w:pPr>
        <w:pStyle w:val="34"/>
        <w:keepNext w:val="0"/>
        <w:keepLines w:val="0"/>
        <w:pageBreakBefore w:val="0"/>
        <w:widowControl w:val="0"/>
        <w:kinsoku/>
        <w:wordWrap/>
        <w:overflowPunct/>
        <w:topLinePunct w:val="0"/>
        <w:autoSpaceDE/>
        <w:autoSpaceDN/>
        <w:bidi w:val="0"/>
        <w:adjustRightInd/>
        <w:snapToGrid w:val="0"/>
        <w:spacing w:after="240" w:afterLines="100" w:line="360" w:lineRule="auto"/>
        <w:jc w:val="center"/>
        <w:textAlignment w:val="auto"/>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关于信用担保的说明</w:t>
      </w:r>
    </w:p>
    <w:p w14:paraId="0BE42012">
      <w:pPr>
        <w:keepNext w:val="0"/>
        <w:keepLines w:val="0"/>
        <w:pageBreakBefore w:val="0"/>
        <w:kinsoku/>
        <w:wordWrap/>
        <w:overflowPunct/>
        <w:topLinePunct w:val="0"/>
        <w:autoSpaceDE/>
        <w:autoSpaceDN/>
        <w:bidi w:val="0"/>
        <w:adjustRightInd/>
        <w:snapToGrid w:val="0"/>
        <w:spacing w:line="360" w:lineRule="auto"/>
        <w:textAlignment w:val="auto"/>
        <w:rPr>
          <w:color w:val="auto"/>
          <w:szCs w:val="21"/>
          <w:highlight w:val="none"/>
        </w:rPr>
      </w:pPr>
      <w:r>
        <w:rPr>
          <w:rFonts w:hint="eastAsia"/>
          <w:color w:val="auto"/>
          <w:szCs w:val="21"/>
          <w:highlight w:val="none"/>
        </w:rPr>
        <w:t xml:space="preserve">    </w:t>
      </w:r>
      <w:r>
        <w:rPr>
          <w:color w:val="auto"/>
          <w:szCs w:val="21"/>
          <w:highlight w:val="none"/>
        </w:rPr>
        <w:t>1、</w:t>
      </w:r>
      <w:r>
        <w:rPr>
          <w:rFonts w:hint="eastAsia"/>
          <w:color w:val="auto"/>
          <w:szCs w:val="21"/>
          <w:highlight w:val="none"/>
          <w:lang w:val="en-US" w:eastAsia="zh-CN"/>
        </w:rPr>
        <w:t>投标人</w:t>
      </w:r>
      <w:r>
        <w:rPr>
          <w:color w:val="auto"/>
          <w:szCs w:val="21"/>
          <w:highlight w:val="none"/>
        </w:rPr>
        <w:t>在</w:t>
      </w:r>
      <w:r>
        <w:rPr>
          <w:rFonts w:hint="eastAsia"/>
          <w:color w:val="auto"/>
          <w:szCs w:val="21"/>
          <w:highlight w:val="none"/>
          <w:lang w:val="en-US" w:eastAsia="zh-CN"/>
        </w:rPr>
        <w:t>投标</w:t>
      </w:r>
      <w:r>
        <w:rPr>
          <w:color w:val="auto"/>
          <w:szCs w:val="21"/>
          <w:highlight w:val="none"/>
        </w:rPr>
        <w:t>、履约、融资等环节可自愿选择采取信用担保的形式。</w:t>
      </w:r>
    </w:p>
    <w:p w14:paraId="5B43367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szCs w:val="21"/>
          <w:highlight w:val="none"/>
        </w:rPr>
        <w:t>2、</w:t>
      </w:r>
      <w:r>
        <w:rPr>
          <w:rFonts w:hint="eastAsia"/>
          <w:color w:val="auto"/>
          <w:szCs w:val="21"/>
          <w:highlight w:val="none"/>
          <w:lang w:val="en-US" w:eastAsia="zh-CN"/>
        </w:rPr>
        <w:t>投标人</w:t>
      </w:r>
      <w:r>
        <w:rPr>
          <w:color w:val="auto"/>
          <w:szCs w:val="21"/>
          <w:highlight w:val="none"/>
        </w:rPr>
        <w:t>可以自愿选择是否采取</w:t>
      </w:r>
      <w:r>
        <w:rPr>
          <w:rFonts w:hint="eastAsia"/>
          <w:color w:val="auto"/>
          <w:szCs w:val="21"/>
          <w:highlight w:val="none"/>
          <w:lang w:val="en-US" w:eastAsia="zh-CN"/>
        </w:rPr>
        <w:t>投标</w:t>
      </w:r>
      <w:r>
        <w:rPr>
          <w:color w:val="auto"/>
          <w:szCs w:val="21"/>
          <w:highlight w:val="none"/>
        </w:rPr>
        <w:t>担保函的形式交纳</w:t>
      </w:r>
      <w:r>
        <w:rPr>
          <w:rFonts w:hint="eastAsia"/>
          <w:color w:val="auto"/>
          <w:szCs w:val="21"/>
          <w:highlight w:val="none"/>
          <w:lang w:val="en-US" w:eastAsia="zh-CN"/>
        </w:rPr>
        <w:t>投标</w:t>
      </w:r>
      <w:r>
        <w:rPr>
          <w:rFonts w:hint="eastAsia"/>
          <w:color w:val="auto"/>
          <w:szCs w:val="21"/>
          <w:highlight w:val="none"/>
          <w:lang w:eastAsia="zh-CN"/>
        </w:rPr>
        <w:t>保证金</w:t>
      </w:r>
      <w:r>
        <w:rPr>
          <w:color w:val="auto"/>
          <w:szCs w:val="21"/>
          <w:highlight w:val="none"/>
        </w:rPr>
        <w:t>，也可以自愿选择是否采取履约担保函的形式交纳履约保证金。</w:t>
      </w:r>
    </w:p>
    <w:p w14:paraId="071BAC4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lang w:eastAsia="zh-CN"/>
        </w:rPr>
      </w:pPr>
      <w:r>
        <w:rPr>
          <w:color w:val="auto"/>
          <w:szCs w:val="21"/>
          <w:highlight w:val="none"/>
        </w:rPr>
        <w:t>3、</w:t>
      </w:r>
      <w:r>
        <w:rPr>
          <w:rFonts w:hint="eastAsia"/>
          <w:color w:val="auto"/>
          <w:szCs w:val="21"/>
          <w:highlight w:val="none"/>
        </w:rPr>
        <w:t>根据中办、国办《关于促进中小企业健康发展的指导意见》、财政部、工信部《政府采购促进中小企业发展暂行办法》（财库〔2011〕181号）、陕西省政府《应对新冠肺炎疫情支持中小微企业稳定健康发展若干措施》（陕政办发〔2020〕4号）、陕西省财政厅《陕西省中小企业政府采购信用融资办法》（陕财办采〔2018〕23号）</w:t>
      </w:r>
      <w:r>
        <w:rPr>
          <w:rFonts w:hint="eastAsia"/>
          <w:color w:val="auto"/>
          <w:szCs w:val="21"/>
          <w:highlight w:val="none"/>
          <w:lang w:eastAsia="zh-CN"/>
        </w:rPr>
        <w:t>、《</w:t>
      </w:r>
      <w:r>
        <w:rPr>
          <w:rFonts w:hint="eastAsia"/>
          <w:color w:val="auto"/>
          <w:szCs w:val="21"/>
          <w:highlight w:val="none"/>
          <w:lang w:val="en-US" w:eastAsia="zh-CN"/>
        </w:rPr>
        <w:t>陕西省财政厅关于加快推进我省中小企业政府采购信仰融资工作的通知</w:t>
      </w:r>
      <w:r>
        <w:rPr>
          <w:rFonts w:hint="eastAsia"/>
          <w:color w:val="auto"/>
          <w:szCs w:val="21"/>
          <w:highlight w:val="none"/>
          <w:lang w:eastAsia="zh-CN"/>
        </w:rPr>
        <w:t>》</w:t>
      </w:r>
      <w:r>
        <w:rPr>
          <w:rFonts w:hint="eastAsia"/>
          <w:color w:val="auto"/>
          <w:szCs w:val="21"/>
          <w:highlight w:val="none"/>
        </w:rPr>
        <w:t>（陕</w:t>
      </w:r>
      <w:r>
        <w:rPr>
          <w:rFonts w:hint="eastAsia"/>
          <w:color w:val="auto"/>
          <w:szCs w:val="21"/>
          <w:highlight w:val="none"/>
          <w:lang w:val="en-US" w:eastAsia="zh-CN"/>
        </w:rPr>
        <w:t>财</w:t>
      </w:r>
      <w:r>
        <w:rPr>
          <w:rFonts w:hint="eastAsia"/>
          <w:color w:val="auto"/>
          <w:szCs w:val="21"/>
          <w:highlight w:val="none"/>
        </w:rPr>
        <w:t>办</w:t>
      </w:r>
      <w:r>
        <w:rPr>
          <w:rFonts w:hint="eastAsia"/>
          <w:color w:val="auto"/>
          <w:szCs w:val="21"/>
          <w:highlight w:val="none"/>
          <w:lang w:val="en-US" w:eastAsia="zh-CN"/>
        </w:rPr>
        <w:t>采</w:t>
      </w:r>
      <w:r>
        <w:rPr>
          <w:rFonts w:hint="eastAsia"/>
          <w:color w:val="auto"/>
          <w:szCs w:val="21"/>
          <w:highlight w:val="none"/>
        </w:rPr>
        <w:t>〔2020〕</w:t>
      </w:r>
      <w:r>
        <w:rPr>
          <w:rFonts w:hint="eastAsia"/>
          <w:color w:val="auto"/>
          <w:szCs w:val="21"/>
          <w:highlight w:val="none"/>
          <w:lang w:val="en-US" w:eastAsia="zh-CN"/>
        </w:rPr>
        <w:t>15</w:t>
      </w:r>
      <w:r>
        <w:rPr>
          <w:rFonts w:hint="eastAsia"/>
          <w:color w:val="auto"/>
          <w:szCs w:val="21"/>
          <w:highlight w:val="none"/>
        </w:rPr>
        <w:t>号）等有关规定，现对2021年至2022年陕西省政府采购支持中小企业信用融资合作银行予以公告</w:t>
      </w:r>
      <w:r>
        <w:rPr>
          <w:rFonts w:hint="eastAsia" w:ascii="宋体" w:hAnsi="宋体" w:cs="宋体"/>
          <w:color w:val="auto"/>
          <w:szCs w:val="21"/>
          <w:highlight w:val="none"/>
          <w:lang w:eastAsia="zh-CN"/>
        </w:rPr>
        <w:t>。</w:t>
      </w:r>
    </w:p>
    <w:tbl>
      <w:tblPr>
        <w:tblStyle w:val="41"/>
        <w:tblpPr w:leftFromText="180" w:rightFromText="180" w:vertAnchor="text" w:horzAnchor="page" w:tblpX="1418" w:tblpY="5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6488"/>
      </w:tblGrid>
      <w:tr w14:paraId="021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6CBEA3C8">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6488" w:type="dxa"/>
            <w:tcBorders>
              <w:tl2br w:val="nil"/>
              <w:tr2bl w:val="nil"/>
            </w:tcBorders>
            <w:noWrap w:val="0"/>
            <w:vAlign w:val="top"/>
          </w:tcPr>
          <w:p w14:paraId="5F15508D">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合作银行</w:t>
            </w:r>
          </w:p>
        </w:tc>
      </w:tr>
      <w:tr w14:paraId="35A9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1C0729EE">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6488" w:type="dxa"/>
            <w:tcBorders>
              <w:tl2br w:val="nil"/>
              <w:tr2bl w:val="nil"/>
            </w:tcBorders>
            <w:noWrap w:val="0"/>
            <w:vAlign w:val="top"/>
          </w:tcPr>
          <w:p w14:paraId="7D27055B">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中国建设银行股份有限公司陕西省分行</w:t>
            </w:r>
          </w:p>
        </w:tc>
      </w:tr>
      <w:tr w14:paraId="5608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1DDB78C">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6488" w:type="dxa"/>
            <w:tcBorders>
              <w:tl2br w:val="nil"/>
              <w:tr2bl w:val="nil"/>
            </w:tcBorders>
            <w:noWrap w:val="0"/>
            <w:vAlign w:val="top"/>
          </w:tcPr>
          <w:p w14:paraId="4BA0795D">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北京银行股份有限公司西安分行</w:t>
            </w:r>
          </w:p>
        </w:tc>
      </w:tr>
      <w:tr w14:paraId="7F6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A2DD576">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6488" w:type="dxa"/>
            <w:tcBorders>
              <w:tl2br w:val="nil"/>
              <w:tr2bl w:val="nil"/>
            </w:tcBorders>
            <w:noWrap w:val="0"/>
            <w:vAlign w:val="top"/>
          </w:tcPr>
          <w:p w14:paraId="001B9433">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中国光大银行股份有限公司西安分行</w:t>
            </w:r>
          </w:p>
        </w:tc>
      </w:tr>
      <w:tr w14:paraId="5B3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0280DFEE">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6488" w:type="dxa"/>
            <w:tcBorders>
              <w:tl2br w:val="nil"/>
              <w:tr2bl w:val="nil"/>
            </w:tcBorders>
            <w:noWrap w:val="0"/>
            <w:vAlign w:val="top"/>
          </w:tcPr>
          <w:p w14:paraId="0B7E22A5">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上海浦东发展银行股份有限公司西安分行</w:t>
            </w:r>
          </w:p>
        </w:tc>
      </w:tr>
      <w:tr w14:paraId="6E9E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7C1CAB60">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6488" w:type="dxa"/>
            <w:tcBorders>
              <w:tl2br w:val="nil"/>
              <w:tr2bl w:val="nil"/>
            </w:tcBorders>
            <w:noWrap w:val="0"/>
            <w:vAlign w:val="top"/>
          </w:tcPr>
          <w:p w14:paraId="738C6809">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浙商银行股份有限公司西安分行</w:t>
            </w:r>
          </w:p>
        </w:tc>
      </w:tr>
      <w:tr w14:paraId="7AA1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89EEE40">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6488" w:type="dxa"/>
            <w:tcBorders>
              <w:tl2br w:val="nil"/>
              <w:tr2bl w:val="nil"/>
            </w:tcBorders>
            <w:noWrap w:val="0"/>
            <w:vAlign w:val="top"/>
          </w:tcPr>
          <w:p w14:paraId="4CF28F0F">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招商银行股份有限公司西安分行</w:t>
            </w:r>
          </w:p>
        </w:tc>
      </w:tr>
      <w:tr w14:paraId="3A7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027D91BA">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6488" w:type="dxa"/>
            <w:tcBorders>
              <w:tl2br w:val="nil"/>
              <w:tr2bl w:val="nil"/>
            </w:tcBorders>
            <w:noWrap w:val="0"/>
            <w:vAlign w:val="top"/>
          </w:tcPr>
          <w:p w14:paraId="0DC42718">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sz w:val="21"/>
                <w:szCs w:val="21"/>
                <w:highlight w:val="none"/>
                <w:vertAlign w:val="baseline"/>
              </w:rPr>
              <w:t>中信银行股份有限公司西安分行</w:t>
            </w:r>
          </w:p>
        </w:tc>
      </w:tr>
      <w:tr w14:paraId="02FF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3425FAD1">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6488" w:type="dxa"/>
            <w:tcBorders>
              <w:tl2br w:val="nil"/>
              <w:tr2bl w:val="nil"/>
            </w:tcBorders>
            <w:noWrap w:val="0"/>
            <w:vAlign w:val="top"/>
          </w:tcPr>
          <w:p w14:paraId="072520D6">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兴业银行股份有限公司西安分行</w:t>
            </w:r>
          </w:p>
        </w:tc>
      </w:tr>
      <w:tr w14:paraId="30FC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1A9FACA">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9</w:t>
            </w:r>
          </w:p>
        </w:tc>
        <w:tc>
          <w:tcPr>
            <w:tcW w:w="6488" w:type="dxa"/>
            <w:tcBorders>
              <w:tl2br w:val="nil"/>
              <w:tr2bl w:val="nil"/>
            </w:tcBorders>
            <w:noWrap w:val="0"/>
            <w:vAlign w:val="top"/>
          </w:tcPr>
          <w:p w14:paraId="4BBB0A54">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中国工商银行股份有限公司陕西省分行</w:t>
            </w:r>
          </w:p>
        </w:tc>
      </w:tr>
      <w:tr w14:paraId="33FC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314775A5">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10</w:t>
            </w:r>
          </w:p>
        </w:tc>
        <w:tc>
          <w:tcPr>
            <w:tcW w:w="6488" w:type="dxa"/>
            <w:tcBorders>
              <w:tl2br w:val="nil"/>
              <w:tr2bl w:val="nil"/>
            </w:tcBorders>
            <w:noWrap w:val="0"/>
            <w:vAlign w:val="top"/>
          </w:tcPr>
          <w:p w14:paraId="264ABF7A">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sz w:val="21"/>
                <w:szCs w:val="21"/>
                <w:highlight w:val="none"/>
                <w:vertAlign w:val="baseline"/>
              </w:rPr>
              <w:t>长安银行股份有限公司</w:t>
            </w:r>
          </w:p>
        </w:tc>
      </w:tr>
      <w:tr w14:paraId="3100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351" w:type="dxa"/>
            <w:tcBorders>
              <w:tl2br w:val="nil"/>
              <w:tr2bl w:val="nil"/>
            </w:tcBorders>
            <w:noWrap w:val="0"/>
            <w:vAlign w:val="top"/>
          </w:tcPr>
          <w:p w14:paraId="22CE5034">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11</w:t>
            </w:r>
          </w:p>
        </w:tc>
        <w:tc>
          <w:tcPr>
            <w:tcW w:w="6488" w:type="dxa"/>
            <w:tcBorders>
              <w:tl2br w:val="nil"/>
              <w:tr2bl w:val="nil"/>
            </w:tcBorders>
            <w:noWrap w:val="0"/>
            <w:vAlign w:val="top"/>
          </w:tcPr>
          <w:p w14:paraId="023AB1E1">
            <w:pPr>
              <w:pStyle w:val="34"/>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浙商网商银行股份有限公司</w:t>
            </w:r>
          </w:p>
        </w:tc>
      </w:tr>
    </w:tbl>
    <w:p w14:paraId="1E70198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color w:val="auto"/>
          <w:szCs w:val="21"/>
          <w:highlight w:val="none"/>
          <w:lang w:eastAsia="zh-CN"/>
        </w:rPr>
      </w:pPr>
      <w:r>
        <w:rPr>
          <w:rFonts w:hint="eastAsia"/>
          <w:color w:val="auto"/>
          <w:szCs w:val="21"/>
          <w:highlight w:val="none"/>
          <w:lang w:eastAsia="zh-CN"/>
        </w:rPr>
        <w:t>合作银行如下（包括但不限于）：具体合作银行</w:t>
      </w:r>
      <w:r>
        <w:rPr>
          <w:rFonts w:hint="eastAsia"/>
          <w:color w:val="auto"/>
          <w:szCs w:val="21"/>
          <w:highlight w:val="none"/>
          <w:lang w:val="en-US" w:eastAsia="zh-CN"/>
        </w:rPr>
        <w:t>投标人</w:t>
      </w:r>
      <w:r>
        <w:rPr>
          <w:rFonts w:hint="eastAsia"/>
          <w:color w:val="auto"/>
          <w:szCs w:val="21"/>
          <w:highlight w:val="none"/>
          <w:lang w:eastAsia="zh-CN"/>
        </w:rPr>
        <w:t>可在陕西省政府采购网上进行查询。</w:t>
      </w:r>
    </w:p>
    <w:p w14:paraId="24B8C060">
      <w:pPr>
        <w:rPr>
          <w:rFonts w:hint="default" w:ascii="宋体" w:hAnsi="宋体" w:eastAsia="宋体" w:cs="宋体"/>
          <w:b/>
          <w:color w:val="auto"/>
          <w:kern w:val="2"/>
          <w:sz w:val="21"/>
          <w:szCs w:val="21"/>
          <w:highlight w:val="none"/>
          <w:lang w:val="en-US" w:eastAsia="zh-CN" w:bidi="ar-SA"/>
        </w:rPr>
      </w:pPr>
    </w:p>
    <w:p w14:paraId="24E3C744">
      <w:pPr>
        <w:rPr>
          <w:rFonts w:hint="default" w:ascii="宋体" w:hAnsi="宋体" w:eastAsia="宋体" w:cs="宋体"/>
          <w:b/>
          <w:color w:val="auto"/>
          <w:kern w:val="2"/>
          <w:sz w:val="21"/>
          <w:szCs w:val="21"/>
          <w:highlight w:val="none"/>
          <w:lang w:val="en-US" w:eastAsia="zh-CN" w:bidi="ar-SA"/>
        </w:rPr>
      </w:pPr>
    </w:p>
    <w:p w14:paraId="176B49F5">
      <w:pPr>
        <w:rPr>
          <w:rFonts w:hint="default" w:ascii="宋体" w:hAnsi="宋体" w:eastAsia="宋体" w:cs="宋体"/>
          <w:b/>
          <w:color w:val="auto"/>
          <w:kern w:val="2"/>
          <w:sz w:val="21"/>
          <w:szCs w:val="21"/>
          <w:highlight w:val="none"/>
          <w:lang w:val="en-US" w:eastAsia="zh-CN" w:bidi="ar-SA"/>
        </w:rPr>
      </w:pPr>
    </w:p>
    <w:p w14:paraId="607E02DC">
      <w:pPr>
        <w:rPr>
          <w:rFonts w:hint="eastAsia" w:ascii="宋体" w:hAnsi="宋体" w:eastAsia="宋体" w:cs="宋体"/>
          <w:b/>
          <w:color w:val="auto"/>
          <w:sz w:val="21"/>
          <w:szCs w:val="21"/>
          <w:highlight w:val="none"/>
          <w:lang w:eastAsia="zh-CN"/>
        </w:rPr>
      </w:pPr>
    </w:p>
    <w:p w14:paraId="2332973D">
      <w:pPr>
        <w:rPr>
          <w:rFonts w:hint="eastAsia" w:ascii="宋体" w:hAnsi="宋体" w:eastAsia="宋体" w:cs="宋体"/>
          <w:b/>
          <w:color w:val="auto"/>
          <w:sz w:val="21"/>
          <w:szCs w:val="21"/>
          <w:highlight w:val="none"/>
          <w:lang w:eastAsia="zh-CN"/>
        </w:rPr>
      </w:pPr>
    </w:p>
    <w:p w14:paraId="14B08D1C">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3</w:t>
      </w:r>
    </w:p>
    <w:p w14:paraId="72B7DC13">
      <w:pPr>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中小企业声明函（货物）</w:t>
      </w:r>
    </w:p>
    <w:p w14:paraId="15114A3B">
      <w:pPr>
        <w:spacing w:line="460" w:lineRule="exact"/>
        <w:ind w:firstLine="420" w:firstLineChars="200"/>
        <w:rPr>
          <w:rFonts w:asciiTheme="minorEastAsia" w:hAnsiTheme="minorEastAsia" w:eastAsiaTheme="minorEastAsia"/>
        </w:rPr>
      </w:pPr>
      <w:r>
        <w:rPr>
          <w:rFonts w:asciiTheme="minorEastAsia" w:hAnsiTheme="minorEastAsia" w:eastAsiaTheme="minorEastAsia"/>
        </w:rPr>
        <w:t>本公司</w:t>
      </w:r>
      <w:r>
        <w:rPr>
          <w:rFonts w:hint="eastAsia" w:asciiTheme="minorEastAsia" w:hAnsiTheme="minorEastAsia" w:eastAsiaTheme="minorEastAsia"/>
        </w:rPr>
        <w:t>（</w:t>
      </w:r>
      <w:r>
        <w:rPr>
          <w:rFonts w:asciiTheme="minorEastAsia" w:hAnsiTheme="minorEastAsia" w:eastAsiaTheme="minorEastAsia"/>
        </w:rPr>
        <w:t>联合体</w:t>
      </w:r>
      <w:r>
        <w:rPr>
          <w:rFonts w:hint="eastAsia" w:asciiTheme="minorEastAsia" w:hAnsiTheme="minorEastAsia" w:eastAsiaTheme="minorEastAsia"/>
        </w:rPr>
        <w:t>）</w:t>
      </w:r>
      <w:r>
        <w:rPr>
          <w:rFonts w:asciiTheme="minorEastAsia" w:hAnsiTheme="minorEastAsia" w:eastAsiaTheme="minorEastAsia"/>
        </w:rPr>
        <w:t>郑重声明</w:t>
      </w:r>
      <w:r>
        <w:rPr>
          <w:rFonts w:hint="eastAsia" w:asciiTheme="minorEastAsia" w:hAnsiTheme="minorEastAsia" w:eastAsiaTheme="minorEastAsia"/>
        </w:rPr>
        <w:t>，</w:t>
      </w:r>
      <w:r>
        <w:rPr>
          <w:rFonts w:asciiTheme="minorEastAsia" w:hAnsiTheme="minorEastAsia" w:eastAsiaTheme="minorEastAsia"/>
        </w:rPr>
        <w:t>根据《政府采购促进中小企业发展管理办法》</w:t>
      </w:r>
      <w:r>
        <w:rPr>
          <w:rFonts w:hint="eastAsia" w:asciiTheme="minorEastAsia" w:hAnsiTheme="minorEastAsia" w:eastAsiaTheme="minorEastAsia"/>
        </w:rPr>
        <w:t>（</w:t>
      </w:r>
      <w:r>
        <w:rPr>
          <w:rFonts w:asciiTheme="minorEastAsia" w:hAnsiTheme="minorEastAsia" w:eastAsiaTheme="minorEastAsia"/>
        </w:rPr>
        <w:t>财库〔2020〕46</w:t>
      </w:r>
      <w:r>
        <w:rPr>
          <w:rFonts w:hint="eastAsia" w:asciiTheme="minorEastAsia" w:hAnsiTheme="minorEastAsia" w:eastAsiaTheme="minorEastAsia"/>
        </w:rPr>
        <w:t>号）</w:t>
      </w:r>
      <w:r>
        <w:rPr>
          <w:rFonts w:asciiTheme="minorEastAsia" w:hAnsiTheme="minorEastAsia" w:eastAsiaTheme="minorEastAsia"/>
        </w:rPr>
        <w:t>的规定</w:t>
      </w:r>
      <w:r>
        <w:rPr>
          <w:rFonts w:hint="eastAsia" w:asciiTheme="minorEastAsia" w:hAnsiTheme="minorEastAsia" w:eastAsiaTheme="minorEastAsia"/>
        </w:rPr>
        <w:t>，</w:t>
      </w:r>
      <w:r>
        <w:rPr>
          <w:rFonts w:asciiTheme="minorEastAsia" w:hAnsiTheme="minorEastAsia" w:eastAsiaTheme="minorEastAsia"/>
        </w:rPr>
        <w:t>本公司</w:t>
      </w:r>
      <w:r>
        <w:rPr>
          <w:rFonts w:hint="eastAsia" w:asciiTheme="minorEastAsia" w:hAnsiTheme="minorEastAsia" w:eastAsiaTheme="minorEastAsia"/>
        </w:rPr>
        <w:t>（</w:t>
      </w:r>
      <w:r>
        <w:rPr>
          <w:rFonts w:asciiTheme="minorEastAsia" w:hAnsiTheme="minorEastAsia" w:eastAsiaTheme="minorEastAsia"/>
        </w:rPr>
        <w:t>联合体</w:t>
      </w:r>
      <w:r>
        <w:rPr>
          <w:rFonts w:hint="eastAsia" w:asciiTheme="minorEastAsia" w:hAnsiTheme="minorEastAsia" w:eastAsiaTheme="minorEastAsia"/>
        </w:rPr>
        <w:t>）</w:t>
      </w:r>
      <w:r>
        <w:rPr>
          <w:rFonts w:asciiTheme="minorEastAsia" w:hAnsiTheme="minorEastAsia" w:eastAsiaTheme="minorEastAsia"/>
        </w:rPr>
        <w:t>参加</w:t>
      </w:r>
      <w:r>
        <w:rPr>
          <w:rFonts w:hint="eastAsia" w:asciiTheme="minorEastAsia" w:hAnsiTheme="minorEastAsia" w:eastAsiaTheme="minorEastAsia"/>
          <w:i/>
          <w:iCs/>
          <w:u w:val="single"/>
        </w:rPr>
        <w:t>（单位名称）</w:t>
      </w:r>
      <w:r>
        <w:rPr>
          <w:rFonts w:asciiTheme="minorEastAsia" w:hAnsiTheme="minorEastAsia" w:eastAsiaTheme="minorEastAsia"/>
        </w:rPr>
        <w:t>的</w:t>
      </w:r>
      <w:r>
        <w:rPr>
          <w:rFonts w:hint="eastAsia" w:asciiTheme="minorEastAsia" w:hAnsiTheme="minorEastAsia" w:eastAsiaTheme="minorEastAsia"/>
          <w:i/>
          <w:iCs/>
          <w:u w:val="single"/>
        </w:rPr>
        <w:t>（项目名称）</w:t>
      </w:r>
      <w:r>
        <w:rPr>
          <w:rFonts w:asciiTheme="minorEastAsia" w:hAnsiTheme="minorEastAsia" w:eastAsiaTheme="minorEastAsia"/>
        </w:rPr>
        <w:t>采购活动</w:t>
      </w:r>
      <w:r>
        <w:rPr>
          <w:rFonts w:hint="eastAsia" w:asciiTheme="minorEastAsia" w:hAnsiTheme="minorEastAsia" w:eastAsiaTheme="minorEastAsia"/>
        </w:rPr>
        <w:t>，提供的货物全部由符合政府采购政策要求的中小企业制造。</w:t>
      </w:r>
      <w:r>
        <w:rPr>
          <w:rFonts w:asciiTheme="minorEastAsia" w:hAnsiTheme="minorEastAsia" w:eastAsiaTheme="minorEastAsia"/>
        </w:rPr>
        <w:t>相关企业</w:t>
      </w:r>
      <w:r>
        <w:rPr>
          <w:rFonts w:hint="eastAsia" w:asciiTheme="minorEastAsia" w:hAnsiTheme="minorEastAsia" w:eastAsiaTheme="minorEastAsia"/>
        </w:rPr>
        <w:t>（</w:t>
      </w:r>
      <w:r>
        <w:rPr>
          <w:rFonts w:asciiTheme="minorEastAsia" w:hAnsiTheme="minorEastAsia" w:eastAsiaTheme="minorEastAsia"/>
        </w:rPr>
        <w:t>含联合体中的中小企业、签订分包意向协议的中小企业</w:t>
      </w:r>
      <w:r>
        <w:rPr>
          <w:rFonts w:hint="eastAsia" w:asciiTheme="minorEastAsia" w:hAnsiTheme="minorEastAsia" w:eastAsiaTheme="minorEastAsia"/>
        </w:rPr>
        <w:t>）</w:t>
      </w:r>
      <w:r>
        <w:rPr>
          <w:rFonts w:asciiTheme="minorEastAsia" w:hAnsiTheme="minorEastAsia" w:eastAsiaTheme="minorEastAsia"/>
        </w:rPr>
        <w:t>的具体情况如下</w:t>
      </w:r>
      <w:r>
        <w:rPr>
          <w:rFonts w:hint="eastAsia" w:asciiTheme="minorEastAsia" w:hAnsiTheme="minorEastAsia" w:eastAsiaTheme="minorEastAsia"/>
        </w:rPr>
        <w:t>：</w:t>
      </w:r>
    </w:p>
    <w:p w14:paraId="1DE7E71B">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i/>
          <w:iCs/>
          <w:u w:val="single"/>
        </w:rPr>
        <w:t>（标的名称）</w:t>
      </w:r>
      <w:r>
        <w:rPr>
          <w:rFonts w:hint="eastAsia" w:asciiTheme="minorEastAsia" w:hAnsiTheme="minorEastAsia" w:eastAsiaTheme="minorEastAsia"/>
        </w:rPr>
        <w:t>，属于</w:t>
      </w:r>
      <w:r>
        <w:rPr>
          <w:rFonts w:hint="eastAsia" w:asciiTheme="minorEastAsia" w:hAnsiTheme="minorEastAsia" w:eastAsiaTheme="minorEastAsia"/>
          <w:b/>
          <w:i/>
          <w:iCs/>
          <w:u w:val="single"/>
        </w:rPr>
        <w:t>（采购文件中明确的所属行业）</w:t>
      </w:r>
      <w:r>
        <w:rPr>
          <w:rFonts w:hint="eastAsia" w:asciiTheme="minorEastAsia" w:hAnsiTheme="minorEastAsia" w:eastAsiaTheme="minorEastAsia"/>
        </w:rPr>
        <w:t>；制造商为</w:t>
      </w:r>
      <w:r>
        <w:rPr>
          <w:rFonts w:hint="eastAsia" w:asciiTheme="minorEastAsia" w:hAnsiTheme="minorEastAsia" w:eastAsiaTheme="minorEastAsia"/>
          <w:i/>
          <w:iCs/>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w:t>
      </w:r>
      <w:r>
        <w:rPr>
          <w:rFonts w:hint="eastAsia" w:asciiTheme="minorEastAsia" w:hAnsiTheme="minorEastAsia" w:eastAsiaTheme="minorEastAsia"/>
          <w:vertAlign w:val="superscript"/>
        </w:rPr>
        <w:t>1</w:t>
      </w:r>
      <w:r>
        <w:rPr>
          <w:rFonts w:hint="eastAsia" w:asciiTheme="minorEastAsia" w:hAnsiTheme="minorEastAsia" w:eastAsiaTheme="minorEastAsia"/>
        </w:rPr>
        <w:t>，属于</w:t>
      </w:r>
      <w:r>
        <w:rPr>
          <w:rFonts w:hint="eastAsia" w:asciiTheme="minorEastAsia" w:hAnsiTheme="minorEastAsia" w:eastAsiaTheme="minorEastAsia"/>
          <w:i/>
          <w:iCs/>
          <w:u w:val="single"/>
        </w:rPr>
        <w:t>（中型企业、小型企业、微型企业）</w:t>
      </w:r>
      <w:r>
        <w:rPr>
          <w:rFonts w:hint="eastAsia" w:asciiTheme="minorEastAsia" w:hAnsiTheme="minorEastAsia" w:eastAsiaTheme="minorEastAsia"/>
        </w:rPr>
        <w:t>；</w:t>
      </w:r>
    </w:p>
    <w:p w14:paraId="521932C9">
      <w:pPr>
        <w:spacing w:line="460" w:lineRule="exact"/>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i/>
          <w:iCs/>
          <w:u w:val="single"/>
        </w:rPr>
        <w:t>（标的名称）</w:t>
      </w:r>
      <w:r>
        <w:rPr>
          <w:rFonts w:hint="eastAsia" w:asciiTheme="minorEastAsia" w:hAnsiTheme="minorEastAsia" w:eastAsiaTheme="minorEastAsia"/>
        </w:rPr>
        <w:t>，属于</w:t>
      </w:r>
      <w:r>
        <w:rPr>
          <w:rFonts w:hint="eastAsia" w:asciiTheme="minorEastAsia" w:hAnsiTheme="minorEastAsia" w:eastAsiaTheme="minorEastAsia"/>
          <w:b/>
          <w:i/>
          <w:iCs/>
          <w:u w:val="single"/>
        </w:rPr>
        <w:t>（采购文件中明确的所属行业）</w:t>
      </w:r>
      <w:r>
        <w:rPr>
          <w:rFonts w:hint="eastAsia" w:asciiTheme="minorEastAsia" w:hAnsiTheme="minorEastAsia" w:eastAsiaTheme="minorEastAsia"/>
        </w:rPr>
        <w:t>；制造商为</w:t>
      </w:r>
      <w:r>
        <w:rPr>
          <w:rFonts w:hint="eastAsia" w:asciiTheme="minorEastAsia" w:hAnsiTheme="minorEastAsia" w:eastAsiaTheme="minorEastAsia"/>
          <w:i/>
          <w:iCs/>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万元，属于</w:t>
      </w:r>
      <w:r>
        <w:rPr>
          <w:rFonts w:hint="eastAsia" w:asciiTheme="minorEastAsia" w:hAnsiTheme="minorEastAsia" w:eastAsiaTheme="minorEastAsia"/>
          <w:i/>
          <w:iCs/>
          <w:u w:val="single"/>
        </w:rPr>
        <w:t>（中型企业、小型企业、微型企业）</w:t>
      </w:r>
      <w:r>
        <w:rPr>
          <w:rFonts w:hint="eastAsia" w:asciiTheme="minorEastAsia" w:hAnsiTheme="minorEastAsia" w:eastAsiaTheme="minorEastAsia"/>
        </w:rPr>
        <w:t>；</w:t>
      </w:r>
    </w:p>
    <w:p w14:paraId="7693D86F">
      <w:pPr>
        <w:spacing w:line="460" w:lineRule="exact"/>
        <w:rPr>
          <w:rFonts w:asciiTheme="minorEastAsia" w:hAnsiTheme="minorEastAsia" w:eastAsiaTheme="minorEastAsia"/>
        </w:rPr>
      </w:pPr>
      <w:r>
        <w:rPr>
          <w:rFonts w:hint="eastAsia" w:asciiTheme="minorEastAsia" w:hAnsiTheme="minorEastAsia" w:eastAsiaTheme="minorEastAsia"/>
        </w:rPr>
        <w:t>……</w:t>
      </w:r>
    </w:p>
    <w:p w14:paraId="0EAE906F">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以上企业，不属于大企业的分支机构，不存在控股股东为大企业的情形，也不存在与大企业的负责人为同一人的情形。</w:t>
      </w:r>
    </w:p>
    <w:p w14:paraId="5653643D">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本企业对上述声明内容的真实性负责。如有虚假，将依法承担相应责任。</w:t>
      </w:r>
    </w:p>
    <w:p w14:paraId="0B973E1C">
      <w:pPr>
        <w:spacing w:line="460" w:lineRule="exact"/>
        <w:rPr>
          <w:rFonts w:asciiTheme="minorEastAsia" w:hAnsiTheme="minorEastAsia" w:eastAsiaTheme="minorEastAsia"/>
        </w:rPr>
      </w:pPr>
    </w:p>
    <w:p w14:paraId="13D5E42C">
      <w:pPr>
        <w:spacing w:line="480" w:lineRule="auto"/>
        <w:ind w:firstLine="420" w:firstLineChars="200"/>
        <w:rPr>
          <w:rFonts w:asciiTheme="minorEastAsia" w:hAnsiTheme="minorEastAsia" w:eastAsiaTheme="minorEastAsia"/>
        </w:rPr>
      </w:pPr>
    </w:p>
    <w:p w14:paraId="5873AFCE">
      <w:pPr>
        <w:spacing w:line="480" w:lineRule="auto"/>
        <w:ind w:firstLine="5040" w:firstLineChars="2400"/>
        <w:rPr>
          <w:rFonts w:asciiTheme="minorEastAsia" w:hAnsiTheme="minorEastAsia" w:eastAsiaTheme="minorEastAsia"/>
        </w:rPr>
      </w:pPr>
      <w:r>
        <w:rPr>
          <w:rFonts w:hint="eastAsia" w:asciiTheme="minorEastAsia" w:hAnsiTheme="minorEastAsia" w:eastAsiaTheme="minorEastAsia"/>
        </w:rPr>
        <w:t>企业名称（盖章）：</w:t>
      </w:r>
    </w:p>
    <w:p w14:paraId="0DD8FC0E">
      <w:pPr>
        <w:spacing w:line="480" w:lineRule="auto"/>
        <w:ind w:firstLine="5040" w:firstLineChars="2400"/>
        <w:rPr>
          <w:rFonts w:ascii="宋体" w:hAnsi="宋体"/>
        </w:rPr>
      </w:pPr>
      <w:r>
        <w:rPr>
          <w:rFonts w:hint="eastAsia" w:asciiTheme="minorEastAsia" w:hAnsiTheme="minorEastAsia" w:eastAsiaTheme="minorEastAsia"/>
        </w:rPr>
        <w:t>日    期：</w:t>
      </w:r>
    </w:p>
    <w:p w14:paraId="7533766D">
      <w:pPr>
        <w:pStyle w:val="15"/>
      </w:pPr>
    </w:p>
    <w:p w14:paraId="4F30A10B"/>
    <w:p w14:paraId="264901D0">
      <w:pPr>
        <w:pStyle w:val="15"/>
      </w:pPr>
    </w:p>
    <w:p w14:paraId="287B5925">
      <w:pPr>
        <w:pStyle w:val="15"/>
        <w:jc w:val="both"/>
      </w:pPr>
    </w:p>
    <w:p w14:paraId="314FD222"/>
    <w:p w14:paraId="0ABE16E0">
      <w:pPr>
        <w:pStyle w:val="15"/>
      </w:pPr>
    </w:p>
    <w:p w14:paraId="0F217D51"/>
    <w:p w14:paraId="6D63F5FA">
      <w:pPr>
        <w:pStyle w:val="15"/>
      </w:pPr>
    </w:p>
    <w:p w14:paraId="4346D832"/>
    <w:p w14:paraId="0F0DB6B3">
      <w:pPr>
        <w:pStyle w:val="15"/>
      </w:pPr>
    </w:p>
    <w:p w14:paraId="118D23AF"/>
    <w:p w14:paraId="2F954C10">
      <w:pPr>
        <w:pStyle w:val="15"/>
      </w:pPr>
    </w:p>
    <w:p w14:paraId="5D44C360">
      <w:pPr>
        <w:pStyle w:val="15"/>
      </w:pPr>
    </w:p>
    <w:p w14:paraId="12BACE22">
      <w:pPr>
        <w:pStyle w:val="15"/>
        <w:spacing w:line="360" w:lineRule="auto"/>
        <w:rPr>
          <w:rFonts w:cs="宋体" w:asciiTheme="minorEastAsia" w:hAnsiTheme="minorEastAsia" w:eastAsiaTheme="minorEastAsia"/>
          <w:sz w:val="16"/>
          <w:szCs w:val="16"/>
        </w:rPr>
      </w:pPr>
      <w:r>
        <w:rPr>
          <w:rFonts w:hint="eastAsia" w:ascii="宋体" w:hAnsi="宋体"/>
          <w:sz w:val="20"/>
          <w:szCs w:val="20"/>
        </w:rPr>
        <w:t>从业人员、营业收入、资产总额填报上一年数据，无上一年度数据的新成立企业可不填报</w:t>
      </w:r>
      <w:r>
        <w:rPr>
          <w:rFonts w:hint="eastAsia" w:cs="宋体" w:asciiTheme="minorEastAsia" w:hAnsiTheme="minorEastAsia" w:eastAsiaTheme="minorEastAsia"/>
          <w:sz w:val="16"/>
          <w:szCs w:val="16"/>
        </w:rPr>
        <w:t>。</w:t>
      </w:r>
    </w:p>
    <w:p w14:paraId="11225C79"/>
    <w:p w14:paraId="4BA5487F">
      <w:pPr>
        <w:rPr>
          <w:rFonts w:hint="eastAsia" w:ascii="宋体" w:hAnsi="宋体" w:eastAsia="宋体" w:cs="宋体"/>
          <w:b/>
          <w:color w:val="auto"/>
          <w:sz w:val="21"/>
          <w:szCs w:val="21"/>
          <w:highlight w:val="none"/>
          <w:lang w:eastAsia="zh-CN"/>
        </w:rPr>
      </w:pPr>
    </w:p>
    <w:p w14:paraId="7D705DF0">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4</w:t>
      </w:r>
    </w:p>
    <w:p w14:paraId="40A4C630">
      <w:pPr>
        <w:spacing w:line="588" w:lineRule="exact"/>
        <w:jc w:val="center"/>
        <w:rPr>
          <w:rFonts w:cs="新宋体" w:asciiTheme="minorEastAsia" w:hAnsiTheme="minorEastAsia" w:eastAsiaTheme="minorEastAsia"/>
          <w:b/>
          <w:spacing w:val="6"/>
          <w:sz w:val="24"/>
        </w:rPr>
      </w:pPr>
      <w:r>
        <w:rPr>
          <w:rFonts w:hint="eastAsia" w:cs="新宋体" w:asciiTheme="minorEastAsia" w:hAnsiTheme="minorEastAsia" w:eastAsiaTheme="minorEastAsia"/>
          <w:b/>
          <w:spacing w:val="6"/>
          <w:sz w:val="24"/>
        </w:rPr>
        <w:t>残疾人福利性单位声明函</w:t>
      </w:r>
    </w:p>
    <w:p w14:paraId="26877B8D">
      <w:pPr>
        <w:spacing w:line="460" w:lineRule="exact"/>
        <w:ind w:firstLine="444" w:firstLineChars="200"/>
        <w:rPr>
          <w:rFonts w:cs="新宋体" w:asciiTheme="minorEastAsia" w:hAnsiTheme="minorEastAsia" w:eastAsiaTheme="minorEastAsia"/>
          <w:spacing w:val="6"/>
          <w:szCs w:val="21"/>
        </w:rPr>
      </w:pPr>
      <w:r>
        <w:rPr>
          <w:rFonts w:hint="eastAsia" w:cs="新宋体" w:asciiTheme="minorEastAsia" w:hAnsiTheme="minorEastAsia" w:eastAsiaTheme="minorEastAsia"/>
          <w:spacing w:val="6"/>
          <w:szCs w:val="21"/>
        </w:rPr>
        <w:t>本单位郑重声明，根据《财政部 民政部 中国残疾人联合会关于促进残疾人就业政府采购政策的通知》（财库</w:t>
      </w:r>
      <w:r>
        <w:rPr>
          <w:rFonts w:hint="eastAsia" w:cs="新宋体" w:asciiTheme="minorEastAsia" w:hAnsiTheme="minorEastAsia" w:eastAsiaTheme="minorEastAsia"/>
          <w:szCs w:val="21"/>
        </w:rPr>
        <w:t>〔2017〕141</w:t>
      </w:r>
      <w:r>
        <w:rPr>
          <w:rFonts w:hint="eastAsia" w:cs="新宋体" w:asciiTheme="minorEastAsia" w:hAnsiTheme="minorEastAsia" w:eastAsiaTheme="minorEastAsia"/>
          <w:spacing w:val="6"/>
          <w:szCs w:val="21"/>
        </w:rPr>
        <w:t>号）的规定，本单位为符合条件的残疾人福利性单位，且本单位参加</w:t>
      </w:r>
      <w:r>
        <w:rPr>
          <w:rFonts w:hint="eastAsia" w:cs="新宋体" w:asciiTheme="minorEastAsia" w:hAnsiTheme="minorEastAsia" w:eastAsiaTheme="minorEastAsia"/>
          <w:spacing w:val="6"/>
          <w:szCs w:val="21"/>
          <w:u w:val="single"/>
        </w:rPr>
        <w:t xml:space="preserve">      </w:t>
      </w:r>
      <w:r>
        <w:rPr>
          <w:rFonts w:hint="eastAsia" w:cs="新宋体" w:asciiTheme="minorEastAsia" w:hAnsiTheme="minorEastAsia" w:eastAsiaTheme="minorEastAsia"/>
          <w:spacing w:val="6"/>
          <w:szCs w:val="21"/>
        </w:rPr>
        <w:t>单位的</w:t>
      </w:r>
      <w:r>
        <w:rPr>
          <w:rFonts w:hint="eastAsia" w:cs="新宋体" w:asciiTheme="minorEastAsia" w:hAnsiTheme="minorEastAsia" w:eastAsiaTheme="minorEastAsia"/>
          <w:spacing w:val="6"/>
          <w:szCs w:val="21"/>
          <w:u w:val="single"/>
        </w:rPr>
        <w:t xml:space="preserve">      </w:t>
      </w:r>
      <w:r>
        <w:rPr>
          <w:rFonts w:hint="eastAsia" w:cs="新宋体" w:asciiTheme="minorEastAsia" w:hAnsiTheme="minorEastAsia" w:eastAsiaTheme="minorEastAsia"/>
          <w:spacing w:val="6"/>
          <w:szCs w:val="21"/>
        </w:rPr>
        <w:t>项目采购活动提供本单位制造的货物（由本单位承担工程/提供服务），或者提供其他残疾人福利性单位制造的货物（不包括使用非残疾人福利性单位注册商标的货物）。</w:t>
      </w:r>
    </w:p>
    <w:p w14:paraId="4C395549">
      <w:pPr>
        <w:spacing w:line="460" w:lineRule="exact"/>
        <w:ind w:firstLine="444" w:firstLineChars="200"/>
        <w:rPr>
          <w:rFonts w:cs="新宋体" w:asciiTheme="minorEastAsia" w:hAnsiTheme="minorEastAsia" w:eastAsiaTheme="minorEastAsia"/>
          <w:spacing w:val="6"/>
          <w:szCs w:val="21"/>
        </w:rPr>
      </w:pPr>
      <w:r>
        <w:rPr>
          <w:rFonts w:hint="eastAsia" w:cs="新宋体" w:asciiTheme="minorEastAsia" w:hAnsiTheme="minorEastAsia" w:eastAsiaTheme="minorEastAsia"/>
          <w:spacing w:val="6"/>
          <w:szCs w:val="21"/>
        </w:rPr>
        <w:t>本单位对上述声明的真实性负责。如有虚假，将依法承担相应责任。</w:t>
      </w:r>
    </w:p>
    <w:p w14:paraId="5A447560">
      <w:pPr>
        <w:spacing w:line="480" w:lineRule="auto"/>
        <w:rPr>
          <w:rFonts w:cs="新宋体" w:asciiTheme="minorEastAsia" w:hAnsiTheme="minorEastAsia" w:eastAsiaTheme="minorEastAsia"/>
          <w:spacing w:val="6"/>
          <w:szCs w:val="21"/>
        </w:rPr>
      </w:pPr>
    </w:p>
    <w:p w14:paraId="05F5950F">
      <w:pPr>
        <w:spacing w:line="480" w:lineRule="auto"/>
        <w:rPr>
          <w:rFonts w:cs="新宋体" w:asciiTheme="minorEastAsia" w:hAnsiTheme="minorEastAsia" w:eastAsiaTheme="minorEastAsia"/>
          <w:spacing w:val="6"/>
          <w:szCs w:val="21"/>
        </w:rPr>
      </w:pPr>
    </w:p>
    <w:p w14:paraId="19E1945E">
      <w:pPr>
        <w:spacing w:line="480" w:lineRule="auto"/>
        <w:rPr>
          <w:rFonts w:cs="新宋体" w:asciiTheme="minorEastAsia" w:hAnsiTheme="minorEastAsia" w:eastAsiaTheme="minorEastAsia"/>
          <w:spacing w:val="6"/>
          <w:szCs w:val="21"/>
        </w:rPr>
      </w:pPr>
    </w:p>
    <w:p w14:paraId="2D9C3611">
      <w:pPr>
        <w:spacing w:line="480" w:lineRule="auto"/>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单位名称：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rPr>
        <w:t>全称并加盖公章</w:t>
      </w:r>
      <w:r>
        <w:rPr>
          <w:rFonts w:hint="eastAsia" w:asciiTheme="minorEastAsia" w:hAnsiTheme="minorEastAsia" w:eastAsiaTheme="minorEastAsia"/>
        </w:rPr>
        <w:t>）</w:t>
      </w:r>
    </w:p>
    <w:p w14:paraId="08344FCB">
      <w:pPr>
        <w:spacing w:line="480" w:lineRule="auto"/>
        <w:rPr>
          <w:rFonts w:cs="新宋体" w:asciiTheme="minorEastAsia" w:hAnsiTheme="minorEastAsia" w:eastAsiaTheme="minorEastAsia"/>
          <w:spacing w:val="6"/>
          <w:szCs w:val="21"/>
          <w:u w:val="single"/>
        </w:rPr>
      </w:pPr>
      <w:r>
        <w:rPr>
          <w:rFonts w:hint="eastAsia" w:cs="新宋体" w:asciiTheme="minorEastAsia" w:hAnsiTheme="minorEastAsia" w:eastAsiaTheme="minorEastAsia"/>
          <w:spacing w:val="6"/>
          <w:szCs w:val="21"/>
        </w:rPr>
        <w:t xml:space="preserve">                          </w:t>
      </w:r>
      <w:r>
        <w:rPr>
          <w:rFonts w:cs="新宋体" w:asciiTheme="minorEastAsia" w:hAnsiTheme="minorEastAsia" w:eastAsiaTheme="minorEastAsia"/>
          <w:spacing w:val="6"/>
          <w:szCs w:val="21"/>
        </w:rPr>
        <w:t xml:space="preserve"> </w:t>
      </w:r>
      <w:r>
        <w:rPr>
          <w:rFonts w:hint="eastAsia" w:cs="新宋体" w:asciiTheme="minorEastAsia" w:hAnsiTheme="minorEastAsia" w:eastAsiaTheme="minorEastAsia"/>
          <w:spacing w:val="6"/>
          <w:szCs w:val="21"/>
        </w:rPr>
        <w:t xml:space="preserve">  </w:t>
      </w:r>
      <w:r>
        <w:rPr>
          <w:rFonts w:cs="新宋体" w:asciiTheme="minorEastAsia" w:hAnsiTheme="minorEastAsia" w:eastAsiaTheme="minorEastAsia"/>
          <w:spacing w:val="6"/>
          <w:szCs w:val="21"/>
        </w:rPr>
        <w:t xml:space="preserve"> </w:t>
      </w:r>
      <w:r>
        <w:rPr>
          <w:rFonts w:hint="eastAsia" w:cs="新宋体" w:asciiTheme="minorEastAsia" w:hAnsiTheme="minorEastAsia" w:eastAsiaTheme="minorEastAsia"/>
          <w:spacing w:val="6"/>
          <w:szCs w:val="21"/>
        </w:rPr>
        <w:t>日    期：</w:t>
      </w:r>
      <w:r>
        <w:rPr>
          <w:rFonts w:hint="eastAsia" w:cs="新宋体" w:asciiTheme="minorEastAsia" w:hAnsiTheme="minorEastAsia" w:eastAsiaTheme="minorEastAsia"/>
          <w:spacing w:val="6"/>
          <w:szCs w:val="21"/>
          <w:u w:val="single"/>
        </w:rPr>
        <w:t xml:space="preserve">              </w:t>
      </w:r>
    </w:p>
    <w:p w14:paraId="52F2EEF7">
      <w:pPr>
        <w:spacing w:line="360" w:lineRule="auto"/>
        <w:ind w:firstLine="3990" w:firstLineChars="1900"/>
        <w:rPr>
          <w:rFonts w:asciiTheme="minorEastAsia" w:hAnsiTheme="minorEastAsia" w:eastAsiaTheme="minorEastAsia"/>
        </w:rPr>
      </w:pPr>
    </w:p>
    <w:p w14:paraId="57304DC9">
      <w:pPr>
        <w:rPr>
          <w:rFonts w:asciiTheme="minorEastAsia" w:hAnsiTheme="minorEastAsia" w:eastAsiaTheme="minorEastAsia"/>
        </w:rPr>
      </w:pPr>
    </w:p>
    <w:p w14:paraId="78583F71">
      <w:pPr>
        <w:pStyle w:val="15"/>
        <w:rPr>
          <w:rFonts w:asciiTheme="minorEastAsia" w:hAnsiTheme="minorEastAsia" w:eastAsiaTheme="minorEastAsia"/>
        </w:rPr>
      </w:pPr>
    </w:p>
    <w:p w14:paraId="46260B94">
      <w:pPr>
        <w:jc w:val="center"/>
        <w:outlineLvl w:val="2"/>
        <w:rPr>
          <w:rFonts w:cs="仿宋_GB2312" w:asciiTheme="minorEastAsia" w:hAnsiTheme="minorEastAsia" w:eastAsiaTheme="minorEastAsia"/>
          <w:b/>
          <w:color w:val="FF0000"/>
          <w:szCs w:val="21"/>
        </w:rPr>
      </w:pPr>
    </w:p>
    <w:p w14:paraId="40FB0FE4">
      <w:pPr>
        <w:jc w:val="center"/>
        <w:outlineLvl w:val="2"/>
        <w:rPr>
          <w:rFonts w:cs="仿宋_GB2312" w:asciiTheme="minorEastAsia" w:hAnsiTheme="minorEastAsia" w:eastAsiaTheme="minorEastAsia"/>
          <w:b/>
          <w:color w:val="FF0000"/>
          <w:szCs w:val="21"/>
        </w:rPr>
      </w:pPr>
    </w:p>
    <w:p w14:paraId="74363305">
      <w:pPr>
        <w:jc w:val="center"/>
        <w:outlineLvl w:val="2"/>
        <w:rPr>
          <w:rFonts w:cs="仿宋_GB2312" w:asciiTheme="minorEastAsia" w:hAnsiTheme="minorEastAsia" w:eastAsiaTheme="minorEastAsia"/>
          <w:b/>
          <w:color w:val="FF0000"/>
          <w:szCs w:val="21"/>
        </w:rPr>
      </w:pPr>
    </w:p>
    <w:p w14:paraId="09D68A6F">
      <w:pPr>
        <w:jc w:val="center"/>
        <w:outlineLvl w:val="2"/>
        <w:rPr>
          <w:rFonts w:cs="仿宋_GB2312" w:asciiTheme="minorEastAsia" w:hAnsiTheme="minorEastAsia" w:eastAsiaTheme="minorEastAsia"/>
          <w:b/>
          <w:color w:val="FF0000"/>
          <w:szCs w:val="21"/>
        </w:rPr>
      </w:pPr>
    </w:p>
    <w:p w14:paraId="51C79714">
      <w:pPr>
        <w:jc w:val="center"/>
        <w:outlineLvl w:val="2"/>
        <w:rPr>
          <w:rFonts w:cs="仿宋_GB2312" w:asciiTheme="minorEastAsia" w:hAnsiTheme="minorEastAsia" w:eastAsiaTheme="minorEastAsia"/>
          <w:b/>
          <w:color w:val="FF0000"/>
          <w:szCs w:val="21"/>
        </w:rPr>
      </w:pPr>
    </w:p>
    <w:p w14:paraId="311B1F99">
      <w:pPr>
        <w:jc w:val="center"/>
        <w:outlineLvl w:val="2"/>
        <w:rPr>
          <w:rFonts w:cs="仿宋_GB2312" w:asciiTheme="minorEastAsia" w:hAnsiTheme="minorEastAsia" w:eastAsiaTheme="minorEastAsia"/>
          <w:b/>
          <w:color w:val="FF0000"/>
          <w:szCs w:val="21"/>
        </w:rPr>
      </w:pPr>
    </w:p>
    <w:p w14:paraId="07220E3B">
      <w:pPr>
        <w:jc w:val="center"/>
        <w:outlineLvl w:val="2"/>
        <w:rPr>
          <w:rFonts w:cs="仿宋_GB2312" w:asciiTheme="minorEastAsia" w:hAnsiTheme="minorEastAsia" w:eastAsiaTheme="minorEastAsia"/>
          <w:b/>
          <w:color w:val="FF0000"/>
          <w:szCs w:val="21"/>
        </w:rPr>
      </w:pPr>
    </w:p>
    <w:p w14:paraId="22F863BF">
      <w:pPr>
        <w:pStyle w:val="15"/>
        <w:rPr>
          <w:rFonts w:asciiTheme="minorEastAsia" w:hAnsiTheme="minorEastAsia" w:eastAsiaTheme="minorEastAsia"/>
        </w:rPr>
      </w:pPr>
    </w:p>
    <w:p w14:paraId="3021C0BE">
      <w:pPr>
        <w:rPr>
          <w:rFonts w:asciiTheme="minorEastAsia" w:hAnsiTheme="minorEastAsia" w:eastAsiaTheme="minorEastAsia"/>
        </w:rPr>
      </w:pPr>
    </w:p>
    <w:p w14:paraId="4D217185">
      <w:pPr>
        <w:pStyle w:val="15"/>
        <w:rPr>
          <w:rFonts w:asciiTheme="minorEastAsia" w:hAnsiTheme="minorEastAsia" w:eastAsiaTheme="minorEastAsia"/>
        </w:rPr>
      </w:pPr>
    </w:p>
    <w:p w14:paraId="45069BBA">
      <w:pPr>
        <w:rPr>
          <w:rFonts w:asciiTheme="minorEastAsia" w:hAnsiTheme="minorEastAsia" w:eastAsiaTheme="minorEastAsia"/>
        </w:rPr>
      </w:pPr>
    </w:p>
    <w:p w14:paraId="0D914FDB">
      <w:pPr>
        <w:pStyle w:val="15"/>
        <w:rPr>
          <w:rFonts w:asciiTheme="minorEastAsia" w:hAnsiTheme="minorEastAsia" w:eastAsiaTheme="minorEastAsia"/>
        </w:rPr>
      </w:pPr>
    </w:p>
    <w:p w14:paraId="7D3F53EC">
      <w:pPr>
        <w:rPr>
          <w:rFonts w:asciiTheme="minorEastAsia" w:hAnsiTheme="minorEastAsia" w:eastAsiaTheme="minorEastAsia"/>
        </w:rPr>
      </w:pPr>
    </w:p>
    <w:p w14:paraId="334F863B">
      <w:pPr>
        <w:pStyle w:val="15"/>
        <w:rPr>
          <w:rFonts w:asciiTheme="minorEastAsia" w:hAnsiTheme="minorEastAsia" w:eastAsiaTheme="minorEastAsia"/>
        </w:rPr>
      </w:pPr>
    </w:p>
    <w:p w14:paraId="656C338B">
      <w:pPr>
        <w:rPr>
          <w:rFonts w:asciiTheme="minorEastAsia" w:hAnsiTheme="minorEastAsia" w:eastAsiaTheme="minorEastAsia"/>
        </w:rPr>
      </w:pPr>
    </w:p>
    <w:p w14:paraId="19756ACD">
      <w:pPr>
        <w:pStyle w:val="15"/>
        <w:rPr>
          <w:rFonts w:asciiTheme="minorEastAsia" w:hAnsiTheme="minorEastAsia" w:eastAsiaTheme="minorEastAsia"/>
        </w:rPr>
      </w:pPr>
    </w:p>
    <w:p w14:paraId="41D99A42">
      <w:pPr>
        <w:rPr>
          <w:rFonts w:asciiTheme="minorEastAsia" w:hAnsiTheme="minorEastAsia" w:eastAsiaTheme="minorEastAsia"/>
        </w:rPr>
      </w:pPr>
    </w:p>
    <w:p w14:paraId="7629BFF5">
      <w:pPr>
        <w:pStyle w:val="15"/>
        <w:rPr>
          <w:rFonts w:asciiTheme="minorEastAsia" w:hAnsiTheme="minorEastAsia" w:eastAsiaTheme="minorEastAsia"/>
        </w:rPr>
      </w:pPr>
    </w:p>
    <w:p w14:paraId="15448759">
      <w:pPr>
        <w:jc w:val="both"/>
        <w:outlineLvl w:val="2"/>
        <w:rPr>
          <w:rFonts w:cs="仿宋_GB2312" w:asciiTheme="minorEastAsia" w:hAnsiTheme="minorEastAsia" w:eastAsiaTheme="minorEastAsia"/>
          <w:b/>
          <w:color w:val="FF0000"/>
          <w:szCs w:val="21"/>
        </w:rPr>
      </w:pPr>
    </w:p>
    <w:p w14:paraId="71C668D2">
      <w:pPr>
        <w:rPr>
          <w:rFonts w:hint="eastAsia" w:ascii="宋体" w:hAnsi="宋体" w:eastAsia="宋体" w:cs="宋体"/>
          <w:b/>
          <w:color w:val="auto"/>
          <w:sz w:val="21"/>
          <w:szCs w:val="21"/>
          <w:highlight w:val="none"/>
          <w:lang w:eastAsia="zh-CN"/>
        </w:rPr>
      </w:pPr>
    </w:p>
    <w:p w14:paraId="20676C12">
      <w:pPr>
        <w:rPr>
          <w:rFonts w:hint="eastAsia" w:ascii="宋体" w:hAnsi="宋体" w:eastAsia="宋体" w:cs="宋体"/>
          <w:b/>
          <w:color w:val="auto"/>
          <w:sz w:val="21"/>
          <w:szCs w:val="21"/>
          <w:highlight w:val="none"/>
          <w:lang w:eastAsia="zh-CN"/>
        </w:rPr>
      </w:pPr>
    </w:p>
    <w:p w14:paraId="76664A76">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5</w:t>
      </w:r>
    </w:p>
    <w:p w14:paraId="576ADFD1">
      <w:pPr>
        <w:spacing w:line="360" w:lineRule="auto"/>
        <w:jc w:val="center"/>
        <w:outlineLvl w:val="2"/>
        <w:rPr>
          <w:rFonts w:cs="仿宋_GB2312" w:asciiTheme="minorEastAsia" w:hAnsiTheme="minorEastAsia" w:eastAsiaTheme="minorEastAsia"/>
          <w:b/>
          <w:sz w:val="24"/>
        </w:rPr>
      </w:pPr>
      <w:r>
        <w:rPr>
          <w:rFonts w:hint="eastAsia" w:cs="仿宋_GB2312" w:asciiTheme="minorEastAsia" w:hAnsiTheme="minorEastAsia" w:eastAsiaTheme="minorEastAsia"/>
          <w:b/>
          <w:sz w:val="24"/>
        </w:rPr>
        <w:t>监狱企业证明函</w:t>
      </w:r>
    </w:p>
    <w:p w14:paraId="005D4A73">
      <w:pPr>
        <w:snapToGrid w:val="0"/>
        <w:spacing w:beforeLines="50"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省级以上监狱管理局、戒毒管理局（含新疆生产建设兵团）出具的属于监狱企业的证明文件（格式不限）。</w:t>
      </w:r>
    </w:p>
    <w:p w14:paraId="1645D278">
      <w:pPr>
        <w:spacing w:line="360" w:lineRule="auto"/>
        <w:rPr>
          <w:rFonts w:cs="仿宋_GB2312" w:asciiTheme="minorEastAsia" w:hAnsiTheme="minorEastAsia" w:eastAsiaTheme="minorEastAsia"/>
          <w:color w:val="FF0000"/>
          <w:sz w:val="32"/>
          <w:szCs w:val="32"/>
        </w:rPr>
      </w:pPr>
    </w:p>
    <w:p w14:paraId="35971CB8">
      <w:pPr>
        <w:spacing w:line="360" w:lineRule="auto"/>
        <w:rPr>
          <w:rFonts w:cs="仿宋_GB2312" w:asciiTheme="minorEastAsia" w:hAnsiTheme="minorEastAsia" w:eastAsiaTheme="minorEastAsia"/>
          <w:color w:val="FF0000"/>
          <w:sz w:val="32"/>
          <w:szCs w:val="32"/>
        </w:rPr>
      </w:pPr>
    </w:p>
    <w:p w14:paraId="238BC764">
      <w:pPr>
        <w:spacing w:line="360" w:lineRule="auto"/>
        <w:rPr>
          <w:rFonts w:cs="仿宋_GB2312" w:asciiTheme="minorEastAsia" w:hAnsiTheme="minorEastAsia" w:eastAsiaTheme="minorEastAsia"/>
          <w:color w:val="FF0000"/>
          <w:sz w:val="32"/>
          <w:szCs w:val="32"/>
        </w:rPr>
      </w:pPr>
    </w:p>
    <w:p w14:paraId="31CFDB94">
      <w:pPr>
        <w:spacing w:line="360" w:lineRule="auto"/>
        <w:rPr>
          <w:rFonts w:cs="仿宋_GB2312" w:asciiTheme="minorEastAsia" w:hAnsiTheme="minorEastAsia" w:eastAsiaTheme="minorEastAsia"/>
          <w:color w:val="FF0000"/>
          <w:sz w:val="32"/>
          <w:szCs w:val="32"/>
        </w:rPr>
      </w:pPr>
    </w:p>
    <w:p w14:paraId="3B2CBDBA">
      <w:pPr>
        <w:spacing w:line="360" w:lineRule="auto"/>
        <w:rPr>
          <w:rFonts w:cs="仿宋_GB2312" w:asciiTheme="minorEastAsia" w:hAnsiTheme="minorEastAsia" w:eastAsiaTheme="minorEastAsia"/>
          <w:color w:val="FF0000"/>
          <w:sz w:val="32"/>
          <w:szCs w:val="32"/>
        </w:rPr>
      </w:pPr>
    </w:p>
    <w:p w14:paraId="4D88DE76">
      <w:pPr>
        <w:spacing w:beforeLines="100" w:afterLines="100" w:line="360" w:lineRule="auto"/>
        <w:jc w:val="center"/>
        <w:outlineLvl w:val="2"/>
        <w:rPr>
          <w:rFonts w:asciiTheme="minorEastAsia" w:hAnsiTheme="minorEastAsia" w:eastAsiaTheme="minorEastAsia"/>
          <w:b/>
          <w:sz w:val="24"/>
        </w:rPr>
      </w:pPr>
    </w:p>
    <w:p w14:paraId="4EC47239">
      <w:pPr>
        <w:spacing w:beforeLines="100" w:afterLines="100" w:line="360" w:lineRule="auto"/>
        <w:jc w:val="center"/>
        <w:outlineLvl w:val="2"/>
        <w:rPr>
          <w:rFonts w:asciiTheme="minorEastAsia" w:hAnsiTheme="minorEastAsia" w:eastAsiaTheme="minorEastAsia"/>
          <w:b/>
          <w:sz w:val="24"/>
        </w:rPr>
      </w:pPr>
    </w:p>
    <w:p w14:paraId="0F4CF252">
      <w:pPr>
        <w:spacing w:beforeLines="100" w:afterLines="100" w:line="360" w:lineRule="auto"/>
        <w:jc w:val="center"/>
        <w:outlineLvl w:val="2"/>
        <w:rPr>
          <w:rFonts w:asciiTheme="minorEastAsia" w:hAnsiTheme="minorEastAsia" w:eastAsiaTheme="minorEastAsia"/>
          <w:b/>
          <w:sz w:val="24"/>
        </w:rPr>
      </w:pPr>
    </w:p>
    <w:p w14:paraId="2A58FD78">
      <w:pPr>
        <w:pStyle w:val="15"/>
        <w:rPr>
          <w:rFonts w:asciiTheme="minorEastAsia" w:hAnsiTheme="minorEastAsia" w:eastAsiaTheme="minorEastAsia"/>
        </w:rPr>
      </w:pPr>
    </w:p>
    <w:p w14:paraId="1A68AE8C">
      <w:pPr>
        <w:rPr>
          <w:rFonts w:asciiTheme="minorEastAsia" w:hAnsiTheme="minorEastAsia" w:eastAsiaTheme="minorEastAsia"/>
        </w:rPr>
      </w:pPr>
    </w:p>
    <w:p w14:paraId="0656BD8B">
      <w:pPr>
        <w:pStyle w:val="15"/>
        <w:rPr>
          <w:rFonts w:asciiTheme="minorEastAsia" w:hAnsiTheme="minorEastAsia" w:eastAsiaTheme="minorEastAsia"/>
        </w:rPr>
      </w:pPr>
    </w:p>
    <w:p w14:paraId="22FE1100">
      <w:pPr>
        <w:rPr>
          <w:rFonts w:asciiTheme="minorEastAsia" w:hAnsiTheme="minorEastAsia" w:eastAsiaTheme="minorEastAsia"/>
        </w:rPr>
      </w:pPr>
    </w:p>
    <w:p w14:paraId="4418DE15">
      <w:pPr>
        <w:pStyle w:val="15"/>
        <w:rPr>
          <w:rFonts w:asciiTheme="minorEastAsia" w:hAnsiTheme="minorEastAsia" w:eastAsiaTheme="minorEastAsia"/>
        </w:rPr>
      </w:pPr>
    </w:p>
    <w:p w14:paraId="7D520874">
      <w:pPr>
        <w:rPr>
          <w:rFonts w:asciiTheme="minorEastAsia" w:hAnsiTheme="minorEastAsia" w:eastAsiaTheme="minorEastAsia"/>
        </w:rPr>
      </w:pPr>
    </w:p>
    <w:p w14:paraId="3C1BB2E1">
      <w:pPr>
        <w:pStyle w:val="15"/>
        <w:rPr>
          <w:rFonts w:asciiTheme="minorEastAsia" w:hAnsiTheme="minorEastAsia" w:eastAsiaTheme="minorEastAsia"/>
        </w:rPr>
      </w:pPr>
    </w:p>
    <w:p w14:paraId="621F6F34">
      <w:pPr>
        <w:rPr>
          <w:rFonts w:asciiTheme="minorEastAsia" w:hAnsiTheme="minorEastAsia" w:eastAsiaTheme="minorEastAsia"/>
        </w:rPr>
      </w:pPr>
    </w:p>
    <w:p w14:paraId="42BFACC0">
      <w:pPr>
        <w:pStyle w:val="15"/>
        <w:rPr>
          <w:rFonts w:asciiTheme="minorEastAsia" w:hAnsiTheme="minorEastAsia" w:eastAsiaTheme="minorEastAsia"/>
        </w:rPr>
      </w:pPr>
    </w:p>
    <w:p w14:paraId="544EC813">
      <w:pPr>
        <w:rPr>
          <w:rFonts w:asciiTheme="minorEastAsia" w:hAnsiTheme="minorEastAsia" w:eastAsiaTheme="minorEastAsia"/>
        </w:rPr>
      </w:pPr>
    </w:p>
    <w:p w14:paraId="61BDF9A4">
      <w:pPr>
        <w:pStyle w:val="15"/>
        <w:rPr>
          <w:rFonts w:asciiTheme="minorEastAsia" w:hAnsiTheme="minorEastAsia" w:eastAsiaTheme="minorEastAsia"/>
        </w:rPr>
      </w:pPr>
    </w:p>
    <w:p w14:paraId="15FF2C7D">
      <w:pPr>
        <w:rPr>
          <w:rFonts w:asciiTheme="minorEastAsia" w:hAnsiTheme="minorEastAsia" w:eastAsiaTheme="minorEastAsia"/>
        </w:rPr>
      </w:pPr>
    </w:p>
    <w:p w14:paraId="00E7F83C">
      <w:pPr>
        <w:pStyle w:val="15"/>
        <w:rPr>
          <w:rFonts w:asciiTheme="minorEastAsia" w:hAnsiTheme="minorEastAsia" w:eastAsiaTheme="minorEastAsia"/>
        </w:rPr>
      </w:pPr>
    </w:p>
    <w:p w14:paraId="3235E049">
      <w:pPr>
        <w:rPr>
          <w:rFonts w:asciiTheme="minorEastAsia" w:hAnsiTheme="minorEastAsia" w:eastAsiaTheme="minorEastAsia"/>
        </w:rPr>
      </w:pPr>
    </w:p>
    <w:p w14:paraId="26A8F2EC">
      <w:pPr>
        <w:pStyle w:val="15"/>
        <w:rPr>
          <w:rFonts w:asciiTheme="minorEastAsia" w:hAnsiTheme="minorEastAsia" w:eastAsiaTheme="minorEastAsia"/>
        </w:rPr>
      </w:pPr>
    </w:p>
    <w:p w14:paraId="56BEBABA">
      <w:pPr>
        <w:rPr>
          <w:rFonts w:asciiTheme="minorEastAsia" w:hAnsiTheme="minorEastAsia" w:eastAsiaTheme="minorEastAsia"/>
        </w:rPr>
      </w:pPr>
    </w:p>
    <w:p w14:paraId="4260676C">
      <w:pPr>
        <w:rPr>
          <w:rFonts w:asciiTheme="minorEastAsia" w:hAnsiTheme="minorEastAsia" w:eastAsiaTheme="minorEastAsia"/>
        </w:rPr>
      </w:pPr>
    </w:p>
    <w:p w14:paraId="5B85AE10">
      <w:pPr>
        <w:pStyle w:val="15"/>
        <w:rPr>
          <w:rFonts w:asciiTheme="minorEastAsia" w:hAnsiTheme="minorEastAsia" w:eastAsiaTheme="minorEastAsia"/>
        </w:rPr>
      </w:pPr>
    </w:p>
    <w:p w14:paraId="06A236A7"/>
    <w:p w14:paraId="5112B207">
      <w:pPr>
        <w:spacing w:line="440" w:lineRule="exact"/>
        <w:rPr>
          <w:rFonts w:hint="eastAsia"/>
          <w:szCs w:val="21"/>
          <w:highlight w:val="none"/>
        </w:rPr>
      </w:pPr>
    </w:p>
    <w:p w14:paraId="790E7938">
      <w:pPr>
        <w:spacing w:line="440" w:lineRule="exact"/>
        <w:rPr>
          <w:rFonts w:hint="eastAsia"/>
          <w:szCs w:val="21"/>
          <w:highlight w:val="none"/>
        </w:rPr>
      </w:pPr>
    </w:p>
    <w:p w14:paraId="7A4B343F">
      <w:pPr>
        <w:spacing w:line="440" w:lineRule="exact"/>
        <w:rPr>
          <w:rFonts w:hint="eastAsia"/>
          <w:szCs w:val="21"/>
          <w:highlight w:val="none"/>
        </w:rPr>
      </w:pPr>
    </w:p>
    <w:p w14:paraId="1B336B15">
      <w:pPr>
        <w:spacing w:line="440" w:lineRule="exact"/>
        <w:rPr>
          <w:rFonts w:hint="eastAsia"/>
          <w:szCs w:val="21"/>
          <w:highlight w:val="none"/>
        </w:rPr>
      </w:pPr>
    </w:p>
    <w:p w14:paraId="1CDC6A04">
      <w:pPr>
        <w:spacing w:line="440" w:lineRule="exact"/>
        <w:rPr>
          <w:rFonts w:hint="eastAsia"/>
          <w:szCs w:val="21"/>
          <w:highlight w:val="none"/>
        </w:rPr>
      </w:pPr>
    </w:p>
    <w:p w14:paraId="732291B8">
      <w:pPr>
        <w:spacing w:line="440" w:lineRule="exact"/>
        <w:rPr>
          <w:rFonts w:hint="eastAsia"/>
          <w:szCs w:val="21"/>
          <w:highlight w:val="none"/>
        </w:rPr>
      </w:pPr>
    </w:p>
    <w:p w14:paraId="53CC858B">
      <w:pPr>
        <w:spacing w:line="440" w:lineRule="exact"/>
        <w:rPr>
          <w:rFonts w:hint="eastAsia"/>
          <w:szCs w:val="21"/>
          <w:highlight w:val="none"/>
        </w:rPr>
      </w:pPr>
    </w:p>
    <w:p w14:paraId="53D35040">
      <w:pPr>
        <w:spacing w:line="440" w:lineRule="exact"/>
        <w:rPr>
          <w:rFonts w:hint="eastAsia"/>
          <w:szCs w:val="21"/>
          <w:highlight w:val="none"/>
        </w:rPr>
      </w:pPr>
    </w:p>
    <w:p w14:paraId="53D6EAB1">
      <w:pPr>
        <w:spacing w:line="440" w:lineRule="exact"/>
        <w:rPr>
          <w:rFonts w:hint="eastAsia"/>
          <w:szCs w:val="21"/>
          <w:highlight w:val="none"/>
        </w:rPr>
      </w:pPr>
    </w:p>
    <w:p w14:paraId="5D95B1AA">
      <w:pPr>
        <w:spacing w:line="440" w:lineRule="exact"/>
        <w:rPr>
          <w:rFonts w:hint="eastAsia"/>
          <w:szCs w:val="21"/>
          <w:highlight w:val="none"/>
        </w:rPr>
      </w:pPr>
    </w:p>
    <w:p w14:paraId="3314C430">
      <w:pPr>
        <w:spacing w:line="440" w:lineRule="exact"/>
        <w:rPr>
          <w:rFonts w:hint="eastAsia"/>
          <w:szCs w:val="21"/>
          <w:highlight w:val="none"/>
        </w:rPr>
      </w:pPr>
    </w:p>
    <w:p w14:paraId="6CB7EDFE">
      <w:pPr>
        <w:spacing w:line="440" w:lineRule="exact"/>
        <w:rPr>
          <w:rFonts w:hint="eastAsia"/>
          <w:szCs w:val="21"/>
          <w:highlight w:val="none"/>
        </w:rPr>
      </w:pPr>
    </w:p>
    <w:p w14:paraId="7E12FFBB">
      <w:pPr>
        <w:spacing w:line="440" w:lineRule="exact"/>
        <w:rPr>
          <w:rFonts w:hint="eastAsia"/>
          <w:szCs w:val="21"/>
          <w:highlight w:val="none"/>
        </w:rPr>
      </w:pPr>
    </w:p>
    <w:p w14:paraId="70E0739A">
      <w:pPr>
        <w:spacing w:line="440" w:lineRule="exact"/>
        <w:rPr>
          <w:rFonts w:hint="eastAsia"/>
          <w:szCs w:val="21"/>
          <w:highlight w:val="none"/>
        </w:rPr>
      </w:pPr>
    </w:p>
    <w:p w14:paraId="4D758ABD">
      <w:pPr>
        <w:spacing w:line="44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本页以下无内容</w:t>
      </w:r>
    </w:p>
    <w:p w14:paraId="0494880C">
      <w:pPr>
        <w:pStyle w:val="15"/>
        <w:rPr>
          <w:rFonts w:hint="eastAsia"/>
          <w:lang w:val="en-US" w:eastAsia="zh-CN"/>
        </w:rPr>
      </w:pPr>
    </w:p>
    <w:p w14:paraId="53A63B36">
      <w:pPr>
        <w:rPr>
          <w:rFonts w:hint="eastAsia"/>
          <w:lang w:val="en-US" w:eastAsia="zh-CN"/>
        </w:rPr>
      </w:pPr>
    </w:p>
    <w:p w14:paraId="3C305148">
      <w:pPr>
        <w:bidi w:val="0"/>
        <w:rPr>
          <w:rFonts w:hint="eastAsia" w:ascii="Times New Roman" w:hAnsi="Times New Roman" w:eastAsia="宋体" w:cs="Times New Roman"/>
          <w:kern w:val="2"/>
          <w:sz w:val="21"/>
          <w:szCs w:val="24"/>
          <w:lang w:val="en-US" w:eastAsia="zh-CN" w:bidi="ar-SA"/>
        </w:rPr>
      </w:pPr>
    </w:p>
    <w:p w14:paraId="1A1316AB">
      <w:pPr>
        <w:bidi w:val="0"/>
        <w:rPr>
          <w:rFonts w:hint="eastAsia"/>
          <w:lang w:val="en-US" w:eastAsia="zh-CN"/>
        </w:rPr>
      </w:pPr>
    </w:p>
    <w:p w14:paraId="29D96175">
      <w:pPr>
        <w:bidi w:val="0"/>
        <w:rPr>
          <w:rFonts w:hint="eastAsia"/>
          <w:lang w:val="en-US" w:eastAsia="zh-CN"/>
        </w:rPr>
      </w:pPr>
    </w:p>
    <w:p w14:paraId="573C36AE">
      <w:pPr>
        <w:bidi w:val="0"/>
        <w:rPr>
          <w:rFonts w:hint="eastAsia"/>
          <w:lang w:val="en-US" w:eastAsia="zh-CN"/>
        </w:rPr>
      </w:pPr>
    </w:p>
    <w:p w14:paraId="4D533227">
      <w:pPr>
        <w:bidi w:val="0"/>
        <w:rPr>
          <w:rFonts w:hint="eastAsia"/>
          <w:lang w:val="en-US" w:eastAsia="zh-CN"/>
        </w:rPr>
      </w:pPr>
    </w:p>
    <w:p w14:paraId="111EF881">
      <w:pPr>
        <w:bidi w:val="0"/>
        <w:rPr>
          <w:rFonts w:hint="eastAsia"/>
          <w:lang w:val="en-US" w:eastAsia="zh-CN"/>
        </w:rPr>
      </w:pPr>
    </w:p>
    <w:p w14:paraId="6D5B28FA">
      <w:pPr>
        <w:bidi w:val="0"/>
        <w:rPr>
          <w:rFonts w:hint="eastAsia"/>
          <w:lang w:val="en-US" w:eastAsia="zh-CN"/>
        </w:rPr>
      </w:pPr>
    </w:p>
    <w:p w14:paraId="192AC03C">
      <w:pPr>
        <w:bidi w:val="0"/>
        <w:rPr>
          <w:rFonts w:hint="eastAsia"/>
          <w:lang w:val="en-US" w:eastAsia="zh-CN"/>
        </w:rPr>
      </w:pPr>
    </w:p>
    <w:p w14:paraId="3482F5B9">
      <w:pPr>
        <w:bidi w:val="0"/>
        <w:rPr>
          <w:rFonts w:hint="eastAsia"/>
          <w:lang w:val="en-US" w:eastAsia="zh-CN"/>
        </w:rPr>
      </w:pPr>
    </w:p>
    <w:p w14:paraId="48E7E2CC">
      <w:pPr>
        <w:bidi w:val="0"/>
        <w:rPr>
          <w:rFonts w:hint="eastAsia"/>
          <w:lang w:val="en-US" w:eastAsia="zh-CN"/>
        </w:rPr>
      </w:pPr>
    </w:p>
    <w:bookmarkEnd w:id="13"/>
    <w:p w14:paraId="7050FF67">
      <w:pPr>
        <w:tabs>
          <w:tab w:val="left" w:pos="2570"/>
        </w:tabs>
        <w:bidi w:val="0"/>
        <w:jc w:val="left"/>
        <w:rPr>
          <w:rFonts w:hint="eastAsia"/>
          <w:lang w:val="en-US" w:eastAsia="zh-CN"/>
        </w:rPr>
      </w:pPr>
    </w:p>
    <w:sectPr>
      <w:footnotePr>
        <w:numFmt w:val="decimalEnclosedCircleChinese"/>
        <w:numRestart w:val="eachPage"/>
      </w:footnotePr>
      <w:pgSz w:w="11905" w:h="16838"/>
      <w:pgMar w:top="1304" w:right="1236" w:bottom="1304" w:left="1236" w:header="1020" w:footer="680" w:gutter="0"/>
      <w:pgBorders w:zOrder="back">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09AF">
    <w:pPr>
      <w:pStyle w:val="27"/>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C60A4">
    <w:pPr>
      <w:pStyle w:val="27"/>
      <w:ind w:right="72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5C3C52">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695C3C52">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BD8C">
    <w:pPr>
      <w:pStyle w:val="27"/>
      <w:ind w:right="720"/>
      <w:rPr>
        <w:rFonts w:hint="eastAsia" w:ascii="宋体" w:hAnsi="宋体" w:eastAsia="宋体"/>
        <w:b/>
        <w:kern w:val="2"/>
        <w:sz w:val="21"/>
        <w:szCs w:val="21"/>
        <w:lang w:val="en-US" w:eastAsia="zh-CN" w:bidi="ar-SA"/>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511015">
                          <w:pPr>
                            <w:pStyle w:val="2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70511015">
                    <w:pPr>
                      <w:pStyle w:val="2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8184">
    <w:pPr>
      <w:pStyle w:val="15"/>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8C3747">
                          <w:pPr>
                            <w:pStyle w:val="27"/>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308C3747">
                    <w:pPr>
                      <w:pStyle w:val="27"/>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92D3">
    <w:pPr>
      <w:keepNext w:val="0"/>
      <w:keepLines w:val="0"/>
      <w:pageBreakBefore w:val="0"/>
      <w:widowControl w:val="0"/>
      <w:pBdr>
        <w:bottom w:val="none" w:color="auto" w:sz="0" w:space="1"/>
      </w:pBdr>
      <w:tabs>
        <w:tab w:val="left" w:pos="416"/>
        <w:tab w:val="right" w:pos="9206"/>
      </w:tabs>
      <w:kinsoku/>
      <w:wordWrap/>
      <w:overflowPunct/>
      <w:topLinePunct w:val="0"/>
      <w:autoSpaceDE/>
      <w:autoSpaceDN/>
      <w:bidi w:val="0"/>
      <w:adjustRightInd/>
      <w:snapToGrid w:val="0"/>
      <w:spacing w:line="312" w:lineRule="auto"/>
      <w:ind w:right="-21" w:rightChars="-10"/>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AEF8">
    <w:pPr>
      <w:pBdr>
        <w:bottom w:val="none" w:color="auto" w:sz="0" w:space="1"/>
      </w:pBdr>
      <w:tabs>
        <w:tab w:val="left" w:pos="416"/>
        <w:tab w:val="right" w:pos="9206"/>
      </w:tabs>
      <w:spacing w:line="240" w:lineRule="exact"/>
      <w:ind w:right="-21" w:rightChars="-10"/>
      <w:rPr>
        <w:rFonts w:hint="eastAsia" w:ascii="宋体" w:hAnsi="宋体"/>
        <w:b/>
        <w:color w:val="auto"/>
        <w:sz w:val="21"/>
        <w:szCs w:val="21"/>
        <w:lang w:eastAsia="zh-CN"/>
      </w:rPr>
    </w:pPr>
  </w:p>
  <w:p w14:paraId="77F3E190">
    <w:pPr>
      <w:keepNext w:val="0"/>
      <w:keepLines w:val="0"/>
      <w:pageBreakBefore w:val="0"/>
      <w:widowControl w:val="0"/>
      <w:pBdr>
        <w:bottom w:val="none" w:color="auto" w:sz="0" w:space="1"/>
      </w:pBdr>
      <w:tabs>
        <w:tab w:val="left" w:pos="416"/>
        <w:tab w:val="right" w:pos="9206"/>
      </w:tabs>
      <w:kinsoku/>
      <w:wordWrap/>
      <w:overflowPunct/>
      <w:topLinePunct w:val="0"/>
      <w:autoSpaceDE/>
      <w:autoSpaceDN/>
      <w:bidi w:val="0"/>
      <w:adjustRightInd/>
      <w:snapToGrid/>
      <w:spacing w:line="360" w:lineRule="auto"/>
      <w:ind w:right="-21" w:rightChars="-10"/>
      <w:textAlignment w:val="auto"/>
      <w:rPr>
        <w:rFonts w:ascii="宋体" w:hAnsi="宋体"/>
        <w:b/>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57B9">
    <w:pPr>
      <w:pStyle w:val="15"/>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483235</wp:posOffset>
              </wp:positionV>
              <wp:extent cx="2977515" cy="76200"/>
              <wp:effectExtent l="0" t="0" r="0" b="0"/>
              <wp:wrapNone/>
              <wp:docPr id="45" name="文本框 38"/>
              <wp:cNvGraphicFramePr/>
              <a:graphic xmlns:a="http://schemas.openxmlformats.org/drawingml/2006/main">
                <a:graphicData uri="http://schemas.microsoft.com/office/word/2010/wordprocessingShape">
                  <wps:wsp>
                    <wps:cNvSpPr txBox="1"/>
                    <wps:spPr>
                      <a:xfrm flipV="1">
                        <a:off x="0" y="0"/>
                        <a:ext cx="2977515" cy="76200"/>
                      </a:xfrm>
                      <a:prstGeom prst="rect">
                        <a:avLst/>
                      </a:prstGeom>
                      <a:noFill/>
                      <a:ln>
                        <a:noFill/>
                      </a:ln>
                    </wps:spPr>
                    <wps:txbx>
                      <w:txbxContent>
                        <w:p w14:paraId="6F60AD8E">
                          <w:pPr>
                            <w:rPr>
                              <w:sz w:val="18"/>
                            </w:rPr>
                          </w:pPr>
                        </w:p>
                      </w:txbxContent>
                    </wps:txbx>
                    <wps:bodyPr lIns="0" tIns="0" rIns="0" bIns="0" upright="1"/>
                  </wps:wsp>
                </a:graphicData>
              </a:graphic>
            </wp:anchor>
          </w:drawing>
        </mc:Choice>
        <mc:Fallback>
          <w:pict>
            <v:shape id="文本框 38" o:spid="_x0000_s1026" o:spt="202" type="#_x0000_t202" style="position:absolute;left:0pt;flip:y;margin-left:89pt;margin-top:38.05pt;height:6pt;width:234.45pt;mso-position-horizontal-relative:page;mso-position-vertical-relative:page;z-index:-251656192;mso-width-relative:page;mso-height-relative:page;" filled="f" stroked="f" coordsize="21600,21600" o:gfxdata="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r1uwdgAAAAJAQAADwAAAAAAAAABACAAAAAiAAAAZHJzL2Rvd25yZXYu&#10;eG1sUEsBAhQAFAAAAAgAh07iQGMfVADCAQAAfQMAAA4AAAAAAAAAAQAgAAAAJwEAAGRycy9lMm9E&#10;b2MueG1sUEsFBgAAAAAGAAYAWQEAAFsFAAAAAA==&#10;">
              <v:fill on="f" focussize="0,0"/>
              <v:stroke on="f"/>
              <v:imagedata o:title=""/>
              <o:lock v:ext="edit" aspectratio="f"/>
              <v:textbox inset="0mm,0mm,0mm,0mm">
                <w:txbxContent>
                  <w:p w14:paraId="6F60AD8E">
                    <w:pPr>
                      <w:rPr>
                        <w:sz w:val="18"/>
                      </w:rPr>
                    </w:pP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5910580</wp:posOffset>
              </wp:positionH>
              <wp:positionV relativeFrom="page">
                <wp:posOffset>544830</wp:posOffset>
              </wp:positionV>
              <wp:extent cx="482600" cy="139700"/>
              <wp:effectExtent l="0" t="0" r="0" b="0"/>
              <wp:wrapNone/>
              <wp:docPr id="46" name="文本框 39"/>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04E6B827">
                          <w:pPr>
                            <w:spacing w:line="220" w:lineRule="exact"/>
                            <w:rPr>
                              <w:sz w:val="18"/>
                            </w:rPr>
                          </w:pPr>
                        </w:p>
                      </w:txbxContent>
                    </wps:txbx>
                    <wps:bodyPr lIns="0" tIns="0" rIns="0" bIns="0" upright="1"/>
                  </wps:wsp>
                </a:graphicData>
              </a:graphic>
            </wp:anchor>
          </w:drawing>
        </mc:Choice>
        <mc:Fallback>
          <w:pict>
            <v:shape id="文本框 39" o:spid="_x0000_s1026" o:spt="202" type="#_x0000_t202" style="position:absolute;left:0pt;margin-left:465.4pt;margin-top:42.9pt;height:11pt;width:38pt;mso-position-horizontal-relative:page;mso-position-vertical-relative:page;z-index:-251655168;mso-width-relative:page;mso-height-relative:page;" filled="f" stroked="f" coordsize="21600,21600" o:gfxdata="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zCq+XXAAAACwEAAA8AAAAAAAAAAQAgAAAAIgAAAGRycy9kb3ducmV2LnhtbFBLAQIU&#10;ABQAAAAIAIdO4kDuIUEouwEAAHMDAAAOAAAAAAAAAAEAIAAAACYBAABkcnMvZTJvRG9jLnhtbFBL&#10;BQYAAAAABgAGAFkBAABTBQAAAAA=&#10;">
              <v:fill on="f" focussize="0,0"/>
              <v:stroke on="f"/>
              <v:imagedata o:title=""/>
              <o:lock v:ext="edit" aspectratio="f"/>
              <v:textbox inset="0mm,0mm,0mm,0mm">
                <w:txbxContent>
                  <w:p w14:paraId="04E6B827">
                    <w:pPr>
                      <w:spacing w:line="220" w:lineRule="exact"/>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359A6"/>
    <w:multiLevelType w:val="singleLevel"/>
    <w:tmpl w:val="99A359A6"/>
    <w:lvl w:ilvl="0" w:tentative="0">
      <w:start w:val="1"/>
      <w:numFmt w:val="decimal"/>
      <w:suff w:val="nothing"/>
      <w:lvlText w:val="%1、"/>
      <w:lvlJc w:val="left"/>
    </w:lvl>
  </w:abstractNum>
  <w:abstractNum w:abstractNumId="1">
    <w:nsid w:val="B486FE6D"/>
    <w:multiLevelType w:val="singleLevel"/>
    <w:tmpl w:val="B486FE6D"/>
    <w:lvl w:ilvl="0" w:tentative="0">
      <w:start w:val="5"/>
      <w:numFmt w:val="chineseCounting"/>
      <w:suff w:val="nothing"/>
      <w:lvlText w:val="（%1）"/>
      <w:lvlJc w:val="left"/>
      <w:rPr>
        <w:rFonts w:hint="eastAsia"/>
      </w:rPr>
    </w:lvl>
  </w:abstractNum>
  <w:abstractNum w:abstractNumId="2">
    <w:nsid w:val="D07728AA"/>
    <w:multiLevelType w:val="singleLevel"/>
    <w:tmpl w:val="D07728AA"/>
    <w:lvl w:ilvl="0" w:tentative="0">
      <w:start w:val="1"/>
      <w:numFmt w:val="decimal"/>
      <w:suff w:val="nothing"/>
      <w:lvlText w:val="（%1）"/>
      <w:lvlJc w:val="left"/>
    </w:lvl>
  </w:abstractNum>
  <w:abstractNum w:abstractNumId="3">
    <w:nsid w:val="00000000"/>
    <w:multiLevelType w:val="singleLevel"/>
    <w:tmpl w:val="00000000"/>
    <w:lvl w:ilvl="0" w:tentative="0">
      <w:start w:val="501"/>
      <w:numFmt w:val="decimal"/>
      <w:pStyle w:val="26"/>
      <w:lvlText w:val="%1节"/>
      <w:lvlJc w:val="left"/>
      <w:pPr>
        <w:tabs>
          <w:tab w:val="left" w:pos="1005"/>
        </w:tabs>
        <w:ind w:left="1005" w:hanging="1005"/>
      </w:pPr>
      <w:rPr>
        <w:rFonts w:hint="eastAsia"/>
      </w:rPr>
    </w:lvl>
  </w:abstractNum>
  <w:abstractNum w:abstractNumId="4">
    <w:nsid w:val="00000001"/>
    <w:multiLevelType w:val="multilevel"/>
    <w:tmpl w:val="00000001"/>
    <w:lvl w:ilvl="0" w:tentative="0">
      <w:start w:val="1"/>
      <w:numFmt w:val="decimal"/>
      <w:pStyle w:val="86"/>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00000002"/>
    <w:multiLevelType w:val="singleLevel"/>
    <w:tmpl w:val="00000002"/>
    <w:lvl w:ilvl="0" w:tentative="0">
      <w:start w:val="1"/>
      <w:numFmt w:val="upperLetter"/>
      <w:pStyle w:val="3"/>
      <w:lvlText w:val="%1、"/>
      <w:lvlJc w:val="left"/>
      <w:pPr>
        <w:tabs>
          <w:tab w:val="left" w:pos="960"/>
        </w:tabs>
        <w:ind w:left="960" w:hanging="324"/>
      </w:pPr>
      <w:rPr>
        <w:rFonts w:hint="eastAsia"/>
      </w:rPr>
    </w:lvl>
  </w:abstractNum>
  <w:abstractNum w:abstractNumId="6">
    <w:nsid w:val="00000003"/>
    <w:multiLevelType w:val="singleLevel"/>
    <w:tmpl w:val="00000003"/>
    <w:lvl w:ilvl="0" w:tentative="0">
      <w:start w:val="1"/>
      <w:numFmt w:val="upperLetter"/>
      <w:pStyle w:val="2"/>
      <w:lvlText w:val="%1．"/>
      <w:lvlJc w:val="left"/>
      <w:pPr>
        <w:tabs>
          <w:tab w:val="left" w:pos="324"/>
        </w:tabs>
        <w:ind w:left="4524" w:hanging="324"/>
      </w:pPr>
      <w:rPr>
        <w:rFonts w:hint="eastAsia"/>
      </w:rPr>
    </w:lvl>
  </w:abstractNum>
  <w:abstractNum w:abstractNumId="7">
    <w:nsid w:val="00000004"/>
    <w:multiLevelType w:val="singleLevel"/>
    <w:tmpl w:val="00000004"/>
    <w:lvl w:ilvl="0" w:tentative="0">
      <w:start w:val="1"/>
      <w:numFmt w:val="upperLetter"/>
      <w:pStyle w:val="4"/>
      <w:lvlText w:val="%1、"/>
      <w:lvlJc w:val="left"/>
      <w:pPr>
        <w:tabs>
          <w:tab w:val="left" w:pos="960"/>
        </w:tabs>
        <w:ind w:left="960" w:hanging="324"/>
      </w:pPr>
      <w:rPr>
        <w:rFonts w:hint="eastAsia"/>
      </w:rPr>
    </w:lvl>
  </w:abstractNum>
  <w:abstractNum w:abstractNumId="8">
    <w:nsid w:val="00000005"/>
    <w:multiLevelType w:val="multilevel"/>
    <w:tmpl w:val="00000005"/>
    <w:lvl w:ilvl="0" w:tentative="0">
      <w:start w:val="2"/>
      <w:numFmt w:val="upperLetter"/>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8"/>
    <w:multiLevelType w:val="singleLevel"/>
    <w:tmpl w:val="00000008"/>
    <w:lvl w:ilvl="0" w:tentative="0">
      <w:start w:val="2"/>
      <w:numFmt w:val="decimal"/>
      <w:suff w:val="nothing"/>
      <w:lvlText w:val="%1、"/>
      <w:lvlJc w:val="left"/>
    </w:lvl>
  </w:abstractNum>
  <w:abstractNum w:abstractNumId="10">
    <w:nsid w:val="0F38459D"/>
    <w:multiLevelType w:val="singleLevel"/>
    <w:tmpl w:val="0F38459D"/>
    <w:lvl w:ilvl="0" w:tentative="0">
      <w:start w:val="1"/>
      <w:numFmt w:val="decimal"/>
      <w:suff w:val="nothing"/>
      <w:lvlText w:val="（%1）"/>
      <w:lvlJc w:val="left"/>
    </w:lvl>
  </w:abstractNum>
  <w:abstractNum w:abstractNumId="11">
    <w:nsid w:val="2370C671"/>
    <w:multiLevelType w:val="singleLevel"/>
    <w:tmpl w:val="2370C671"/>
    <w:lvl w:ilvl="0" w:tentative="0">
      <w:start w:val="4"/>
      <w:numFmt w:val="chineseCounting"/>
      <w:suff w:val="space"/>
      <w:lvlText w:val="第%1章"/>
      <w:lvlJc w:val="left"/>
      <w:rPr>
        <w:rFonts w:hint="eastAsia"/>
      </w:rPr>
    </w:lvl>
  </w:abstractNum>
  <w:abstractNum w:abstractNumId="12">
    <w:nsid w:val="2C25AE59"/>
    <w:multiLevelType w:val="singleLevel"/>
    <w:tmpl w:val="2C25AE59"/>
    <w:lvl w:ilvl="0" w:tentative="0">
      <w:start w:val="1"/>
      <w:numFmt w:val="decimal"/>
      <w:lvlText w:val="%1."/>
      <w:lvlJc w:val="left"/>
      <w:pPr>
        <w:tabs>
          <w:tab w:val="left" w:pos="312"/>
        </w:tabs>
      </w:pPr>
    </w:lvl>
  </w:abstractNum>
  <w:num w:numId="1">
    <w:abstractNumId w:val="6"/>
  </w:num>
  <w:num w:numId="2">
    <w:abstractNumId w:val="5"/>
  </w:num>
  <w:num w:numId="3">
    <w:abstractNumId w:val="7"/>
  </w:num>
  <w:num w:numId="4">
    <w:abstractNumId w:val="8"/>
  </w:num>
  <w:num w:numId="5">
    <w:abstractNumId w:val="3"/>
  </w:num>
  <w:num w:numId="6">
    <w:abstractNumId w:val="4"/>
  </w:num>
  <w:num w:numId="7">
    <w:abstractNumId w:val="10"/>
  </w:num>
  <w:num w:numId="8">
    <w:abstractNumId w:val="2"/>
  </w:num>
  <w:num w:numId="9">
    <w:abstractNumId w:val="0"/>
  </w:num>
  <w:num w:numId="10">
    <w:abstractNumId w:val="12"/>
  </w:num>
  <w:num w:numId="11">
    <w:abstractNumId w:val="11"/>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NGFmYWU2ZDcxYmRjNzZmOTYxZWY3MzJiN2M4MWUifQ=="/>
  </w:docVars>
  <w:rsids>
    <w:rsidRoot w:val="00172A27"/>
    <w:rsid w:val="00017F87"/>
    <w:rsid w:val="003550AC"/>
    <w:rsid w:val="003828F7"/>
    <w:rsid w:val="008F05D9"/>
    <w:rsid w:val="00B73A45"/>
    <w:rsid w:val="00B76D79"/>
    <w:rsid w:val="00E951FB"/>
    <w:rsid w:val="01086C64"/>
    <w:rsid w:val="010A478A"/>
    <w:rsid w:val="01253372"/>
    <w:rsid w:val="013D4B60"/>
    <w:rsid w:val="013F4B28"/>
    <w:rsid w:val="014D4677"/>
    <w:rsid w:val="015772A4"/>
    <w:rsid w:val="018B2BFB"/>
    <w:rsid w:val="01AB0F5B"/>
    <w:rsid w:val="01CB720C"/>
    <w:rsid w:val="01D37272"/>
    <w:rsid w:val="01F64D0F"/>
    <w:rsid w:val="02240417"/>
    <w:rsid w:val="02696AD2"/>
    <w:rsid w:val="028E32E6"/>
    <w:rsid w:val="03236A0A"/>
    <w:rsid w:val="038C592B"/>
    <w:rsid w:val="03B60BF9"/>
    <w:rsid w:val="03E76528"/>
    <w:rsid w:val="03FA1665"/>
    <w:rsid w:val="04137DFA"/>
    <w:rsid w:val="046057CC"/>
    <w:rsid w:val="04D7151E"/>
    <w:rsid w:val="05077B7F"/>
    <w:rsid w:val="0530224E"/>
    <w:rsid w:val="05976809"/>
    <w:rsid w:val="05CF7D50"/>
    <w:rsid w:val="05DD2267"/>
    <w:rsid w:val="05FE717A"/>
    <w:rsid w:val="06066E48"/>
    <w:rsid w:val="062762E3"/>
    <w:rsid w:val="06514C09"/>
    <w:rsid w:val="066E7569"/>
    <w:rsid w:val="06791BE5"/>
    <w:rsid w:val="068612A4"/>
    <w:rsid w:val="06A77B06"/>
    <w:rsid w:val="06C451CB"/>
    <w:rsid w:val="06C640F1"/>
    <w:rsid w:val="06F64AEE"/>
    <w:rsid w:val="06F87E64"/>
    <w:rsid w:val="070C732D"/>
    <w:rsid w:val="071719AF"/>
    <w:rsid w:val="07407660"/>
    <w:rsid w:val="07416A2C"/>
    <w:rsid w:val="074472B2"/>
    <w:rsid w:val="078D7EC3"/>
    <w:rsid w:val="07D57174"/>
    <w:rsid w:val="087C03D9"/>
    <w:rsid w:val="08B130B1"/>
    <w:rsid w:val="08E7715F"/>
    <w:rsid w:val="09102B5A"/>
    <w:rsid w:val="094C15FE"/>
    <w:rsid w:val="09746495"/>
    <w:rsid w:val="09AC5484"/>
    <w:rsid w:val="0A1B5312"/>
    <w:rsid w:val="0A2978EC"/>
    <w:rsid w:val="0A747570"/>
    <w:rsid w:val="0A9867C9"/>
    <w:rsid w:val="0B2B5191"/>
    <w:rsid w:val="0B422D73"/>
    <w:rsid w:val="0B554854"/>
    <w:rsid w:val="0B6220B0"/>
    <w:rsid w:val="0B756CA4"/>
    <w:rsid w:val="0B7A347B"/>
    <w:rsid w:val="0BC824E0"/>
    <w:rsid w:val="0C4F1BEB"/>
    <w:rsid w:val="0C6C036D"/>
    <w:rsid w:val="0C965422"/>
    <w:rsid w:val="0CBD4F84"/>
    <w:rsid w:val="0CFF50CF"/>
    <w:rsid w:val="0D674D12"/>
    <w:rsid w:val="0D8B0A01"/>
    <w:rsid w:val="0D904269"/>
    <w:rsid w:val="0DBA7538"/>
    <w:rsid w:val="0DC67D96"/>
    <w:rsid w:val="0DCB5E6B"/>
    <w:rsid w:val="0DCE4AEA"/>
    <w:rsid w:val="0E057AA3"/>
    <w:rsid w:val="0E176739"/>
    <w:rsid w:val="0E342E47"/>
    <w:rsid w:val="0E3746E5"/>
    <w:rsid w:val="0E523904"/>
    <w:rsid w:val="0E912047"/>
    <w:rsid w:val="0EEC3721"/>
    <w:rsid w:val="0EF3685E"/>
    <w:rsid w:val="0F0F5662"/>
    <w:rsid w:val="0F424977"/>
    <w:rsid w:val="0F681681"/>
    <w:rsid w:val="0F7200CA"/>
    <w:rsid w:val="0F9C11AC"/>
    <w:rsid w:val="0F9D2C6D"/>
    <w:rsid w:val="0FE4264A"/>
    <w:rsid w:val="0FFA6FF1"/>
    <w:rsid w:val="0FFF1232"/>
    <w:rsid w:val="104D6442"/>
    <w:rsid w:val="105B24BD"/>
    <w:rsid w:val="10871A1E"/>
    <w:rsid w:val="10AF4A06"/>
    <w:rsid w:val="10D73F5D"/>
    <w:rsid w:val="11C91AF8"/>
    <w:rsid w:val="11D861DF"/>
    <w:rsid w:val="121E232E"/>
    <w:rsid w:val="122136E2"/>
    <w:rsid w:val="12311F7A"/>
    <w:rsid w:val="12521AED"/>
    <w:rsid w:val="1261355C"/>
    <w:rsid w:val="128C29CB"/>
    <w:rsid w:val="12966798"/>
    <w:rsid w:val="12AB242A"/>
    <w:rsid w:val="12DA506C"/>
    <w:rsid w:val="12F523FC"/>
    <w:rsid w:val="13422116"/>
    <w:rsid w:val="13620456"/>
    <w:rsid w:val="13623FB2"/>
    <w:rsid w:val="136A10B9"/>
    <w:rsid w:val="1376180B"/>
    <w:rsid w:val="14180B15"/>
    <w:rsid w:val="143040B0"/>
    <w:rsid w:val="146401FE"/>
    <w:rsid w:val="14706713"/>
    <w:rsid w:val="14726397"/>
    <w:rsid w:val="14A8633C"/>
    <w:rsid w:val="14FD48D3"/>
    <w:rsid w:val="14FF614A"/>
    <w:rsid w:val="150B421B"/>
    <w:rsid w:val="155E3DAC"/>
    <w:rsid w:val="155E69FB"/>
    <w:rsid w:val="159B2CC1"/>
    <w:rsid w:val="15CA5B4B"/>
    <w:rsid w:val="16114E4F"/>
    <w:rsid w:val="161D1B33"/>
    <w:rsid w:val="165F6ECF"/>
    <w:rsid w:val="16AC7F60"/>
    <w:rsid w:val="16B7206D"/>
    <w:rsid w:val="16D03928"/>
    <w:rsid w:val="16D45DE4"/>
    <w:rsid w:val="16FA2753"/>
    <w:rsid w:val="171C4DC0"/>
    <w:rsid w:val="17224BAF"/>
    <w:rsid w:val="17776329"/>
    <w:rsid w:val="17910D8D"/>
    <w:rsid w:val="179D1A5D"/>
    <w:rsid w:val="18D05E62"/>
    <w:rsid w:val="18FA4C8D"/>
    <w:rsid w:val="18FE2DF5"/>
    <w:rsid w:val="19291BDD"/>
    <w:rsid w:val="192D0BBE"/>
    <w:rsid w:val="1A2B1C64"/>
    <w:rsid w:val="1A541902"/>
    <w:rsid w:val="1A7B2A49"/>
    <w:rsid w:val="1A941AD7"/>
    <w:rsid w:val="1AB0689F"/>
    <w:rsid w:val="1ABF1CEA"/>
    <w:rsid w:val="1AD01845"/>
    <w:rsid w:val="1AE654C9"/>
    <w:rsid w:val="1B9C0A52"/>
    <w:rsid w:val="1C365BA0"/>
    <w:rsid w:val="1C454471"/>
    <w:rsid w:val="1C733ECC"/>
    <w:rsid w:val="1CB174D9"/>
    <w:rsid w:val="1D187DD7"/>
    <w:rsid w:val="1D7E5E8C"/>
    <w:rsid w:val="1D864D41"/>
    <w:rsid w:val="1DB4365C"/>
    <w:rsid w:val="1E0F4D36"/>
    <w:rsid w:val="1E193E07"/>
    <w:rsid w:val="1E923FCD"/>
    <w:rsid w:val="1ED609F7"/>
    <w:rsid w:val="1EF108E0"/>
    <w:rsid w:val="1F136AA8"/>
    <w:rsid w:val="1F262338"/>
    <w:rsid w:val="1F6D61B8"/>
    <w:rsid w:val="1F7532BF"/>
    <w:rsid w:val="1F7D3F22"/>
    <w:rsid w:val="1F8A2775"/>
    <w:rsid w:val="20014799"/>
    <w:rsid w:val="20427645"/>
    <w:rsid w:val="204D5FEA"/>
    <w:rsid w:val="20517888"/>
    <w:rsid w:val="20981796"/>
    <w:rsid w:val="20A72714"/>
    <w:rsid w:val="20B47E17"/>
    <w:rsid w:val="20C75D9C"/>
    <w:rsid w:val="212E1977"/>
    <w:rsid w:val="213D7E0C"/>
    <w:rsid w:val="21494A03"/>
    <w:rsid w:val="218B501C"/>
    <w:rsid w:val="22447AB7"/>
    <w:rsid w:val="2273247E"/>
    <w:rsid w:val="22C5630B"/>
    <w:rsid w:val="23037246"/>
    <w:rsid w:val="23040BE2"/>
    <w:rsid w:val="237057C5"/>
    <w:rsid w:val="23A233FC"/>
    <w:rsid w:val="23C12F77"/>
    <w:rsid w:val="23C44BAF"/>
    <w:rsid w:val="23F24DBD"/>
    <w:rsid w:val="246B5982"/>
    <w:rsid w:val="24C0322E"/>
    <w:rsid w:val="24CF57D5"/>
    <w:rsid w:val="24D46CDA"/>
    <w:rsid w:val="24FA7797"/>
    <w:rsid w:val="24FB6014"/>
    <w:rsid w:val="255F2A47"/>
    <w:rsid w:val="25B82157"/>
    <w:rsid w:val="25C96113"/>
    <w:rsid w:val="25E167D1"/>
    <w:rsid w:val="260D24A3"/>
    <w:rsid w:val="261F3F85"/>
    <w:rsid w:val="267A5E88"/>
    <w:rsid w:val="26804A23"/>
    <w:rsid w:val="26B7655A"/>
    <w:rsid w:val="26B96F72"/>
    <w:rsid w:val="26E921AF"/>
    <w:rsid w:val="26EC030B"/>
    <w:rsid w:val="26F85A85"/>
    <w:rsid w:val="27147861"/>
    <w:rsid w:val="273829FE"/>
    <w:rsid w:val="274E2D73"/>
    <w:rsid w:val="27A535C8"/>
    <w:rsid w:val="27B50439"/>
    <w:rsid w:val="27C44DE4"/>
    <w:rsid w:val="27DC212D"/>
    <w:rsid w:val="28090A48"/>
    <w:rsid w:val="281C4C20"/>
    <w:rsid w:val="28635BF1"/>
    <w:rsid w:val="287F0D0A"/>
    <w:rsid w:val="28935663"/>
    <w:rsid w:val="28EF67CA"/>
    <w:rsid w:val="29365F81"/>
    <w:rsid w:val="2952510D"/>
    <w:rsid w:val="2953641F"/>
    <w:rsid w:val="29891E41"/>
    <w:rsid w:val="29936842"/>
    <w:rsid w:val="29C43714"/>
    <w:rsid w:val="29D13B2A"/>
    <w:rsid w:val="29D37560"/>
    <w:rsid w:val="2A155EC2"/>
    <w:rsid w:val="2A406161"/>
    <w:rsid w:val="2A790107"/>
    <w:rsid w:val="2A801885"/>
    <w:rsid w:val="2A9A62D0"/>
    <w:rsid w:val="2AFC6BF4"/>
    <w:rsid w:val="2B3B58CE"/>
    <w:rsid w:val="2B610D51"/>
    <w:rsid w:val="2B7D59D5"/>
    <w:rsid w:val="2B8A5870"/>
    <w:rsid w:val="2B8C59AD"/>
    <w:rsid w:val="2BAA0794"/>
    <w:rsid w:val="2BFF58A1"/>
    <w:rsid w:val="2C3A67D4"/>
    <w:rsid w:val="2C5D5807"/>
    <w:rsid w:val="2C936DDA"/>
    <w:rsid w:val="2CA432DE"/>
    <w:rsid w:val="2CBA6005"/>
    <w:rsid w:val="2CBB76A2"/>
    <w:rsid w:val="2CEE645F"/>
    <w:rsid w:val="2D1063D5"/>
    <w:rsid w:val="2D9E4BCE"/>
    <w:rsid w:val="2DB651CE"/>
    <w:rsid w:val="2DDD09AD"/>
    <w:rsid w:val="2E4D70A5"/>
    <w:rsid w:val="2E555DDB"/>
    <w:rsid w:val="2E5E283C"/>
    <w:rsid w:val="2ED40002"/>
    <w:rsid w:val="2EE00126"/>
    <w:rsid w:val="2F106B60"/>
    <w:rsid w:val="2FAC4236"/>
    <w:rsid w:val="300F0BC6"/>
    <w:rsid w:val="300F6E18"/>
    <w:rsid w:val="304F2CF1"/>
    <w:rsid w:val="30AF5AC3"/>
    <w:rsid w:val="30C1096A"/>
    <w:rsid w:val="30E262DA"/>
    <w:rsid w:val="30F06C49"/>
    <w:rsid w:val="313E0AA9"/>
    <w:rsid w:val="31592805"/>
    <w:rsid w:val="316B2774"/>
    <w:rsid w:val="31AF2660"/>
    <w:rsid w:val="31CF5FF3"/>
    <w:rsid w:val="31D64091"/>
    <w:rsid w:val="328B4E7C"/>
    <w:rsid w:val="3293788C"/>
    <w:rsid w:val="32A221C5"/>
    <w:rsid w:val="32C959A4"/>
    <w:rsid w:val="32DF3241"/>
    <w:rsid w:val="32FE490C"/>
    <w:rsid w:val="332C674F"/>
    <w:rsid w:val="334465AA"/>
    <w:rsid w:val="334D3EDF"/>
    <w:rsid w:val="336F654B"/>
    <w:rsid w:val="3375670F"/>
    <w:rsid w:val="338027AA"/>
    <w:rsid w:val="341113B0"/>
    <w:rsid w:val="34442671"/>
    <w:rsid w:val="3496530B"/>
    <w:rsid w:val="34FC07C4"/>
    <w:rsid w:val="35D817F8"/>
    <w:rsid w:val="35FE3BB6"/>
    <w:rsid w:val="361A6F25"/>
    <w:rsid w:val="36633A19"/>
    <w:rsid w:val="366928B3"/>
    <w:rsid w:val="368E4CCF"/>
    <w:rsid w:val="369D794B"/>
    <w:rsid w:val="36AE4022"/>
    <w:rsid w:val="36BB1AA7"/>
    <w:rsid w:val="36E87048"/>
    <w:rsid w:val="37691503"/>
    <w:rsid w:val="376C68FE"/>
    <w:rsid w:val="379F12FD"/>
    <w:rsid w:val="37C16C4A"/>
    <w:rsid w:val="37EB1F18"/>
    <w:rsid w:val="381B1119"/>
    <w:rsid w:val="38390ED6"/>
    <w:rsid w:val="38401466"/>
    <w:rsid w:val="38683569"/>
    <w:rsid w:val="392C27E9"/>
    <w:rsid w:val="39333B77"/>
    <w:rsid w:val="3965005A"/>
    <w:rsid w:val="39737BE3"/>
    <w:rsid w:val="39810D86"/>
    <w:rsid w:val="39A9208B"/>
    <w:rsid w:val="39C40CDA"/>
    <w:rsid w:val="39DD3AE3"/>
    <w:rsid w:val="39F5734E"/>
    <w:rsid w:val="3A2A31CC"/>
    <w:rsid w:val="3A856A0F"/>
    <w:rsid w:val="3AA16523"/>
    <w:rsid w:val="3B196D9D"/>
    <w:rsid w:val="3B620744"/>
    <w:rsid w:val="3B81506E"/>
    <w:rsid w:val="3BDA652C"/>
    <w:rsid w:val="3BE623BC"/>
    <w:rsid w:val="3BFD046C"/>
    <w:rsid w:val="3C154BC4"/>
    <w:rsid w:val="3C8257B3"/>
    <w:rsid w:val="3C853846"/>
    <w:rsid w:val="3C857FF1"/>
    <w:rsid w:val="3C860462"/>
    <w:rsid w:val="3CAB4D29"/>
    <w:rsid w:val="3CAF79B9"/>
    <w:rsid w:val="3CC13B0E"/>
    <w:rsid w:val="3D17424B"/>
    <w:rsid w:val="3D864BBD"/>
    <w:rsid w:val="3D9A37AD"/>
    <w:rsid w:val="3D9B1CEB"/>
    <w:rsid w:val="3DBE6FB6"/>
    <w:rsid w:val="3DE73A23"/>
    <w:rsid w:val="3E375EB7"/>
    <w:rsid w:val="3E647F8A"/>
    <w:rsid w:val="3EE01F2E"/>
    <w:rsid w:val="3EE15E23"/>
    <w:rsid w:val="3EE85404"/>
    <w:rsid w:val="3F5E6ADF"/>
    <w:rsid w:val="3F7B6955"/>
    <w:rsid w:val="3FAE056F"/>
    <w:rsid w:val="3FD213B8"/>
    <w:rsid w:val="3FEA6D3A"/>
    <w:rsid w:val="3FEB5E51"/>
    <w:rsid w:val="3FED5056"/>
    <w:rsid w:val="40883117"/>
    <w:rsid w:val="40ED01DD"/>
    <w:rsid w:val="40FD4609"/>
    <w:rsid w:val="41076015"/>
    <w:rsid w:val="41390199"/>
    <w:rsid w:val="415B010F"/>
    <w:rsid w:val="41913B31"/>
    <w:rsid w:val="420200E2"/>
    <w:rsid w:val="420F7875"/>
    <w:rsid w:val="42275059"/>
    <w:rsid w:val="42813BA5"/>
    <w:rsid w:val="42B31885"/>
    <w:rsid w:val="42B70C60"/>
    <w:rsid w:val="43124F59"/>
    <w:rsid w:val="432804C5"/>
    <w:rsid w:val="4337679B"/>
    <w:rsid w:val="433F136A"/>
    <w:rsid w:val="43943B23"/>
    <w:rsid w:val="43D84B60"/>
    <w:rsid w:val="446E021C"/>
    <w:rsid w:val="44F02BE4"/>
    <w:rsid w:val="452C2CDF"/>
    <w:rsid w:val="452D1DC2"/>
    <w:rsid w:val="45637C6F"/>
    <w:rsid w:val="45FA59BE"/>
    <w:rsid w:val="460F5CE8"/>
    <w:rsid w:val="46162603"/>
    <w:rsid w:val="4646138E"/>
    <w:rsid w:val="46737CA9"/>
    <w:rsid w:val="46A502C0"/>
    <w:rsid w:val="46B53E1D"/>
    <w:rsid w:val="46B81B60"/>
    <w:rsid w:val="47446077"/>
    <w:rsid w:val="47694CAD"/>
    <w:rsid w:val="477A0BC3"/>
    <w:rsid w:val="4793717B"/>
    <w:rsid w:val="47A345BE"/>
    <w:rsid w:val="47BC2D36"/>
    <w:rsid w:val="483E6094"/>
    <w:rsid w:val="484111F0"/>
    <w:rsid w:val="48422CAA"/>
    <w:rsid w:val="484D7D57"/>
    <w:rsid w:val="48A57EC2"/>
    <w:rsid w:val="48E34A8F"/>
    <w:rsid w:val="48FD385A"/>
    <w:rsid w:val="49496A9F"/>
    <w:rsid w:val="49620A21"/>
    <w:rsid w:val="49B807D2"/>
    <w:rsid w:val="4A325785"/>
    <w:rsid w:val="4AA35E39"/>
    <w:rsid w:val="4ACF1226"/>
    <w:rsid w:val="4AD666AF"/>
    <w:rsid w:val="4AEC627C"/>
    <w:rsid w:val="4B4A723A"/>
    <w:rsid w:val="4B906C07"/>
    <w:rsid w:val="4BF82656"/>
    <w:rsid w:val="4C2D4456"/>
    <w:rsid w:val="4C2F01CE"/>
    <w:rsid w:val="4C7715DB"/>
    <w:rsid w:val="4CB61F07"/>
    <w:rsid w:val="4CEF6F2C"/>
    <w:rsid w:val="4CFB0DE2"/>
    <w:rsid w:val="4D2B4E39"/>
    <w:rsid w:val="4D512143"/>
    <w:rsid w:val="4D537CDA"/>
    <w:rsid w:val="4D64331B"/>
    <w:rsid w:val="4D8207D1"/>
    <w:rsid w:val="4DFC139A"/>
    <w:rsid w:val="4E4B5067"/>
    <w:rsid w:val="4ED91F7B"/>
    <w:rsid w:val="4F055672"/>
    <w:rsid w:val="4F161B19"/>
    <w:rsid w:val="4F1E452A"/>
    <w:rsid w:val="4F302BDB"/>
    <w:rsid w:val="4F38383D"/>
    <w:rsid w:val="4F416B96"/>
    <w:rsid w:val="4F501116"/>
    <w:rsid w:val="4F564B0B"/>
    <w:rsid w:val="4F7069C0"/>
    <w:rsid w:val="50100316"/>
    <w:rsid w:val="50153B7F"/>
    <w:rsid w:val="50427ED2"/>
    <w:rsid w:val="509E1DC6"/>
    <w:rsid w:val="50B93349"/>
    <w:rsid w:val="512D5C55"/>
    <w:rsid w:val="5136545E"/>
    <w:rsid w:val="513D15DF"/>
    <w:rsid w:val="515B2312"/>
    <w:rsid w:val="51E35FFB"/>
    <w:rsid w:val="51F964E8"/>
    <w:rsid w:val="52192B63"/>
    <w:rsid w:val="521C7B55"/>
    <w:rsid w:val="52232583"/>
    <w:rsid w:val="52554706"/>
    <w:rsid w:val="52D90E94"/>
    <w:rsid w:val="53163654"/>
    <w:rsid w:val="5334607A"/>
    <w:rsid w:val="53A569AB"/>
    <w:rsid w:val="53FF0F4C"/>
    <w:rsid w:val="540B7773"/>
    <w:rsid w:val="547846DC"/>
    <w:rsid w:val="54DC2EBD"/>
    <w:rsid w:val="54F90042"/>
    <w:rsid w:val="54FC70BB"/>
    <w:rsid w:val="54FD737A"/>
    <w:rsid w:val="55171D5C"/>
    <w:rsid w:val="55284354"/>
    <w:rsid w:val="55286A3E"/>
    <w:rsid w:val="556709D9"/>
    <w:rsid w:val="5579200B"/>
    <w:rsid w:val="55C87399"/>
    <w:rsid w:val="55F36710"/>
    <w:rsid w:val="5604091D"/>
    <w:rsid w:val="564E3947"/>
    <w:rsid w:val="56550F9C"/>
    <w:rsid w:val="56582A17"/>
    <w:rsid w:val="56A143BE"/>
    <w:rsid w:val="56B37C4E"/>
    <w:rsid w:val="56BE0ACC"/>
    <w:rsid w:val="56DD6A32"/>
    <w:rsid w:val="56E04EE6"/>
    <w:rsid w:val="56FC36A7"/>
    <w:rsid w:val="572E6CA7"/>
    <w:rsid w:val="5737087F"/>
    <w:rsid w:val="57555489"/>
    <w:rsid w:val="57580F21"/>
    <w:rsid w:val="5794182D"/>
    <w:rsid w:val="57995095"/>
    <w:rsid w:val="57B80B20"/>
    <w:rsid w:val="581F1A3E"/>
    <w:rsid w:val="58550FBC"/>
    <w:rsid w:val="58981BA8"/>
    <w:rsid w:val="58E2319F"/>
    <w:rsid w:val="59B952BF"/>
    <w:rsid w:val="59C77BB1"/>
    <w:rsid w:val="59E25D8A"/>
    <w:rsid w:val="59FD1E9B"/>
    <w:rsid w:val="5A0045B8"/>
    <w:rsid w:val="5A1D5B0A"/>
    <w:rsid w:val="5A4C0124"/>
    <w:rsid w:val="5A5A4FB0"/>
    <w:rsid w:val="5A847BB1"/>
    <w:rsid w:val="5A9C5F9E"/>
    <w:rsid w:val="5ABC3575"/>
    <w:rsid w:val="5AD7215D"/>
    <w:rsid w:val="5AD740A4"/>
    <w:rsid w:val="5B423BDA"/>
    <w:rsid w:val="5B637E94"/>
    <w:rsid w:val="5BAE7FE7"/>
    <w:rsid w:val="5BC112B9"/>
    <w:rsid w:val="5C007491"/>
    <w:rsid w:val="5C3971AB"/>
    <w:rsid w:val="5C82434A"/>
    <w:rsid w:val="5CA70254"/>
    <w:rsid w:val="5CD61853"/>
    <w:rsid w:val="5D047455"/>
    <w:rsid w:val="5D2D075A"/>
    <w:rsid w:val="5DAA7EBA"/>
    <w:rsid w:val="5DE132F2"/>
    <w:rsid w:val="5E257683"/>
    <w:rsid w:val="5E495936"/>
    <w:rsid w:val="5E4B5DB4"/>
    <w:rsid w:val="5E8425FB"/>
    <w:rsid w:val="5E856136"/>
    <w:rsid w:val="5EFE30E2"/>
    <w:rsid w:val="5F053159"/>
    <w:rsid w:val="5F3E2C00"/>
    <w:rsid w:val="5F4E2DAD"/>
    <w:rsid w:val="5FB07420"/>
    <w:rsid w:val="5FDB4125"/>
    <w:rsid w:val="5FFE018B"/>
    <w:rsid w:val="60263D84"/>
    <w:rsid w:val="602C4CF9"/>
    <w:rsid w:val="604A5AD5"/>
    <w:rsid w:val="605207DE"/>
    <w:rsid w:val="60612708"/>
    <w:rsid w:val="60930B64"/>
    <w:rsid w:val="60C66201"/>
    <w:rsid w:val="612E734B"/>
    <w:rsid w:val="61493688"/>
    <w:rsid w:val="6168173E"/>
    <w:rsid w:val="61AB60F1"/>
    <w:rsid w:val="61D52281"/>
    <w:rsid w:val="61DC274E"/>
    <w:rsid w:val="62246DE6"/>
    <w:rsid w:val="6247406C"/>
    <w:rsid w:val="62546789"/>
    <w:rsid w:val="625E3163"/>
    <w:rsid w:val="6288488F"/>
    <w:rsid w:val="62946B85"/>
    <w:rsid w:val="62AF234F"/>
    <w:rsid w:val="62E73159"/>
    <w:rsid w:val="633D7B3E"/>
    <w:rsid w:val="639641A2"/>
    <w:rsid w:val="63BF5E84"/>
    <w:rsid w:val="63E1404C"/>
    <w:rsid w:val="63F11BF1"/>
    <w:rsid w:val="63FF2724"/>
    <w:rsid w:val="64300B2F"/>
    <w:rsid w:val="64425CB7"/>
    <w:rsid w:val="6493693E"/>
    <w:rsid w:val="64AD475C"/>
    <w:rsid w:val="64D70FAB"/>
    <w:rsid w:val="64EF7D31"/>
    <w:rsid w:val="650D71B9"/>
    <w:rsid w:val="65365DC2"/>
    <w:rsid w:val="655C6080"/>
    <w:rsid w:val="65801B6E"/>
    <w:rsid w:val="659375C8"/>
    <w:rsid w:val="65B95885"/>
    <w:rsid w:val="65C1269E"/>
    <w:rsid w:val="65E322FD"/>
    <w:rsid w:val="65F43EE8"/>
    <w:rsid w:val="65F566AF"/>
    <w:rsid w:val="6632293D"/>
    <w:rsid w:val="66336FB7"/>
    <w:rsid w:val="66410DD2"/>
    <w:rsid w:val="66C45CD1"/>
    <w:rsid w:val="673D3C8F"/>
    <w:rsid w:val="67713939"/>
    <w:rsid w:val="67746F85"/>
    <w:rsid w:val="677B0CF0"/>
    <w:rsid w:val="677D408C"/>
    <w:rsid w:val="678C4BFA"/>
    <w:rsid w:val="678F7585"/>
    <w:rsid w:val="67A02450"/>
    <w:rsid w:val="67B501E7"/>
    <w:rsid w:val="67C1666E"/>
    <w:rsid w:val="67FB635B"/>
    <w:rsid w:val="682C160E"/>
    <w:rsid w:val="68496A8F"/>
    <w:rsid w:val="686F7E78"/>
    <w:rsid w:val="68E96DCA"/>
    <w:rsid w:val="68F44821"/>
    <w:rsid w:val="691B590A"/>
    <w:rsid w:val="695C2BDF"/>
    <w:rsid w:val="69603451"/>
    <w:rsid w:val="69967687"/>
    <w:rsid w:val="69972FAF"/>
    <w:rsid w:val="69D816E2"/>
    <w:rsid w:val="6A18009C"/>
    <w:rsid w:val="6A5E7759"/>
    <w:rsid w:val="6A745C1A"/>
    <w:rsid w:val="6A86594D"/>
    <w:rsid w:val="6A962FC7"/>
    <w:rsid w:val="6A9A2A75"/>
    <w:rsid w:val="6AC975E8"/>
    <w:rsid w:val="6AE34B4E"/>
    <w:rsid w:val="6AEF704E"/>
    <w:rsid w:val="6AF31EC5"/>
    <w:rsid w:val="6B342B2C"/>
    <w:rsid w:val="6B4A21B7"/>
    <w:rsid w:val="6B554D7E"/>
    <w:rsid w:val="6B8A6D77"/>
    <w:rsid w:val="6BE446D9"/>
    <w:rsid w:val="6C343F66"/>
    <w:rsid w:val="6C615D2A"/>
    <w:rsid w:val="6C850385"/>
    <w:rsid w:val="6D341E8C"/>
    <w:rsid w:val="6D433529"/>
    <w:rsid w:val="6D5B6C1D"/>
    <w:rsid w:val="6D611D5A"/>
    <w:rsid w:val="6D631F76"/>
    <w:rsid w:val="6D7101EF"/>
    <w:rsid w:val="6D735A25"/>
    <w:rsid w:val="6D943EDD"/>
    <w:rsid w:val="6D950EA1"/>
    <w:rsid w:val="6DB427D1"/>
    <w:rsid w:val="6DC9002B"/>
    <w:rsid w:val="6DF15609"/>
    <w:rsid w:val="6E5F2F18"/>
    <w:rsid w:val="6E6C53FE"/>
    <w:rsid w:val="6EA01811"/>
    <w:rsid w:val="6EFC61DE"/>
    <w:rsid w:val="6F0230C8"/>
    <w:rsid w:val="6F0C70B7"/>
    <w:rsid w:val="6F265731"/>
    <w:rsid w:val="6F551044"/>
    <w:rsid w:val="6F753110"/>
    <w:rsid w:val="6FA51BD7"/>
    <w:rsid w:val="70017544"/>
    <w:rsid w:val="70091F23"/>
    <w:rsid w:val="70236308"/>
    <w:rsid w:val="70456247"/>
    <w:rsid w:val="709F5073"/>
    <w:rsid w:val="70C1148D"/>
    <w:rsid w:val="7166073D"/>
    <w:rsid w:val="718138E9"/>
    <w:rsid w:val="71A36B3E"/>
    <w:rsid w:val="71B14A32"/>
    <w:rsid w:val="71B8416D"/>
    <w:rsid w:val="71ED7FE4"/>
    <w:rsid w:val="723932A5"/>
    <w:rsid w:val="72AE1645"/>
    <w:rsid w:val="72C9287B"/>
    <w:rsid w:val="72F33DAC"/>
    <w:rsid w:val="72FA7E03"/>
    <w:rsid w:val="72FB055A"/>
    <w:rsid w:val="732D105C"/>
    <w:rsid w:val="732F03D4"/>
    <w:rsid w:val="739C7F8F"/>
    <w:rsid w:val="73A104E6"/>
    <w:rsid w:val="73B54BAD"/>
    <w:rsid w:val="73D43285"/>
    <w:rsid w:val="73E14E79"/>
    <w:rsid w:val="7400407A"/>
    <w:rsid w:val="742835D1"/>
    <w:rsid w:val="74B15375"/>
    <w:rsid w:val="74E55790"/>
    <w:rsid w:val="74E62003"/>
    <w:rsid w:val="752956FD"/>
    <w:rsid w:val="755C79D6"/>
    <w:rsid w:val="755F74C6"/>
    <w:rsid w:val="75CD0769"/>
    <w:rsid w:val="763532DA"/>
    <w:rsid w:val="76487B79"/>
    <w:rsid w:val="764A4547"/>
    <w:rsid w:val="768E0431"/>
    <w:rsid w:val="76AA651F"/>
    <w:rsid w:val="76AD4308"/>
    <w:rsid w:val="770E550B"/>
    <w:rsid w:val="774D3A7A"/>
    <w:rsid w:val="77704E1F"/>
    <w:rsid w:val="77A70C5A"/>
    <w:rsid w:val="77E03367"/>
    <w:rsid w:val="782567A5"/>
    <w:rsid w:val="78C23FF4"/>
    <w:rsid w:val="78FA19E0"/>
    <w:rsid w:val="78FB5758"/>
    <w:rsid w:val="795D525C"/>
    <w:rsid w:val="7980482E"/>
    <w:rsid w:val="79B9614E"/>
    <w:rsid w:val="79DA7335"/>
    <w:rsid w:val="7A232871"/>
    <w:rsid w:val="7A3A149A"/>
    <w:rsid w:val="7A4F12E2"/>
    <w:rsid w:val="7A9B6214"/>
    <w:rsid w:val="7AE27356"/>
    <w:rsid w:val="7B0C59FB"/>
    <w:rsid w:val="7B242D44"/>
    <w:rsid w:val="7B4666DA"/>
    <w:rsid w:val="7B633ACC"/>
    <w:rsid w:val="7B786BEC"/>
    <w:rsid w:val="7BDE0F84"/>
    <w:rsid w:val="7BE20509"/>
    <w:rsid w:val="7BE705BF"/>
    <w:rsid w:val="7BF70459"/>
    <w:rsid w:val="7C493764"/>
    <w:rsid w:val="7C770B1E"/>
    <w:rsid w:val="7D11554A"/>
    <w:rsid w:val="7D1B0177"/>
    <w:rsid w:val="7D376633"/>
    <w:rsid w:val="7D491F32"/>
    <w:rsid w:val="7D7D2BE0"/>
    <w:rsid w:val="7D8F021D"/>
    <w:rsid w:val="7DCE53A2"/>
    <w:rsid w:val="7DF82266"/>
    <w:rsid w:val="7E6873EC"/>
    <w:rsid w:val="7E7924D3"/>
    <w:rsid w:val="7E7C4C45"/>
    <w:rsid w:val="7EC30AC6"/>
    <w:rsid w:val="7EE71F96"/>
    <w:rsid w:val="7F4C091A"/>
    <w:rsid w:val="7F7D0637"/>
    <w:rsid w:val="7FAF2DF8"/>
    <w:rsid w:val="DFF351C2"/>
    <w:rsid w:val="F7FDD4E8"/>
    <w:rsid w:val="FF5D49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2"/>
    <w:qFormat/>
    <w:uiPriority w:val="0"/>
    <w:pPr>
      <w:keepNext/>
      <w:numPr>
        <w:ilvl w:val="0"/>
        <w:numId w:val="1"/>
      </w:numPr>
      <w:jc w:val="center"/>
      <w:outlineLvl w:val="0"/>
    </w:pPr>
    <w:rPr>
      <w:rFonts w:ascii="黑体" w:eastAsia="黑体"/>
      <w:sz w:val="30"/>
      <w:szCs w:val="20"/>
    </w:rPr>
  </w:style>
  <w:style w:type="paragraph" w:styleId="3">
    <w:name w:val="heading 2"/>
    <w:basedOn w:val="4"/>
    <w:next w:val="1"/>
    <w:link w:val="145"/>
    <w:qFormat/>
    <w:uiPriority w:val="0"/>
    <w:pPr>
      <w:keepNext/>
      <w:numPr>
        <w:ilvl w:val="0"/>
        <w:numId w:val="2"/>
      </w:numPr>
      <w:jc w:val="center"/>
      <w:outlineLvl w:val="1"/>
    </w:pPr>
    <w:rPr>
      <w:rFonts w:ascii="黑体" w:eastAsia="黑体"/>
      <w:color w:val="000000"/>
      <w:kern w:val="2"/>
      <w:sz w:val="28"/>
      <w:lang w:val="en-US" w:eastAsia="zh-CN" w:bidi="ar-SA"/>
    </w:rPr>
  </w:style>
  <w:style w:type="paragraph" w:styleId="4">
    <w:name w:val="heading 3"/>
    <w:basedOn w:val="1"/>
    <w:next w:val="1"/>
    <w:link w:val="150"/>
    <w:qFormat/>
    <w:uiPriority w:val="0"/>
    <w:pPr>
      <w:keepNext/>
      <w:numPr>
        <w:ilvl w:val="0"/>
        <w:numId w:val="3"/>
      </w:numPr>
      <w:jc w:val="center"/>
      <w:outlineLvl w:val="2"/>
    </w:pPr>
    <w:rPr>
      <w:rFonts w:ascii="黑体" w:eastAsia="黑体"/>
      <w:color w:val="000000"/>
      <w:kern w:val="2"/>
      <w:sz w:val="32"/>
      <w:lang w:val="en-US" w:eastAsia="zh-CN" w:bidi="ar-SA"/>
    </w:rPr>
  </w:style>
  <w:style w:type="paragraph" w:styleId="5">
    <w:name w:val="heading 4"/>
    <w:basedOn w:val="1"/>
    <w:next w:val="1"/>
    <w:link w:val="139"/>
    <w:qFormat/>
    <w:uiPriority w:val="0"/>
    <w:pPr>
      <w:keepNext/>
      <w:numPr>
        <w:ilvl w:val="0"/>
        <w:numId w:val="4"/>
      </w:numPr>
      <w:tabs>
        <w:tab w:val="clear" w:pos="720"/>
      </w:tabs>
      <w:autoSpaceDE w:val="0"/>
      <w:autoSpaceDN w:val="0"/>
      <w:adjustRightInd w:val="0"/>
      <w:jc w:val="center"/>
      <w:outlineLvl w:val="3"/>
    </w:pPr>
    <w:rPr>
      <w:rFonts w:ascii="方正姚体" w:eastAsia="方正姚体"/>
      <w:kern w:val="2"/>
      <w:sz w:val="36"/>
      <w:szCs w:val="32"/>
      <w:lang w:val="en-US" w:eastAsia="zh-CN" w:bidi="ar-SA"/>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link w:val="13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szCs w:val="24"/>
      <w:lang w:val="en-US" w:eastAsia="zh-CN" w:bidi="ar-SA"/>
    </w:rPr>
  </w:style>
  <w:style w:type="paragraph" w:styleId="8">
    <w:name w:val="heading 7"/>
    <w:basedOn w:val="1"/>
    <w:next w:val="1"/>
    <w:link w:val="149"/>
    <w:qFormat/>
    <w:uiPriority w:val="0"/>
    <w:pPr>
      <w:keepNext/>
      <w:keepLines/>
      <w:widowControl/>
      <w:tabs>
        <w:tab w:val="left" w:pos="2520"/>
      </w:tabs>
      <w:spacing w:before="240" w:after="64" w:line="320" w:lineRule="auto"/>
      <w:ind w:left="1296" w:hanging="1296"/>
      <w:jc w:val="left"/>
      <w:outlineLvl w:val="6"/>
    </w:pPr>
    <w:rPr>
      <w:rFonts w:eastAsia="宋体"/>
      <w:b/>
      <w:bCs/>
      <w:sz w:val="24"/>
      <w:szCs w:val="24"/>
      <w:lang w:val="en-US" w:eastAsia="zh-CN" w:bidi="ar-SA"/>
    </w:rPr>
  </w:style>
  <w:style w:type="paragraph" w:styleId="9">
    <w:name w:val="heading 8"/>
    <w:basedOn w:val="1"/>
    <w:next w:val="1"/>
    <w:link w:val="144"/>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szCs w:val="24"/>
      <w:lang w:val="en-US" w:eastAsia="zh-CN" w:bidi="ar-SA"/>
    </w:rPr>
  </w:style>
  <w:style w:type="paragraph" w:styleId="10">
    <w:name w:val="heading 9"/>
    <w:basedOn w:val="1"/>
    <w:next w:val="1"/>
    <w:link w:val="143"/>
    <w:qFormat/>
    <w:uiPriority w:val="0"/>
    <w:pPr>
      <w:keepNext/>
      <w:keepLines/>
      <w:widowControl/>
      <w:tabs>
        <w:tab w:val="left" w:pos="1584"/>
      </w:tabs>
      <w:spacing w:before="240" w:after="64" w:line="320" w:lineRule="auto"/>
      <w:ind w:left="1584" w:hanging="1584"/>
      <w:jc w:val="left"/>
      <w:outlineLvl w:val="8"/>
    </w:pPr>
    <w:rPr>
      <w:rFonts w:ascii="Arial" w:hAnsi="Arial" w:eastAsia="黑体"/>
      <w:sz w:val="21"/>
      <w:szCs w:val="21"/>
      <w:lang w:val="en-US" w:eastAsia="zh-CN" w:bidi="ar-SA"/>
    </w:rPr>
  </w:style>
  <w:style w:type="character" w:default="1" w:styleId="42">
    <w:name w:val="Default Paragraph Font"/>
    <w:qFormat/>
    <w:uiPriority w:val="0"/>
  </w:style>
  <w:style w:type="table" w:default="1" w:styleId="40">
    <w:name w:val="Normal Table"/>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Document Map"/>
    <w:basedOn w:val="1"/>
    <w:link w:val="131"/>
    <w:qFormat/>
    <w:uiPriority w:val="0"/>
    <w:pPr>
      <w:shd w:val="clear" w:color="auto" w:fill="000080"/>
    </w:pPr>
    <w:rPr>
      <w:rFonts w:eastAsia="宋体"/>
      <w:kern w:val="2"/>
      <w:sz w:val="21"/>
      <w:szCs w:val="24"/>
      <w:lang w:val="en-US" w:eastAsia="zh-CN" w:bidi="ar-SA"/>
    </w:rPr>
  </w:style>
  <w:style w:type="paragraph" w:styleId="13">
    <w:name w:val="annotation text"/>
    <w:basedOn w:val="1"/>
    <w:link w:val="141"/>
    <w:qFormat/>
    <w:uiPriority w:val="0"/>
    <w:pPr>
      <w:jc w:val="left"/>
    </w:pPr>
    <w:rPr>
      <w:rFonts w:eastAsia="宋体"/>
      <w:kern w:val="2"/>
      <w:sz w:val="21"/>
      <w:szCs w:val="24"/>
      <w:lang w:val="en-US" w:eastAsia="zh-CN" w:bidi="ar-SA"/>
    </w:rPr>
  </w:style>
  <w:style w:type="paragraph" w:styleId="14">
    <w:name w:val="Body Text 3"/>
    <w:basedOn w:val="1"/>
    <w:link w:val="147"/>
    <w:qFormat/>
    <w:uiPriority w:val="0"/>
    <w:rPr>
      <w:rFonts w:ascii="宋体" w:eastAsia="宋体"/>
      <w:color w:val="000000"/>
      <w:kern w:val="2"/>
      <w:sz w:val="32"/>
      <w:lang w:val="en-US" w:eastAsia="zh-CN" w:bidi="ar-SA"/>
    </w:rPr>
  </w:style>
  <w:style w:type="paragraph" w:styleId="15">
    <w:name w:val="Body Text"/>
    <w:basedOn w:val="1"/>
    <w:next w:val="1"/>
    <w:link w:val="134"/>
    <w:qFormat/>
    <w:uiPriority w:val="0"/>
    <w:pPr>
      <w:ind w:right="-84" w:rightChars="-40"/>
      <w:jc w:val="center"/>
    </w:pPr>
    <w:rPr>
      <w:rFonts w:eastAsia="宋体"/>
      <w:kern w:val="2"/>
      <w:sz w:val="21"/>
      <w:szCs w:val="24"/>
      <w:lang w:val="en-US" w:eastAsia="zh-CN" w:bidi="ar-SA"/>
    </w:rPr>
  </w:style>
  <w:style w:type="paragraph" w:styleId="16">
    <w:name w:val="Body Text Indent"/>
    <w:basedOn w:val="1"/>
    <w:next w:val="17"/>
    <w:link w:val="146"/>
    <w:qFormat/>
    <w:uiPriority w:val="0"/>
    <w:pPr>
      <w:spacing w:line="360" w:lineRule="auto"/>
      <w:ind w:firstLine="480"/>
    </w:pPr>
    <w:rPr>
      <w:rFonts w:ascii="宋体" w:eastAsia="宋体"/>
      <w:kern w:val="2"/>
      <w:sz w:val="24"/>
      <w:szCs w:val="24"/>
      <w:lang w:val="en-US" w:eastAsia="zh-CN" w:bidi="ar-SA"/>
    </w:rPr>
  </w:style>
  <w:style w:type="paragraph" w:customStyle="1" w:styleId="17">
    <w:name w:val="Default"/>
    <w:next w:val="18"/>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8">
    <w:name w:val="toc 2"/>
    <w:basedOn w:val="1"/>
    <w:next w:val="1"/>
    <w:qFormat/>
    <w:uiPriority w:val="39"/>
    <w:pPr>
      <w:ind w:left="420" w:leftChars="200"/>
    </w:pPr>
  </w:style>
  <w:style w:type="paragraph" w:styleId="19">
    <w:name w:val="Block Text"/>
    <w:basedOn w:val="1"/>
    <w:qFormat/>
    <w:uiPriority w:val="0"/>
    <w:pPr>
      <w:ind w:left="-78" w:leftChars="-37" w:right="-162" w:rightChars="-77" w:firstLine="78" w:firstLineChars="37"/>
      <w:jc w:val="center"/>
    </w:pPr>
    <w:rPr>
      <w:rFonts w:ascii="宋体" w:hAnsi="宋体"/>
      <w:szCs w:val="21"/>
    </w:rPr>
  </w:style>
  <w:style w:type="paragraph" w:styleId="20">
    <w:name w:val="toc 3"/>
    <w:basedOn w:val="1"/>
    <w:next w:val="1"/>
    <w:qFormat/>
    <w:uiPriority w:val="39"/>
    <w:pPr>
      <w:ind w:left="840" w:leftChars="400"/>
    </w:pPr>
  </w:style>
  <w:style w:type="paragraph" w:styleId="21">
    <w:name w:val="Plain Text"/>
    <w:basedOn w:val="1"/>
    <w:link w:val="151"/>
    <w:qFormat/>
    <w:uiPriority w:val="0"/>
    <w:rPr>
      <w:rFonts w:ascii="宋体" w:hAnsi="Courier New" w:eastAsia="宋体" w:cs="黑体"/>
      <w:sz w:val="21"/>
      <w:szCs w:val="21"/>
      <w:lang w:val="en-US" w:eastAsia="zh-CN" w:bidi="ar-SA"/>
    </w:rPr>
  </w:style>
  <w:style w:type="paragraph" w:styleId="22">
    <w:name w:val="toc 8"/>
    <w:basedOn w:val="1"/>
    <w:next w:val="1"/>
    <w:qFormat/>
    <w:uiPriority w:val="39"/>
    <w:pPr>
      <w:ind w:left="2940" w:leftChars="1400"/>
    </w:pPr>
  </w:style>
  <w:style w:type="paragraph" w:styleId="23">
    <w:name w:val="Date"/>
    <w:basedOn w:val="1"/>
    <w:next w:val="1"/>
    <w:qFormat/>
    <w:uiPriority w:val="0"/>
    <w:rPr>
      <w:szCs w:val="20"/>
    </w:rPr>
  </w:style>
  <w:style w:type="paragraph" w:styleId="24">
    <w:name w:val="Body Text Indent 2"/>
    <w:basedOn w:val="1"/>
    <w:qFormat/>
    <w:uiPriority w:val="0"/>
    <w:pPr>
      <w:spacing w:line="360" w:lineRule="auto"/>
      <w:ind w:firstLine="480"/>
    </w:pPr>
    <w:rPr>
      <w:rFonts w:ascii="宋体" w:hAnsi="宋体"/>
      <w:szCs w:val="21"/>
    </w:rPr>
  </w:style>
  <w:style w:type="paragraph" w:styleId="25">
    <w:name w:val="endnote text"/>
    <w:basedOn w:val="1"/>
    <w:link w:val="137"/>
    <w:qFormat/>
    <w:uiPriority w:val="0"/>
    <w:pPr>
      <w:snapToGrid w:val="0"/>
      <w:jc w:val="left"/>
    </w:pPr>
    <w:rPr>
      <w:rFonts w:eastAsia="宋体"/>
      <w:kern w:val="2"/>
      <w:sz w:val="21"/>
      <w:lang w:val="en-US" w:eastAsia="zh-CN" w:bidi="ar-SA"/>
    </w:rPr>
  </w:style>
  <w:style w:type="paragraph" w:styleId="26">
    <w:name w:val="Balloon Text"/>
    <w:basedOn w:val="1"/>
    <w:link w:val="138"/>
    <w:qFormat/>
    <w:uiPriority w:val="0"/>
    <w:pPr>
      <w:numPr>
        <w:ilvl w:val="0"/>
        <w:numId w:val="5"/>
      </w:numPr>
      <w:tabs>
        <w:tab w:val="clear" w:pos="1005"/>
      </w:tabs>
      <w:ind w:left="0" w:firstLine="0"/>
    </w:pPr>
    <w:rPr>
      <w:rFonts w:eastAsia="宋体"/>
      <w:kern w:val="2"/>
      <w:sz w:val="18"/>
      <w:szCs w:val="18"/>
      <w:lang w:val="en-US" w:eastAsia="zh-CN" w:bidi="ar-SA"/>
    </w:rPr>
  </w:style>
  <w:style w:type="paragraph" w:styleId="27">
    <w:name w:val="footer"/>
    <w:basedOn w:val="1"/>
    <w:next w:val="22"/>
    <w:link w:val="152"/>
    <w:qFormat/>
    <w:uiPriority w:val="99"/>
    <w:pPr>
      <w:tabs>
        <w:tab w:val="center" w:pos="4153"/>
        <w:tab w:val="right" w:pos="8306"/>
      </w:tabs>
      <w:snapToGrid w:val="0"/>
      <w:jc w:val="left"/>
    </w:pPr>
    <w:rPr>
      <w:rFonts w:eastAsia="宋体"/>
      <w:kern w:val="2"/>
      <w:sz w:val="18"/>
      <w:lang w:val="en-US" w:eastAsia="zh-CN" w:bidi="ar-SA"/>
    </w:rPr>
  </w:style>
  <w:style w:type="paragraph" w:styleId="28">
    <w:name w:val="header"/>
    <w:basedOn w:val="1"/>
    <w:link w:val="142"/>
    <w:qFormat/>
    <w:uiPriority w:val="99"/>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9">
    <w:name w:val="toc 1"/>
    <w:basedOn w:val="1"/>
    <w:next w:val="1"/>
    <w:qFormat/>
    <w:uiPriority w:val="0"/>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30">
    <w:name w:val="toc 4"/>
    <w:basedOn w:val="1"/>
    <w:next w:val="1"/>
    <w:qFormat/>
    <w:uiPriority w:val="0"/>
    <w:pPr>
      <w:ind w:left="600" w:leftChars="600"/>
    </w:pPr>
    <w:rPr>
      <w:rFonts w:ascii="Times New Roman" w:hAnsi="Times New Roman" w:eastAsia="Calibri" w:cs="Times New Roman"/>
    </w:rPr>
  </w:style>
  <w:style w:type="paragraph" w:styleId="31">
    <w:name w:val="footnote text"/>
    <w:basedOn w:val="1"/>
    <w:link w:val="133"/>
    <w:qFormat/>
    <w:uiPriority w:val="0"/>
    <w:pPr>
      <w:snapToGrid w:val="0"/>
      <w:jc w:val="left"/>
    </w:pPr>
    <w:rPr>
      <w:rFonts w:eastAsia="宋体"/>
      <w:kern w:val="2"/>
      <w:sz w:val="18"/>
      <w:lang w:val="en-US" w:eastAsia="zh-CN" w:bidi="ar-SA"/>
    </w:rPr>
  </w:style>
  <w:style w:type="paragraph" w:styleId="32">
    <w:name w:val="Body Text Indent 3"/>
    <w:basedOn w:val="1"/>
    <w:link w:val="132"/>
    <w:qFormat/>
    <w:uiPriority w:val="0"/>
    <w:pPr>
      <w:spacing w:line="480" w:lineRule="exact"/>
      <w:ind w:firstLine="540" w:firstLineChars="257"/>
    </w:pPr>
    <w:rPr>
      <w:rFonts w:ascii="宋体" w:hAnsi="宋体" w:eastAsia="宋体"/>
      <w:kern w:val="2"/>
      <w:sz w:val="21"/>
      <w:szCs w:val="21"/>
      <w:lang w:val="en-US" w:eastAsia="zh-CN" w:bidi="ar-SA"/>
    </w:rPr>
  </w:style>
  <w:style w:type="paragraph" w:styleId="33">
    <w:name w:val="Body Text 2"/>
    <w:basedOn w:val="1"/>
    <w:link w:val="148"/>
    <w:qFormat/>
    <w:uiPriority w:val="0"/>
    <w:rPr>
      <w:rFonts w:ascii="宋体" w:eastAsia="宋体"/>
      <w:kern w:val="2"/>
      <w:sz w:val="28"/>
      <w:lang w:val="en-US" w:eastAsia="zh-CN" w:bidi="ar-SA"/>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pPr>
      <w:spacing w:line="220" w:lineRule="exact"/>
      <w:jc w:val="center"/>
    </w:pPr>
    <w:rPr>
      <w:rFonts w:ascii="仿宋_GB2312" w:eastAsia="仿宋_GB2312"/>
      <w:szCs w:val="21"/>
    </w:rPr>
  </w:style>
  <w:style w:type="paragraph" w:styleId="36">
    <w:name w:val="Title"/>
    <w:basedOn w:val="1"/>
    <w:next w:val="1"/>
    <w:link w:val="140"/>
    <w:qFormat/>
    <w:uiPriority w:val="0"/>
    <w:pPr>
      <w:adjustRightInd w:val="0"/>
      <w:spacing w:before="240" w:after="60" w:line="420" w:lineRule="atLeast"/>
      <w:jc w:val="center"/>
      <w:textAlignment w:val="baseline"/>
      <w:outlineLvl w:val="0"/>
    </w:pPr>
    <w:rPr>
      <w:rFonts w:ascii="Arial" w:hAnsi="Arial" w:eastAsia="宋体"/>
      <w:b/>
      <w:sz w:val="32"/>
      <w:lang w:val="en-US" w:eastAsia="zh-CN" w:bidi="ar-SA"/>
    </w:rPr>
  </w:style>
  <w:style w:type="paragraph" w:styleId="37">
    <w:name w:val="annotation subject"/>
    <w:basedOn w:val="13"/>
    <w:next w:val="13"/>
    <w:qFormat/>
    <w:uiPriority w:val="0"/>
    <w:rPr>
      <w:b/>
      <w:bCs/>
    </w:rPr>
  </w:style>
  <w:style w:type="paragraph" w:styleId="38">
    <w:name w:val="Body Text First Indent"/>
    <w:basedOn w:val="15"/>
    <w:qFormat/>
    <w:uiPriority w:val="0"/>
    <w:pPr>
      <w:spacing w:after="120"/>
      <w:ind w:right="0" w:rightChars="0" w:firstLine="420" w:firstLineChars="100"/>
      <w:jc w:val="both"/>
    </w:pPr>
    <w:rPr>
      <w:szCs w:val="20"/>
    </w:rPr>
  </w:style>
  <w:style w:type="paragraph" w:styleId="39">
    <w:name w:val="Body Text First Indent 2"/>
    <w:basedOn w:val="1"/>
    <w:next w:val="15"/>
    <w:qFormat/>
    <w:uiPriority w:val="0"/>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20"/>
    <w:rPr>
      <w:i/>
      <w:iCs/>
    </w:rPr>
  </w:style>
  <w:style w:type="character" w:styleId="47">
    <w:name w:val="HTML Definition"/>
    <w:basedOn w:val="42"/>
    <w:qFormat/>
    <w:uiPriority w:val="0"/>
  </w:style>
  <w:style w:type="character" w:styleId="48">
    <w:name w:val="HTML Typewriter"/>
    <w:basedOn w:val="42"/>
    <w:qFormat/>
    <w:uiPriority w:val="0"/>
    <w:rPr>
      <w:rFonts w:hint="default" w:ascii="monospace" w:hAnsi="monospace" w:eastAsia="monospace" w:cs="monospace"/>
      <w:sz w:val="20"/>
    </w:rPr>
  </w:style>
  <w:style w:type="character" w:styleId="49">
    <w:name w:val="HTML Acronym"/>
    <w:basedOn w:val="42"/>
    <w:qFormat/>
    <w:uiPriority w:val="0"/>
  </w:style>
  <w:style w:type="character" w:styleId="50">
    <w:name w:val="HTML Variable"/>
    <w:basedOn w:val="42"/>
    <w:qFormat/>
    <w:uiPriority w:val="0"/>
    <w:rPr>
      <w:rFonts w:ascii="ActionIcon ! important" w:hAnsi="ActionIcon ! important" w:eastAsia="ActionIcon ! important" w:cs="ActionIcon ! important"/>
      <w:vanish/>
      <w:color w:val="3D4B62"/>
      <w:sz w:val="24"/>
      <w:szCs w:val="24"/>
    </w:rPr>
  </w:style>
  <w:style w:type="character" w:styleId="51">
    <w:name w:val="Hyperlink"/>
    <w:qFormat/>
    <w:uiPriority w:val="99"/>
    <w:rPr>
      <w:color w:val="0000FF"/>
      <w:u w:val="single"/>
    </w:rPr>
  </w:style>
  <w:style w:type="character" w:styleId="52">
    <w:name w:val="HTML Code"/>
    <w:basedOn w:val="42"/>
    <w:qFormat/>
    <w:uiPriority w:val="0"/>
    <w:rPr>
      <w:rFonts w:hint="default" w:ascii="monospace" w:hAnsi="monospace" w:eastAsia="monospace" w:cs="monospace"/>
      <w:sz w:val="20"/>
    </w:rPr>
  </w:style>
  <w:style w:type="character" w:styleId="53">
    <w:name w:val="annotation reference"/>
    <w:qFormat/>
    <w:uiPriority w:val="0"/>
    <w:rPr>
      <w:sz w:val="21"/>
      <w:szCs w:val="21"/>
    </w:rPr>
  </w:style>
  <w:style w:type="character" w:styleId="54">
    <w:name w:val="HTML Cite"/>
    <w:basedOn w:val="42"/>
    <w:qFormat/>
    <w:uiPriority w:val="0"/>
  </w:style>
  <w:style w:type="character" w:styleId="55">
    <w:name w:val="footnote reference"/>
    <w:qFormat/>
    <w:uiPriority w:val="0"/>
    <w:rPr>
      <w:vertAlign w:val="superscript"/>
    </w:rPr>
  </w:style>
  <w:style w:type="character" w:styleId="56">
    <w:name w:val="HTML Keyboard"/>
    <w:basedOn w:val="42"/>
    <w:qFormat/>
    <w:uiPriority w:val="0"/>
    <w:rPr>
      <w:rFonts w:hint="default" w:ascii="monospace" w:hAnsi="monospace" w:eastAsia="monospace" w:cs="monospace"/>
      <w:sz w:val="20"/>
    </w:rPr>
  </w:style>
  <w:style w:type="character" w:styleId="57">
    <w:name w:val="HTML Sample"/>
    <w:basedOn w:val="42"/>
    <w:qFormat/>
    <w:uiPriority w:val="0"/>
    <w:rPr>
      <w:rFonts w:ascii="monospace" w:hAnsi="monospace" w:eastAsia="monospace" w:cs="monospace"/>
    </w:rPr>
  </w:style>
  <w:style w:type="paragraph" w:customStyle="1" w:styleId="58">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9">
    <w:name w:val="表格"/>
    <w:next w:val="1"/>
    <w:qFormat/>
    <w:uiPriority w:val="0"/>
    <w:rPr>
      <w:rFonts w:ascii="等线" w:hAnsi="等线" w:eastAsia="仿宋" w:cs="Times New Roman"/>
      <w:kern w:val="2"/>
      <w:sz w:val="21"/>
      <w:szCs w:val="22"/>
      <w:lang w:val="en-US" w:eastAsia="zh-CN" w:bidi="ar-SA"/>
    </w:rPr>
  </w:style>
  <w:style w:type="paragraph" w:customStyle="1" w:styleId="60">
    <w:name w:val="样式1"/>
    <w:basedOn w:val="1"/>
    <w:qFormat/>
    <w:uiPriority w:val="0"/>
    <w:pPr>
      <w:adjustRightInd w:val="0"/>
      <w:spacing w:before="360" w:after="240" w:line="360" w:lineRule="auto"/>
      <w:jc w:val="center"/>
      <w:textAlignment w:val="baseline"/>
    </w:pPr>
    <w:rPr>
      <w:rFonts w:ascii="黑体" w:eastAsia="黑体"/>
      <w:kern w:val="0"/>
      <w:sz w:val="32"/>
      <w:szCs w:val="20"/>
    </w:rPr>
  </w:style>
  <w:style w:type="paragraph" w:customStyle="1" w:styleId="61">
    <w:name w:val="列出段落1"/>
    <w:basedOn w:val="1"/>
    <w:qFormat/>
    <w:uiPriority w:val="34"/>
    <w:pPr>
      <w:ind w:firstLine="420" w:firstLineChars="200"/>
    </w:pPr>
  </w:style>
  <w:style w:type="paragraph" w:customStyle="1" w:styleId="62">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kern w:val="0"/>
      <w:sz w:val="24"/>
    </w:rPr>
  </w:style>
  <w:style w:type="paragraph" w:customStyle="1" w:styleId="63">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64">
    <w:name w:val="font8"/>
    <w:basedOn w:val="1"/>
    <w:qFormat/>
    <w:uiPriority w:val="0"/>
    <w:pPr>
      <w:widowControl/>
      <w:spacing w:before="100" w:beforeAutospacing="1" w:after="100" w:afterAutospacing="1"/>
      <w:jc w:val="left"/>
    </w:pPr>
    <w:rPr>
      <w:kern w:val="0"/>
      <w:sz w:val="24"/>
    </w:rPr>
  </w:style>
  <w:style w:type="paragraph" w:customStyle="1" w:styleId="65">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66">
    <w:name w:val="xl50"/>
    <w:basedOn w:val="1"/>
    <w:qFormat/>
    <w:uiPriority w:val="0"/>
    <w:pPr>
      <w:widowControl/>
      <w:spacing w:before="100" w:beforeAutospacing="1" w:after="100" w:afterAutospacing="1"/>
      <w:jc w:val="center"/>
      <w:textAlignment w:val="top"/>
    </w:pPr>
    <w:rPr>
      <w:rFonts w:hint="eastAsia" w:ascii="黑体" w:hAnsi="Arial Unicode MS" w:eastAsia="黑体"/>
      <w:b/>
      <w:bCs/>
      <w:kern w:val="0"/>
      <w:sz w:val="36"/>
      <w:szCs w:val="36"/>
    </w:rPr>
  </w:style>
  <w:style w:type="paragraph" w:customStyle="1" w:styleId="67">
    <w:name w:val="Char1"/>
    <w:basedOn w:val="1"/>
    <w:qFormat/>
    <w:uiPriority w:val="0"/>
    <w:rPr>
      <w:rFonts w:ascii="仿宋_GB2312" w:eastAsia="仿宋_GB2312"/>
      <w:b/>
      <w:sz w:val="32"/>
      <w:szCs w:val="32"/>
    </w:rPr>
  </w:style>
  <w:style w:type="paragraph" w:customStyle="1" w:styleId="68">
    <w:name w:val="表中"/>
    <w:basedOn w:val="1"/>
    <w:qFormat/>
    <w:uiPriority w:val="0"/>
    <w:pPr>
      <w:adjustRightInd w:val="0"/>
      <w:spacing w:line="360" w:lineRule="atLeast"/>
      <w:jc w:val="center"/>
      <w:textAlignment w:val="baseline"/>
    </w:pPr>
    <w:rPr>
      <w:kern w:val="0"/>
      <w:szCs w:val="20"/>
    </w:rPr>
  </w:style>
  <w:style w:type="paragraph" w:customStyle="1" w:styleId="69">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70">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71">
    <w:name w:val="xl52"/>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2">
    <w:name w:val="xl51"/>
    <w:basedOn w:val="1"/>
    <w:qFormat/>
    <w:uiPriority w:val="0"/>
    <w:pPr>
      <w:widowControl/>
      <w:spacing w:before="100" w:beforeAutospacing="1" w:after="100" w:afterAutospacing="1"/>
      <w:jc w:val="left"/>
      <w:textAlignment w:val="center"/>
    </w:pPr>
    <w:rPr>
      <w:rFonts w:ascii="Arial Unicode MS" w:hAnsi="Arial Unicode MS"/>
      <w:kern w:val="0"/>
      <w:sz w:val="24"/>
    </w:rPr>
  </w:style>
  <w:style w:type="paragraph" w:customStyle="1" w:styleId="73">
    <w:name w:val="xl29"/>
    <w:basedOn w:val="1"/>
    <w:qFormat/>
    <w:uiPriority w:val="0"/>
    <w:pPr>
      <w:widowControl/>
      <w:pBdr>
        <w:bottom w:val="single" w:color="auto" w:sz="4" w:space="0"/>
      </w:pBdr>
      <w:spacing w:before="100" w:beforeAutospacing="1" w:after="100" w:afterAutospacing="1"/>
      <w:jc w:val="left"/>
    </w:pPr>
    <w:rPr>
      <w:rFonts w:ascii="Arial Unicode MS" w:hAnsi="Arial Unicode MS"/>
      <w:kern w:val="0"/>
      <w:sz w:val="24"/>
    </w:rPr>
  </w:style>
  <w:style w:type="paragraph" w:customStyle="1" w:styleId="74">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5">
    <w:name w:val="样式 首行缩进:  2 字符"/>
    <w:basedOn w:val="1"/>
    <w:qFormat/>
    <w:uiPriority w:val="0"/>
    <w:pPr>
      <w:spacing w:line="400" w:lineRule="exact"/>
      <w:ind w:firstLine="200" w:firstLineChars="200"/>
    </w:pPr>
    <w:rPr>
      <w:rFonts w:cs="宋体"/>
      <w:szCs w:val="24"/>
    </w:rPr>
  </w:style>
  <w:style w:type="paragraph" w:customStyle="1" w:styleId="76">
    <w:name w:val="我的正文"/>
    <w:basedOn w:val="1"/>
    <w:link w:val="135"/>
    <w:qFormat/>
    <w:uiPriority w:val="0"/>
    <w:pPr>
      <w:snapToGrid w:val="0"/>
      <w:spacing w:line="300" w:lineRule="auto"/>
      <w:ind w:firstLine="150" w:firstLineChars="150"/>
    </w:pPr>
    <w:rPr>
      <w:rFonts w:ascii="宋体" w:hAnsi="宋体" w:eastAsia="宋体"/>
      <w:kern w:val="2"/>
      <w:sz w:val="24"/>
      <w:szCs w:val="24"/>
      <w:lang w:val="en-US" w:eastAsia="zh-CN" w:bidi="ar-SA"/>
    </w:rPr>
  </w:style>
  <w:style w:type="paragraph" w:customStyle="1" w:styleId="77">
    <w:name w:val="font7"/>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8">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79">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0">
    <w:name w:val="目录"/>
    <w:basedOn w:val="1"/>
    <w:qFormat/>
    <w:uiPriority w:val="0"/>
    <w:pPr>
      <w:widowControl/>
      <w:jc w:val="center"/>
    </w:pPr>
    <w:rPr>
      <w:rFonts w:hAnsi="Times New Roman"/>
      <w:b/>
      <w:sz w:val="36"/>
    </w:rPr>
  </w:style>
  <w:style w:type="paragraph" w:customStyle="1" w:styleId="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82">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83">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84">
    <w:name w:val="_Style 67"/>
    <w:basedOn w:val="1"/>
    <w:qFormat/>
    <w:uiPriority w:val="0"/>
    <w:pPr>
      <w:ind w:firstLine="420" w:firstLineChars="200"/>
    </w:pPr>
    <w:rPr>
      <w:szCs w:val="20"/>
    </w:rPr>
  </w:style>
  <w:style w:type="paragraph" w:customStyle="1" w:styleId="8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86">
    <w:name w:val="样式2"/>
    <w:basedOn w:val="1"/>
    <w:qFormat/>
    <w:uiPriority w:val="0"/>
    <w:pPr>
      <w:numPr>
        <w:ilvl w:val="0"/>
        <w:numId w:val="6"/>
      </w:numPr>
      <w:spacing w:line="360" w:lineRule="auto"/>
      <w:jc w:val="center"/>
    </w:pPr>
    <w:rPr>
      <w:rFonts w:ascii="黑体" w:eastAsia="黑体"/>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8">
    <w:name w:val="样式 标题 2 + 宋体"/>
    <w:basedOn w:val="3"/>
    <w:qFormat/>
    <w:uiPriority w:val="0"/>
    <w:pPr>
      <w:keepLines/>
      <w:numPr>
        <w:ilvl w:val="0"/>
        <w:numId w:val="0"/>
      </w:numPr>
      <w:tabs>
        <w:tab w:val="clear" w:pos="960"/>
      </w:tabs>
      <w:spacing w:line="360" w:lineRule="auto"/>
      <w:ind w:firstLine="482" w:firstLineChars="200"/>
      <w:jc w:val="left"/>
    </w:pPr>
    <w:rPr>
      <w:rFonts w:ascii="宋体" w:hAnsi="宋体" w:eastAsia="宋体" w:cs="宋体"/>
      <w:b/>
      <w:bCs/>
      <w:color w:val="auto"/>
      <w:sz w:val="24"/>
    </w:rPr>
  </w:style>
  <w:style w:type="paragraph" w:customStyle="1" w:styleId="89">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简单回函地址"/>
    <w:basedOn w:val="1"/>
    <w:qFormat/>
    <w:uiPriority w:val="0"/>
  </w:style>
  <w:style w:type="paragraph" w:customStyle="1" w:styleId="9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93">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4">
    <w:name w:val="Plain Text_abf15973-5b10-4159-8d08-3275f6f892b8"/>
    <w:basedOn w:val="1"/>
    <w:qFormat/>
    <w:uiPriority w:val="0"/>
    <w:pPr>
      <w:adjustRightInd w:val="0"/>
      <w:textAlignment w:val="baseline"/>
    </w:pPr>
    <w:rPr>
      <w:rFonts w:ascii="宋体" w:hAnsi="Courier New"/>
      <w:szCs w:val="20"/>
    </w:rPr>
  </w:style>
  <w:style w:type="paragraph" w:customStyle="1" w:styleId="95">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6">
    <w:name w:val="font11"/>
    <w:basedOn w:val="1"/>
    <w:qFormat/>
    <w:uiPriority w:val="0"/>
    <w:pPr>
      <w:widowControl/>
      <w:spacing w:before="100" w:beforeAutospacing="1" w:after="100" w:afterAutospacing="1"/>
      <w:jc w:val="left"/>
    </w:pPr>
    <w:rPr>
      <w:b/>
      <w:bCs/>
      <w:kern w:val="0"/>
      <w:sz w:val="24"/>
    </w:rPr>
  </w:style>
  <w:style w:type="paragraph" w:customStyle="1" w:styleId="97">
    <w:name w:val="样式 标题 2 + Times New Roman 四号 非加粗 段前: 5 磅 段后: 0 磅 行距: 固定值 20..."/>
    <w:basedOn w:val="3"/>
    <w:qFormat/>
    <w:uiPriority w:val="0"/>
    <w:pPr>
      <w:keepLines/>
      <w:numPr>
        <w:ilvl w:val="0"/>
        <w:numId w:val="0"/>
      </w:numPr>
      <w:spacing w:before="100" w:line="400" w:lineRule="exact"/>
      <w:jc w:val="both"/>
    </w:pPr>
    <w:rPr>
      <w:rFonts w:ascii="Times New Roman" w:cs="宋体"/>
      <w:color w:val="auto"/>
    </w:rPr>
  </w:style>
  <w:style w:type="paragraph" w:customStyle="1" w:styleId="98">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9">
    <w:name w:val="_Style 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2">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3">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104">
    <w:name w:val="_Style 87"/>
    <w:qFormat/>
    <w:uiPriority w:val="99"/>
    <w:rPr>
      <w:rFonts w:ascii="Times New Roman" w:hAnsi="Times New Roman" w:eastAsia="宋体" w:cs="Times New Roman"/>
      <w:kern w:val="2"/>
      <w:sz w:val="21"/>
      <w:szCs w:val="24"/>
      <w:lang w:val="en-US" w:eastAsia="zh-CN" w:bidi="ar-SA"/>
    </w:rPr>
  </w:style>
  <w:style w:type="paragraph" w:customStyle="1" w:styleId="1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06">
    <w:name w:val="xl4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7">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109">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1">
    <w:name w:val="font10"/>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112">
    <w:name w:val="标题 3 New"/>
    <w:basedOn w:val="90"/>
    <w:next w:val="90"/>
    <w:qFormat/>
    <w:uiPriority w:val="0"/>
    <w:pPr>
      <w:keepNext/>
      <w:keepLines/>
      <w:spacing w:line="360" w:lineRule="auto"/>
      <w:ind w:firstLine="200" w:firstLineChars="200"/>
      <w:outlineLvl w:val="2"/>
    </w:pPr>
    <w:rPr>
      <w:b/>
      <w:bCs/>
      <w:szCs w:val="32"/>
    </w:rPr>
  </w:style>
  <w:style w:type="paragraph" w:customStyle="1" w:styleId="113">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14">
    <w:name w:val="样式 标题 2 + 宋体 四号 居中"/>
    <w:basedOn w:val="3"/>
    <w:qFormat/>
    <w:uiPriority w:val="0"/>
    <w:pPr>
      <w:keepLines/>
      <w:numPr>
        <w:ilvl w:val="0"/>
        <w:numId w:val="0"/>
      </w:numPr>
      <w:tabs>
        <w:tab w:val="clear" w:pos="960"/>
      </w:tabs>
      <w:spacing w:before="260" w:after="260" w:line="415" w:lineRule="auto"/>
    </w:pPr>
    <w:rPr>
      <w:rFonts w:ascii="宋体" w:hAnsi="宋体" w:eastAsia="宋体" w:cs="宋体"/>
      <w:b/>
      <w:bCs/>
      <w:color w:val="auto"/>
      <w:sz w:val="30"/>
    </w:rPr>
  </w:style>
  <w:style w:type="paragraph" w:customStyle="1" w:styleId="115">
    <w:name w:val="_Style 99"/>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6">
    <w:name w:val="表格文字"/>
    <w:basedOn w:val="1"/>
    <w:qFormat/>
    <w:uiPriority w:val="0"/>
    <w:pPr>
      <w:adjustRightInd w:val="0"/>
      <w:spacing w:line="420" w:lineRule="atLeast"/>
      <w:jc w:val="left"/>
      <w:textAlignment w:val="baseline"/>
    </w:pPr>
    <w:rPr>
      <w:kern w:val="0"/>
      <w:szCs w:val="20"/>
    </w:rPr>
  </w:style>
  <w:style w:type="paragraph" w:customStyle="1" w:styleId="11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4"/>
    </w:rPr>
  </w:style>
  <w:style w:type="paragraph" w:customStyle="1" w:styleId="11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9">
    <w:name w:val="font9"/>
    <w:basedOn w:val="1"/>
    <w:qFormat/>
    <w:uiPriority w:val="0"/>
    <w:pPr>
      <w:widowControl/>
      <w:spacing w:before="100" w:beforeAutospacing="1" w:after="100" w:afterAutospacing="1"/>
      <w:jc w:val="left"/>
    </w:pPr>
    <w:rPr>
      <w:kern w:val="0"/>
      <w:sz w:val="24"/>
      <w:u w:val="single"/>
    </w:rPr>
  </w:style>
  <w:style w:type="paragraph" w:customStyle="1" w:styleId="12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21">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2">
    <w:name w:val=" Char"/>
    <w:basedOn w:val="1"/>
    <w:qFormat/>
    <w:uiPriority w:val="0"/>
    <w:pPr>
      <w:widowControl/>
      <w:spacing w:after="160" w:line="240" w:lineRule="exact"/>
      <w:jc w:val="left"/>
    </w:pPr>
    <w:rPr>
      <w:szCs w:val="20"/>
    </w:rPr>
  </w:style>
  <w:style w:type="paragraph" w:customStyle="1" w:styleId="123">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4">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6">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7">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kern w:val="0"/>
      <w:sz w:val="24"/>
    </w:rPr>
  </w:style>
  <w:style w:type="paragraph" w:customStyle="1" w:styleId="128">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29">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30">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character" w:customStyle="1" w:styleId="131">
    <w:name w:val="文档结构图 Char"/>
    <w:link w:val="12"/>
    <w:qFormat/>
    <w:uiPriority w:val="0"/>
    <w:rPr>
      <w:rFonts w:eastAsia="宋体"/>
      <w:kern w:val="2"/>
      <w:sz w:val="21"/>
      <w:szCs w:val="24"/>
      <w:lang w:val="en-US" w:eastAsia="zh-CN" w:bidi="ar-SA"/>
    </w:rPr>
  </w:style>
  <w:style w:type="character" w:customStyle="1" w:styleId="132">
    <w:name w:val="正文文本缩进 3 Char"/>
    <w:link w:val="32"/>
    <w:qFormat/>
    <w:uiPriority w:val="0"/>
    <w:rPr>
      <w:rFonts w:ascii="宋体" w:hAnsi="宋体" w:eastAsia="宋体"/>
      <w:kern w:val="2"/>
      <w:sz w:val="21"/>
      <w:szCs w:val="21"/>
      <w:lang w:val="en-US" w:eastAsia="zh-CN" w:bidi="ar-SA"/>
    </w:rPr>
  </w:style>
  <w:style w:type="character" w:customStyle="1" w:styleId="133">
    <w:name w:val="脚注文本 Char"/>
    <w:link w:val="31"/>
    <w:qFormat/>
    <w:uiPriority w:val="0"/>
    <w:rPr>
      <w:rFonts w:eastAsia="宋体"/>
      <w:kern w:val="2"/>
      <w:sz w:val="18"/>
      <w:lang w:val="en-US" w:eastAsia="zh-CN" w:bidi="ar-SA"/>
    </w:rPr>
  </w:style>
  <w:style w:type="character" w:customStyle="1" w:styleId="134">
    <w:name w:val="正文文本 Char"/>
    <w:link w:val="15"/>
    <w:qFormat/>
    <w:uiPriority w:val="0"/>
    <w:rPr>
      <w:rFonts w:eastAsia="宋体"/>
      <w:kern w:val="2"/>
      <w:sz w:val="21"/>
      <w:szCs w:val="24"/>
      <w:lang w:val="en-US" w:eastAsia="zh-CN" w:bidi="ar-SA"/>
    </w:rPr>
  </w:style>
  <w:style w:type="character" w:customStyle="1" w:styleId="135">
    <w:name w:val="我的正文 Char Char"/>
    <w:link w:val="76"/>
    <w:qFormat/>
    <w:uiPriority w:val="0"/>
    <w:rPr>
      <w:rFonts w:ascii="宋体" w:hAnsi="宋体" w:eastAsia="宋体"/>
      <w:kern w:val="2"/>
      <w:sz w:val="24"/>
      <w:szCs w:val="24"/>
      <w:lang w:val="en-US" w:eastAsia="zh-CN" w:bidi="ar-SA"/>
    </w:rPr>
  </w:style>
  <w:style w:type="character" w:customStyle="1" w:styleId="136">
    <w:name w:val="标题 6 Char"/>
    <w:link w:val="7"/>
    <w:qFormat/>
    <w:uiPriority w:val="0"/>
    <w:rPr>
      <w:rFonts w:ascii="Arial" w:hAnsi="Arial" w:eastAsia="黑体"/>
      <w:b/>
      <w:bCs/>
      <w:sz w:val="24"/>
      <w:szCs w:val="24"/>
      <w:lang w:val="en-US" w:eastAsia="zh-CN" w:bidi="ar-SA"/>
    </w:rPr>
  </w:style>
  <w:style w:type="character" w:customStyle="1" w:styleId="137">
    <w:name w:val="尾注文本 Char"/>
    <w:link w:val="25"/>
    <w:qFormat/>
    <w:uiPriority w:val="0"/>
    <w:rPr>
      <w:rFonts w:eastAsia="宋体"/>
      <w:kern w:val="2"/>
      <w:sz w:val="21"/>
      <w:lang w:val="en-US" w:eastAsia="zh-CN" w:bidi="ar-SA"/>
    </w:rPr>
  </w:style>
  <w:style w:type="character" w:customStyle="1" w:styleId="138">
    <w:name w:val="批注框文本 Char"/>
    <w:link w:val="26"/>
    <w:qFormat/>
    <w:uiPriority w:val="0"/>
    <w:rPr>
      <w:rFonts w:eastAsia="宋体"/>
      <w:kern w:val="2"/>
      <w:sz w:val="18"/>
      <w:szCs w:val="18"/>
      <w:lang w:val="en-US" w:eastAsia="zh-CN" w:bidi="ar-SA"/>
    </w:rPr>
  </w:style>
  <w:style w:type="character" w:customStyle="1" w:styleId="139">
    <w:name w:val="标题 4 Char"/>
    <w:link w:val="5"/>
    <w:qFormat/>
    <w:uiPriority w:val="0"/>
    <w:rPr>
      <w:rFonts w:ascii="方正姚体" w:eastAsia="方正姚体"/>
      <w:kern w:val="2"/>
      <w:sz w:val="36"/>
      <w:szCs w:val="32"/>
      <w:lang w:val="en-US" w:eastAsia="zh-CN" w:bidi="ar-SA"/>
    </w:rPr>
  </w:style>
  <w:style w:type="character" w:customStyle="1" w:styleId="140">
    <w:name w:val="标题 Char"/>
    <w:link w:val="36"/>
    <w:qFormat/>
    <w:uiPriority w:val="0"/>
    <w:rPr>
      <w:rFonts w:ascii="Arial" w:hAnsi="Arial" w:eastAsia="宋体"/>
      <w:b/>
      <w:sz w:val="32"/>
      <w:lang w:val="en-US" w:eastAsia="zh-CN" w:bidi="ar-SA"/>
    </w:rPr>
  </w:style>
  <w:style w:type="character" w:customStyle="1" w:styleId="141">
    <w:name w:val="批注文字 Char"/>
    <w:link w:val="13"/>
    <w:qFormat/>
    <w:uiPriority w:val="0"/>
    <w:rPr>
      <w:rFonts w:eastAsia="宋体"/>
      <w:kern w:val="2"/>
      <w:sz w:val="21"/>
      <w:szCs w:val="24"/>
      <w:lang w:val="en-US" w:eastAsia="zh-CN" w:bidi="ar-SA"/>
    </w:rPr>
  </w:style>
  <w:style w:type="character" w:customStyle="1" w:styleId="142">
    <w:name w:val="页眉 Char"/>
    <w:link w:val="28"/>
    <w:qFormat/>
    <w:uiPriority w:val="99"/>
    <w:rPr>
      <w:rFonts w:eastAsia="宋体"/>
      <w:kern w:val="2"/>
      <w:sz w:val="18"/>
      <w:szCs w:val="18"/>
      <w:lang w:val="en-US" w:eastAsia="zh-CN" w:bidi="ar-SA"/>
    </w:rPr>
  </w:style>
  <w:style w:type="character" w:customStyle="1" w:styleId="143">
    <w:name w:val="标题 9 Char"/>
    <w:link w:val="10"/>
    <w:qFormat/>
    <w:uiPriority w:val="0"/>
    <w:rPr>
      <w:rFonts w:ascii="Arial" w:hAnsi="Arial" w:eastAsia="黑体"/>
      <w:sz w:val="21"/>
      <w:szCs w:val="21"/>
      <w:lang w:val="en-US" w:eastAsia="zh-CN" w:bidi="ar-SA"/>
    </w:rPr>
  </w:style>
  <w:style w:type="character" w:customStyle="1" w:styleId="144">
    <w:name w:val="标题 8 Char"/>
    <w:link w:val="9"/>
    <w:qFormat/>
    <w:uiPriority w:val="0"/>
    <w:rPr>
      <w:rFonts w:ascii="Arial" w:hAnsi="Arial" w:eastAsia="黑体"/>
      <w:sz w:val="24"/>
      <w:szCs w:val="24"/>
      <w:lang w:val="en-US" w:eastAsia="zh-CN" w:bidi="ar-SA"/>
    </w:rPr>
  </w:style>
  <w:style w:type="character" w:customStyle="1" w:styleId="145">
    <w:name w:val="标题 2 Char"/>
    <w:link w:val="3"/>
    <w:qFormat/>
    <w:uiPriority w:val="0"/>
    <w:rPr>
      <w:rFonts w:ascii="黑体" w:eastAsia="黑体"/>
      <w:color w:val="000000"/>
      <w:kern w:val="2"/>
      <w:sz w:val="28"/>
      <w:lang w:val="en-US" w:eastAsia="zh-CN" w:bidi="ar-SA"/>
    </w:rPr>
  </w:style>
  <w:style w:type="character" w:customStyle="1" w:styleId="146">
    <w:name w:val="正文文本缩进 Char"/>
    <w:link w:val="16"/>
    <w:qFormat/>
    <w:uiPriority w:val="0"/>
    <w:rPr>
      <w:rFonts w:ascii="宋体" w:eastAsia="宋体"/>
      <w:kern w:val="2"/>
      <w:sz w:val="24"/>
      <w:szCs w:val="24"/>
      <w:lang w:val="en-US" w:eastAsia="zh-CN" w:bidi="ar-SA"/>
    </w:rPr>
  </w:style>
  <w:style w:type="character" w:customStyle="1" w:styleId="147">
    <w:name w:val="正文文本 3 Char"/>
    <w:link w:val="14"/>
    <w:qFormat/>
    <w:uiPriority w:val="0"/>
    <w:rPr>
      <w:rFonts w:ascii="宋体" w:eastAsia="宋体"/>
      <w:color w:val="000000"/>
      <w:kern w:val="2"/>
      <w:sz w:val="32"/>
      <w:lang w:val="en-US" w:eastAsia="zh-CN" w:bidi="ar-SA"/>
    </w:rPr>
  </w:style>
  <w:style w:type="character" w:customStyle="1" w:styleId="148">
    <w:name w:val="正文文本 2 Char"/>
    <w:link w:val="33"/>
    <w:qFormat/>
    <w:uiPriority w:val="0"/>
    <w:rPr>
      <w:rFonts w:ascii="宋体" w:eastAsia="宋体"/>
      <w:kern w:val="2"/>
      <w:sz w:val="28"/>
      <w:lang w:val="en-US" w:eastAsia="zh-CN" w:bidi="ar-SA"/>
    </w:rPr>
  </w:style>
  <w:style w:type="character" w:customStyle="1" w:styleId="149">
    <w:name w:val="标题 7 Char"/>
    <w:link w:val="8"/>
    <w:qFormat/>
    <w:uiPriority w:val="0"/>
    <w:rPr>
      <w:rFonts w:eastAsia="宋体"/>
      <w:b/>
      <w:bCs/>
      <w:sz w:val="24"/>
      <w:szCs w:val="24"/>
      <w:lang w:val="en-US" w:eastAsia="zh-CN" w:bidi="ar-SA"/>
    </w:rPr>
  </w:style>
  <w:style w:type="character" w:customStyle="1" w:styleId="150">
    <w:name w:val="标题 3 Char"/>
    <w:link w:val="4"/>
    <w:qFormat/>
    <w:uiPriority w:val="0"/>
    <w:rPr>
      <w:rFonts w:ascii="黑体" w:eastAsia="黑体"/>
      <w:color w:val="000000"/>
      <w:kern w:val="2"/>
      <w:sz w:val="32"/>
      <w:lang w:val="en-US" w:eastAsia="zh-CN" w:bidi="ar-SA"/>
    </w:rPr>
  </w:style>
  <w:style w:type="character" w:customStyle="1" w:styleId="151">
    <w:name w:val="纯文本 Char"/>
    <w:link w:val="21"/>
    <w:qFormat/>
    <w:uiPriority w:val="0"/>
    <w:rPr>
      <w:rFonts w:ascii="宋体" w:hAnsi="Courier New" w:eastAsia="宋体" w:cs="黑体"/>
      <w:sz w:val="21"/>
      <w:szCs w:val="21"/>
      <w:lang w:val="en-US" w:eastAsia="zh-CN" w:bidi="ar-SA"/>
    </w:rPr>
  </w:style>
  <w:style w:type="character" w:customStyle="1" w:styleId="152">
    <w:name w:val="页脚 Char"/>
    <w:link w:val="27"/>
    <w:qFormat/>
    <w:uiPriority w:val="99"/>
    <w:rPr>
      <w:rFonts w:eastAsia="宋体"/>
      <w:kern w:val="2"/>
      <w:sz w:val="18"/>
      <w:lang w:val="en-US" w:eastAsia="zh-CN" w:bidi="ar-SA"/>
    </w:rPr>
  </w:style>
  <w:style w:type="paragraph" w:customStyle="1" w:styleId="153">
    <w:name w:val="无间隔1"/>
    <w:qFormat/>
    <w:uiPriority w:val="1"/>
    <w:pPr>
      <w:adjustRightInd w:val="0"/>
      <w:snapToGrid w:val="0"/>
    </w:pPr>
    <w:rPr>
      <w:rFonts w:ascii="Tahoma" w:hAnsi="Tahoma" w:eastAsia="微软雅黑" w:cs="宋体"/>
      <w:kern w:val="0"/>
      <w:sz w:val="22"/>
      <w:szCs w:val="22"/>
      <w:lang w:val="en-US" w:eastAsia="zh-CN" w:bidi="ar-SA"/>
    </w:rPr>
  </w:style>
  <w:style w:type="character" w:customStyle="1" w:styleId="154">
    <w:name w:val="mark"/>
    <w:basedOn w:val="42"/>
    <w:qFormat/>
    <w:uiPriority w:val="0"/>
    <w:rPr>
      <w:rFonts w:ascii="Times New Roman" w:hAnsi="Times New Roman" w:eastAsia="宋体" w:cs="Times New Roman"/>
    </w:rPr>
  </w:style>
  <w:style w:type="character" w:customStyle="1" w:styleId="155">
    <w:name w:val="apple-style-span"/>
    <w:basedOn w:val="42"/>
    <w:qFormat/>
    <w:uiPriority w:val="0"/>
  </w:style>
  <w:style w:type="table" w:customStyle="1" w:styleId="156">
    <w:name w:val="Table Normal"/>
    <w:qFormat/>
    <w:uiPriority w:val="0"/>
    <w:tblPr>
      <w:tblCellMar>
        <w:top w:w="0" w:type="dxa"/>
        <w:left w:w="0" w:type="dxa"/>
        <w:bottom w:w="0" w:type="dxa"/>
        <w:right w:w="0" w:type="dxa"/>
      </w:tblCellMar>
    </w:tblPr>
  </w:style>
  <w:style w:type="paragraph" w:customStyle="1" w:styleId="157">
    <w:name w:val="正文1"/>
    <w:basedOn w:val="1"/>
    <w:qFormat/>
    <w:uiPriority w:val="0"/>
    <w:pPr>
      <w:spacing w:after="200" w:line="300" w:lineRule="atLeast"/>
    </w:pPr>
    <w:rPr>
      <w:rFonts w:ascii="Calibri" w:hAnsi="Calibri" w:cs="宋体"/>
      <w:sz w:val="22"/>
      <w:szCs w:val="22"/>
      <w:lang w:eastAsia="zh-CN"/>
    </w:rPr>
  </w:style>
  <w:style w:type="paragraph" w:customStyle="1" w:styleId="158">
    <w:name w:val="Body text|1"/>
    <w:basedOn w:val="1"/>
    <w:qFormat/>
    <w:uiPriority w:val="0"/>
    <w:pPr>
      <w:spacing w:line="396" w:lineRule="auto"/>
      <w:ind w:firstLine="400"/>
    </w:pPr>
    <w:rPr>
      <w:rFonts w:ascii="宋体" w:hAnsi="宋体" w:cs="宋体"/>
      <w:color w:val="222124"/>
      <w:sz w:val="30"/>
      <w:szCs w:val="30"/>
      <w:lang w:val="zh-TW" w:eastAsia="zh-TW" w:bidi="zh-TW"/>
    </w:rPr>
  </w:style>
  <w:style w:type="paragraph" w:customStyle="1" w:styleId="159">
    <w:name w:val="Other|1"/>
    <w:basedOn w:val="1"/>
    <w:qFormat/>
    <w:uiPriority w:val="0"/>
    <w:pPr>
      <w:spacing w:line="396" w:lineRule="auto"/>
      <w:ind w:firstLine="400"/>
    </w:pPr>
    <w:rPr>
      <w:rFonts w:ascii="宋体" w:hAnsi="宋体" w:cs="宋体"/>
      <w:color w:val="222124"/>
      <w:sz w:val="30"/>
      <w:szCs w:val="30"/>
      <w:lang w:val="zh-TW" w:eastAsia="zh-TW" w:bidi="zh-TW"/>
    </w:rPr>
  </w:style>
  <w:style w:type="paragraph" w:styleId="160">
    <w:name w:val="List Paragraph"/>
    <w:basedOn w:val="1"/>
    <w:qFormat/>
    <w:uiPriority w:val="34"/>
    <w:pPr>
      <w:ind w:firstLine="420" w:firstLineChars="200"/>
    </w:pPr>
    <w:rPr>
      <w:rFonts w:ascii="Calibri" w:hAnsi="Calibri"/>
    </w:rPr>
  </w:style>
  <w:style w:type="character" w:customStyle="1" w:styleId="161">
    <w:name w:val="font81"/>
    <w:basedOn w:val="42"/>
    <w:qFormat/>
    <w:uiPriority w:val="0"/>
    <w:rPr>
      <w:rFonts w:hint="eastAsia" w:ascii="宋体" w:hAnsi="宋体" w:eastAsia="宋体" w:cs="宋体"/>
      <w:color w:val="000000"/>
      <w:sz w:val="16"/>
      <w:szCs w:val="16"/>
      <w:u w:val="none"/>
    </w:rPr>
  </w:style>
  <w:style w:type="character" w:customStyle="1" w:styleId="162">
    <w:name w:val="font01"/>
    <w:basedOn w:val="42"/>
    <w:qFormat/>
    <w:uiPriority w:val="0"/>
    <w:rPr>
      <w:rFonts w:hint="eastAsia" w:ascii="宋体" w:hAnsi="宋体" w:eastAsia="宋体" w:cs="宋体"/>
      <w:color w:val="FF0000"/>
      <w:sz w:val="16"/>
      <w:szCs w:val="16"/>
      <w:u w:val="none"/>
    </w:rPr>
  </w:style>
  <w:style w:type="character" w:customStyle="1" w:styleId="163">
    <w:name w:val="font51"/>
    <w:basedOn w:val="42"/>
    <w:qFormat/>
    <w:uiPriority w:val="0"/>
    <w:rPr>
      <w:rFonts w:hint="eastAsia" w:ascii="宋体" w:hAnsi="宋体" w:eastAsia="宋体" w:cs="宋体"/>
      <w:color w:val="000000"/>
      <w:sz w:val="16"/>
      <w:szCs w:val="16"/>
      <w:u w:val="none"/>
    </w:rPr>
  </w:style>
  <w:style w:type="character" w:customStyle="1" w:styleId="164">
    <w:name w:val="font41"/>
    <w:basedOn w:val="42"/>
    <w:qFormat/>
    <w:uiPriority w:val="0"/>
    <w:rPr>
      <w:rFonts w:ascii="Calibri" w:hAnsi="Calibri" w:cs="Calibri"/>
      <w:color w:val="000000"/>
      <w:sz w:val="16"/>
      <w:szCs w:val="16"/>
      <w:u w:val="none"/>
    </w:rPr>
  </w:style>
  <w:style w:type="character" w:customStyle="1" w:styleId="165">
    <w:name w:val="font91"/>
    <w:basedOn w:val="42"/>
    <w:qFormat/>
    <w:uiPriority w:val="0"/>
    <w:rPr>
      <w:rFonts w:ascii="Calibri" w:hAnsi="Calibri" w:cs="Calibri"/>
      <w:color w:val="000000"/>
      <w:sz w:val="16"/>
      <w:szCs w:val="16"/>
      <w:u w:val="none"/>
    </w:rPr>
  </w:style>
  <w:style w:type="character" w:customStyle="1" w:styleId="166">
    <w:name w:val="font21"/>
    <w:basedOn w:val="42"/>
    <w:qFormat/>
    <w:uiPriority w:val="0"/>
    <w:rPr>
      <w:rFonts w:hint="eastAsia" w:ascii="宋体" w:hAnsi="宋体" w:eastAsia="宋体" w:cs="宋体"/>
      <w:color w:val="000000"/>
      <w:sz w:val="16"/>
      <w:szCs w:val="16"/>
      <w:u w:val="none"/>
    </w:rPr>
  </w:style>
  <w:style w:type="character" w:customStyle="1" w:styleId="167">
    <w:name w:val="font111"/>
    <w:basedOn w:val="42"/>
    <w:qFormat/>
    <w:uiPriority w:val="0"/>
    <w:rPr>
      <w:rFonts w:hint="eastAsia" w:ascii="宋体" w:hAnsi="宋体" w:eastAsia="宋体" w:cs="宋体"/>
      <w:color w:val="FF0000"/>
      <w:sz w:val="16"/>
      <w:szCs w:val="16"/>
      <w:u w:val="none"/>
    </w:rPr>
  </w:style>
  <w:style w:type="character" w:customStyle="1" w:styleId="168">
    <w:name w:val="font122"/>
    <w:basedOn w:val="42"/>
    <w:qFormat/>
    <w:uiPriority w:val="0"/>
    <w:rPr>
      <w:rFonts w:ascii="Calibri" w:hAnsi="Calibri" w:cs="Calibri"/>
      <w:color w:val="000000"/>
      <w:sz w:val="16"/>
      <w:szCs w:val="16"/>
      <w:u w:val="none"/>
    </w:rPr>
  </w:style>
  <w:style w:type="character" w:customStyle="1" w:styleId="169">
    <w:name w:val="font31"/>
    <w:basedOn w:val="42"/>
    <w:qFormat/>
    <w:uiPriority w:val="0"/>
    <w:rPr>
      <w:rFonts w:hint="eastAsia" w:ascii="宋体" w:hAnsi="宋体" w:eastAsia="宋体" w:cs="宋体"/>
      <w:color w:val="000000"/>
      <w:sz w:val="20"/>
      <w:szCs w:val="20"/>
      <w:u w:val="none"/>
    </w:rPr>
  </w:style>
  <w:style w:type="character" w:customStyle="1" w:styleId="170">
    <w:name w:val="font121"/>
    <w:basedOn w:val="42"/>
    <w:qFormat/>
    <w:uiPriority w:val="0"/>
    <w:rPr>
      <w:rFonts w:hint="eastAsia" w:ascii="微软雅黑" w:hAnsi="微软雅黑" w:eastAsia="微软雅黑" w:cs="微软雅黑"/>
      <w:b/>
      <w:bCs/>
      <w:color w:val="000000"/>
      <w:sz w:val="26"/>
      <w:szCs w:val="26"/>
      <w:u w:val="none"/>
    </w:rPr>
  </w:style>
  <w:style w:type="character" w:customStyle="1" w:styleId="171">
    <w:name w:val="font141"/>
    <w:basedOn w:val="42"/>
    <w:qFormat/>
    <w:uiPriority w:val="0"/>
    <w:rPr>
      <w:rFonts w:ascii="Calibri" w:hAnsi="Calibri" w:cs="Calibri"/>
      <w:color w:val="000000"/>
      <w:sz w:val="22"/>
      <w:szCs w:val="22"/>
      <w:u w:val="none"/>
    </w:rPr>
  </w:style>
  <w:style w:type="character" w:customStyle="1" w:styleId="172">
    <w:name w:val="font101"/>
    <w:basedOn w:val="42"/>
    <w:qFormat/>
    <w:uiPriority w:val="0"/>
    <w:rPr>
      <w:rFonts w:hint="eastAsia" w:ascii="微软雅黑" w:hAnsi="微软雅黑" w:eastAsia="微软雅黑" w:cs="微软雅黑"/>
      <w:color w:val="FF0000"/>
      <w:sz w:val="20"/>
      <w:szCs w:val="20"/>
      <w:u w:val="none"/>
    </w:rPr>
  </w:style>
  <w:style w:type="character" w:customStyle="1" w:styleId="173">
    <w:name w:val="font71"/>
    <w:basedOn w:val="42"/>
    <w:qFormat/>
    <w:uiPriority w:val="0"/>
    <w:rPr>
      <w:rFonts w:hint="eastAsia" w:ascii="微软雅黑" w:hAnsi="微软雅黑" w:eastAsia="微软雅黑" w:cs="微软雅黑"/>
      <w:b/>
      <w:bCs/>
      <w:color w:val="000000"/>
      <w:sz w:val="26"/>
      <w:szCs w:val="26"/>
      <w:u w:val="none"/>
    </w:rPr>
  </w:style>
  <w:style w:type="character" w:customStyle="1" w:styleId="174">
    <w:name w:val="font132"/>
    <w:basedOn w:val="42"/>
    <w:qFormat/>
    <w:uiPriority w:val="0"/>
    <w:rPr>
      <w:rFonts w:hint="eastAsia" w:ascii="微软雅黑" w:hAnsi="微软雅黑" w:eastAsia="微软雅黑" w:cs="微软雅黑"/>
      <w:b/>
      <w:bCs/>
      <w:color w:val="000000"/>
      <w:sz w:val="26"/>
      <w:szCs w:val="26"/>
      <w:u w:val="none"/>
    </w:rPr>
  </w:style>
  <w:style w:type="character" w:customStyle="1" w:styleId="175">
    <w:name w:val="font131"/>
    <w:basedOn w:val="42"/>
    <w:qFormat/>
    <w:uiPriority w:val="0"/>
    <w:rPr>
      <w:rFonts w:hint="eastAsia" w:ascii="微软雅黑" w:hAnsi="微软雅黑" w:eastAsia="微软雅黑" w:cs="微软雅黑"/>
      <w:b/>
      <w:bCs/>
      <w:color w:val="000000"/>
      <w:sz w:val="26"/>
      <w:szCs w:val="26"/>
      <w:u w:val="none"/>
    </w:rPr>
  </w:style>
  <w:style w:type="paragraph" w:customStyle="1" w:styleId="176">
    <w:name w:val="正文 缩进2字符"/>
    <w:basedOn w:val="1"/>
    <w:qFormat/>
    <w:uiPriority w:val="0"/>
    <w:pPr>
      <w:spacing w:afterLines="50" w:line="360" w:lineRule="auto"/>
      <w:ind w:firstLine="480" w:firstLineChars="200"/>
    </w:pPr>
    <w:rPr>
      <w:rFonts w:ascii="宋体" w:hAnsi="宋体"/>
      <w:sz w:val="24"/>
    </w:rPr>
  </w:style>
  <w:style w:type="paragraph" w:customStyle="1" w:styleId="177">
    <w:name w:val="null3"/>
    <w:qFormat/>
    <w:uiPriority w:val="0"/>
    <w:rPr>
      <w:rFonts w:hint="eastAsia" w:ascii="Calibri" w:hAnsi="Calibri" w:eastAsia="宋体" w:cs="Times New Roman"/>
      <w:lang w:val="en-US" w:eastAsia="zh-Hans"/>
    </w:rPr>
  </w:style>
  <w:style w:type="character" w:customStyle="1" w:styleId="178">
    <w:name w:val="font61"/>
    <w:basedOn w:val="42"/>
    <w:qFormat/>
    <w:uiPriority w:val="0"/>
    <w:rPr>
      <w:rFonts w:ascii="Arial" w:hAnsi="Arial" w:cs="Arial"/>
      <w:color w:val="000000"/>
      <w:sz w:val="22"/>
      <w:szCs w:val="22"/>
      <w:u w:val="none"/>
    </w:rPr>
  </w:style>
  <w:style w:type="paragraph" w:customStyle="1" w:styleId="179">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rPr>
  </w:style>
  <w:style w:type="paragraph" w:customStyle="1" w:styleId="180">
    <w:name w:val="首行缩进"/>
    <w:basedOn w:val="1"/>
    <w:autoRedefine/>
    <w:qFormat/>
    <w:uiPriority w:val="0"/>
    <w:pPr>
      <w:spacing w:line="360" w:lineRule="auto"/>
      <w:ind w:firstLine="420" w:firstLineChars="200"/>
    </w:pPr>
    <w:rPr>
      <w:sz w:val="21"/>
    </w:rPr>
  </w:style>
  <w:style w:type="paragraph" w:customStyle="1" w:styleId="181">
    <w:name w:val="@正文"/>
    <w:basedOn w:val="1"/>
    <w:qFormat/>
    <w:uiPriority w:val="0"/>
    <w:pPr>
      <w:widowControl/>
      <w:ind w:firstLine="200" w:firstLineChars="200"/>
    </w:pPr>
    <w:rPr>
      <w:rFonts w:ascii="Calibri" w:hAnsi="Calibri" w:cstheme="minorHAnsi"/>
      <w:color w:val="000000"/>
      <w:kern w:val="24"/>
      <w:sz w:val="24"/>
    </w:rPr>
  </w:style>
  <w:style w:type="character" w:customStyle="1" w:styleId="182">
    <w:name w:val="标题 1 Char"/>
    <w:link w:val="2"/>
    <w:qFormat/>
    <w:uiPriority w:val="0"/>
    <w:rPr>
      <w:rFonts w:ascii="黑体" w:eastAsia="黑体"/>
      <w:sz w:val="30"/>
      <w:szCs w:val="20"/>
    </w:rPr>
  </w:style>
  <w:style w:type="paragraph" w:customStyle="1" w:styleId="183">
    <w:name w:val="列表段落1"/>
    <w:basedOn w:val="1"/>
    <w:qFormat/>
    <w:uiPriority w:val="34"/>
    <w:pPr>
      <w:ind w:firstLine="420" w:firstLineChars="200"/>
    </w:pPr>
  </w:style>
  <w:style w:type="paragraph" w:customStyle="1" w:styleId="184">
    <w:name w:val="Table Text"/>
    <w:basedOn w:val="1"/>
    <w:semiHidden/>
    <w:qFormat/>
    <w:uiPriority w:val="0"/>
    <w:rPr>
      <w:rFonts w:ascii="宋体" w:hAnsi="宋体" w:eastAsia="宋体" w:cs="宋体"/>
      <w:sz w:val="21"/>
      <w:szCs w:val="21"/>
      <w:lang w:val="en-US" w:eastAsia="en-US" w:bidi="ar-SA"/>
    </w:rPr>
  </w:style>
  <w:style w:type="paragraph" w:customStyle="1" w:styleId="185">
    <w:name w:val="Table Paragraph"/>
    <w:basedOn w:val="1"/>
    <w:qFormat/>
    <w:uiPriority w:val="1"/>
    <w:pPr>
      <w:spacing w:before="46"/>
      <w:ind w:left="171" w:right="150"/>
      <w:jc w:val="center"/>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jtj</Company>
  <Pages>82</Pages>
  <Words>2773</Words>
  <Characters>3147</Characters>
  <Lines>1</Lines>
  <Paragraphs>1</Paragraphs>
  <TotalTime>5</TotalTime>
  <ScaleCrop>false</ScaleCrop>
  <LinksUpToDate>false</LinksUpToDate>
  <CharactersWithSpaces>19721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2016-11-02T04:42:00Z</dcterms:created>
  <dc:creator>user25</dc:creator>
  <cp:lastModifiedBy>瑞恒</cp:lastModifiedBy>
  <cp:lastPrinted>2022-10-17T03:09:00Z</cp:lastPrinted>
  <dcterms:modified xsi:type="dcterms:W3CDTF">2026-04-03T07:12:55Z</dcterms:modified>
  <dc:title>第一篇 投标邀请书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9AABA2D0041F4A05B7852CC58C7A3323_13</vt:lpwstr>
  </property>
  <property fmtid="{D5CDD505-2E9C-101B-9397-08002B2CF9AE}" pid="4" name="KSOTemplateDocerSaveRecord">
    <vt:lpwstr>eyJoZGlkIjoiYTUxNGFmYWU2ZDcxYmRjNzZmOTYxZWY3MzJiN2M4MWUiLCJ1c2VySWQiOiI0MTgxNjQ0ODkifQ==</vt:lpwstr>
  </property>
</Properties>
</file>