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1060"/>
        <w:gridCol w:w="6591"/>
      </w:tblGrid>
      <w:tr w14:paraId="0C7A0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72714141">
            <w:pPr>
              <w:pStyle w:val="4"/>
            </w:pPr>
            <w:r>
              <w:rPr>
                <w:rFonts w:ascii="仿宋_GB2312" w:hAnsi="仿宋_GB2312" w:eastAsia="仿宋_GB2312" w:cs="仿宋_GB2312"/>
              </w:rPr>
              <w:t>序号</w:t>
            </w:r>
          </w:p>
        </w:tc>
        <w:tc>
          <w:tcPr>
            <w:tcW w:w="1060" w:type="dxa"/>
          </w:tcPr>
          <w:p w14:paraId="3DB828DA">
            <w:pPr>
              <w:pStyle w:val="4"/>
            </w:pPr>
            <w:r>
              <w:rPr>
                <w:rFonts w:ascii="仿宋_GB2312" w:hAnsi="仿宋_GB2312" w:eastAsia="仿宋_GB2312" w:cs="仿宋_GB2312"/>
              </w:rPr>
              <w:t>参数性质</w:t>
            </w:r>
          </w:p>
        </w:tc>
        <w:tc>
          <w:tcPr>
            <w:tcW w:w="6591" w:type="dxa"/>
          </w:tcPr>
          <w:p w14:paraId="572510BE">
            <w:pPr>
              <w:pStyle w:val="4"/>
            </w:pPr>
            <w:bookmarkStart w:id="0" w:name="_GoBack"/>
            <w:bookmarkEnd w:id="0"/>
            <w:r>
              <w:rPr>
                <w:rFonts w:ascii="仿宋_GB2312" w:hAnsi="仿宋_GB2312" w:eastAsia="仿宋_GB2312" w:cs="仿宋_GB2312"/>
              </w:rPr>
              <w:t>技术参数与性能指标</w:t>
            </w:r>
          </w:p>
        </w:tc>
      </w:tr>
      <w:tr w14:paraId="0DDB1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37715665">
            <w:pPr>
              <w:pStyle w:val="4"/>
            </w:pPr>
            <w:r>
              <w:rPr>
                <w:rFonts w:ascii="仿宋_GB2312" w:hAnsi="仿宋_GB2312" w:eastAsia="仿宋_GB2312" w:cs="仿宋_GB2312"/>
              </w:rPr>
              <w:t>1</w:t>
            </w:r>
          </w:p>
        </w:tc>
        <w:tc>
          <w:tcPr>
            <w:tcW w:w="1060" w:type="dxa"/>
          </w:tcPr>
          <w:p w14:paraId="0681B9C1"/>
        </w:tc>
        <w:tc>
          <w:tcPr>
            <w:tcW w:w="6591" w:type="dxa"/>
          </w:tcPr>
          <w:p w14:paraId="046B0420">
            <w:pPr>
              <w:pStyle w:val="4"/>
            </w:pPr>
            <w:r>
              <w:rPr>
                <w:rFonts w:ascii="仿宋_GB2312" w:hAnsi="仿宋_GB2312" w:eastAsia="仿宋_GB2312" w:cs="仿宋_GB2312"/>
                <w:b/>
                <w:sz w:val="21"/>
              </w:rPr>
              <w:t>一、项目概况</w:t>
            </w:r>
          </w:p>
          <w:p w14:paraId="3649CE11">
            <w:pPr>
              <w:pStyle w:val="4"/>
              <w:ind w:firstLine="400"/>
            </w:pPr>
            <w:r>
              <w:rPr>
                <w:rFonts w:ascii="仿宋_GB2312" w:hAnsi="仿宋_GB2312" w:eastAsia="仿宋_GB2312" w:cs="仿宋_GB2312"/>
                <w:sz w:val="21"/>
              </w:rPr>
              <w:t>为进一步发挥陕西文物大省、考古大省的文物资源优势，弘扬、展示陕西珍贵的文化遗产，增强公众保护文化遗产的意识，扩大陕西文物影响力，切实做好文物宣传工作，陕西省文物局官网和“文物陕西”系列融媒体的运行维护拟由具有丰富政务网站运维和媒体传播经验的新媒体运维团队提供支持服务。</w:t>
            </w:r>
          </w:p>
          <w:p w14:paraId="72FD0AD7">
            <w:pPr>
              <w:pStyle w:val="4"/>
              <w:ind w:firstLine="400"/>
            </w:pPr>
            <w:r>
              <w:rPr>
                <w:rFonts w:ascii="仿宋_GB2312" w:hAnsi="仿宋_GB2312" w:eastAsia="仿宋_GB2312" w:cs="仿宋_GB2312"/>
                <w:sz w:val="21"/>
              </w:rPr>
              <w:t>预期目标：切实丰富文物宣传的传播形式、增强互动能力；提升信息发布、解读回应、办事服务的整体水平，精准对接和传递民生需求；不断提升省文物局政府信息和政务公开平台建设能力；为陕西文物事业高质量发展营造良好的舆论氛围。</w:t>
            </w:r>
          </w:p>
        </w:tc>
      </w:tr>
      <w:tr w14:paraId="2E976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14:paraId="4961BE8A">
            <w:pPr>
              <w:pStyle w:val="4"/>
            </w:pPr>
            <w:r>
              <w:rPr>
                <w:rFonts w:ascii="仿宋_GB2312" w:hAnsi="仿宋_GB2312" w:eastAsia="仿宋_GB2312" w:cs="仿宋_GB2312"/>
              </w:rPr>
              <w:t>2</w:t>
            </w:r>
          </w:p>
        </w:tc>
        <w:tc>
          <w:tcPr>
            <w:tcW w:w="1060" w:type="dxa"/>
          </w:tcPr>
          <w:p w14:paraId="355664C4"/>
        </w:tc>
        <w:tc>
          <w:tcPr>
            <w:tcW w:w="6591" w:type="dxa"/>
          </w:tcPr>
          <w:p w14:paraId="153E3450">
            <w:pPr>
              <w:pStyle w:val="4"/>
            </w:pPr>
            <w:r>
              <w:rPr>
                <w:rFonts w:ascii="仿宋_GB2312" w:hAnsi="仿宋_GB2312" w:eastAsia="仿宋_GB2312" w:cs="仿宋_GB2312"/>
                <w:b/>
                <w:sz w:val="21"/>
              </w:rPr>
              <w:t>二、采购内容及服务要求</w:t>
            </w:r>
          </w:p>
          <w:p w14:paraId="1676B73E">
            <w:pPr>
              <w:pStyle w:val="4"/>
              <w:ind w:firstLine="400"/>
            </w:pPr>
            <w:r>
              <w:rPr>
                <w:rFonts w:ascii="仿宋_GB2312" w:hAnsi="仿宋_GB2312" w:eastAsia="仿宋_GB2312" w:cs="仿宋_GB2312"/>
                <w:sz w:val="21"/>
              </w:rPr>
              <w:t>1、严格按照国务院《政府网站发展指引》和《陕西省政府网站绩效评估指标》要求，及时、高质量更新网站各栏目内容，将陕西省文物局官网打造成一个更加全面高效的政府信息和政务公开平台、更加权威的政策发布解读和舆论引导平台、更加准确及时的回应关切和便民服务平台。完成网站无障碍、适老化改造，实现网站移动端云适配。</w:t>
            </w:r>
          </w:p>
          <w:p w14:paraId="0E6CB97C">
            <w:pPr>
              <w:pStyle w:val="4"/>
              <w:ind w:firstLine="400"/>
            </w:pPr>
            <w:r>
              <w:rPr>
                <w:rFonts w:ascii="仿宋_GB2312" w:hAnsi="仿宋_GB2312" w:eastAsia="仿宋_GB2312" w:cs="仿宋_GB2312"/>
                <w:sz w:val="21"/>
              </w:rPr>
              <w:t>2、全面优化整合陕西文物融媒体中心平台资源，提升平台综合服务能力。以“文物陕西”新媒体矩阵为依托，全面布局“文字+图片+视频+ 音频”的陕西文物宣传新媒体矩阵，为陕西文物信息“中央厨房”提供技术支撑，讲好文物故事，弘扬优秀文化，显著提升“文物陕西”的社会影响力和传播力，在全省宣传思想文化系统中名列前茅。</w:t>
            </w:r>
          </w:p>
          <w:p w14:paraId="096B4800">
            <w:pPr>
              <w:pStyle w:val="4"/>
              <w:ind w:firstLine="400"/>
            </w:pPr>
            <w:r>
              <w:rPr>
                <w:rFonts w:ascii="仿宋_GB2312" w:hAnsi="仿宋_GB2312" w:eastAsia="仿宋_GB2312" w:cs="仿宋_GB2312"/>
                <w:sz w:val="21"/>
              </w:rPr>
              <w:t>3、文物陕西微博每日推送不少于10条（含10条），全年推送不少于3000条微博。</w:t>
            </w:r>
          </w:p>
          <w:p w14:paraId="3CDCCB70">
            <w:pPr>
              <w:pStyle w:val="4"/>
              <w:ind w:firstLine="400"/>
            </w:pPr>
            <w:r>
              <w:rPr>
                <w:rFonts w:ascii="仿宋_GB2312" w:hAnsi="仿宋_GB2312" w:eastAsia="仿宋_GB2312" w:cs="仿宋_GB2312"/>
                <w:sz w:val="21"/>
              </w:rPr>
              <w:t>4、文物陕西微信公众号（周一至周五）每日推送1次，每次推送不少于2条（含2条），全年推送不少于500条。进行粉丝维护，及时进行粉丝互动，工作日3小时内回复粉丝提问，黄金周和小长假期间5小时内回复粉丝提问，后台24小时数据监控。</w:t>
            </w:r>
          </w:p>
          <w:p w14:paraId="77098950">
            <w:pPr>
              <w:pStyle w:val="4"/>
              <w:ind w:firstLine="400"/>
            </w:pPr>
            <w:r>
              <w:rPr>
                <w:rFonts w:ascii="仿宋_GB2312" w:hAnsi="仿宋_GB2312" w:eastAsia="仿宋_GB2312" w:cs="仿宋_GB2312"/>
                <w:sz w:val="21"/>
              </w:rPr>
              <w:t>5、文物陕西人民号每周推送3次，每次推送不少于1条（含1条），全年推送不少于150条。</w:t>
            </w:r>
          </w:p>
          <w:p w14:paraId="06D5D05E">
            <w:pPr>
              <w:pStyle w:val="4"/>
              <w:ind w:firstLine="400"/>
            </w:pPr>
            <w:r>
              <w:rPr>
                <w:rFonts w:ascii="仿宋_GB2312" w:hAnsi="仿宋_GB2312" w:eastAsia="仿宋_GB2312" w:cs="仿宋_GB2312"/>
                <w:sz w:val="21"/>
              </w:rPr>
              <w:t>6、文物陕西微信视频号每周推送视频不少于1条（含1条）；文物陕西抖音号每周推送视频不少于1条（含1条）；文物陕西B站每周推送视频不少于1条（含1条）。全年共计发布视频不少于120条。</w:t>
            </w:r>
          </w:p>
          <w:p w14:paraId="58919C10">
            <w:pPr>
              <w:pStyle w:val="4"/>
              <w:ind w:firstLine="400"/>
            </w:pPr>
            <w:r>
              <w:rPr>
                <w:rFonts w:ascii="仿宋_GB2312" w:hAnsi="仿宋_GB2312" w:eastAsia="仿宋_GB2312" w:cs="仿宋_GB2312"/>
                <w:sz w:val="21"/>
              </w:rPr>
              <w:t>7、结合陕西文物工作中的重点、热点，全面策划开展线上线下相关宣传推广活动不少于10次。</w:t>
            </w:r>
          </w:p>
          <w:p w14:paraId="21C592D0">
            <w:pPr>
              <w:pStyle w:val="4"/>
              <w:ind w:firstLine="400"/>
            </w:pPr>
            <w:r>
              <w:rPr>
                <w:rFonts w:ascii="仿宋_GB2312" w:hAnsi="仿宋_GB2312" w:eastAsia="仿宋_GB2312" w:cs="仿宋_GB2312"/>
                <w:sz w:val="21"/>
              </w:rPr>
              <w:t>8、完成领导交办的其它临时任务。</w:t>
            </w:r>
          </w:p>
          <w:p w14:paraId="01DA0CA0">
            <w:pPr>
              <w:pStyle w:val="4"/>
              <w:ind w:firstLine="400"/>
            </w:pPr>
            <w:r>
              <w:rPr>
                <w:rFonts w:ascii="仿宋_GB2312" w:hAnsi="仿宋_GB2312" w:eastAsia="仿宋_GB2312" w:cs="仿宋_GB2312"/>
                <w:sz w:val="21"/>
              </w:rPr>
              <w:t>9、需要配备专职人员为陕西文物融媒体中心运维提供支持服务。相关人员应能够适应政府工作节奏，确保接到突发任务或不定时紧急任务时及时到岗，按照相关工作时限和任务标准，圆满完成任务。</w:t>
            </w:r>
          </w:p>
          <w:p w14:paraId="4CC684DA">
            <w:pPr>
              <w:pStyle w:val="4"/>
              <w:ind w:firstLine="400"/>
            </w:pPr>
            <w:r>
              <w:rPr>
                <w:rFonts w:ascii="仿宋_GB2312" w:hAnsi="仿宋_GB2312" w:eastAsia="仿宋_GB2312" w:cs="仿宋_GB2312"/>
                <w:sz w:val="21"/>
              </w:rPr>
              <w:t>10、应保证在网站、微信、微博内容中使用的作品不违反中华人民共和国的相关法律法规，不涉及任何侵权事宜，不对任何民事主体造成诽谤、侵害隐私权，不触犯任何第三方的版权、商标权、肖像权。</w:t>
            </w:r>
          </w:p>
          <w:p w14:paraId="44EE511A">
            <w:pPr>
              <w:pStyle w:val="4"/>
              <w:ind w:firstLine="400"/>
            </w:pPr>
            <w:r>
              <w:rPr>
                <w:rFonts w:ascii="仿宋_GB2312" w:hAnsi="仿宋_GB2312" w:eastAsia="仿宋_GB2312" w:cs="仿宋_GB2312"/>
                <w:sz w:val="21"/>
              </w:rPr>
              <w:t>11、确保硬件环境、支撑软件和服务端软件的稳定运行；确保信息发布的及时性和权威性，提高公共服务的无障碍化；确保信息系统和数据的安全；提高应急响应和故障恢复能力。在省级部门政务网站绩效评估考核中，综合成绩达到中上游水平。</w:t>
            </w:r>
          </w:p>
        </w:tc>
      </w:tr>
    </w:tbl>
    <w:p w14:paraId="539388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46D96"/>
    <w:rsid w:val="76246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2026-04-28T09:15:00Z</dcterms:created>
  <dc:creator>123</dc:creator>
  <cp:lastModifiedBy>123</cp:lastModifiedBy>
  <dcterms:modified xsi:type="dcterms:W3CDTF">2026-04-28T09:15:54Z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160CCE75F75F445F860BFD1AB3478F9F_11</vt:lpwstr>
  </property>
  <property fmtid="{D5CDD505-2E9C-101B-9397-08002B2CF9AE}" pid="4" name="KSOTemplateDocerSaveRecord">
    <vt:lpwstr>eyJoZGlkIjoiYzA1MTFjMGE5NjMwY2U1ODU1MGFhN2UxMjk1NDdlZjEiLCJ1c2VySWQiOiI0NTE5NDQwNTQifQ==</vt:lpwstr>
  </property>
</Properties>
</file>