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3"/>
        <w:gridCol w:w="334"/>
        <w:gridCol w:w="7855"/>
      </w:tblGrid>
      <w:tr w14:paraId="56791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2B3F69">
            <w:pPr>
              <w:pStyle w:val="4"/>
            </w:pPr>
            <w:r>
              <w:rPr>
                <w:rFonts w:ascii="仿宋_GB2312" w:hAnsi="仿宋_GB2312" w:eastAsia="仿宋_GB2312" w:cs="仿宋_GB2312"/>
              </w:rPr>
              <w:t xml:space="preserve"> 序号</w:t>
            </w:r>
          </w:p>
        </w:tc>
        <w:tc>
          <w:tcPr>
            <w:tcW w:w="2769" w:type="dxa"/>
          </w:tcPr>
          <w:p w14:paraId="1BA92811">
            <w:pPr>
              <w:pStyle w:val="4"/>
            </w:pPr>
            <w:r>
              <w:rPr>
                <w:rFonts w:ascii="仿宋_GB2312" w:hAnsi="仿宋_GB2312" w:eastAsia="仿宋_GB2312" w:cs="仿宋_GB2312"/>
              </w:rPr>
              <w:t xml:space="preserve"> 参数性质</w:t>
            </w:r>
          </w:p>
        </w:tc>
        <w:tc>
          <w:tcPr>
            <w:tcW w:w="2769" w:type="dxa"/>
          </w:tcPr>
          <w:p w14:paraId="460A6EEF">
            <w:pPr>
              <w:pStyle w:val="4"/>
            </w:pPr>
            <w:r>
              <w:rPr>
                <w:rFonts w:ascii="仿宋_GB2312" w:hAnsi="仿宋_GB2312" w:eastAsia="仿宋_GB2312" w:cs="仿宋_GB2312"/>
              </w:rPr>
              <w:t xml:space="preserve"> 技术参数与性能指标</w:t>
            </w:r>
          </w:p>
        </w:tc>
      </w:tr>
      <w:tr w14:paraId="45E5F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2E151E">
            <w:pPr>
              <w:pStyle w:val="4"/>
            </w:pPr>
            <w:r>
              <w:rPr>
                <w:rFonts w:ascii="仿宋_GB2312" w:hAnsi="仿宋_GB2312" w:eastAsia="仿宋_GB2312" w:cs="仿宋_GB2312"/>
              </w:rPr>
              <w:t>1</w:t>
            </w:r>
          </w:p>
        </w:tc>
        <w:tc>
          <w:tcPr>
            <w:tcW w:w="2769" w:type="dxa"/>
          </w:tcPr>
          <w:p w14:paraId="05771F46"/>
        </w:tc>
        <w:tc>
          <w:tcPr>
            <w:tcW w:w="2769" w:type="dxa"/>
          </w:tcPr>
          <w:p w14:paraId="6C588AB2">
            <w:pPr>
              <w:pStyle w:val="4"/>
              <w:jc w:val="left"/>
            </w:pPr>
            <w:r>
              <w:rPr>
                <w:rFonts w:ascii="仿宋_GB2312" w:hAnsi="仿宋_GB2312" w:eastAsia="仿宋_GB2312" w:cs="仿宋_GB2312"/>
                <w:sz w:val="21"/>
              </w:rPr>
              <w:t>一、项目背景</w:t>
            </w:r>
          </w:p>
          <w:p w14:paraId="643943E2">
            <w:pPr>
              <w:pStyle w:val="4"/>
              <w:jc w:val="left"/>
            </w:pPr>
            <w:r>
              <w:rPr>
                <w:rFonts w:ascii="仿宋_GB2312" w:hAnsi="仿宋_GB2312" w:eastAsia="仿宋_GB2312" w:cs="仿宋_GB2312"/>
                <w:color w:val="000000"/>
                <w:sz w:val="21"/>
              </w:rPr>
              <w:t xml:space="preserve">  为落实教育部《关于做好 2025年普通高校招生工作的通知》中 “实时智能巡查全覆盖”核心要求，推动国家教育考试标准化考点迈向全要素智能化、全流程数字化管理，针对陕西省 2019 年建成的智能保密室系统存在的监控盲区、设备老化、AI 分析能力不足等问题，陕西省教育考试院启动全省保密室智能管理系统升级改造工程，构建24 小时无死角监控、全轨迹追溯、AI 异常精准识别的新一代智能防控体系，全方位保障试卷绝对安全，实现 “平安考试” 目标。</w:t>
            </w:r>
          </w:p>
        </w:tc>
      </w:tr>
      <w:tr w14:paraId="7E55C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690AE0">
            <w:pPr>
              <w:pStyle w:val="4"/>
            </w:pPr>
            <w:r>
              <w:rPr>
                <w:rFonts w:ascii="仿宋_GB2312" w:hAnsi="仿宋_GB2312" w:eastAsia="仿宋_GB2312" w:cs="仿宋_GB2312"/>
              </w:rPr>
              <w:t>2</w:t>
            </w:r>
          </w:p>
        </w:tc>
        <w:tc>
          <w:tcPr>
            <w:tcW w:w="2769" w:type="dxa"/>
          </w:tcPr>
          <w:p w14:paraId="794EF568"/>
        </w:tc>
        <w:tc>
          <w:tcPr>
            <w:tcW w:w="2769" w:type="dxa"/>
          </w:tcPr>
          <w:p w14:paraId="6AACA481">
            <w:pPr>
              <w:pStyle w:val="4"/>
              <w:jc w:val="left"/>
            </w:pPr>
            <w:r>
              <w:rPr>
                <w:rFonts w:ascii="仿宋_GB2312" w:hAnsi="仿宋_GB2312" w:eastAsia="仿宋_GB2312" w:cs="仿宋_GB2312"/>
                <w:sz w:val="21"/>
              </w:rPr>
              <w:t>二、建设目标</w:t>
            </w:r>
          </w:p>
          <w:p w14:paraId="2C655B56">
            <w:pPr>
              <w:pStyle w:val="4"/>
              <w:jc w:val="left"/>
            </w:pPr>
            <w:r>
              <w:rPr>
                <w:rFonts w:ascii="仿宋_GB2312" w:hAnsi="仿宋_GB2312" w:eastAsia="仿宋_GB2312" w:cs="仿宋_GB2312"/>
                <w:sz w:val="21"/>
              </w:rPr>
              <w:t>（一）现状</w:t>
            </w:r>
          </w:p>
          <w:p w14:paraId="2CCD7568">
            <w:pPr>
              <w:pStyle w:val="4"/>
              <w:ind w:firstLine="400"/>
              <w:jc w:val="left"/>
            </w:pPr>
            <w:r>
              <w:rPr>
                <w:rFonts w:ascii="仿宋_GB2312" w:hAnsi="仿宋_GB2312" w:eastAsia="仿宋_GB2312" w:cs="仿宋_GB2312"/>
                <w:sz w:val="21"/>
              </w:rPr>
              <w:t>2019年建成的陕西省国家教育考试智能保密室系统，在值班室与保密室各安装了1个摄像头。</w:t>
            </w:r>
          </w:p>
          <w:p w14:paraId="7E51FE08">
            <w:pPr>
              <w:pStyle w:val="4"/>
              <w:ind w:firstLine="400"/>
              <w:jc w:val="left"/>
            </w:pPr>
            <w:r>
              <w:rPr>
                <w:rFonts w:ascii="仿宋_GB2312" w:hAnsi="仿宋_GB2312" w:eastAsia="仿宋_GB2312" w:cs="仿宋_GB2312"/>
                <w:sz w:val="21"/>
              </w:rPr>
              <w:t>在监控覆盖范围上：仅有的 2 个摄像头难以做到对保密室内各个角落，如文件存储柜背后、设备操作隐蔽区域等进行全面监控，存在诸多监控盲区；</w:t>
            </w:r>
          </w:p>
          <w:p w14:paraId="58BA6110">
            <w:pPr>
              <w:pStyle w:val="4"/>
              <w:ind w:firstLine="400"/>
              <w:jc w:val="left"/>
            </w:pPr>
            <w:r>
              <w:rPr>
                <w:rFonts w:ascii="仿宋_GB2312" w:hAnsi="仿宋_GB2312" w:eastAsia="仿宋_GB2312" w:cs="仿宋_GB2312"/>
                <w:sz w:val="21"/>
              </w:rPr>
              <w:t>画面清晰度方面：现有摄像头，难以清晰捕捉人员的细微动作与操作细节；帧率也较低，导致动态画面存在卡顿、不连贯的情况，无法为 AI 智能分析算法提供高质量的视频源，使得对违规行为的智能识别分析精度大打折扣。</w:t>
            </w:r>
          </w:p>
          <w:p w14:paraId="6D544100">
            <w:pPr>
              <w:pStyle w:val="4"/>
              <w:ind w:firstLine="400"/>
              <w:jc w:val="left"/>
            </w:pPr>
            <w:r>
              <w:rPr>
                <w:rFonts w:ascii="仿宋_GB2312" w:hAnsi="仿宋_GB2312" w:eastAsia="仿宋_GB2312" w:cs="仿宋_GB2312"/>
                <w:sz w:val="21"/>
              </w:rPr>
              <w:t>硬盘录像机故障频发：老旧硬盘录像机出现存储容量不足、数据读写速度慢、接口松动等问题，多次出现视频录制中断、文件损坏现象，影响关键时段录像的完整性；部分设备因厂商停产，缺乏维修配件，故障后无法及时修复，存在数据丢失风险。</w:t>
            </w:r>
          </w:p>
          <w:p w14:paraId="5C29985C">
            <w:pPr>
              <w:pStyle w:val="4"/>
              <w:ind w:firstLine="400"/>
              <w:jc w:val="left"/>
            </w:pPr>
            <w:r>
              <w:rPr>
                <w:rFonts w:ascii="仿宋_GB2312" w:hAnsi="仿宋_GB2312" w:eastAsia="仿宋_GB2312" w:cs="仿宋_GB2312"/>
                <w:sz w:val="21"/>
              </w:rPr>
              <w:t>由于时间原因：部分硬件设备因长期运行、环境损耗等因素出现明显老化与故障。</w:t>
            </w:r>
          </w:p>
          <w:p w14:paraId="44210594">
            <w:pPr>
              <w:pStyle w:val="4"/>
              <w:ind w:firstLine="400"/>
              <w:jc w:val="left"/>
            </w:pPr>
            <w:r>
              <w:rPr>
                <w:rFonts w:ascii="仿宋_GB2312" w:hAnsi="仿宋_GB2312" w:eastAsia="仿宋_GB2312" w:cs="仿宋_GB2312"/>
                <w:sz w:val="21"/>
              </w:rPr>
              <w:t>线路及辅材老化：早期铺设的电源线、网线因氧化、鼠咬等原因，出现接触不良、传输不稳定情况，导致摄像头掉线、录像延迟，间接扩大了监控盲区。</w:t>
            </w:r>
          </w:p>
          <w:p w14:paraId="62F1AFA1">
            <w:pPr>
              <w:pStyle w:val="4"/>
              <w:ind w:firstLine="400"/>
              <w:jc w:val="left"/>
            </w:pPr>
            <w:r>
              <w:rPr>
                <w:rFonts w:ascii="仿宋_GB2312" w:hAnsi="仿宋_GB2312" w:eastAsia="仿宋_GB2312" w:cs="仿宋_GB2312"/>
                <w:sz w:val="21"/>
              </w:rPr>
              <w:t>系统对接：旧系统缺乏与 AI 智能巡查等功能，无法实现自动行为分析、异常事件实时预警、异常视频存储等智能化功能。</w:t>
            </w:r>
          </w:p>
          <w:p w14:paraId="78738A97">
            <w:pPr>
              <w:pStyle w:val="4"/>
              <w:jc w:val="left"/>
            </w:pPr>
            <w:r>
              <w:rPr>
                <w:rFonts w:ascii="仿宋_GB2312" w:hAnsi="仿宋_GB2312" w:eastAsia="仿宋_GB2312" w:cs="仿宋_GB2312"/>
                <w:sz w:val="21"/>
              </w:rPr>
              <w:t>（二）建设目标</w:t>
            </w:r>
          </w:p>
          <w:p w14:paraId="0A0BE2D4">
            <w:pPr>
              <w:pStyle w:val="4"/>
              <w:ind w:firstLine="400"/>
              <w:jc w:val="left"/>
            </w:pPr>
            <w:r>
              <w:rPr>
                <w:rFonts w:ascii="仿宋_GB2312" w:hAnsi="仿宋_GB2312" w:eastAsia="仿宋_GB2312" w:cs="仿宋_GB2312"/>
                <w:sz w:val="21"/>
              </w:rPr>
              <w:t>▲AI智能分析集成：通过专用接口将新增设备接入省级智能保密室平台，借助先进算法实现对违规使用电子设备（如手机、电脑）、未授权人员进入、长时间滞留等行为的自动识别。一旦检测到异常，立即触发实时预警，以报警、短信以及平台推送的方式通知相关人员。（供应商须提供和省智能保密室平台对接的相关证明文件或承诺书。）</w:t>
            </w:r>
          </w:p>
          <w:p w14:paraId="1D78157E">
            <w:pPr>
              <w:pStyle w:val="4"/>
              <w:ind w:firstLine="400"/>
              <w:jc w:val="left"/>
            </w:pPr>
            <w:r>
              <w:rPr>
                <w:rFonts w:ascii="仿宋_GB2312" w:hAnsi="仿宋_GB2312" w:eastAsia="仿宋_GB2312" w:cs="仿宋_GB2312"/>
                <w:sz w:val="21"/>
              </w:rPr>
              <w:t>▲数据联动管理：将视频数据与保密室人员出入登记进行深度关联，支持按照人员、时间、事件类型等多维度快速检索对应监控片段，形成完整的 “人员 - 行为 - 时间” 追溯链条，方便后续查询与审查。（供应商须提供相关证明文件或承诺书）。</w:t>
            </w:r>
          </w:p>
          <w:p w14:paraId="030AA3E3">
            <w:pPr>
              <w:pStyle w:val="4"/>
              <w:ind w:firstLine="400"/>
              <w:jc w:val="left"/>
            </w:pPr>
            <w:r>
              <w:rPr>
                <w:rFonts w:ascii="仿宋_GB2312" w:hAnsi="仿宋_GB2312" w:eastAsia="仿宋_GB2312" w:cs="仿宋_GB2312"/>
                <w:sz w:val="21"/>
              </w:rPr>
              <w:t>▲合规性保障：严格满足教育部最新留存要求。实行权限分级管理，省考试院、保密室负责人等不同层级人员按照相应权限调阅视频数据，并且对所有操作日志进行全程记录，确保数据的安全性与可追溯性。（供应商须提供相关证明文件或承诺书）。</w:t>
            </w:r>
          </w:p>
          <w:p w14:paraId="2840B1AE">
            <w:pPr>
              <w:pStyle w:val="4"/>
              <w:jc w:val="left"/>
            </w:pPr>
            <w:r>
              <w:rPr>
                <w:rFonts w:ascii="仿宋_GB2312" w:hAnsi="仿宋_GB2312" w:eastAsia="仿宋_GB2312" w:cs="仿宋_GB2312"/>
                <w:sz w:val="21"/>
              </w:rPr>
              <w:t>（三）建设原则</w:t>
            </w:r>
          </w:p>
          <w:p w14:paraId="2C5D7A9F">
            <w:pPr>
              <w:pStyle w:val="4"/>
              <w:ind w:firstLine="400"/>
              <w:jc w:val="left"/>
            </w:pPr>
            <w:r>
              <w:rPr>
                <w:rFonts w:ascii="仿宋_GB2312" w:hAnsi="仿宋_GB2312" w:eastAsia="仿宋_GB2312" w:cs="仿宋_GB2312"/>
                <w:sz w:val="21"/>
              </w:rPr>
              <w:t>（1）安全可控和兼容性原则。</w:t>
            </w:r>
          </w:p>
          <w:p w14:paraId="7DEF6BBB">
            <w:pPr>
              <w:pStyle w:val="4"/>
              <w:ind w:firstLine="400"/>
              <w:jc w:val="left"/>
            </w:pPr>
            <w:r>
              <w:rPr>
                <w:rFonts w:ascii="仿宋_GB2312" w:hAnsi="仿宋_GB2312" w:eastAsia="仿宋_GB2312" w:cs="仿宋_GB2312"/>
                <w:sz w:val="21"/>
              </w:rPr>
              <w:t>▲优先采用国产化与国产品牌硬件、操作系统、数据库、中间件等产品；软件系统优先支持国产化软硬件，支持开放的体系结构，支持跨平台运行，兼容不同操作系统和应用环境下系统使用要求。使用符合国家密码管理要求的密码算法、技术、产品和服务。（供应商须提供相关证明文件或承诺书）。</w:t>
            </w:r>
          </w:p>
          <w:p w14:paraId="4BE41B94">
            <w:pPr>
              <w:pStyle w:val="4"/>
              <w:ind w:firstLine="400"/>
              <w:jc w:val="left"/>
            </w:pPr>
            <w:r>
              <w:rPr>
                <w:rFonts w:ascii="仿宋_GB2312" w:hAnsi="仿宋_GB2312" w:eastAsia="仿宋_GB2312" w:cs="仿宋_GB2312"/>
                <w:sz w:val="21"/>
              </w:rPr>
              <w:t>（2）先进性和成熟性原则。</w:t>
            </w:r>
          </w:p>
          <w:p w14:paraId="2147C8E0">
            <w:pPr>
              <w:pStyle w:val="4"/>
              <w:ind w:firstLine="400"/>
              <w:jc w:val="left"/>
            </w:pPr>
            <w:r>
              <w:rPr>
                <w:rFonts w:ascii="仿宋_GB2312" w:hAnsi="仿宋_GB2312" w:eastAsia="仿宋_GB2312" w:cs="仿宋_GB2312"/>
                <w:sz w:val="21"/>
              </w:rPr>
              <w:t>系统建设尽可能采用成熟先进的技术、方法、软件、硬件和网络平台，确保系统的先进性、成熟性，使系统稳定可靠。系统采用的技术和购买的软件应是成熟度高的技术和软件，经过开发试验和市场考验，能快速投入使用。系统在满足全局性与整体性要求的同时，能够适应未来技术发展和需求的变化，使系统能够可持续发展。系统建设要充分利用大数据、人工智能等新兴IT技术。</w:t>
            </w:r>
          </w:p>
          <w:p w14:paraId="5803A65D">
            <w:pPr>
              <w:pStyle w:val="4"/>
              <w:ind w:firstLine="400"/>
              <w:jc w:val="left"/>
            </w:pPr>
            <w:r>
              <w:rPr>
                <w:rFonts w:ascii="仿宋_GB2312" w:hAnsi="仿宋_GB2312" w:eastAsia="仿宋_GB2312" w:cs="仿宋_GB2312"/>
                <w:sz w:val="21"/>
              </w:rPr>
              <w:t>（3）可维护性和扩展性原则。</w:t>
            </w:r>
          </w:p>
          <w:p w14:paraId="387C5F37">
            <w:pPr>
              <w:pStyle w:val="4"/>
              <w:ind w:firstLine="400"/>
              <w:jc w:val="left"/>
            </w:pPr>
            <w:r>
              <w:rPr>
                <w:rFonts w:ascii="仿宋_GB2312" w:hAnsi="仿宋_GB2312" w:eastAsia="仿宋_GB2312" w:cs="仿宋_GB2312"/>
                <w:sz w:val="21"/>
              </w:rPr>
              <w:t>▲系统应具有较强的可维护性和扩展性。采用标准化设计，严格遵循相关技术的国际、国内标准，能方便地进行系统流程和功能的调整，以适应系统需求的变化；系统能够方便地进行管理与维护，软硬件的升级不影响正常运作，系统功能、结构以及数据库可方便地扩展。基于通用应用开发平台作为项目的支撑，通过组件化、工具化、配置化的方式实现系统功能的快速搭建，能够快速响应用户的需求，便于实现数据的共享、维护和管理。通过采用灵活的技术构架，使得系统的应用功能、部署方式能够满足不断扩展的应用需求。随着功能及用户的增加，能够通过系统的层次化设计和设备的模块化设计等手段，保证系统具有良好的扩展性。同时，系统的升级要充分考虑与现有其它应用系统的数据接口问题，尽可能保证系统有更长的生命周期。系统应具备自检、故障诊断及故障弱化功能，在出现故障时，应能得到及时、快速的维护及故障管理等。（供应商须提供相关证明文件或承诺书）</w:t>
            </w:r>
          </w:p>
          <w:p w14:paraId="33C3038D">
            <w:pPr>
              <w:pStyle w:val="4"/>
              <w:ind w:firstLine="400"/>
              <w:jc w:val="left"/>
            </w:pPr>
            <w:r>
              <w:rPr>
                <w:rFonts w:ascii="仿宋_GB2312" w:hAnsi="仿宋_GB2312" w:eastAsia="仿宋_GB2312" w:cs="仿宋_GB2312"/>
                <w:sz w:val="21"/>
              </w:rPr>
              <w:t>（4）实用性和易用性原则。</w:t>
            </w:r>
          </w:p>
          <w:p w14:paraId="55857F6E">
            <w:pPr>
              <w:pStyle w:val="4"/>
              <w:ind w:firstLine="400"/>
              <w:jc w:val="left"/>
            </w:pPr>
            <w:r>
              <w:rPr>
                <w:rFonts w:ascii="仿宋_GB2312" w:hAnsi="仿宋_GB2312" w:eastAsia="仿宋_GB2312" w:cs="仿宋_GB2312"/>
                <w:sz w:val="21"/>
              </w:rPr>
              <w:t>尽可能选用安装简易、携带轻便、通用、集成度高的产品。系统在设计与实施中要“以人为本”，做到系统安装设置、使用操作、开发维护、日常管理等工作简单易用，符合开发维护人员和各类使用者的操作习惯，减轻其日常工作量，并能提供多种友好的用户界面及帮助，由此降低系统整体维护成本。采用业界流行的操作流程和页面规范，坚持简洁风格，保持总体界面一致，菜单和按钮等提示信息一致，界面功能排列合理，方便用户快速浏览和查找需要的内容。采用流程化的设计思想，引导用户操作，并提供通俗易懂的各类提示。要使用方便，上手容易，符合通用计算机界面风格和使用习惯，不需要培训或进行简单培训就能够使用。用户界面元素的布局、文字、位置、颜色、尺寸等要以清晰、准确、简便、美观、业界通用为原则；界面主题能定制、可变更，而不需要修改代码；界面语言国际化；凡是较长时间操作，如传输、压缩等，都应有进度条提示。页面支持主流操作系统、浏览器，电脑登录不需要用户额外安装软件、组件、控件或插件。</w:t>
            </w:r>
          </w:p>
          <w:p w14:paraId="29A1B151">
            <w:pPr>
              <w:pStyle w:val="4"/>
              <w:ind w:firstLine="400"/>
              <w:jc w:val="left"/>
            </w:pPr>
            <w:r>
              <w:rPr>
                <w:rFonts w:ascii="仿宋_GB2312" w:hAnsi="仿宋_GB2312" w:eastAsia="仿宋_GB2312" w:cs="仿宋_GB2312"/>
                <w:sz w:val="21"/>
              </w:rPr>
              <w:t>（5）标准化和开放性原则。</w:t>
            </w:r>
          </w:p>
          <w:p w14:paraId="5131A1BF">
            <w:pPr>
              <w:pStyle w:val="4"/>
              <w:ind w:firstLine="400"/>
              <w:jc w:val="left"/>
            </w:pPr>
            <w:r>
              <w:rPr>
                <w:rFonts w:ascii="仿宋_GB2312" w:hAnsi="仿宋_GB2312" w:eastAsia="仿宋_GB2312" w:cs="仿宋_GB2312"/>
                <w:sz w:val="21"/>
              </w:rPr>
              <w:t>系统建设采用的软件平台、数据标准、开发技术应符合公认的工业标准，符合国家、地方和行业的有关标准与规范，系统的分析、设计、实现和测试要严格按照统一的标准规范以及通用的软件工程标准和规范，以确保系统符合国际上各种开放标准，采用基于正确公开标准的部件和技术，优先使用业界普遍采用的主流技术和方法，以确保最大限度的协作能力以及与第三方系统与部件集成的简便性。系统的功能调用和数据交换接口要遵循标准化原则。采用标准的数据描述语言以及标准的通信协议，适应以后的数据交换标准以及系统间互连的标准协议。系统应提供弹性架构，提供标准化的二次开发接口，能够适应业务流程的变化；系统应保证接口封装良好，能够为第三方开发商提供系统集成接口。</w:t>
            </w:r>
          </w:p>
          <w:p w14:paraId="69914CB2">
            <w:pPr>
              <w:pStyle w:val="4"/>
              <w:ind w:firstLine="400"/>
              <w:jc w:val="left"/>
            </w:pPr>
            <w:r>
              <w:rPr>
                <w:rFonts w:ascii="仿宋_GB2312" w:hAnsi="仿宋_GB2312" w:eastAsia="仿宋_GB2312" w:cs="仿宋_GB2312"/>
                <w:sz w:val="21"/>
              </w:rPr>
              <w:t>（6）安全性和保密性原则。</w:t>
            </w:r>
          </w:p>
          <w:p w14:paraId="5ACE9B67">
            <w:pPr>
              <w:pStyle w:val="4"/>
              <w:ind w:firstLine="400"/>
              <w:jc w:val="left"/>
            </w:pPr>
            <w:r>
              <w:rPr>
                <w:rFonts w:ascii="仿宋_GB2312" w:hAnsi="仿宋_GB2312" w:eastAsia="仿宋_GB2312" w:cs="仿宋_GB2312"/>
                <w:sz w:val="21"/>
              </w:rPr>
              <w:t>支持用户、角色、权限控制。支持加密数据传输。保证网络环境下数据的传输和存储安全，防止入侵、非法访问、恶意更改毁坏，采取完备的数据保护和备份机制。从身份验证到资源授权访问再到数据的安全性，从操作系统的安全性、访问控制、数据的完整性以及业务层的安全机制，均要确保安全。为防止非授权用户的非法入侵和授权用户的越权使用，系统应进行各种级别的权限控制，并具备审计功能，自动记录访问用户信息及其访问操作过程，以备日后查询。对关键的设备、数据和接口应该采用冗余设计，要具有故障检测、系统恢复等功能。系统需具有较强的容灾恢复能力，同时具有实时热备份、数据备份与恢复等手段，保证系统在突发情况下的恢复和使用。</w:t>
            </w:r>
          </w:p>
          <w:p w14:paraId="1BC6E923">
            <w:pPr>
              <w:pStyle w:val="4"/>
              <w:ind w:firstLine="400"/>
              <w:jc w:val="left"/>
            </w:pPr>
            <w:r>
              <w:rPr>
                <w:rFonts w:ascii="仿宋_GB2312" w:hAnsi="仿宋_GB2312" w:eastAsia="仿宋_GB2312" w:cs="仿宋_GB2312"/>
                <w:sz w:val="21"/>
              </w:rPr>
              <w:t>（7）高性能和稳定性原则。</w:t>
            </w:r>
          </w:p>
          <w:p w14:paraId="18B46A37">
            <w:pPr>
              <w:pStyle w:val="4"/>
            </w:pPr>
            <w:r>
              <w:rPr>
                <w:rFonts w:ascii="仿宋_GB2312" w:hAnsi="仿宋_GB2312" w:eastAsia="仿宋_GB2312" w:cs="仿宋_GB2312"/>
                <w:color w:val="000000"/>
                <w:sz w:val="21"/>
              </w:rPr>
              <w:t>在系统设计、开发和应用时，应从系统结构、技术措施、软硬件平台、技术服务和维护响应能力等方面综合考虑，保证系统核心平台与各模块的逻辑清晰、业务分明，确保信息传输和数据分析快速、准确、稳定、高效，多用户并发操作具有较高的稳定性和响应速度，确保系统正常、稳定、可靠地连续运行，将系统发生故障的可能性降到最低。</w:t>
            </w:r>
          </w:p>
        </w:tc>
      </w:tr>
      <w:tr w14:paraId="2BC1D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B9D41B">
            <w:pPr>
              <w:pStyle w:val="4"/>
            </w:pPr>
            <w:r>
              <w:rPr>
                <w:rFonts w:ascii="仿宋_GB2312" w:hAnsi="仿宋_GB2312" w:eastAsia="仿宋_GB2312" w:cs="仿宋_GB2312"/>
              </w:rPr>
              <w:t>3</w:t>
            </w:r>
          </w:p>
        </w:tc>
        <w:tc>
          <w:tcPr>
            <w:tcW w:w="2769" w:type="dxa"/>
          </w:tcPr>
          <w:p w14:paraId="37F51773"/>
        </w:tc>
        <w:tc>
          <w:tcPr>
            <w:tcW w:w="2769" w:type="dxa"/>
          </w:tcPr>
          <w:p w14:paraId="26C78853">
            <w:pPr>
              <w:pStyle w:val="4"/>
              <w:jc w:val="left"/>
            </w:pPr>
            <w:r>
              <w:rPr>
                <w:rFonts w:ascii="仿宋_GB2312" w:hAnsi="仿宋_GB2312" w:eastAsia="仿宋_GB2312" w:cs="仿宋_GB2312"/>
                <w:sz w:val="21"/>
              </w:rPr>
              <w:t>三、设计依据</w:t>
            </w:r>
          </w:p>
          <w:p w14:paraId="74835384">
            <w:pPr>
              <w:pStyle w:val="4"/>
              <w:jc w:val="left"/>
            </w:pPr>
            <w:r>
              <w:rPr>
                <w:rFonts w:ascii="仿宋_GB2312" w:hAnsi="仿宋_GB2312" w:eastAsia="仿宋_GB2312" w:cs="仿宋_GB2312"/>
                <w:sz w:val="21"/>
              </w:rPr>
              <w:t>《DB 4401/T 7-2018 党政机关、涉密单位保密室建设规范》；</w:t>
            </w:r>
          </w:p>
          <w:p w14:paraId="6B353DA7">
            <w:pPr>
              <w:pStyle w:val="4"/>
              <w:jc w:val="left"/>
            </w:pPr>
            <w:r>
              <w:rPr>
                <w:rFonts w:ascii="仿宋_GB2312" w:hAnsi="仿宋_GB2312" w:eastAsia="仿宋_GB2312" w:cs="仿宋_GB2312"/>
                <w:sz w:val="21"/>
              </w:rPr>
              <w:t>《GB 50348-2018 安全防范工程技术标准》；</w:t>
            </w:r>
          </w:p>
          <w:p w14:paraId="38C6F3C8">
            <w:pPr>
              <w:pStyle w:val="4"/>
              <w:jc w:val="left"/>
            </w:pPr>
            <w:r>
              <w:rPr>
                <w:rFonts w:ascii="仿宋_GB2312" w:hAnsi="仿宋_GB2312" w:eastAsia="仿宋_GB2312" w:cs="仿宋_GB2312"/>
                <w:sz w:val="21"/>
              </w:rPr>
              <w:t>《GB 50311-2016 综合布线系统工程设计规范》；</w:t>
            </w:r>
          </w:p>
          <w:p w14:paraId="34A5589C">
            <w:pPr>
              <w:pStyle w:val="4"/>
              <w:jc w:val="left"/>
            </w:pPr>
            <w:r>
              <w:rPr>
                <w:rFonts w:ascii="仿宋_GB2312" w:hAnsi="仿宋_GB2312" w:eastAsia="仿宋_GB2312" w:cs="仿宋_GB2312"/>
                <w:sz w:val="21"/>
              </w:rPr>
              <w:t>《GB 50395-2007》；</w:t>
            </w:r>
          </w:p>
          <w:p w14:paraId="57A93D18">
            <w:pPr>
              <w:pStyle w:val="4"/>
              <w:jc w:val="left"/>
            </w:pPr>
            <w:r>
              <w:rPr>
                <w:rFonts w:ascii="仿宋_GB2312" w:hAnsi="仿宋_GB2312" w:eastAsia="仿宋_GB2312" w:cs="仿宋_GB2312"/>
                <w:sz w:val="21"/>
              </w:rPr>
              <w:t>《GB/T 28181-2016》；</w:t>
            </w:r>
          </w:p>
          <w:p w14:paraId="09577150">
            <w:pPr>
              <w:pStyle w:val="4"/>
              <w:jc w:val="left"/>
            </w:pPr>
            <w:r>
              <w:rPr>
                <w:rFonts w:ascii="仿宋_GB2312" w:hAnsi="仿宋_GB2312" w:eastAsia="仿宋_GB2312" w:cs="仿宋_GB2312"/>
                <w:sz w:val="21"/>
              </w:rPr>
              <w:t>《GA/T 1211-2014》；</w:t>
            </w:r>
          </w:p>
          <w:p w14:paraId="62576FC8">
            <w:pPr>
              <w:pStyle w:val="4"/>
              <w:jc w:val="left"/>
            </w:pPr>
            <w:r>
              <w:rPr>
                <w:rFonts w:ascii="仿宋_GB2312" w:hAnsi="仿宋_GB2312" w:eastAsia="仿宋_GB2312" w:cs="仿宋_GB2312"/>
                <w:sz w:val="21"/>
              </w:rPr>
              <w:t>《GA/T 1127-2013 安全防范视频监控摄像机通用技术要求》；</w:t>
            </w:r>
          </w:p>
          <w:p w14:paraId="3FBFB3EB">
            <w:pPr>
              <w:pStyle w:val="4"/>
              <w:jc w:val="left"/>
            </w:pPr>
            <w:r>
              <w:rPr>
                <w:rFonts w:ascii="仿宋_GB2312" w:hAnsi="仿宋_GB2312" w:eastAsia="仿宋_GB2312" w:cs="仿宋_GB2312"/>
                <w:sz w:val="21"/>
              </w:rPr>
              <w:t>《GB/T 31488-2015 安全防范视频监控人脸识别系统技术要求》；</w:t>
            </w:r>
          </w:p>
          <w:p w14:paraId="6E90A82A">
            <w:pPr>
              <w:pStyle w:val="4"/>
              <w:jc w:val="left"/>
            </w:pPr>
            <w:r>
              <w:rPr>
                <w:rFonts w:ascii="仿宋_GB2312" w:hAnsi="仿宋_GB2312" w:eastAsia="仿宋_GB2312" w:cs="仿宋_GB2312"/>
                <w:sz w:val="21"/>
              </w:rPr>
              <w:t>《GA/T 1344-2016 安防人脸识别应用 视频人脸图像提取技术要求》；</w:t>
            </w:r>
          </w:p>
          <w:p w14:paraId="75E3179D">
            <w:pPr>
              <w:pStyle w:val="4"/>
              <w:jc w:val="left"/>
            </w:pPr>
            <w:r>
              <w:rPr>
                <w:rFonts w:ascii="仿宋_GB2312" w:hAnsi="仿宋_GB2312" w:eastAsia="仿宋_GB2312" w:cs="仿宋_GB2312"/>
                <w:sz w:val="21"/>
              </w:rPr>
              <w:t>《GA/T 1324-2017 安全防范 人脸识别应用 静态人脸图像采集规范》；</w:t>
            </w:r>
          </w:p>
          <w:p w14:paraId="6C34521C">
            <w:pPr>
              <w:pStyle w:val="4"/>
              <w:jc w:val="left"/>
            </w:pPr>
            <w:r>
              <w:rPr>
                <w:rFonts w:ascii="仿宋_GB2312" w:hAnsi="仿宋_GB2312" w:eastAsia="仿宋_GB2312" w:cs="仿宋_GB2312"/>
                <w:sz w:val="21"/>
              </w:rPr>
              <w:t>《GA/T 1326-2017 安全防范 人脸识别应用 程序接口规范》；</w:t>
            </w:r>
          </w:p>
          <w:p w14:paraId="6F149F4B">
            <w:pPr>
              <w:pStyle w:val="4"/>
              <w:jc w:val="left"/>
            </w:pPr>
            <w:r>
              <w:rPr>
                <w:rFonts w:ascii="仿宋_GB2312" w:hAnsi="仿宋_GB2312" w:eastAsia="仿宋_GB2312" w:cs="仿宋_GB2312"/>
                <w:sz w:val="21"/>
              </w:rPr>
              <w:t>《GB/T 15408-2011 安全防范系统供电技术要求》；</w:t>
            </w:r>
          </w:p>
          <w:p w14:paraId="3AA4949A">
            <w:pPr>
              <w:pStyle w:val="4"/>
              <w:jc w:val="left"/>
            </w:pPr>
            <w:r>
              <w:rPr>
                <w:rFonts w:ascii="仿宋_GB2312" w:hAnsi="仿宋_GB2312" w:eastAsia="仿宋_GB2312" w:cs="仿宋_GB2312"/>
                <w:sz w:val="21"/>
              </w:rPr>
              <w:t>《GA/T 1297-2016 安防线缆》；</w:t>
            </w:r>
          </w:p>
          <w:p w14:paraId="7216658F">
            <w:pPr>
              <w:pStyle w:val="4"/>
              <w:jc w:val="left"/>
            </w:pPr>
            <w:r>
              <w:rPr>
                <w:rFonts w:ascii="仿宋_GB2312" w:hAnsi="仿宋_GB2312" w:eastAsia="仿宋_GB2312" w:cs="仿宋_GB2312"/>
                <w:sz w:val="21"/>
              </w:rPr>
              <w:t>《GA/T670-2006 安全防范系统雷电浪涌防护技术要求》；</w:t>
            </w:r>
          </w:p>
          <w:p w14:paraId="7F823775">
            <w:pPr>
              <w:pStyle w:val="4"/>
              <w:jc w:val="left"/>
            </w:pPr>
            <w:r>
              <w:rPr>
                <w:rFonts w:ascii="仿宋_GB2312" w:hAnsi="仿宋_GB2312" w:eastAsia="仿宋_GB2312" w:cs="仿宋_GB2312"/>
                <w:sz w:val="21"/>
              </w:rPr>
              <w:t>《GA/T 74-2017 安全防范系统通用图形符号》；</w:t>
            </w:r>
          </w:p>
          <w:p w14:paraId="438BCFFA">
            <w:pPr>
              <w:pStyle w:val="4"/>
              <w:jc w:val="left"/>
            </w:pPr>
            <w:r>
              <w:rPr>
                <w:rFonts w:ascii="仿宋_GB2312" w:hAnsi="仿宋_GB2312" w:eastAsia="仿宋_GB2312" w:cs="仿宋_GB2312"/>
                <w:sz w:val="21"/>
              </w:rPr>
              <w:t>《GB 50168-2018电气装置安装工程 电缆线路施工及验收标准》；</w:t>
            </w:r>
          </w:p>
          <w:p w14:paraId="3B670EB5">
            <w:pPr>
              <w:pStyle w:val="4"/>
              <w:jc w:val="left"/>
            </w:pPr>
            <w:r>
              <w:rPr>
                <w:rFonts w:ascii="仿宋_GB2312" w:hAnsi="仿宋_GB2312" w:eastAsia="仿宋_GB2312" w:cs="仿宋_GB2312"/>
                <w:sz w:val="21"/>
              </w:rPr>
              <w:t>《GA/T 1185-2014 安全防范工程技术文件编制深度要求》；</w:t>
            </w:r>
          </w:p>
          <w:p w14:paraId="26CCE8AD">
            <w:pPr>
              <w:pStyle w:val="4"/>
              <w:jc w:val="left"/>
            </w:pPr>
            <w:r>
              <w:rPr>
                <w:rFonts w:ascii="仿宋_GB2312" w:hAnsi="仿宋_GB2312" w:eastAsia="仿宋_GB2312" w:cs="仿宋_GB2312"/>
                <w:sz w:val="21"/>
              </w:rPr>
              <w:t>《GB/T 22239-2019 信息安全技术 网络安全等级保护基本要求》；</w:t>
            </w:r>
          </w:p>
          <w:p w14:paraId="49E4A4A2">
            <w:pPr>
              <w:pStyle w:val="4"/>
              <w:jc w:val="left"/>
            </w:pPr>
            <w:r>
              <w:rPr>
                <w:rFonts w:ascii="仿宋_GB2312" w:hAnsi="仿宋_GB2312" w:eastAsia="仿宋_GB2312" w:cs="仿宋_GB2312"/>
                <w:sz w:val="21"/>
              </w:rPr>
              <w:t>《GB/T 28448-2019 信息安全技术 网络安全等级保护测评要求》；</w:t>
            </w:r>
          </w:p>
          <w:p w14:paraId="01FE6319">
            <w:pPr>
              <w:pStyle w:val="4"/>
              <w:jc w:val="left"/>
            </w:pPr>
            <w:r>
              <w:rPr>
                <w:rFonts w:ascii="仿宋_GB2312" w:hAnsi="仿宋_GB2312" w:eastAsia="仿宋_GB2312" w:cs="仿宋_GB2312"/>
                <w:sz w:val="21"/>
              </w:rPr>
              <w:t>《GB/T 25070-2019 信息安全技术 网络安全等级保护安全设计技术要求》；</w:t>
            </w:r>
          </w:p>
          <w:p w14:paraId="7FE9FE12">
            <w:pPr>
              <w:pStyle w:val="4"/>
              <w:jc w:val="left"/>
            </w:pPr>
            <w:r>
              <w:rPr>
                <w:rFonts w:ascii="仿宋_GB2312" w:hAnsi="仿宋_GB2312" w:eastAsia="仿宋_GB2312" w:cs="仿宋_GB2312"/>
                <w:sz w:val="21"/>
              </w:rPr>
              <w:t>《GB/T 9385-2008 计算机软件需求规格说明规范》；</w:t>
            </w:r>
          </w:p>
          <w:p w14:paraId="6FFA79BC">
            <w:pPr>
              <w:pStyle w:val="4"/>
              <w:jc w:val="left"/>
            </w:pPr>
            <w:r>
              <w:rPr>
                <w:rFonts w:ascii="仿宋_GB2312" w:hAnsi="仿宋_GB2312" w:eastAsia="仿宋_GB2312" w:cs="仿宋_GB2312"/>
                <w:sz w:val="21"/>
              </w:rPr>
              <w:t>《GB/T 9386-2008 计算机软件测试文档编制规范》；</w:t>
            </w:r>
          </w:p>
          <w:p w14:paraId="43558FBA">
            <w:pPr>
              <w:pStyle w:val="4"/>
              <w:jc w:val="left"/>
            </w:pPr>
            <w:r>
              <w:rPr>
                <w:rFonts w:ascii="仿宋_GB2312" w:hAnsi="仿宋_GB2312" w:eastAsia="仿宋_GB2312" w:cs="仿宋_GB2312"/>
                <w:sz w:val="21"/>
              </w:rPr>
              <w:t>《GB/T 8567-2006 计算机软件文档编制规范》；</w:t>
            </w:r>
          </w:p>
          <w:p w14:paraId="2AFE08BB">
            <w:pPr>
              <w:pStyle w:val="4"/>
              <w:jc w:val="left"/>
            </w:pPr>
            <w:r>
              <w:rPr>
                <w:rFonts w:ascii="仿宋_GB2312" w:hAnsi="仿宋_GB2312" w:eastAsia="仿宋_GB2312" w:cs="仿宋_GB2312"/>
                <w:sz w:val="21"/>
              </w:rPr>
              <w:t>《GA/T 1293-2016 应用软件接口标准编写技术要素》；</w:t>
            </w:r>
          </w:p>
          <w:p w14:paraId="4003E25C">
            <w:pPr>
              <w:pStyle w:val="4"/>
            </w:pPr>
            <w:r>
              <w:rPr>
                <w:rFonts w:ascii="仿宋_GB2312" w:hAnsi="仿宋_GB2312" w:eastAsia="仿宋_GB2312" w:cs="仿宋_GB2312"/>
                <w:color w:val="000000"/>
                <w:sz w:val="21"/>
              </w:rPr>
              <w:t>《GB/T 25000 系统与软件工程》。</w:t>
            </w:r>
          </w:p>
        </w:tc>
      </w:tr>
      <w:tr w14:paraId="458DA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B4406D">
            <w:pPr>
              <w:pStyle w:val="4"/>
            </w:pPr>
            <w:r>
              <w:rPr>
                <w:rFonts w:ascii="仿宋_GB2312" w:hAnsi="仿宋_GB2312" w:eastAsia="仿宋_GB2312" w:cs="仿宋_GB2312"/>
              </w:rPr>
              <w:t>4</w:t>
            </w:r>
          </w:p>
        </w:tc>
        <w:tc>
          <w:tcPr>
            <w:tcW w:w="2769" w:type="dxa"/>
          </w:tcPr>
          <w:p w14:paraId="76646CC2"/>
        </w:tc>
        <w:tc>
          <w:tcPr>
            <w:tcW w:w="2769" w:type="dxa"/>
          </w:tcPr>
          <w:p w14:paraId="32168C99">
            <w:pPr>
              <w:pStyle w:val="4"/>
              <w:jc w:val="left"/>
            </w:pPr>
            <w:r>
              <w:rPr>
                <w:rFonts w:ascii="仿宋_GB2312" w:hAnsi="仿宋_GB2312" w:eastAsia="仿宋_GB2312" w:cs="仿宋_GB2312"/>
                <w:sz w:val="21"/>
              </w:rPr>
              <w:t>四、整体架构</w:t>
            </w:r>
          </w:p>
          <w:p w14:paraId="6CACDC45">
            <w:pPr>
              <w:pStyle w:val="4"/>
            </w:pPr>
            <w:r>
              <w:drawing>
                <wp:inline distT="0" distB="0" distL="0" distR="0">
                  <wp:extent cx="1621155" cy="2232660"/>
                  <wp:effectExtent l="0" t="0" r="17145" b="1524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1621155" cy="2233176"/>
                          </a:xfrm>
                          <a:prstGeom prst="rect">
                            <a:avLst/>
                          </a:prstGeom>
                        </pic:spPr>
                      </pic:pic>
                    </a:graphicData>
                  </a:graphic>
                </wp:inline>
              </w:drawing>
            </w:r>
          </w:p>
        </w:tc>
      </w:tr>
      <w:tr w14:paraId="28B02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A4F362">
            <w:pPr>
              <w:pStyle w:val="4"/>
            </w:pPr>
            <w:r>
              <w:rPr>
                <w:rFonts w:ascii="仿宋_GB2312" w:hAnsi="仿宋_GB2312" w:eastAsia="仿宋_GB2312" w:cs="仿宋_GB2312"/>
              </w:rPr>
              <w:t>5</w:t>
            </w:r>
          </w:p>
        </w:tc>
        <w:tc>
          <w:tcPr>
            <w:tcW w:w="2769" w:type="dxa"/>
          </w:tcPr>
          <w:p w14:paraId="4C9BEACE"/>
        </w:tc>
        <w:tc>
          <w:tcPr>
            <w:tcW w:w="2769" w:type="dxa"/>
          </w:tcPr>
          <w:p w14:paraId="3AB943CF">
            <w:pPr>
              <w:pStyle w:val="4"/>
              <w:jc w:val="left"/>
            </w:pPr>
            <w:r>
              <w:rPr>
                <w:rFonts w:ascii="仿宋_GB2312" w:hAnsi="仿宋_GB2312" w:eastAsia="仿宋_GB2312" w:cs="仿宋_GB2312"/>
                <w:sz w:val="21"/>
              </w:rPr>
              <w:t>五、系统功能</w:t>
            </w:r>
          </w:p>
          <w:p w14:paraId="1C35EDBF">
            <w:pPr>
              <w:pStyle w:val="4"/>
              <w:jc w:val="left"/>
            </w:pPr>
            <w:r>
              <w:rPr>
                <w:rFonts w:ascii="仿宋_GB2312" w:hAnsi="仿宋_GB2312" w:eastAsia="仿宋_GB2312" w:cs="仿宋_GB2312"/>
                <w:sz w:val="21"/>
              </w:rPr>
              <w:t>（一）系统管理平台</w:t>
            </w:r>
          </w:p>
          <w:p w14:paraId="6CCDE106">
            <w:pPr>
              <w:pStyle w:val="4"/>
              <w:ind w:firstLine="400"/>
              <w:jc w:val="left"/>
            </w:pPr>
            <w:r>
              <w:rPr>
                <w:rFonts w:ascii="仿宋_GB2312" w:hAnsi="仿宋_GB2312" w:eastAsia="仿宋_GB2312" w:cs="仿宋_GB2312"/>
                <w:sz w:val="21"/>
              </w:rPr>
              <w:t>系统管理平台部署于省教育考试院的应用服务器上，提供直观的可视化展示方案，平台具备数据实时分析统计功能，方便管理员能够快速掌握当前的整体情况；</w:t>
            </w:r>
          </w:p>
          <w:p w14:paraId="7FAD40AE">
            <w:pPr>
              <w:pStyle w:val="4"/>
              <w:jc w:val="left"/>
            </w:pPr>
            <w:r>
              <w:rPr>
                <w:rFonts w:ascii="仿宋_GB2312" w:hAnsi="仿宋_GB2312" w:eastAsia="仿宋_GB2312" w:cs="仿宋_GB2312"/>
                <w:sz w:val="21"/>
              </w:rPr>
              <w:t>（二）视频监控</w:t>
            </w:r>
          </w:p>
          <w:p w14:paraId="1321E703">
            <w:pPr>
              <w:pStyle w:val="4"/>
              <w:ind w:firstLine="400"/>
              <w:jc w:val="left"/>
            </w:pPr>
            <w:r>
              <w:rPr>
                <w:rFonts w:ascii="仿宋_GB2312" w:hAnsi="仿宋_GB2312" w:eastAsia="仿宋_GB2312" w:cs="仿宋_GB2312"/>
                <w:sz w:val="21"/>
              </w:rPr>
              <w:t>支持屏幕截图和录像等功能，支持自定义时间轮巡和按抽检轮巡。</w:t>
            </w:r>
          </w:p>
          <w:p w14:paraId="210814C1">
            <w:pPr>
              <w:pStyle w:val="4"/>
              <w:ind w:firstLine="400"/>
              <w:jc w:val="left"/>
            </w:pPr>
            <w:r>
              <w:rPr>
                <w:rFonts w:ascii="仿宋_GB2312" w:hAnsi="仿宋_GB2312" w:eastAsia="仿宋_GB2312" w:cs="仿宋_GB2312"/>
                <w:sz w:val="21"/>
              </w:rPr>
              <w:t>通过视频处理技术，实现对保密室录像文件的浓缩播放，减少人工盯看回放监控录像画面的时间，提升视频回放效率，并对回放情况记录。根据用户回放内容不同，可选择多种方式进行，如：普通回放、可选多倍速回放、自由拖动回放、智能回放、事件回放、多路回放。</w:t>
            </w:r>
          </w:p>
          <w:p w14:paraId="7924F626">
            <w:pPr>
              <w:pStyle w:val="4"/>
              <w:ind w:firstLine="400"/>
              <w:jc w:val="left"/>
            </w:pPr>
            <w:r>
              <w:rPr>
                <w:rFonts w:ascii="仿宋_GB2312" w:hAnsi="仿宋_GB2312" w:eastAsia="仿宋_GB2312" w:cs="仿宋_GB2312"/>
                <w:sz w:val="21"/>
              </w:rPr>
              <w:t>▲用户管理、异常告警分发、保密室监控数据图形化展示；（提供知识产权证明材料（软件著作权及合法授权使用的第三方工具链证明）</w:t>
            </w:r>
          </w:p>
          <w:p w14:paraId="0E2FB5E8">
            <w:pPr>
              <w:pStyle w:val="4"/>
              <w:ind w:firstLine="400"/>
              <w:jc w:val="left"/>
            </w:pPr>
            <w:r>
              <w:rPr>
                <w:rFonts w:ascii="仿宋_GB2312" w:hAnsi="仿宋_GB2312" w:eastAsia="仿宋_GB2312" w:cs="仿宋_GB2312"/>
                <w:sz w:val="21"/>
              </w:rPr>
              <w:t>支持保密室视频6小时内的回放智能化，并自动剪裁保存无人时的视频，保留人员进出保密室前后10秒及驻留期间内视频。</w:t>
            </w:r>
          </w:p>
          <w:p w14:paraId="5C71DCE2">
            <w:pPr>
              <w:pStyle w:val="4"/>
              <w:ind w:firstLine="400"/>
              <w:jc w:val="left"/>
            </w:pPr>
            <w:r>
              <w:rPr>
                <w:rFonts w:ascii="仿宋_GB2312" w:hAnsi="仿宋_GB2312" w:eastAsia="仿宋_GB2312" w:cs="仿宋_GB2312"/>
                <w:sz w:val="21"/>
              </w:rPr>
              <w:t>视频回放管理，可按时间段检索回放存储在硬盘录像机的多路录像，自动记录保密室视频录像回放情况，管理员可查看所辖保密室视频录像回放情况记录。</w:t>
            </w:r>
          </w:p>
          <w:p w14:paraId="332AE064">
            <w:pPr>
              <w:pStyle w:val="4"/>
              <w:jc w:val="left"/>
            </w:pPr>
            <w:r>
              <w:rPr>
                <w:rFonts w:ascii="仿宋_GB2312" w:hAnsi="仿宋_GB2312" w:eastAsia="仿宋_GB2312" w:cs="仿宋_GB2312"/>
                <w:sz w:val="21"/>
              </w:rPr>
              <w:t>（三）人员监控</w:t>
            </w:r>
          </w:p>
          <w:p w14:paraId="1605E720">
            <w:pPr>
              <w:pStyle w:val="4"/>
              <w:ind w:firstLine="600"/>
              <w:jc w:val="left"/>
            </w:pPr>
            <w:r>
              <w:rPr>
                <w:rFonts w:ascii="仿宋_GB2312" w:hAnsi="仿宋_GB2312" w:eastAsia="仿宋_GB2312" w:cs="仿宋_GB2312"/>
                <w:color w:val="000000"/>
                <w:sz w:val="21"/>
              </w:rPr>
              <w:t>▲识别出入时间节点信息，截图和驻留时间，自动对比黑白名单，智能统计保密室进出人数，自动判断保密室人数是否符合考务规定，如有问题发出警报。可对人员出入情况进行查看和视频回放。全部或部分值班人员面向摄像头2秒以上时，自动将出现在摄像头前的人脸进行动态抓取，自动记录人脸、截图和时间，可查看抓拍的值班人员记录，并可按时间段抓拍时间筛选排序查看。（提供知识产权证明材料（软件著作权及合法授权使用的第三方工具链证明）</w:t>
            </w:r>
          </w:p>
          <w:p w14:paraId="6866D29E">
            <w:pPr>
              <w:pStyle w:val="4"/>
              <w:jc w:val="left"/>
            </w:pPr>
            <w:r>
              <w:rPr>
                <w:rFonts w:ascii="仿宋_GB2312" w:hAnsi="仿宋_GB2312" w:eastAsia="仿宋_GB2312" w:cs="仿宋_GB2312"/>
                <w:sz w:val="21"/>
              </w:rPr>
              <w:t>（四）告警</w:t>
            </w:r>
          </w:p>
          <w:p w14:paraId="647E4AAB">
            <w:pPr>
              <w:pStyle w:val="4"/>
              <w:ind w:firstLine="400"/>
              <w:jc w:val="left"/>
            </w:pPr>
            <w:r>
              <w:rPr>
                <w:rFonts w:ascii="仿宋_GB2312" w:hAnsi="仿宋_GB2312" w:eastAsia="仿宋_GB2312" w:cs="仿宋_GB2312"/>
                <w:sz w:val="21"/>
              </w:rPr>
              <w:t>（1）告警策略</w:t>
            </w:r>
          </w:p>
          <w:p w14:paraId="1DB114E4">
            <w:pPr>
              <w:pStyle w:val="4"/>
              <w:ind w:firstLine="400"/>
              <w:jc w:val="left"/>
            </w:pPr>
            <w:r>
              <w:rPr>
                <w:rFonts w:ascii="仿宋_GB2312" w:hAnsi="仿宋_GB2312" w:eastAsia="仿宋_GB2312" w:cs="仿宋_GB2312"/>
                <w:sz w:val="21"/>
              </w:rPr>
              <w:t>告警策略可以自定义，主要在于值班人数设定、告警的时间频次、告警的形式。</w:t>
            </w:r>
          </w:p>
          <w:p w14:paraId="76C8CAF8">
            <w:pPr>
              <w:pStyle w:val="4"/>
              <w:ind w:firstLine="400"/>
              <w:jc w:val="left"/>
            </w:pPr>
            <w:r>
              <w:rPr>
                <w:rFonts w:ascii="仿宋_GB2312" w:hAnsi="仿宋_GB2312" w:eastAsia="仿宋_GB2312" w:cs="仿宋_GB2312"/>
                <w:sz w:val="21"/>
              </w:rPr>
              <w:t>（2）告警布防</w:t>
            </w:r>
          </w:p>
          <w:p w14:paraId="1DB83B78">
            <w:pPr>
              <w:pStyle w:val="4"/>
              <w:ind w:firstLine="600"/>
              <w:jc w:val="left"/>
            </w:pPr>
            <w:r>
              <w:rPr>
                <w:rFonts w:ascii="仿宋_GB2312" w:hAnsi="仿宋_GB2312" w:eastAsia="仿宋_GB2312" w:cs="仿宋_GB2312"/>
                <w:color w:val="000000"/>
                <w:sz w:val="21"/>
              </w:rPr>
              <w:t>▲在试卷保密室值守期间，根据具体的需求，设置撤防的时段，如各保密室在每天发卷和回收时段可设置为不布防。同时也可将重点的时段设置成布防时段，如每天凌晨时段，为必须布防时段。（提供知识产权证明材料（软件著作权及合法授权使用的第三方工具链证明）</w:t>
            </w:r>
          </w:p>
          <w:p w14:paraId="449950A1">
            <w:pPr>
              <w:pStyle w:val="4"/>
              <w:ind w:firstLine="400"/>
              <w:jc w:val="left"/>
            </w:pPr>
            <w:r>
              <w:rPr>
                <w:rFonts w:ascii="仿宋_GB2312" w:hAnsi="仿宋_GB2312" w:eastAsia="仿宋_GB2312" w:cs="仿宋_GB2312"/>
                <w:sz w:val="21"/>
              </w:rPr>
              <w:t>（五）用户权限划分</w:t>
            </w:r>
          </w:p>
          <w:p w14:paraId="4B9904AF">
            <w:pPr>
              <w:pStyle w:val="4"/>
              <w:ind w:firstLine="400"/>
              <w:jc w:val="left"/>
            </w:pPr>
            <w:r>
              <w:rPr>
                <w:rFonts w:ascii="仿宋_GB2312" w:hAnsi="仿宋_GB2312" w:eastAsia="仿宋_GB2312" w:cs="仿宋_GB2312"/>
                <w:sz w:val="21"/>
              </w:rPr>
              <w:t>系统根据用户角色设定系统权限，角色含：省教育考试院、高校两级，不同角色具备不同系统使用权限。系统管理员添加系统用户时，需为每个用户分配系统角色。</w:t>
            </w:r>
          </w:p>
          <w:p w14:paraId="00B2DEDA">
            <w:pPr>
              <w:pStyle w:val="4"/>
              <w:ind w:firstLine="400"/>
              <w:jc w:val="left"/>
            </w:pPr>
            <w:r>
              <w:rPr>
                <w:rFonts w:ascii="仿宋_GB2312" w:hAnsi="仿宋_GB2312" w:eastAsia="仿宋_GB2312" w:cs="仿宋_GB2312"/>
                <w:sz w:val="21"/>
              </w:rPr>
              <w:t>（六）接口要求</w:t>
            </w:r>
          </w:p>
          <w:p w14:paraId="4C1025CD">
            <w:pPr>
              <w:pStyle w:val="4"/>
              <w:ind w:firstLine="400"/>
              <w:jc w:val="left"/>
            </w:pPr>
            <w:r>
              <w:rPr>
                <w:rFonts w:ascii="仿宋_GB2312" w:hAnsi="仿宋_GB2312" w:eastAsia="仿宋_GB2312" w:cs="仿宋_GB2312"/>
                <w:sz w:val="21"/>
              </w:rPr>
              <w:t>系统应该预留相应的接口不仅可以同省教育考试院的数据交互平台进行对接，而且还可以实现与省教育考试院的其他系统进行统一身份认证。</w:t>
            </w:r>
          </w:p>
          <w:p w14:paraId="24018F03">
            <w:pPr>
              <w:pStyle w:val="4"/>
              <w:ind w:firstLine="400"/>
              <w:jc w:val="left"/>
            </w:pPr>
            <w:r>
              <w:rPr>
                <w:rFonts w:ascii="仿宋_GB2312" w:hAnsi="仿宋_GB2312" w:eastAsia="仿宋_GB2312" w:cs="仿宋_GB2312"/>
                <w:sz w:val="21"/>
              </w:rPr>
              <w:t>（七）系统设置</w:t>
            </w:r>
          </w:p>
          <w:p w14:paraId="14AF3FD6">
            <w:pPr>
              <w:pStyle w:val="4"/>
              <w:ind w:firstLine="400"/>
              <w:jc w:val="left"/>
            </w:pPr>
            <w:r>
              <w:rPr>
                <w:rFonts w:ascii="仿宋_GB2312" w:hAnsi="仿宋_GB2312" w:eastAsia="仿宋_GB2312" w:cs="仿宋_GB2312"/>
                <w:sz w:val="21"/>
              </w:rPr>
              <w:t>设定系统各类参数，如视频分析处理参数、视频查看界面参数、告警参数设置（告警人数、告警方式、告警频率、告警名单等）、人脸识别设置参数等。</w:t>
            </w:r>
          </w:p>
          <w:p w14:paraId="2686F220">
            <w:pPr>
              <w:pStyle w:val="4"/>
              <w:ind w:firstLine="400"/>
              <w:jc w:val="left"/>
            </w:pPr>
            <w:r>
              <w:rPr>
                <w:rFonts w:ascii="仿宋_GB2312" w:hAnsi="仿宋_GB2312" w:eastAsia="仿宋_GB2312" w:cs="仿宋_GB2312"/>
                <w:sz w:val="21"/>
              </w:rPr>
              <w:t>（八）统计报表</w:t>
            </w:r>
          </w:p>
          <w:p w14:paraId="6F2C20C2">
            <w:pPr>
              <w:pStyle w:val="4"/>
              <w:ind w:firstLine="400"/>
              <w:jc w:val="left"/>
            </w:pPr>
            <w:r>
              <w:rPr>
                <w:rFonts w:ascii="仿宋_GB2312" w:hAnsi="仿宋_GB2312" w:eastAsia="仿宋_GB2312" w:cs="仿宋_GB2312"/>
                <w:sz w:val="21"/>
              </w:rPr>
              <w:t>依照不同用户的职责权限范围查看报警记录和统计分析结果。</w:t>
            </w:r>
          </w:p>
          <w:p w14:paraId="5275A9E7">
            <w:pPr>
              <w:pStyle w:val="4"/>
              <w:ind w:firstLine="400"/>
              <w:jc w:val="left"/>
            </w:pPr>
            <w:r>
              <w:rPr>
                <w:rFonts w:ascii="仿宋_GB2312" w:hAnsi="仿宋_GB2312" w:eastAsia="仿宋_GB2312" w:cs="仿宋_GB2312"/>
                <w:sz w:val="21"/>
              </w:rPr>
              <w:t>（九）报警信息</w:t>
            </w:r>
          </w:p>
          <w:p w14:paraId="293E2AED">
            <w:pPr>
              <w:pStyle w:val="4"/>
              <w:ind w:firstLine="400"/>
              <w:jc w:val="left"/>
            </w:pPr>
            <w:r>
              <w:rPr>
                <w:rFonts w:ascii="仿宋_GB2312" w:hAnsi="仿宋_GB2312" w:eastAsia="仿宋_GB2312" w:cs="仿宋_GB2312"/>
                <w:sz w:val="21"/>
              </w:rPr>
              <w:t>报警信息检索的检索条件包括报警源、报警级别、报警类别、开始时间、结束时间等。查看报警记录时，将报警事件与视频录像（自动定位到时间点，可选多路）、设备自动巡检状态处理情况等信息无缝结合，便于事后更清晰地了解事件发生的全过程。</w:t>
            </w:r>
          </w:p>
          <w:p w14:paraId="11229108">
            <w:pPr>
              <w:pStyle w:val="4"/>
              <w:ind w:firstLine="400"/>
              <w:jc w:val="left"/>
            </w:pPr>
            <w:r>
              <w:rPr>
                <w:rFonts w:ascii="仿宋_GB2312" w:hAnsi="仿宋_GB2312" w:eastAsia="仿宋_GB2312" w:cs="仿宋_GB2312"/>
                <w:sz w:val="21"/>
              </w:rPr>
              <w:t>（十）人员登记</w:t>
            </w:r>
          </w:p>
          <w:p w14:paraId="743E5CEE">
            <w:pPr>
              <w:pStyle w:val="4"/>
              <w:ind w:firstLine="600"/>
              <w:jc w:val="left"/>
            </w:pPr>
            <w:r>
              <w:rPr>
                <w:rFonts w:ascii="仿宋_GB2312" w:hAnsi="仿宋_GB2312" w:eastAsia="仿宋_GB2312" w:cs="仿宋_GB2312"/>
                <w:color w:val="000000"/>
                <w:sz w:val="21"/>
              </w:rPr>
              <w:t>▲对保密室试卷值守的出入信息、异常信息、报警信息、回放信息、人脸身份核查等进行分类统计、分析。可按多种条件对报警历史记录进行综合性的记录查询，可定量与定性结合，生成相应报表。报表的形式应结合教育考试保密安全管理需求，多种多样，图文并茂，采用饼图、柱状图、折线图、漏斗图、散点图、雷达图、圆环、面积图、趋势图等形式，易于比较分析，为考务工作提供技术支撑服务。（提供知识产权证明材料（软件著作权及合法授权使用的第三方工具链证明）</w:t>
            </w:r>
          </w:p>
          <w:p w14:paraId="6DA68A90">
            <w:pPr>
              <w:pStyle w:val="4"/>
              <w:ind w:firstLine="400"/>
              <w:jc w:val="left"/>
            </w:pPr>
            <w:r>
              <w:rPr>
                <w:rFonts w:ascii="仿宋_GB2312" w:hAnsi="仿宋_GB2312" w:eastAsia="仿宋_GB2312" w:cs="仿宋_GB2312"/>
                <w:sz w:val="21"/>
              </w:rPr>
              <w:t>（十一）一键检测</w:t>
            </w:r>
          </w:p>
          <w:p w14:paraId="472799A5">
            <w:pPr>
              <w:pStyle w:val="4"/>
              <w:ind w:firstLine="400"/>
              <w:jc w:val="left"/>
            </w:pPr>
            <w:r>
              <w:rPr>
                <w:rFonts w:ascii="仿宋_GB2312" w:hAnsi="仿宋_GB2312" w:eastAsia="仿宋_GB2312" w:cs="仿宋_GB2312"/>
                <w:sz w:val="21"/>
              </w:rPr>
              <w:t>（十二）日志管理</w:t>
            </w:r>
          </w:p>
          <w:p w14:paraId="7E471AAA">
            <w:pPr>
              <w:pStyle w:val="4"/>
              <w:ind w:firstLine="400"/>
              <w:jc w:val="left"/>
            </w:pPr>
            <w:r>
              <w:rPr>
                <w:rFonts w:ascii="仿宋_GB2312" w:hAnsi="仿宋_GB2312" w:eastAsia="仿宋_GB2312" w:cs="仿宋_GB2312"/>
                <w:sz w:val="21"/>
              </w:rPr>
              <w:t>系统日志包括运行日志和操作日志。运行日志能记录系统内设备启动、自检、异常、故障、恢复、关闭等状态信息及发生时间；操作日志记录操作人员进入、退出系统的时间和主要操作情况。日志管理须如实记录系统每天的运行情况，不仅可以对系统运行状态、故障分析等提供依据，而且可以为各种案件的侦破提供必要的线索。具有日记数据保护功能，禁止修改日志、报警和有关警情处理信息，保证日志数据的真实性。</w:t>
            </w:r>
          </w:p>
          <w:p w14:paraId="43480112">
            <w:pPr>
              <w:pStyle w:val="4"/>
              <w:ind w:firstLine="400"/>
              <w:jc w:val="left"/>
            </w:pPr>
            <w:r>
              <w:rPr>
                <w:rFonts w:ascii="仿宋_GB2312" w:hAnsi="仿宋_GB2312" w:eastAsia="仿宋_GB2312" w:cs="仿宋_GB2312"/>
                <w:sz w:val="21"/>
              </w:rPr>
              <w:t>（十三）软件性能</w:t>
            </w:r>
          </w:p>
          <w:p w14:paraId="1FFC4D6B">
            <w:pPr>
              <w:pStyle w:val="4"/>
              <w:ind w:firstLine="400"/>
              <w:jc w:val="left"/>
            </w:pPr>
            <w:r>
              <w:rPr>
                <w:rFonts w:ascii="仿宋_GB2312" w:hAnsi="仿宋_GB2312" w:eastAsia="仿宋_GB2312" w:cs="仿宋_GB2312"/>
                <w:sz w:val="21"/>
              </w:rPr>
              <w:t>系统软件必须具备快速响应请求的能力，必须在单位时间内拥有较高的吞吐量，必须保证较短的应用延迟时间，必须承载正常使用系统功能的用户数量。</w:t>
            </w:r>
          </w:p>
          <w:p w14:paraId="6C7049A7">
            <w:pPr>
              <w:pStyle w:val="4"/>
              <w:ind w:firstLine="402"/>
              <w:jc w:val="left"/>
            </w:pPr>
            <w:r>
              <w:rPr>
                <w:rFonts w:ascii="仿宋_GB2312" w:hAnsi="仿宋_GB2312" w:eastAsia="仿宋_GB2312" w:cs="仿宋_GB2312"/>
                <w:b/>
                <w:sz w:val="21"/>
              </w:rPr>
              <w:t>（十四）为保证系统更加稳定友好使用，投标人需根据以下要求提供原型演示：</w:t>
            </w:r>
          </w:p>
          <w:p w14:paraId="241FAEB6">
            <w:pPr>
              <w:pStyle w:val="4"/>
              <w:ind w:firstLine="400"/>
              <w:jc w:val="left"/>
            </w:pPr>
            <w:r>
              <w:rPr>
                <w:rFonts w:ascii="仿宋_GB2312" w:hAnsi="仿宋_GB2312" w:eastAsia="仿宋_GB2312" w:cs="仿宋_GB2312"/>
                <w:sz w:val="21"/>
              </w:rPr>
              <w:t>1、系统大屏可通过图形化的方式展现，更直观的掌握各保密室的实时情况；针对管理者以宏观数据统计为主，兼顾重点工作现场的实时视频、图片等数据的展示和统计，便于提供决策数据和现场指挥。</w:t>
            </w:r>
          </w:p>
          <w:p w14:paraId="239314A7">
            <w:pPr>
              <w:pStyle w:val="4"/>
              <w:ind w:firstLine="400"/>
              <w:jc w:val="left"/>
            </w:pPr>
            <w:r>
              <w:rPr>
                <w:rFonts w:ascii="仿宋_GB2312" w:hAnsi="仿宋_GB2312" w:eastAsia="仿宋_GB2312" w:cs="仿宋_GB2312"/>
                <w:sz w:val="21"/>
              </w:rPr>
              <w:t>2、系统大屏可对保密室进行实时网上巡查，支持单画面、四画面、九画面等多种形式的多画面轮巡，满足巡查需要。</w:t>
            </w:r>
          </w:p>
          <w:p w14:paraId="25B65595">
            <w:pPr>
              <w:pStyle w:val="4"/>
              <w:ind w:firstLine="418"/>
              <w:jc w:val="left"/>
            </w:pPr>
            <w:r>
              <w:rPr>
                <w:rFonts w:ascii="仿宋_GB2312" w:hAnsi="仿宋_GB2312" w:eastAsia="仿宋_GB2312" w:cs="仿宋_GB2312"/>
                <w:color w:val="000000"/>
                <w:sz w:val="21"/>
              </w:rPr>
              <w:t>3、系统大屏可对对值守人员出入保密值班室和保密室时间进行统一管理，系统可以对监控画面中出现的人数进行精确计数；</w:t>
            </w:r>
          </w:p>
          <w:p w14:paraId="13537ED8">
            <w:pPr>
              <w:pStyle w:val="4"/>
              <w:ind w:firstLine="400"/>
              <w:jc w:val="left"/>
            </w:pPr>
            <w:r>
              <w:rPr>
                <w:rFonts w:ascii="仿宋_GB2312" w:hAnsi="仿宋_GB2312" w:eastAsia="仿宋_GB2312" w:cs="仿宋_GB2312"/>
                <w:sz w:val="21"/>
              </w:rPr>
              <w:t>4、应支持一键巡考检测，对全省保密室的视频的整体画面质量进行分析，包括但不限于图像模糊、图像遮挡、图像亮度、黑白图像、图像偏色、雪花噪声、条形噪声等，可在平台按照区域列表进行筛选统计，并支持在视频预览客户端可配置是否实时查阅和显示视频质量及水印时间准确性情况，便于现场检查视频质量及水印时间。</w:t>
            </w:r>
          </w:p>
          <w:p w14:paraId="62C0730B">
            <w:pPr>
              <w:pStyle w:val="4"/>
              <w:ind w:firstLine="400"/>
              <w:jc w:val="left"/>
            </w:pPr>
            <w:r>
              <w:rPr>
                <w:rFonts w:ascii="仿宋_GB2312" w:hAnsi="仿宋_GB2312" w:eastAsia="仿宋_GB2312" w:cs="仿宋_GB2312"/>
                <w:sz w:val="21"/>
              </w:rPr>
              <w:t>5、告警信息存储，按照教育部的最新要求，系统应能对实时视频流进行行为识别分析：通过对实时视频流进行行为识别分析针对教育部《异常行为清单及分类》的异常行为进行实时告警，抓取并保存异常行为生成告警图片、告警信息，以及图片前后各10秒左右，共20秒的告警短视频（短视频时长可自定义）。</w:t>
            </w:r>
          </w:p>
          <w:p w14:paraId="15831EFE">
            <w:pPr>
              <w:pStyle w:val="4"/>
              <w:ind w:firstLine="200"/>
              <w:jc w:val="left"/>
            </w:pPr>
            <w:r>
              <w:rPr>
                <w:rFonts w:ascii="仿宋_GB2312" w:hAnsi="仿宋_GB2312" w:eastAsia="仿宋_GB2312" w:cs="仿宋_GB2312"/>
                <w:sz w:val="21"/>
              </w:rPr>
              <w:t>（十五）其他</w:t>
            </w:r>
          </w:p>
          <w:p w14:paraId="5F899E98">
            <w:pPr>
              <w:pStyle w:val="4"/>
              <w:ind w:firstLine="400"/>
              <w:jc w:val="left"/>
            </w:pPr>
            <w:r>
              <w:rPr>
                <w:rFonts w:ascii="仿宋_GB2312" w:hAnsi="仿宋_GB2312" w:eastAsia="仿宋_GB2312" w:cs="仿宋_GB2312"/>
                <w:sz w:val="21"/>
              </w:rPr>
              <w:t>未描述或描述不详尽的，以正式开工后用户具体需求为准；软件系统开发必须达到功能性要求和易用性评价标准。</w:t>
            </w:r>
          </w:p>
          <w:p w14:paraId="0ACA7C18">
            <w:pPr>
              <w:pStyle w:val="4"/>
              <w:ind w:firstLine="400"/>
              <w:jc w:val="left"/>
            </w:pPr>
            <w:r>
              <w:rPr>
                <w:rFonts w:ascii="仿宋_GB2312" w:hAnsi="仿宋_GB2312" w:eastAsia="仿宋_GB2312" w:cs="仿宋_GB2312"/>
                <w:sz w:val="21"/>
              </w:rPr>
              <w:t>未描述或描述不详尽的，如有遗漏，中标人应予以补充，中标人应确保其开发的产品以及所提供产品的完整性、实用性，保证全部平台及时投入正常运行。若因此导致平台（系统）无法实现或不能完全实现的状况，中标人负全部责任。</w:t>
            </w:r>
          </w:p>
          <w:p w14:paraId="5B9F2253">
            <w:pPr>
              <w:pStyle w:val="4"/>
            </w:pPr>
            <w:r>
              <w:rPr>
                <w:rFonts w:ascii="仿宋_GB2312" w:hAnsi="仿宋_GB2312" w:eastAsia="仿宋_GB2312" w:cs="仿宋_GB2312"/>
                <w:sz w:val="21"/>
              </w:rPr>
              <w:t>在项目进行过程中，由于政策性或其他现实问题的原因，需重新修改以满足新政策、现实需要，中标人须无条件配合修改功能需求，中标人不得增加项目费用，并能在约定的时间内完成。</w:t>
            </w:r>
          </w:p>
        </w:tc>
      </w:tr>
      <w:tr w14:paraId="1202B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07224F">
            <w:pPr>
              <w:pStyle w:val="4"/>
            </w:pPr>
            <w:r>
              <w:rPr>
                <w:rFonts w:ascii="仿宋_GB2312" w:hAnsi="仿宋_GB2312" w:eastAsia="仿宋_GB2312" w:cs="仿宋_GB2312"/>
              </w:rPr>
              <w:t>6</w:t>
            </w:r>
          </w:p>
        </w:tc>
        <w:tc>
          <w:tcPr>
            <w:tcW w:w="2769" w:type="dxa"/>
          </w:tcPr>
          <w:p w14:paraId="3820B449"/>
        </w:tc>
        <w:tc>
          <w:tcPr>
            <w:tcW w:w="2769" w:type="dxa"/>
          </w:tcPr>
          <w:p w14:paraId="182BBCB1">
            <w:pPr>
              <w:pStyle w:val="4"/>
              <w:jc w:val="left"/>
            </w:pPr>
            <w:r>
              <w:rPr>
                <w:rFonts w:ascii="仿宋_GB2312" w:hAnsi="仿宋_GB2312" w:eastAsia="仿宋_GB2312" w:cs="仿宋_GB2312"/>
                <w:sz w:val="21"/>
              </w:rPr>
              <w:t>六、实施部署</w:t>
            </w:r>
          </w:p>
          <w:p w14:paraId="61BC31CE">
            <w:pPr>
              <w:pStyle w:val="4"/>
              <w:jc w:val="left"/>
            </w:pPr>
            <w:r>
              <w:drawing>
                <wp:inline distT="0" distB="0" distL="0" distR="0">
                  <wp:extent cx="1621155" cy="975995"/>
                  <wp:effectExtent l="0" t="0" r="17145" b="14605"/>
                  <wp:docPr id="2" name="Drawing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img"/>
                          <pic:cNvPicPr>
                            <a:picLocks noChangeAspect="1"/>
                          </pic:cNvPicPr>
                        </pic:nvPicPr>
                        <pic:blipFill>
                          <a:blip r:embed="rId5"/>
                          <a:stretch>
                            <a:fillRect/>
                          </a:stretch>
                        </pic:blipFill>
                        <pic:spPr>
                          <a:xfrm>
                            <a:off x="0" y="0"/>
                            <a:ext cx="1621155" cy="976377"/>
                          </a:xfrm>
                          <a:prstGeom prst="rect">
                            <a:avLst/>
                          </a:prstGeom>
                        </pic:spPr>
                      </pic:pic>
                    </a:graphicData>
                  </a:graphic>
                </wp:inline>
              </w:drawing>
            </w:r>
          </w:p>
          <w:p w14:paraId="7E71EE25">
            <w:pPr>
              <w:pStyle w:val="4"/>
              <w:ind w:firstLine="400"/>
              <w:jc w:val="left"/>
            </w:pPr>
            <w:r>
              <w:rPr>
                <w:rFonts w:ascii="仿宋_GB2312" w:hAnsi="仿宋_GB2312" w:eastAsia="仿宋_GB2312" w:cs="仿宋_GB2312"/>
                <w:sz w:val="21"/>
              </w:rPr>
              <w:t>安装位置：1个安装在保密室值班室，1个安装在保密室试卷间），根据现场场景，保证安装的摄像机监控没有死角；</w:t>
            </w:r>
          </w:p>
          <w:p w14:paraId="00483968">
            <w:pPr>
              <w:pStyle w:val="4"/>
              <w:jc w:val="left"/>
            </w:pPr>
            <w:r>
              <w:rPr>
                <w:rFonts w:ascii="仿宋_GB2312" w:hAnsi="仿宋_GB2312" w:eastAsia="仿宋_GB2312" w:cs="仿宋_GB2312"/>
                <w:sz w:val="21"/>
              </w:rPr>
              <w:t>安装高度：依据《GB50395-2007》，考虑摄像机同时具备视频分析和人脸比对，建议安装高度一般不应低于2.8米（最低2.5米，行人踮起脚或一般跳跃摸不到的位置），下俯角度在15°内。</w:t>
            </w:r>
          </w:p>
        </w:tc>
      </w:tr>
      <w:tr w14:paraId="5F6FB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A44BC5">
            <w:pPr>
              <w:pStyle w:val="4"/>
            </w:pPr>
            <w:r>
              <w:rPr>
                <w:rFonts w:ascii="仿宋_GB2312" w:hAnsi="仿宋_GB2312" w:eastAsia="仿宋_GB2312" w:cs="仿宋_GB2312"/>
              </w:rPr>
              <w:t>7</w:t>
            </w:r>
          </w:p>
        </w:tc>
        <w:tc>
          <w:tcPr>
            <w:tcW w:w="2769" w:type="dxa"/>
          </w:tcPr>
          <w:p w14:paraId="7F41D738"/>
        </w:tc>
        <w:tc>
          <w:tcPr>
            <w:tcW w:w="2769" w:type="dxa"/>
          </w:tcPr>
          <w:p w14:paraId="68BB4B59">
            <w:pPr>
              <w:pStyle w:val="4"/>
              <w:jc w:val="left"/>
            </w:pPr>
            <w:r>
              <w:rPr>
                <w:rFonts w:ascii="仿宋_GB2312" w:hAnsi="仿宋_GB2312" w:eastAsia="仿宋_GB2312" w:cs="仿宋_GB2312"/>
                <w:sz w:val="21"/>
              </w:rPr>
              <w:t>七、设备配置及技术要求</w:t>
            </w:r>
          </w:p>
          <w:p w14:paraId="702DA363">
            <w:pPr>
              <w:pStyle w:val="4"/>
              <w:jc w:val="left"/>
            </w:pPr>
            <w:r>
              <w:rPr>
                <w:rFonts w:ascii="仿宋_GB2312" w:hAnsi="仿宋_GB2312" w:eastAsia="仿宋_GB2312" w:cs="仿宋_GB2312"/>
                <w:sz w:val="21"/>
              </w:rPr>
              <w:t>硬件设备的性能指标直接影响系统的稳定运行，务必要符合相应的配置及技术要求，所有设备必须坚持标准的、开放的协议标准和接口。</w:t>
            </w:r>
          </w:p>
          <w:p w14:paraId="39896C8A">
            <w:pPr>
              <w:pStyle w:val="4"/>
              <w:jc w:val="left"/>
            </w:pPr>
            <w:r>
              <w:rPr>
                <w:rFonts w:ascii="仿宋_GB2312" w:hAnsi="仿宋_GB2312" w:eastAsia="仿宋_GB2312" w:cs="仿宋_GB2312"/>
                <w:sz w:val="21"/>
              </w:rPr>
              <w:t>（一）提供项目相关的所有系统集成的具体规划、设计、部署服务，保证系统正常运转。</w:t>
            </w:r>
          </w:p>
          <w:p w14:paraId="29322D72">
            <w:pPr>
              <w:pStyle w:val="4"/>
              <w:jc w:val="left"/>
            </w:pPr>
            <w:r>
              <w:rPr>
                <w:rFonts w:ascii="仿宋_GB2312" w:hAnsi="仿宋_GB2312" w:eastAsia="仿宋_GB2312" w:cs="仿宋_GB2312"/>
                <w:sz w:val="21"/>
              </w:rPr>
              <w:t>（二）提供详细的网络IP地址规划、VLAN划分，合理利用资源，方便后续扩展。</w:t>
            </w:r>
          </w:p>
          <w:p w14:paraId="4A4D9670">
            <w:pPr>
              <w:pStyle w:val="4"/>
              <w:jc w:val="left"/>
            </w:pPr>
            <w:r>
              <w:rPr>
                <w:rFonts w:ascii="仿宋_GB2312" w:hAnsi="仿宋_GB2312" w:eastAsia="仿宋_GB2312" w:cs="仿宋_GB2312"/>
                <w:sz w:val="21"/>
              </w:rPr>
              <w:t>（三）根据省考试院现有设备，配合对所有相关设备进行安装、设置、调试；设备名称的构成字符遵循国家规范。线路施工完毕后，配合对省考试院机房相关业务系统进行IP地址变更。</w:t>
            </w:r>
          </w:p>
          <w:p w14:paraId="598844AB">
            <w:pPr>
              <w:pStyle w:val="4"/>
              <w:jc w:val="left"/>
            </w:pPr>
            <w:r>
              <w:rPr>
                <w:rFonts w:ascii="仿宋_GB2312" w:hAnsi="仿宋_GB2312" w:eastAsia="仿宋_GB2312" w:cs="仿宋_GB2312"/>
                <w:sz w:val="21"/>
              </w:rPr>
              <w:t>（四）项目正式运行后，提供一个月的前期磨合问题解决服务保障，所有故障必须提供完备的解决方案，须派技术人员现场处理。</w:t>
            </w:r>
          </w:p>
          <w:p w14:paraId="75E4ACC8">
            <w:pPr>
              <w:pStyle w:val="4"/>
              <w:jc w:val="left"/>
            </w:pPr>
            <w:r>
              <w:rPr>
                <w:rFonts w:ascii="仿宋_GB2312" w:hAnsi="仿宋_GB2312" w:eastAsia="仿宋_GB2312" w:cs="仿宋_GB2312"/>
                <w:sz w:val="21"/>
              </w:rPr>
              <w:t>（五）系统上线前必须经过严格测试，并得到省考试院相关负责部门认可，以保证线路切换顺利实施运行。</w:t>
            </w:r>
          </w:p>
          <w:p w14:paraId="1EBAFA3E">
            <w:pPr>
              <w:pStyle w:val="4"/>
              <w:jc w:val="left"/>
            </w:pPr>
            <w:r>
              <w:rPr>
                <w:rFonts w:ascii="仿宋_GB2312" w:hAnsi="仿宋_GB2312" w:eastAsia="仿宋_GB2312" w:cs="仿宋_GB2312"/>
                <w:sz w:val="21"/>
              </w:rPr>
              <w:t>（六）在设备维保有效期内，提供维护涉及的施工辅材、线缆、模块、板卡等。人为不可抗力因素除外。</w:t>
            </w:r>
          </w:p>
          <w:p w14:paraId="76343F0D">
            <w:pPr>
              <w:pStyle w:val="4"/>
              <w:jc w:val="left"/>
            </w:pPr>
            <w:r>
              <w:rPr>
                <w:rFonts w:ascii="仿宋_GB2312" w:hAnsi="仿宋_GB2312" w:eastAsia="仿宋_GB2312" w:cs="仿宋_GB2312"/>
                <w:sz w:val="21"/>
              </w:rPr>
              <w:t>（七）服从工作安排，在规定时间内完成相应进度。</w:t>
            </w:r>
          </w:p>
          <w:p w14:paraId="1882D2E6">
            <w:pPr>
              <w:pStyle w:val="4"/>
              <w:jc w:val="left"/>
            </w:pPr>
            <w:r>
              <w:rPr>
                <w:rFonts w:ascii="仿宋_GB2312" w:hAnsi="仿宋_GB2312" w:eastAsia="仿宋_GB2312" w:cs="仿宋_GB2312"/>
                <w:sz w:val="21"/>
              </w:rPr>
              <w:t>（八）资料移交：完工需要有详细的设备档案移交（需型号、连接关系、管理地址、地理位置、接口类型），以及拓扑图、系统结构图、布线图、配置资料、设备清单等相关的纸质（签字和盖章）和电子版资料。</w:t>
            </w:r>
          </w:p>
          <w:p w14:paraId="46B5DD0A">
            <w:pPr>
              <w:pStyle w:val="4"/>
              <w:jc w:val="left"/>
            </w:pPr>
            <w:r>
              <w:rPr>
                <w:rFonts w:ascii="仿宋_GB2312" w:hAnsi="仿宋_GB2312" w:eastAsia="仿宋_GB2312" w:cs="仿宋_GB2312"/>
                <w:sz w:val="21"/>
              </w:rPr>
              <w:t>（九）提供本系统有关项目负责人、项目团队人员详细的名单及联系方式。项目团队成员中罗列的人员（如高级工程师），需保证项目期以及考试期内在陕西省内进行工作。投标人须对人员要求提供书面承诺。</w:t>
            </w:r>
          </w:p>
          <w:p w14:paraId="709DFF98">
            <w:pPr>
              <w:pStyle w:val="4"/>
              <w:jc w:val="left"/>
            </w:pPr>
            <w:r>
              <w:rPr>
                <w:rFonts w:ascii="仿宋_GB2312" w:hAnsi="仿宋_GB2312" w:eastAsia="仿宋_GB2312" w:cs="仿宋_GB2312"/>
                <w:sz w:val="21"/>
              </w:rPr>
              <w:t>（十）在使用现场提供24小时不间断的电话支持服务，解答省考试院在使用过程中遇到的问题，及时提出解决问题的建议和对策。</w:t>
            </w:r>
          </w:p>
          <w:p w14:paraId="2E600AEE">
            <w:pPr>
              <w:pStyle w:val="4"/>
              <w:jc w:val="left"/>
            </w:pPr>
            <w:r>
              <w:rPr>
                <w:rFonts w:ascii="仿宋_GB2312" w:hAnsi="仿宋_GB2312" w:eastAsia="仿宋_GB2312" w:cs="仿宋_GB2312"/>
                <w:sz w:val="21"/>
              </w:rPr>
              <w:t>（十一）设备维保服务：已建和新建保密室项目的快速备件更换、远程技术支持、维护性软件版本支持以及相关平台支持等内容，帮助省考试院维护平台系统。</w:t>
            </w:r>
          </w:p>
          <w:p w14:paraId="35D7779F">
            <w:pPr>
              <w:pStyle w:val="4"/>
              <w:jc w:val="left"/>
            </w:pPr>
            <w:r>
              <w:rPr>
                <w:rFonts w:ascii="仿宋_GB2312" w:hAnsi="仿宋_GB2312" w:eastAsia="仿宋_GB2312" w:cs="仿宋_GB2312"/>
                <w:sz w:val="21"/>
              </w:rPr>
              <w:t>（十二）提供国家级考试保障。省考试院所有国家级考试，须派过硬技术人员进驻省考试院，全程协助保障系统正常运行。</w:t>
            </w:r>
          </w:p>
          <w:p w14:paraId="263BCC03">
            <w:pPr>
              <w:pStyle w:val="4"/>
              <w:jc w:val="left"/>
            </w:pPr>
            <w:r>
              <w:rPr>
                <w:rFonts w:ascii="仿宋_GB2312" w:hAnsi="仿宋_GB2312" w:eastAsia="仿宋_GB2312" w:cs="仿宋_GB2312"/>
                <w:sz w:val="21"/>
              </w:rPr>
              <w:t>（十三）提供售后服务，内容包括：系统安全服务、故障处理服务、定期系统运行报告服务、割接调试服务、一站式受理业务和故障申告服务。</w:t>
            </w:r>
          </w:p>
          <w:p w14:paraId="5AA97B33">
            <w:pPr>
              <w:pStyle w:val="4"/>
              <w:jc w:val="left"/>
            </w:pPr>
            <w:r>
              <w:rPr>
                <w:rFonts w:ascii="仿宋_GB2312" w:hAnsi="仿宋_GB2312" w:eastAsia="仿宋_GB2312" w:cs="仿宋_GB2312"/>
                <w:sz w:val="21"/>
              </w:rPr>
              <w:t>（十四）应急保障需求：</w:t>
            </w:r>
          </w:p>
          <w:p w14:paraId="197B10DB">
            <w:pPr>
              <w:pStyle w:val="4"/>
              <w:jc w:val="left"/>
            </w:pPr>
            <w:r>
              <w:rPr>
                <w:rFonts w:ascii="仿宋_GB2312" w:hAnsi="仿宋_GB2312" w:eastAsia="仿宋_GB2312" w:cs="仿宋_GB2312"/>
                <w:sz w:val="21"/>
              </w:rPr>
              <w:t>1、必须提供系统发生故障后的应急方案及服务保障措施。</w:t>
            </w:r>
          </w:p>
          <w:p w14:paraId="4A7CABED">
            <w:pPr>
              <w:pStyle w:val="4"/>
              <w:jc w:val="left"/>
            </w:pPr>
            <w:r>
              <w:rPr>
                <w:rFonts w:ascii="仿宋_GB2312" w:hAnsi="仿宋_GB2312" w:eastAsia="仿宋_GB2312" w:cs="仿宋_GB2312"/>
                <w:sz w:val="21"/>
              </w:rPr>
              <w:t>2、故障响应以运维考评标准为准。以保障考试管理中心业务正常运转。</w:t>
            </w:r>
          </w:p>
          <w:p w14:paraId="5679E5D5">
            <w:pPr>
              <w:pStyle w:val="4"/>
              <w:jc w:val="left"/>
            </w:pPr>
            <w:r>
              <w:rPr>
                <w:rFonts w:ascii="仿宋_GB2312" w:hAnsi="仿宋_GB2312" w:eastAsia="仿宋_GB2312" w:cs="仿宋_GB2312"/>
                <w:sz w:val="21"/>
              </w:rPr>
              <w:t>3、必须有专人负责本项目工作，受理故障维修及业务沟通。</w:t>
            </w:r>
          </w:p>
          <w:p w14:paraId="334675BF">
            <w:pPr>
              <w:pStyle w:val="4"/>
              <w:jc w:val="left"/>
            </w:pPr>
            <w:r>
              <w:rPr>
                <w:rFonts w:ascii="仿宋_GB2312" w:hAnsi="仿宋_GB2312" w:eastAsia="仿宋_GB2312" w:cs="仿宋_GB2312"/>
                <w:sz w:val="21"/>
              </w:rPr>
              <w:t>4、因线路、设备等所出现的问题，如需维修或更换，必须派专人负责到问题故障发生地点进行维修或更换。</w:t>
            </w:r>
          </w:p>
          <w:p w14:paraId="0BBEC4FA">
            <w:pPr>
              <w:pStyle w:val="4"/>
              <w:jc w:val="left"/>
            </w:pPr>
            <w:r>
              <w:rPr>
                <w:rFonts w:ascii="仿宋_GB2312" w:hAnsi="仿宋_GB2312" w:eastAsia="仿宋_GB2312" w:cs="仿宋_GB2312"/>
                <w:sz w:val="21"/>
              </w:rPr>
              <w:t>（十五）有管道和光缆的安全保障运维管理、网络安全防护机制。</w:t>
            </w:r>
          </w:p>
          <w:p w14:paraId="7A6A0AC7">
            <w:pPr>
              <w:pStyle w:val="4"/>
              <w:jc w:val="left"/>
            </w:pPr>
            <w:r>
              <w:rPr>
                <w:rFonts w:ascii="仿宋_GB2312" w:hAnsi="仿宋_GB2312" w:eastAsia="仿宋_GB2312" w:cs="仿宋_GB2312"/>
                <w:sz w:val="21"/>
              </w:rPr>
              <w:t>（十六）中标人负责对采购人进行技术培训，包括对采购人进行详尽的网络结构、工作原理、业务配置、一般维护、常见故障排除等一系列的专业培训，使采购人了解新建系统运行的基本情况，并提供操作手册及各类设备的说明书。</w:t>
            </w:r>
          </w:p>
          <w:p w14:paraId="069D600E">
            <w:pPr>
              <w:pStyle w:val="4"/>
              <w:jc w:val="left"/>
            </w:pPr>
            <w:r>
              <w:rPr>
                <w:rFonts w:ascii="仿宋_GB2312" w:hAnsi="仿宋_GB2312" w:eastAsia="仿宋_GB2312" w:cs="仿宋_GB2312"/>
                <w:sz w:val="21"/>
              </w:rPr>
              <w:t>（十七）运维服务考评标准：</w:t>
            </w:r>
          </w:p>
          <w:p w14:paraId="601724CB">
            <w:pPr>
              <w:pStyle w:val="4"/>
              <w:jc w:val="left"/>
            </w:pPr>
            <w:r>
              <w:rPr>
                <w:rFonts w:ascii="仿宋_GB2312" w:hAnsi="仿宋_GB2312" w:eastAsia="仿宋_GB2312" w:cs="仿宋_GB2312"/>
                <w:sz w:val="21"/>
              </w:rPr>
              <w:t>合同期内，考评分值达到90分（含）以上，乙方获得全部考核款；70分以下考核款全部扣除，70分-90分之间以线性计算获得考核款。</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420"/>
              <w:gridCol w:w="1007"/>
              <w:gridCol w:w="951"/>
            </w:tblGrid>
            <w:tr w14:paraId="48B3F1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02A5C6">
                  <w:pPr>
                    <w:pStyle w:val="4"/>
                    <w:jc w:val="center"/>
                  </w:pPr>
                  <w:r>
                    <w:rPr>
                      <w:rFonts w:ascii="仿宋_GB2312" w:hAnsi="仿宋_GB2312" w:eastAsia="仿宋_GB2312" w:cs="仿宋_GB2312"/>
                      <w:color w:val="000000"/>
                      <w:sz w:val="21"/>
                    </w:rPr>
                    <w:t>考评元素一级</w:t>
                  </w:r>
                </w:p>
              </w:tc>
              <w:tc>
                <w:tcPr>
                  <w:tcW w:w="28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7BC4F99">
                  <w:pPr>
                    <w:pStyle w:val="4"/>
                    <w:jc w:val="center"/>
                  </w:pPr>
                  <w:r>
                    <w:rPr>
                      <w:rFonts w:ascii="仿宋_GB2312" w:hAnsi="仿宋_GB2312" w:eastAsia="仿宋_GB2312" w:cs="仿宋_GB2312"/>
                      <w:color w:val="000000"/>
                      <w:sz w:val="21"/>
                    </w:rPr>
                    <w:t>考评元素二级</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59171D">
                  <w:pPr>
                    <w:pStyle w:val="4"/>
                    <w:jc w:val="center"/>
                  </w:pPr>
                  <w:r>
                    <w:rPr>
                      <w:rFonts w:ascii="仿宋_GB2312" w:hAnsi="仿宋_GB2312" w:eastAsia="仿宋_GB2312" w:cs="仿宋_GB2312"/>
                      <w:color w:val="000000"/>
                      <w:sz w:val="21"/>
                    </w:rPr>
                    <w:t>指标说明</w:t>
                  </w:r>
                </w:p>
              </w:tc>
              <w:tc>
                <w:tcPr>
                  <w:tcW w:w="9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A5DE80">
                  <w:pPr>
                    <w:pStyle w:val="4"/>
                    <w:jc w:val="center"/>
                  </w:pPr>
                  <w:r>
                    <w:rPr>
                      <w:rFonts w:ascii="仿宋_GB2312" w:hAnsi="仿宋_GB2312" w:eastAsia="仿宋_GB2312" w:cs="仿宋_GB2312"/>
                      <w:color w:val="000000"/>
                      <w:sz w:val="21"/>
                    </w:rPr>
                    <w:t>打分标准</w:t>
                  </w:r>
                </w:p>
              </w:tc>
            </w:tr>
            <w:tr w14:paraId="1E62DE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507899">
                  <w:pPr>
                    <w:pStyle w:val="4"/>
                    <w:jc w:val="left"/>
                  </w:pPr>
                  <w:r>
                    <w:rPr>
                      <w:rFonts w:ascii="仿宋_GB2312" w:hAnsi="仿宋_GB2312" w:eastAsia="仿宋_GB2312" w:cs="仿宋_GB2312"/>
                      <w:color w:val="000000"/>
                      <w:sz w:val="21"/>
                    </w:rPr>
                    <w:t>人员组织管理</w:t>
                  </w:r>
                </w:p>
              </w:tc>
              <w:tc>
                <w:tcPr>
                  <w:tcW w:w="28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EB5B12">
                  <w:pPr>
                    <w:pStyle w:val="4"/>
                    <w:jc w:val="left"/>
                  </w:pPr>
                  <w:r>
                    <w:rPr>
                      <w:rFonts w:ascii="仿宋_GB2312" w:hAnsi="仿宋_GB2312" w:eastAsia="仿宋_GB2312" w:cs="仿宋_GB2312"/>
                      <w:color w:val="000000"/>
                      <w:sz w:val="21"/>
                    </w:rPr>
                    <w:t>资源投入</w:t>
                  </w:r>
                </w:p>
              </w:tc>
              <w:tc>
                <w:tcPr>
                  <w:tcW w:w="10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F875E57">
                  <w:pPr>
                    <w:pStyle w:val="4"/>
                    <w:jc w:val="left"/>
                  </w:pPr>
                  <w:r>
                    <w:rPr>
                      <w:rFonts w:ascii="仿宋_GB2312" w:hAnsi="仿宋_GB2312" w:eastAsia="仿宋_GB2312" w:cs="仿宋_GB2312"/>
                      <w:color w:val="000000"/>
                      <w:sz w:val="21"/>
                    </w:rPr>
                    <w:t>各阶段的参与人员全程全职参与项目工作。如需对本项目投入人员进行变更，应提前两周书面通知甲方负责人并经同意后在变更前补充相应数量、资质的人员。</w:t>
                  </w:r>
                  <w:r>
                    <w:br w:type="textWrapping"/>
                  </w:r>
                  <w:r>
                    <w:rPr>
                      <w:rFonts w:ascii="仿宋_GB2312" w:hAnsi="仿宋_GB2312" w:eastAsia="仿宋_GB2312" w:cs="仿宋_GB2312"/>
                      <w:color w:val="000000"/>
                      <w:sz w:val="21"/>
                    </w:rPr>
                    <w:t xml:space="preserve"> 变更主要包括：撤离、更换、辞退。</w:t>
                  </w:r>
                </w:p>
              </w:tc>
              <w:tc>
                <w:tcPr>
                  <w:tcW w:w="9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3ECD3D">
                  <w:pPr>
                    <w:pStyle w:val="4"/>
                    <w:jc w:val="left"/>
                  </w:pPr>
                  <w:r>
                    <w:rPr>
                      <w:rFonts w:ascii="仿宋_GB2312" w:hAnsi="仿宋_GB2312" w:eastAsia="仿宋_GB2312" w:cs="仿宋_GB2312"/>
                      <w:color w:val="000000"/>
                      <w:sz w:val="21"/>
                    </w:rPr>
                    <w:t>1、未按照合同规定投入、更换人员，扣1-3分。</w:t>
                  </w:r>
                  <w:r>
                    <w:br w:type="textWrapping"/>
                  </w:r>
                  <w:r>
                    <w:rPr>
                      <w:rFonts w:ascii="仿宋_GB2312" w:hAnsi="仿宋_GB2312" w:eastAsia="仿宋_GB2312" w:cs="仿宋_GB2312"/>
                      <w:color w:val="000000"/>
                      <w:sz w:val="21"/>
                    </w:rPr>
                    <w:t xml:space="preserve"> 2、核心人员每流失一人，扣1-3分。</w:t>
                  </w:r>
                </w:p>
              </w:tc>
            </w:tr>
            <w:tr w14:paraId="5D294B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 w:type="dxa"/>
                  <w:vMerge w:val="continue"/>
                  <w:tcBorders>
                    <w:top w:val="nil"/>
                    <w:left w:val="single" w:color="000000" w:sz="4" w:space="0"/>
                    <w:bottom w:val="single" w:color="000000" w:sz="4" w:space="0"/>
                    <w:right w:val="single" w:color="000000" w:sz="4" w:space="0"/>
                  </w:tcBorders>
                </w:tcPr>
                <w:p w14:paraId="39C164F3"/>
              </w:tc>
              <w:tc>
                <w:tcPr>
                  <w:tcW w:w="28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8596DB">
                  <w:pPr>
                    <w:pStyle w:val="4"/>
                    <w:jc w:val="left"/>
                  </w:pPr>
                  <w:r>
                    <w:rPr>
                      <w:rFonts w:ascii="仿宋_GB2312" w:hAnsi="仿宋_GB2312" w:eastAsia="仿宋_GB2312" w:cs="仿宋_GB2312"/>
                      <w:color w:val="000000"/>
                      <w:sz w:val="21"/>
                    </w:rPr>
                    <w:t>人员能力</w:t>
                  </w:r>
                </w:p>
              </w:tc>
              <w:tc>
                <w:tcPr>
                  <w:tcW w:w="10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7EA8DA">
                  <w:pPr>
                    <w:pStyle w:val="4"/>
                    <w:jc w:val="left"/>
                  </w:pPr>
                  <w:r>
                    <w:rPr>
                      <w:rFonts w:ascii="仿宋_GB2312" w:hAnsi="仿宋_GB2312" w:eastAsia="仿宋_GB2312" w:cs="仿宋_GB2312"/>
                      <w:color w:val="000000"/>
                      <w:sz w:val="21"/>
                    </w:rPr>
                    <w:t>应保证参与本项目人员的技术能力和水平满足他所从事的工作的要求。</w:t>
                  </w:r>
                </w:p>
              </w:tc>
              <w:tc>
                <w:tcPr>
                  <w:tcW w:w="9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008CD4">
                  <w:pPr>
                    <w:pStyle w:val="4"/>
                    <w:jc w:val="left"/>
                  </w:pPr>
                  <w:r>
                    <w:rPr>
                      <w:rFonts w:ascii="仿宋_GB2312" w:hAnsi="仿宋_GB2312" w:eastAsia="仿宋_GB2312" w:cs="仿宋_GB2312"/>
                      <w:color w:val="000000"/>
                      <w:sz w:val="21"/>
                    </w:rPr>
                    <w:t>每出现一人未能达到要求则扣1-3分。</w:t>
                  </w:r>
                </w:p>
              </w:tc>
            </w:tr>
            <w:tr w14:paraId="35A166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 w:type="dxa"/>
                  <w:vMerge w:val="continue"/>
                  <w:tcBorders>
                    <w:top w:val="nil"/>
                    <w:left w:val="single" w:color="000000" w:sz="4" w:space="0"/>
                    <w:bottom w:val="single" w:color="000000" w:sz="4" w:space="0"/>
                    <w:right w:val="single" w:color="000000" w:sz="4" w:space="0"/>
                  </w:tcBorders>
                </w:tcPr>
                <w:p w14:paraId="328FF71F"/>
              </w:tc>
              <w:tc>
                <w:tcPr>
                  <w:tcW w:w="28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8ED0C5">
                  <w:pPr>
                    <w:pStyle w:val="4"/>
                    <w:jc w:val="left"/>
                  </w:pPr>
                  <w:r>
                    <w:rPr>
                      <w:rFonts w:ascii="仿宋_GB2312" w:hAnsi="仿宋_GB2312" w:eastAsia="仿宋_GB2312" w:cs="仿宋_GB2312"/>
                      <w:color w:val="000000"/>
                      <w:sz w:val="21"/>
                    </w:rPr>
                    <w:t>团队管理</w:t>
                  </w:r>
                </w:p>
              </w:tc>
              <w:tc>
                <w:tcPr>
                  <w:tcW w:w="10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5D6445">
                  <w:pPr>
                    <w:pStyle w:val="4"/>
                    <w:jc w:val="left"/>
                  </w:pPr>
                  <w:r>
                    <w:rPr>
                      <w:rFonts w:ascii="仿宋_GB2312" w:hAnsi="仿宋_GB2312" w:eastAsia="仿宋_GB2312" w:cs="仿宋_GB2312"/>
                      <w:color w:val="000000"/>
                      <w:sz w:val="21"/>
                    </w:rPr>
                    <w:t>项目团队有效管理，资源落实到位，项目角色和职责定义清晰。</w:t>
                  </w:r>
                  <w:r>
                    <w:br w:type="textWrapping"/>
                  </w:r>
                  <w:r>
                    <w:rPr>
                      <w:rFonts w:ascii="仿宋_GB2312" w:hAnsi="仿宋_GB2312" w:eastAsia="仿宋_GB2312" w:cs="仿宋_GB2312"/>
                      <w:color w:val="000000"/>
                      <w:sz w:val="21"/>
                    </w:rPr>
                    <w:t xml:space="preserve"> 项目人员应严格遵循甲方单位的相关工作及管理规范。</w:t>
                  </w:r>
                </w:p>
              </w:tc>
              <w:tc>
                <w:tcPr>
                  <w:tcW w:w="9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9CF23F3">
                  <w:pPr>
                    <w:pStyle w:val="4"/>
                    <w:jc w:val="left"/>
                  </w:pPr>
                  <w:r>
                    <w:rPr>
                      <w:rFonts w:ascii="仿宋_GB2312" w:hAnsi="仿宋_GB2312" w:eastAsia="仿宋_GB2312" w:cs="仿宋_GB2312"/>
                      <w:color w:val="000000"/>
                      <w:sz w:val="21"/>
                    </w:rPr>
                    <w:t>1、出现项目资源组织混乱，职责不明、相互推诿的情况，每出现一次扣2分。</w:t>
                  </w:r>
                  <w:r>
                    <w:br w:type="textWrapping"/>
                  </w:r>
                  <w:r>
                    <w:rPr>
                      <w:rFonts w:ascii="仿宋_GB2312" w:hAnsi="仿宋_GB2312" w:eastAsia="仿宋_GB2312" w:cs="仿宋_GB2312"/>
                      <w:color w:val="000000"/>
                      <w:sz w:val="21"/>
                    </w:rPr>
                    <w:t xml:space="preserve"> 2、在服务周期内如出现人员未遵循规范，每出现一次视情节严重程度扣1-3分。</w:t>
                  </w:r>
                </w:p>
              </w:tc>
            </w:tr>
            <w:tr w14:paraId="24ACE1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8F6BA67">
                  <w:pPr>
                    <w:pStyle w:val="4"/>
                    <w:jc w:val="left"/>
                  </w:pPr>
                  <w:r>
                    <w:rPr>
                      <w:rFonts w:ascii="仿宋_GB2312" w:hAnsi="仿宋_GB2312" w:eastAsia="仿宋_GB2312" w:cs="仿宋_GB2312"/>
                      <w:color w:val="000000"/>
                      <w:sz w:val="21"/>
                    </w:rPr>
                    <w:t>工作质量保障</w:t>
                  </w:r>
                </w:p>
              </w:tc>
              <w:tc>
                <w:tcPr>
                  <w:tcW w:w="28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909520">
                  <w:pPr>
                    <w:pStyle w:val="4"/>
                    <w:jc w:val="left"/>
                  </w:pPr>
                  <w:r>
                    <w:rPr>
                      <w:rFonts w:ascii="仿宋_GB2312" w:hAnsi="仿宋_GB2312" w:eastAsia="仿宋_GB2312" w:cs="仿宋_GB2312"/>
                      <w:color w:val="000000"/>
                      <w:sz w:val="21"/>
                    </w:rPr>
                    <w:t>交流沟通</w:t>
                  </w:r>
                </w:p>
              </w:tc>
              <w:tc>
                <w:tcPr>
                  <w:tcW w:w="10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4B0C19">
                  <w:pPr>
                    <w:pStyle w:val="4"/>
                    <w:jc w:val="left"/>
                  </w:pPr>
                  <w:r>
                    <w:rPr>
                      <w:rFonts w:ascii="仿宋_GB2312" w:hAnsi="仿宋_GB2312" w:eastAsia="仿宋_GB2312" w:cs="仿宋_GB2312"/>
                      <w:color w:val="000000"/>
                      <w:sz w:val="21"/>
                    </w:rPr>
                    <w:t>项目沟通顺畅，报告文档及时、完整有效。</w:t>
                  </w:r>
                </w:p>
              </w:tc>
              <w:tc>
                <w:tcPr>
                  <w:tcW w:w="9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717038">
                  <w:pPr>
                    <w:pStyle w:val="4"/>
                    <w:jc w:val="left"/>
                  </w:pPr>
                  <w:r>
                    <w:rPr>
                      <w:rFonts w:ascii="仿宋_GB2312" w:hAnsi="仿宋_GB2312" w:eastAsia="仿宋_GB2312" w:cs="仿宋_GB2312"/>
                      <w:color w:val="000000"/>
                      <w:sz w:val="21"/>
                    </w:rPr>
                    <w:t>未及时汇报工作情况，或内容不完整或延误，根据严重情况扣1-3分。</w:t>
                  </w:r>
                </w:p>
              </w:tc>
            </w:tr>
            <w:tr w14:paraId="3E5720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 w:type="dxa"/>
                  <w:vMerge w:val="continue"/>
                  <w:tcBorders>
                    <w:top w:val="nil"/>
                    <w:left w:val="single" w:color="000000" w:sz="4" w:space="0"/>
                    <w:bottom w:val="single" w:color="000000" w:sz="4" w:space="0"/>
                    <w:right w:val="single" w:color="000000" w:sz="4" w:space="0"/>
                  </w:tcBorders>
                </w:tcPr>
                <w:p w14:paraId="0E780F1A"/>
              </w:tc>
              <w:tc>
                <w:tcPr>
                  <w:tcW w:w="28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7988AD">
                  <w:pPr>
                    <w:pStyle w:val="4"/>
                    <w:jc w:val="left"/>
                  </w:pPr>
                  <w:r>
                    <w:rPr>
                      <w:rFonts w:ascii="仿宋_GB2312" w:hAnsi="仿宋_GB2312" w:eastAsia="仿宋_GB2312" w:cs="仿宋_GB2312"/>
                      <w:color w:val="000000"/>
                      <w:sz w:val="21"/>
                    </w:rPr>
                    <w:t>文档质量</w:t>
                  </w:r>
                </w:p>
              </w:tc>
              <w:tc>
                <w:tcPr>
                  <w:tcW w:w="10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D8460A">
                  <w:pPr>
                    <w:pStyle w:val="4"/>
                    <w:jc w:val="left"/>
                  </w:pPr>
                  <w:r>
                    <w:rPr>
                      <w:rFonts w:ascii="仿宋_GB2312" w:hAnsi="仿宋_GB2312" w:eastAsia="仿宋_GB2312" w:cs="仿宋_GB2312"/>
                      <w:color w:val="000000"/>
                      <w:sz w:val="21"/>
                    </w:rPr>
                    <w:t>文档必须完整，并必须按照甲方标准书写</w:t>
                  </w:r>
                </w:p>
              </w:tc>
              <w:tc>
                <w:tcPr>
                  <w:tcW w:w="9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C2666B">
                  <w:pPr>
                    <w:pStyle w:val="4"/>
                    <w:jc w:val="left"/>
                  </w:pPr>
                  <w:r>
                    <w:rPr>
                      <w:rFonts w:ascii="仿宋_GB2312" w:hAnsi="仿宋_GB2312" w:eastAsia="仿宋_GB2312" w:cs="仿宋_GB2312"/>
                      <w:color w:val="000000"/>
                      <w:sz w:val="21"/>
                    </w:rPr>
                    <w:t>每次发生项目文档不规范或不完整，扣1-3分。</w:t>
                  </w:r>
                </w:p>
              </w:tc>
            </w:tr>
            <w:tr w14:paraId="037A9B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 w:type="dxa"/>
                  <w:vMerge w:val="continue"/>
                  <w:tcBorders>
                    <w:top w:val="nil"/>
                    <w:left w:val="single" w:color="000000" w:sz="4" w:space="0"/>
                    <w:bottom w:val="single" w:color="000000" w:sz="4" w:space="0"/>
                    <w:right w:val="single" w:color="000000" w:sz="4" w:space="0"/>
                  </w:tcBorders>
                </w:tcPr>
                <w:p w14:paraId="499BEF26"/>
              </w:tc>
              <w:tc>
                <w:tcPr>
                  <w:tcW w:w="28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2A1B28">
                  <w:pPr>
                    <w:pStyle w:val="4"/>
                    <w:jc w:val="left"/>
                  </w:pPr>
                  <w:r>
                    <w:rPr>
                      <w:rFonts w:ascii="仿宋_GB2312" w:hAnsi="仿宋_GB2312" w:eastAsia="仿宋_GB2312" w:cs="仿宋_GB2312"/>
                      <w:color w:val="000000"/>
                      <w:sz w:val="21"/>
                    </w:rPr>
                    <w:t>服务的及时有效性</w:t>
                  </w:r>
                </w:p>
              </w:tc>
              <w:tc>
                <w:tcPr>
                  <w:tcW w:w="10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DAA987">
                  <w:pPr>
                    <w:pStyle w:val="4"/>
                    <w:jc w:val="left"/>
                  </w:pPr>
                  <w:r>
                    <w:rPr>
                      <w:rFonts w:ascii="仿宋_GB2312" w:hAnsi="仿宋_GB2312" w:eastAsia="仿宋_GB2312" w:cs="仿宋_GB2312"/>
                      <w:color w:val="000000"/>
                      <w:sz w:val="21"/>
                    </w:rPr>
                    <w:t>乙方项目经理针对甲方提出的意见及建议在商议好的时间节点内予以及时反馈；</w:t>
                  </w:r>
                </w:p>
                <w:p w14:paraId="26FB05C7">
                  <w:pPr>
                    <w:pStyle w:val="4"/>
                    <w:jc w:val="left"/>
                  </w:pPr>
                  <w:r>
                    <w:rPr>
                      <w:rFonts w:ascii="仿宋_GB2312" w:hAnsi="仿宋_GB2312" w:eastAsia="仿宋_GB2312" w:cs="仿宋_GB2312"/>
                      <w:color w:val="000000"/>
                      <w:sz w:val="21"/>
                    </w:rPr>
                    <w:t>提供准确有效的系统运行状态监控。</w:t>
                  </w:r>
                </w:p>
              </w:tc>
              <w:tc>
                <w:tcPr>
                  <w:tcW w:w="9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D985DEA">
                  <w:pPr>
                    <w:pStyle w:val="4"/>
                    <w:jc w:val="left"/>
                  </w:pPr>
                  <w:r>
                    <w:rPr>
                      <w:rFonts w:ascii="仿宋_GB2312" w:hAnsi="仿宋_GB2312" w:eastAsia="仿宋_GB2312" w:cs="仿宋_GB2312"/>
                      <w:color w:val="000000"/>
                      <w:sz w:val="21"/>
                    </w:rPr>
                    <w:t>每次发生重大问题反馈不及时或不准确，扣1-3分。</w:t>
                  </w:r>
                </w:p>
              </w:tc>
            </w:tr>
            <w:tr w14:paraId="5E3E59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 w:type="dxa"/>
                  <w:vMerge w:val="continue"/>
                  <w:tcBorders>
                    <w:top w:val="nil"/>
                    <w:left w:val="single" w:color="000000" w:sz="4" w:space="0"/>
                    <w:bottom w:val="single" w:color="000000" w:sz="4" w:space="0"/>
                    <w:right w:val="single" w:color="000000" w:sz="4" w:space="0"/>
                  </w:tcBorders>
                </w:tcPr>
                <w:p w14:paraId="1BAA8448"/>
              </w:tc>
              <w:tc>
                <w:tcPr>
                  <w:tcW w:w="28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FA17D7">
                  <w:pPr>
                    <w:pStyle w:val="4"/>
                    <w:jc w:val="left"/>
                  </w:pPr>
                  <w:r>
                    <w:rPr>
                      <w:rFonts w:ascii="仿宋_GB2312" w:hAnsi="仿宋_GB2312" w:eastAsia="仿宋_GB2312" w:cs="仿宋_GB2312"/>
                      <w:color w:val="000000"/>
                      <w:sz w:val="21"/>
                    </w:rPr>
                    <w:t>软件迭代开发及维护要求</w:t>
                  </w:r>
                </w:p>
              </w:tc>
              <w:tc>
                <w:tcPr>
                  <w:tcW w:w="10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2F105E">
                  <w:pPr>
                    <w:pStyle w:val="4"/>
                    <w:jc w:val="left"/>
                  </w:pPr>
                  <w:r>
                    <w:rPr>
                      <w:rFonts w:ascii="仿宋_GB2312" w:hAnsi="仿宋_GB2312" w:eastAsia="仿宋_GB2312" w:cs="仿宋_GB2312"/>
                      <w:color w:val="000000"/>
                      <w:sz w:val="21"/>
                    </w:rPr>
                    <w:t>乙方要按照甲方提出的功能需求在规定的时间内进行软件迭代开发，开发完成后要及时测试、演示相关的功能。</w:t>
                  </w:r>
                </w:p>
              </w:tc>
              <w:tc>
                <w:tcPr>
                  <w:tcW w:w="9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AB12C9">
                  <w:pPr>
                    <w:pStyle w:val="4"/>
                    <w:jc w:val="left"/>
                  </w:pPr>
                  <w:r>
                    <w:rPr>
                      <w:rFonts w:ascii="仿宋_GB2312" w:hAnsi="仿宋_GB2312" w:eastAsia="仿宋_GB2312" w:cs="仿宋_GB2312"/>
                      <w:color w:val="000000"/>
                      <w:sz w:val="21"/>
                    </w:rPr>
                    <w:t>1乙方未能按时实现甲方功能需求的每出现一次扣2分。</w:t>
                  </w:r>
                </w:p>
                <w:p w14:paraId="144F8DF9">
                  <w:pPr>
                    <w:pStyle w:val="4"/>
                    <w:jc w:val="left"/>
                  </w:pPr>
                  <w:r>
                    <w:rPr>
                      <w:rFonts w:ascii="仿宋_GB2312" w:hAnsi="仿宋_GB2312" w:eastAsia="仿宋_GB2312" w:cs="仿宋_GB2312"/>
                      <w:color w:val="000000"/>
                      <w:sz w:val="21"/>
                    </w:rPr>
                    <w:t>2乙方以任何理由拒不实现甲方功能需求的出现一次扣30分。</w:t>
                  </w:r>
                </w:p>
              </w:tc>
            </w:tr>
            <w:tr w14:paraId="21B017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 w:type="dxa"/>
                  <w:vMerge w:val="continue"/>
                  <w:tcBorders>
                    <w:top w:val="nil"/>
                    <w:left w:val="single" w:color="000000" w:sz="4" w:space="0"/>
                    <w:bottom w:val="single" w:color="000000" w:sz="4" w:space="0"/>
                    <w:right w:val="single" w:color="000000" w:sz="4" w:space="0"/>
                  </w:tcBorders>
                </w:tcPr>
                <w:p w14:paraId="3824DD96"/>
              </w:tc>
              <w:tc>
                <w:tcPr>
                  <w:tcW w:w="28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C40BCA">
                  <w:pPr>
                    <w:pStyle w:val="4"/>
                    <w:jc w:val="left"/>
                  </w:pPr>
                  <w:r>
                    <w:rPr>
                      <w:rFonts w:ascii="仿宋_GB2312" w:hAnsi="仿宋_GB2312" w:eastAsia="仿宋_GB2312" w:cs="仿宋_GB2312"/>
                      <w:color w:val="000000"/>
                      <w:sz w:val="21"/>
                    </w:rPr>
                    <w:t>系统质量及兼容要求</w:t>
                  </w:r>
                </w:p>
              </w:tc>
              <w:tc>
                <w:tcPr>
                  <w:tcW w:w="10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4EAAF0F">
                  <w:pPr>
                    <w:pStyle w:val="4"/>
                    <w:jc w:val="left"/>
                  </w:pPr>
                  <w:r>
                    <w:rPr>
                      <w:rFonts w:ascii="仿宋_GB2312" w:hAnsi="仿宋_GB2312" w:eastAsia="仿宋_GB2312" w:cs="仿宋_GB2312"/>
                      <w:color w:val="000000"/>
                      <w:sz w:val="21"/>
                    </w:rPr>
                    <w:t>确定因软硬件故障造成业务中断的情况；</w:t>
                  </w:r>
                </w:p>
              </w:tc>
              <w:tc>
                <w:tcPr>
                  <w:tcW w:w="9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942E8E6">
                  <w:pPr>
                    <w:pStyle w:val="4"/>
                    <w:jc w:val="left"/>
                  </w:pPr>
                  <w:r>
                    <w:rPr>
                      <w:rFonts w:ascii="仿宋_GB2312" w:hAnsi="仿宋_GB2312" w:eastAsia="仿宋_GB2312" w:cs="仿宋_GB2312"/>
                      <w:color w:val="000000"/>
                      <w:sz w:val="21"/>
                    </w:rPr>
                    <w:t>1、省级设备故障，6小时内未排除，扣2分；8小时内未排除，扣5分。</w:t>
                  </w:r>
                </w:p>
                <w:p w14:paraId="6D648556">
                  <w:pPr>
                    <w:pStyle w:val="4"/>
                    <w:jc w:val="left"/>
                  </w:pPr>
                  <w:r>
                    <w:rPr>
                      <w:rFonts w:ascii="仿宋_GB2312" w:hAnsi="仿宋_GB2312" w:eastAsia="仿宋_GB2312" w:cs="仿宋_GB2312"/>
                      <w:color w:val="000000"/>
                      <w:sz w:val="21"/>
                    </w:rPr>
                    <w:t>2、高校设备故障，8小时内未排除，扣1分；12小时内未排除，扣3分。</w:t>
                  </w:r>
                </w:p>
                <w:p w14:paraId="76081B22">
                  <w:pPr>
                    <w:pStyle w:val="4"/>
                    <w:jc w:val="left"/>
                  </w:pPr>
                  <w:r>
                    <w:rPr>
                      <w:rFonts w:ascii="仿宋_GB2312" w:hAnsi="仿宋_GB2312" w:eastAsia="仿宋_GB2312" w:cs="仿宋_GB2312"/>
                      <w:color w:val="000000"/>
                      <w:sz w:val="21"/>
                    </w:rPr>
                    <w:t>3、省级软件系统故障，3小时内未排除，扣2分；5小时内未排除，扣5分。</w:t>
                  </w:r>
                </w:p>
                <w:p w14:paraId="78D78CB3">
                  <w:pPr>
                    <w:pStyle w:val="4"/>
                    <w:jc w:val="left"/>
                  </w:pPr>
                  <w:r>
                    <w:rPr>
                      <w:rFonts w:ascii="仿宋_GB2312" w:hAnsi="仿宋_GB2312" w:eastAsia="仿宋_GB2312" w:cs="仿宋_GB2312"/>
                      <w:color w:val="000000"/>
                      <w:sz w:val="21"/>
                    </w:rPr>
                    <w:t>4、确定中标单位提供的软、硬件系统设备不兼容、不能使用（不通过任何后期添加的接口）其他厂家软件、设备的情况，扣30分。</w:t>
                  </w:r>
                </w:p>
                <w:p w14:paraId="01B61588">
                  <w:pPr>
                    <w:pStyle w:val="4"/>
                    <w:jc w:val="left"/>
                  </w:pPr>
                  <w:r>
                    <w:rPr>
                      <w:rFonts w:ascii="仿宋_GB2312" w:hAnsi="仿宋_GB2312" w:eastAsia="仿宋_GB2312" w:cs="仿宋_GB2312"/>
                      <w:color w:val="000000"/>
                      <w:sz w:val="21"/>
                    </w:rPr>
                    <w:t>5、确定中标单位提供的软、硬件系统设备不能实现招标文件中提及的标准协议的扣30分。</w:t>
                  </w:r>
                </w:p>
              </w:tc>
            </w:tr>
            <w:tr w14:paraId="5DD9F2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8695200">
                  <w:pPr>
                    <w:pStyle w:val="4"/>
                    <w:jc w:val="left"/>
                  </w:pPr>
                  <w:r>
                    <w:rPr>
                      <w:rFonts w:ascii="仿宋_GB2312" w:hAnsi="仿宋_GB2312" w:eastAsia="仿宋_GB2312" w:cs="仿宋_GB2312"/>
                      <w:color w:val="000000"/>
                      <w:sz w:val="21"/>
                    </w:rPr>
                    <w:t>服务质量保障</w:t>
                  </w:r>
                </w:p>
              </w:tc>
              <w:tc>
                <w:tcPr>
                  <w:tcW w:w="28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7931B7">
                  <w:pPr>
                    <w:pStyle w:val="4"/>
                    <w:jc w:val="left"/>
                  </w:pPr>
                  <w:r>
                    <w:rPr>
                      <w:rFonts w:ascii="仿宋_GB2312" w:hAnsi="仿宋_GB2312" w:eastAsia="仿宋_GB2312" w:cs="仿宋_GB2312"/>
                      <w:color w:val="000000"/>
                      <w:sz w:val="21"/>
                    </w:rPr>
                    <w:t>服务态度</w:t>
                  </w:r>
                </w:p>
              </w:tc>
              <w:tc>
                <w:tcPr>
                  <w:tcW w:w="10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787FB6">
                  <w:pPr>
                    <w:pStyle w:val="4"/>
                    <w:jc w:val="left"/>
                  </w:pPr>
                  <w:r>
                    <w:rPr>
                      <w:rFonts w:ascii="仿宋_GB2312" w:hAnsi="仿宋_GB2312" w:eastAsia="仿宋_GB2312" w:cs="仿宋_GB2312"/>
                      <w:color w:val="000000"/>
                      <w:sz w:val="21"/>
                    </w:rPr>
                    <w:t>服务态度良好，及时响应，提交的服务报告规范有效，能积极配合完成相关工作。</w:t>
                  </w:r>
                </w:p>
              </w:tc>
              <w:tc>
                <w:tcPr>
                  <w:tcW w:w="9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1B272D">
                  <w:pPr>
                    <w:pStyle w:val="4"/>
                    <w:jc w:val="left"/>
                  </w:pPr>
                  <w:r>
                    <w:rPr>
                      <w:rFonts w:ascii="仿宋_GB2312" w:hAnsi="仿宋_GB2312" w:eastAsia="仿宋_GB2312" w:cs="仿宋_GB2312"/>
                      <w:color w:val="000000"/>
                      <w:sz w:val="21"/>
                    </w:rPr>
                    <w:t>每出现一次服务态度不佳、工作配合不力的投诉，扣3分。</w:t>
                  </w:r>
                </w:p>
              </w:tc>
            </w:tr>
          </w:tbl>
          <w:p w14:paraId="032BA007"/>
        </w:tc>
      </w:tr>
      <w:tr w14:paraId="778BF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7AE6A1">
            <w:pPr>
              <w:pStyle w:val="4"/>
            </w:pPr>
            <w:r>
              <w:rPr>
                <w:rFonts w:ascii="仿宋_GB2312" w:hAnsi="仿宋_GB2312" w:eastAsia="仿宋_GB2312" w:cs="仿宋_GB2312"/>
              </w:rPr>
              <w:t>8</w:t>
            </w:r>
          </w:p>
        </w:tc>
        <w:tc>
          <w:tcPr>
            <w:tcW w:w="2769" w:type="dxa"/>
          </w:tcPr>
          <w:p w14:paraId="73C8A946"/>
        </w:tc>
        <w:tc>
          <w:tcPr>
            <w:tcW w:w="2769" w:type="dxa"/>
          </w:tcPr>
          <w:p w14:paraId="4804CC28">
            <w:pPr>
              <w:pStyle w:val="4"/>
              <w:jc w:val="left"/>
            </w:pPr>
            <w:r>
              <w:rPr>
                <w:rFonts w:ascii="仿宋_GB2312" w:hAnsi="仿宋_GB2312" w:eastAsia="仿宋_GB2312" w:cs="仿宋_GB2312"/>
                <w:sz w:val="21"/>
              </w:rPr>
              <w:t>八、质量要求</w:t>
            </w:r>
          </w:p>
          <w:p w14:paraId="5AF79166">
            <w:pPr>
              <w:pStyle w:val="4"/>
              <w:jc w:val="left"/>
            </w:pPr>
            <w:r>
              <w:rPr>
                <w:rFonts w:ascii="仿宋_GB2312" w:hAnsi="仿宋_GB2312" w:eastAsia="仿宋_GB2312" w:cs="仿宋_GB2312"/>
                <w:sz w:val="21"/>
              </w:rPr>
              <w:t>（1）项目的施工、后续的调试、日常线路维修维护及产生的所有费用均由中标单位全部全责承担，因中标单位施工、调试、维修维护等发生的安全事故由中标单位承担全部责任及全部赔偿，省考试院不承担任何费用及安全责任。</w:t>
            </w:r>
          </w:p>
          <w:p w14:paraId="1D30E9AB">
            <w:pPr>
              <w:pStyle w:val="4"/>
              <w:jc w:val="left"/>
            </w:pPr>
            <w:r>
              <w:rPr>
                <w:rFonts w:ascii="仿宋_GB2312" w:hAnsi="仿宋_GB2312" w:eastAsia="仿宋_GB2312" w:cs="仿宋_GB2312"/>
                <w:sz w:val="21"/>
              </w:rPr>
              <w:t>（2）保证视频流提取流畅以及各个节点出具相应测试数据和统一测试报告。</w:t>
            </w:r>
          </w:p>
          <w:p w14:paraId="28A214CE">
            <w:pPr>
              <w:pStyle w:val="4"/>
            </w:pPr>
            <w:r>
              <w:rPr>
                <w:rFonts w:ascii="仿宋_GB2312" w:hAnsi="仿宋_GB2312" w:eastAsia="仿宋_GB2312" w:cs="仿宋_GB2312"/>
                <w:color w:val="000000"/>
                <w:sz w:val="21"/>
              </w:rPr>
              <w:t>（3）施工规范按照国家验收相关规定执行。到货的品名与数量与投标清单一致性；符合磋商文件技术要求。设备和线缆的安装布放必须符合国家相关标准规范的规定，包括安装位置、走线方式、设备标签、接电安全等。所有设备及其应用软件必须全部连通调试正常，达到标书建设要求。</w:t>
            </w:r>
          </w:p>
        </w:tc>
      </w:tr>
      <w:tr w14:paraId="42C74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3BA802">
            <w:pPr>
              <w:pStyle w:val="4"/>
            </w:pPr>
            <w:r>
              <w:rPr>
                <w:rFonts w:ascii="仿宋_GB2312" w:hAnsi="仿宋_GB2312" w:eastAsia="仿宋_GB2312" w:cs="仿宋_GB2312"/>
              </w:rPr>
              <w:t>9</w:t>
            </w:r>
          </w:p>
        </w:tc>
        <w:tc>
          <w:tcPr>
            <w:tcW w:w="2769" w:type="dxa"/>
          </w:tcPr>
          <w:p w14:paraId="31851B66"/>
        </w:tc>
        <w:tc>
          <w:tcPr>
            <w:tcW w:w="2769" w:type="dxa"/>
          </w:tcPr>
          <w:p w14:paraId="18BFCE6A">
            <w:pPr>
              <w:pStyle w:val="4"/>
              <w:jc w:val="left"/>
            </w:pPr>
            <w:r>
              <w:rPr>
                <w:rFonts w:ascii="仿宋_GB2312" w:hAnsi="仿宋_GB2312" w:eastAsia="仿宋_GB2312" w:cs="仿宋_GB2312"/>
                <w:sz w:val="21"/>
              </w:rPr>
              <w:t>九、保密室设备配置及技术要求</w:t>
            </w:r>
          </w:p>
          <w:p w14:paraId="7DA1B39A">
            <w:pPr>
              <w:pStyle w:val="4"/>
              <w:jc w:val="left"/>
            </w:pPr>
            <w:r>
              <w:rPr>
                <w:rFonts w:ascii="仿宋_GB2312" w:hAnsi="仿宋_GB2312" w:eastAsia="仿宋_GB2312" w:cs="仿宋_GB2312"/>
                <w:sz w:val="21"/>
              </w:rPr>
              <w:t>1、保密室新增摄像头清单：</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1"/>
              <w:gridCol w:w="261"/>
              <w:gridCol w:w="6526"/>
              <w:gridCol w:w="212"/>
              <w:gridCol w:w="151"/>
              <w:gridCol w:w="213"/>
            </w:tblGrid>
            <w:tr w14:paraId="46767D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0646C84D">
                  <w:pPr>
                    <w:pStyle w:val="4"/>
                    <w:jc w:val="center"/>
                  </w:pPr>
                  <w:r>
                    <w:rPr>
                      <w:rFonts w:ascii="仿宋_GB2312" w:hAnsi="仿宋_GB2312" w:eastAsia="仿宋_GB2312" w:cs="仿宋_GB2312"/>
                      <w:color w:val="000000"/>
                      <w:sz w:val="21"/>
                    </w:rPr>
                    <w:t>序号</w:t>
                  </w:r>
                </w:p>
              </w:tc>
              <w:tc>
                <w:tcPr>
                  <w:tcW w:w="2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3D8420A3">
                  <w:pPr>
                    <w:pStyle w:val="4"/>
                    <w:jc w:val="center"/>
                  </w:pPr>
                  <w:r>
                    <w:rPr>
                      <w:rFonts w:ascii="仿宋_GB2312" w:hAnsi="仿宋_GB2312" w:eastAsia="仿宋_GB2312" w:cs="仿宋_GB2312"/>
                      <w:color w:val="000000"/>
                      <w:sz w:val="21"/>
                    </w:rPr>
                    <w:t>产品</w:t>
                  </w:r>
                </w:p>
                <w:p w14:paraId="7885B2F7">
                  <w:pPr>
                    <w:pStyle w:val="4"/>
                    <w:jc w:val="center"/>
                  </w:pPr>
                  <w:r>
                    <w:rPr>
                      <w:rFonts w:ascii="仿宋_GB2312" w:hAnsi="仿宋_GB2312" w:eastAsia="仿宋_GB2312" w:cs="仿宋_GB2312"/>
                      <w:color w:val="000000"/>
                      <w:sz w:val="21"/>
                    </w:rPr>
                    <w:t>名称</w:t>
                  </w:r>
                </w:p>
              </w:tc>
              <w:tc>
                <w:tcPr>
                  <w:tcW w:w="17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11057D77">
                  <w:pPr>
                    <w:pStyle w:val="4"/>
                    <w:jc w:val="center"/>
                  </w:pPr>
                  <w:r>
                    <w:rPr>
                      <w:rFonts w:ascii="仿宋_GB2312" w:hAnsi="仿宋_GB2312" w:eastAsia="仿宋_GB2312" w:cs="仿宋_GB2312"/>
                      <w:color w:val="000000"/>
                      <w:sz w:val="21"/>
                    </w:rPr>
                    <w:t>技术要求</w:t>
                  </w:r>
                </w:p>
              </w:tc>
              <w:tc>
                <w:tcPr>
                  <w:tcW w:w="1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40515D2A">
                  <w:pPr>
                    <w:pStyle w:val="4"/>
                    <w:jc w:val="center"/>
                  </w:pPr>
                  <w:r>
                    <w:rPr>
                      <w:rFonts w:ascii="仿宋_GB2312" w:hAnsi="仿宋_GB2312" w:eastAsia="仿宋_GB2312" w:cs="仿宋_GB2312"/>
                      <w:color w:val="000000"/>
                      <w:sz w:val="21"/>
                    </w:rPr>
                    <w:t>数量</w:t>
                  </w:r>
                </w:p>
              </w:tc>
              <w:tc>
                <w:tcPr>
                  <w:tcW w:w="1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19593570">
                  <w:pPr>
                    <w:pStyle w:val="4"/>
                    <w:jc w:val="center"/>
                  </w:pPr>
                  <w:r>
                    <w:rPr>
                      <w:rFonts w:ascii="仿宋_GB2312" w:hAnsi="仿宋_GB2312" w:eastAsia="仿宋_GB2312" w:cs="仿宋_GB2312"/>
                      <w:color w:val="000000"/>
                      <w:sz w:val="21"/>
                    </w:rPr>
                    <w:t>单位</w:t>
                  </w:r>
                </w:p>
              </w:tc>
              <w:tc>
                <w:tcPr>
                  <w:tcW w:w="15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029319BF">
                  <w:pPr>
                    <w:pStyle w:val="4"/>
                    <w:jc w:val="center"/>
                  </w:pPr>
                  <w:r>
                    <w:rPr>
                      <w:rFonts w:ascii="仿宋_GB2312" w:hAnsi="仿宋_GB2312" w:eastAsia="仿宋_GB2312" w:cs="仿宋_GB2312"/>
                      <w:color w:val="000000"/>
                      <w:sz w:val="21"/>
                    </w:rPr>
                    <w:t>备注</w:t>
                  </w:r>
                </w:p>
              </w:tc>
            </w:tr>
            <w:tr w14:paraId="4F9423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C0755A5">
                  <w:pPr>
                    <w:pStyle w:val="4"/>
                    <w:jc w:val="center"/>
                  </w:pPr>
                  <w:r>
                    <w:rPr>
                      <w:rFonts w:ascii="仿宋_GB2312" w:hAnsi="仿宋_GB2312" w:eastAsia="仿宋_GB2312" w:cs="仿宋_GB2312"/>
                      <w:color w:val="000000"/>
                      <w:sz w:val="21"/>
                    </w:rPr>
                    <w:t>1</w:t>
                  </w:r>
                </w:p>
              </w:tc>
              <w:tc>
                <w:tcPr>
                  <w:tcW w:w="223"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56767FC">
                  <w:pPr>
                    <w:pStyle w:val="4"/>
                    <w:jc w:val="center"/>
                  </w:pPr>
                  <w:r>
                    <w:rPr>
                      <w:rFonts w:ascii="仿宋_GB2312" w:hAnsi="仿宋_GB2312" w:eastAsia="仿宋_GB2312" w:cs="仿宋_GB2312"/>
                      <w:color w:val="000000"/>
                      <w:sz w:val="21"/>
                    </w:rPr>
                    <w:t>高清摄像机</w:t>
                  </w:r>
                </w:p>
              </w:tc>
              <w:tc>
                <w:tcPr>
                  <w:tcW w:w="171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3385FDE">
                  <w:pPr>
                    <w:pStyle w:val="4"/>
                    <w:jc w:val="left"/>
                  </w:pPr>
                  <w:r>
                    <w:rPr>
                      <w:rFonts w:ascii="仿宋_GB2312" w:hAnsi="仿宋_GB2312" w:eastAsia="仿宋_GB2312" w:cs="仿宋_GB2312"/>
                      <w:color w:val="000000"/>
                      <w:sz w:val="21"/>
                    </w:rPr>
                    <w:t>像素：≥400万；</w:t>
                  </w:r>
                </w:p>
                <w:p w14:paraId="4C126CB8">
                  <w:pPr>
                    <w:pStyle w:val="4"/>
                    <w:jc w:val="left"/>
                  </w:pPr>
                  <w:r>
                    <w:rPr>
                      <w:rFonts w:ascii="仿宋_GB2312" w:hAnsi="仿宋_GB2312" w:eastAsia="仿宋_GB2312" w:cs="仿宋_GB2312"/>
                      <w:color w:val="000000"/>
                      <w:sz w:val="21"/>
                    </w:rPr>
                    <w:t>传感器类型：≥1/3”CMOS</w:t>
                  </w:r>
                </w:p>
                <w:p w14:paraId="13685F72">
                  <w:pPr>
                    <w:pStyle w:val="4"/>
                    <w:jc w:val="left"/>
                  </w:pPr>
                  <w:r>
                    <w:rPr>
                      <w:rFonts w:ascii="仿宋_GB2312" w:hAnsi="仿宋_GB2312" w:eastAsia="仿宋_GB2312" w:cs="仿宋_GB2312"/>
                      <w:color w:val="000000"/>
                      <w:sz w:val="21"/>
                    </w:rPr>
                    <w:t>日夜模式：自动切换</w:t>
                  </w:r>
                </w:p>
                <w:p w14:paraId="33919E98">
                  <w:pPr>
                    <w:pStyle w:val="4"/>
                    <w:jc w:val="left"/>
                  </w:pPr>
                  <w:r>
                    <w:rPr>
                      <w:rFonts w:ascii="仿宋_GB2312" w:hAnsi="仿宋_GB2312" w:eastAsia="仿宋_GB2312" w:cs="仿宋_GB2312"/>
                      <w:color w:val="000000"/>
                      <w:sz w:val="21"/>
                    </w:rPr>
                    <w:t>结构：半球型网络摄像机；</w:t>
                  </w:r>
                </w:p>
                <w:p w14:paraId="1B697D1B">
                  <w:pPr>
                    <w:pStyle w:val="4"/>
                    <w:jc w:val="left"/>
                  </w:pPr>
                  <w:r>
                    <w:rPr>
                      <w:rFonts w:ascii="仿宋_GB2312" w:hAnsi="仿宋_GB2312" w:eastAsia="仿宋_GB2312" w:cs="仿宋_GB2312"/>
                      <w:color w:val="000000"/>
                      <w:sz w:val="21"/>
                    </w:rPr>
                    <w:t>帧率：主码流:50Hz:25fps(2560×1440, 2048 × 1536, 1920 × 1080, 1280 ×720)；子码流：50Hz：25fps（704×576,640×480，352×288）；</w:t>
                  </w:r>
                  <w:r>
                    <w:br w:type="textWrapping"/>
                  </w:r>
                  <w:r>
                    <w:rPr>
                      <w:rFonts w:ascii="仿宋_GB2312" w:hAnsi="仿宋_GB2312" w:eastAsia="仿宋_GB2312" w:cs="仿宋_GB2312"/>
                      <w:color w:val="000000"/>
                      <w:sz w:val="21"/>
                    </w:rPr>
                    <w:t>视频压缩：H.265/H.264/MJPEG；</w:t>
                  </w:r>
                </w:p>
                <w:p w14:paraId="404A93BC">
                  <w:pPr>
                    <w:pStyle w:val="4"/>
                    <w:jc w:val="left"/>
                  </w:pPr>
                  <w:r>
                    <w:rPr>
                      <w:rFonts w:ascii="仿宋_GB2312" w:hAnsi="仿宋_GB2312" w:eastAsia="仿宋_GB2312" w:cs="仿宋_GB2312"/>
                      <w:color w:val="000000"/>
                      <w:sz w:val="21"/>
                    </w:rPr>
                    <w:t>焦距：2.8mm；</w:t>
                  </w:r>
                </w:p>
                <w:p w14:paraId="7BCB2AB5">
                  <w:pPr>
                    <w:pStyle w:val="4"/>
                    <w:jc w:val="left"/>
                  </w:pPr>
                  <w:r>
                    <w:rPr>
                      <w:rFonts w:ascii="仿宋_GB2312" w:hAnsi="仿宋_GB2312" w:eastAsia="仿宋_GB2312" w:cs="仿宋_GB2312"/>
                      <w:color w:val="000000"/>
                      <w:sz w:val="21"/>
                    </w:rPr>
                    <w:t>宽动态范围：120dB；</w:t>
                  </w:r>
                </w:p>
                <w:p w14:paraId="406C3534">
                  <w:pPr>
                    <w:pStyle w:val="4"/>
                    <w:jc w:val="left"/>
                  </w:pPr>
                  <w:r>
                    <w:rPr>
                      <w:rFonts w:ascii="仿宋_GB2312" w:hAnsi="仿宋_GB2312" w:eastAsia="仿宋_GB2312" w:cs="仿宋_GB2312"/>
                      <w:color w:val="000000"/>
                      <w:sz w:val="21"/>
                    </w:rPr>
                    <w:t>防护等级：≥IP66；</w:t>
                  </w:r>
                </w:p>
                <w:p w14:paraId="1678196E">
                  <w:pPr>
                    <w:pStyle w:val="4"/>
                    <w:jc w:val="left"/>
                  </w:pPr>
                  <w:r>
                    <w:rPr>
                      <w:rFonts w:ascii="仿宋_GB2312" w:hAnsi="仿宋_GB2312" w:eastAsia="仿宋_GB2312" w:cs="仿宋_GB2312"/>
                      <w:color w:val="000000"/>
                      <w:sz w:val="21"/>
                    </w:rPr>
                    <w:t>镜头：画面可覆盖整个保密室房间；</w:t>
                  </w:r>
                </w:p>
                <w:p w14:paraId="441C6933">
                  <w:pPr>
                    <w:pStyle w:val="4"/>
                    <w:jc w:val="left"/>
                  </w:pPr>
                  <w:r>
                    <w:rPr>
                      <w:rFonts w:ascii="仿宋_GB2312" w:hAnsi="仿宋_GB2312" w:eastAsia="仿宋_GB2312" w:cs="仿宋_GB2312"/>
                      <w:color w:val="000000"/>
                      <w:sz w:val="21"/>
                    </w:rPr>
                    <w:t>网络协议：拥有IPV4/IPV6,HTTP,HTTPS,802.1x,Qos,FTP,SMTP,UPnP,SNMP,DNS,DDNS,NTP,RTSP,RTCP,RTP,TCP,UDP,IGMP,ICMP,DHCP,PPPoE;</w:t>
                  </w:r>
                </w:p>
                <w:p w14:paraId="085C27FC">
                  <w:pPr>
                    <w:pStyle w:val="4"/>
                    <w:jc w:val="left"/>
                  </w:pPr>
                  <w:r>
                    <w:rPr>
                      <w:rFonts w:ascii="仿宋_GB2312" w:hAnsi="仿宋_GB2312" w:eastAsia="仿宋_GB2312" w:cs="仿宋_GB2312"/>
                      <w:color w:val="000000"/>
                      <w:sz w:val="21"/>
                    </w:rPr>
                    <w:t>编程接口：拥有开放式API，拥有标准协议（ONVIF、ISAPI、CGI），允许第三方管理平台接入；</w:t>
                  </w:r>
                </w:p>
                <w:p w14:paraId="2C629538">
                  <w:pPr>
                    <w:pStyle w:val="4"/>
                    <w:jc w:val="left"/>
                  </w:pPr>
                  <w:r>
                    <w:rPr>
                      <w:rFonts w:ascii="仿宋_GB2312" w:hAnsi="仿宋_GB2312" w:eastAsia="仿宋_GB2312" w:cs="仿宋_GB2312"/>
                      <w:color w:val="000000"/>
                      <w:sz w:val="21"/>
                    </w:rPr>
                    <w:t>POE供电：实现；</w:t>
                  </w:r>
                </w:p>
                <w:p w14:paraId="29CC44A7">
                  <w:pPr>
                    <w:pStyle w:val="4"/>
                    <w:jc w:val="left"/>
                  </w:pPr>
                  <w:r>
                    <w:rPr>
                      <w:rFonts w:ascii="仿宋_GB2312" w:hAnsi="仿宋_GB2312" w:eastAsia="仿宋_GB2312" w:cs="仿宋_GB2312"/>
                      <w:color w:val="000000"/>
                      <w:sz w:val="21"/>
                    </w:rPr>
                    <w:t>私有协议：无。</w:t>
                  </w:r>
                </w:p>
              </w:tc>
              <w:tc>
                <w:tcPr>
                  <w:tcW w:w="15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B16CDD3">
                  <w:pPr>
                    <w:pStyle w:val="4"/>
                    <w:jc w:val="center"/>
                  </w:pPr>
                  <w:r>
                    <w:rPr>
                      <w:rFonts w:ascii="仿宋_GB2312" w:hAnsi="仿宋_GB2312" w:eastAsia="仿宋_GB2312" w:cs="仿宋_GB2312"/>
                      <w:color w:val="000000"/>
                      <w:sz w:val="21"/>
                    </w:rPr>
                    <w:t>236</w:t>
                  </w:r>
                </w:p>
              </w:tc>
              <w:tc>
                <w:tcPr>
                  <w:tcW w:w="13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9F03C83">
                  <w:pPr>
                    <w:pStyle w:val="4"/>
                    <w:jc w:val="center"/>
                  </w:pPr>
                  <w:r>
                    <w:rPr>
                      <w:rFonts w:ascii="仿宋_GB2312" w:hAnsi="仿宋_GB2312" w:eastAsia="仿宋_GB2312" w:cs="仿宋_GB2312"/>
                      <w:color w:val="000000"/>
                      <w:sz w:val="21"/>
                    </w:rPr>
                    <w:t>台</w:t>
                  </w:r>
                </w:p>
              </w:tc>
              <w:tc>
                <w:tcPr>
                  <w:tcW w:w="156"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1A2344B">
                  <w:pPr>
                    <w:pStyle w:val="4"/>
                    <w:jc w:val="center"/>
                  </w:pPr>
                  <w:r>
                    <w:rPr>
                      <w:rFonts w:ascii="仿宋_GB2312" w:hAnsi="仿宋_GB2312" w:eastAsia="仿宋_GB2312" w:cs="仿宋_GB2312"/>
                      <w:color w:val="000000"/>
                      <w:sz w:val="21"/>
                    </w:rPr>
                    <w:t>全省118个保密室</w:t>
                  </w:r>
                </w:p>
              </w:tc>
            </w:tr>
            <w:tr w14:paraId="75B04E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7EEEFDF">
                  <w:pPr>
                    <w:pStyle w:val="4"/>
                    <w:jc w:val="center"/>
                  </w:pPr>
                  <w:r>
                    <w:rPr>
                      <w:rFonts w:ascii="仿宋_GB2312" w:hAnsi="仿宋_GB2312" w:eastAsia="仿宋_GB2312" w:cs="仿宋_GB2312"/>
                      <w:color w:val="000000"/>
                      <w:sz w:val="21"/>
                    </w:rPr>
                    <w:t>2</w:t>
                  </w:r>
                </w:p>
              </w:tc>
              <w:tc>
                <w:tcPr>
                  <w:tcW w:w="223"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CF05F57">
                  <w:pPr>
                    <w:pStyle w:val="4"/>
                    <w:jc w:val="center"/>
                  </w:pPr>
                  <w:r>
                    <w:rPr>
                      <w:rFonts w:ascii="仿宋_GB2312" w:hAnsi="仿宋_GB2312" w:eastAsia="仿宋_GB2312" w:cs="仿宋_GB2312"/>
                      <w:color w:val="000000"/>
                      <w:sz w:val="21"/>
                    </w:rPr>
                    <w:t>NVR</w:t>
                  </w:r>
                </w:p>
              </w:tc>
              <w:tc>
                <w:tcPr>
                  <w:tcW w:w="171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CFF43B9">
                  <w:pPr>
                    <w:pStyle w:val="4"/>
                    <w:jc w:val="left"/>
                  </w:pPr>
                  <w:r>
                    <w:rPr>
                      <w:rFonts w:ascii="仿宋_GB2312" w:hAnsi="仿宋_GB2312" w:eastAsia="仿宋_GB2312" w:cs="仿宋_GB2312"/>
                      <w:color w:val="000000"/>
                      <w:sz w:val="21"/>
                    </w:rPr>
                    <w:t>接入带宽：≥40Mbps</w:t>
                  </w:r>
                </w:p>
                <w:p w14:paraId="7E504F1D">
                  <w:pPr>
                    <w:pStyle w:val="4"/>
                    <w:jc w:val="left"/>
                  </w:pPr>
                  <w:r>
                    <w:rPr>
                      <w:rFonts w:ascii="仿宋_GB2312" w:hAnsi="仿宋_GB2312" w:eastAsia="仿宋_GB2312" w:cs="仿宋_GB2312"/>
                      <w:color w:val="000000"/>
                      <w:sz w:val="21"/>
                    </w:rPr>
                    <w:t>输入路数：≥4路</w:t>
                  </w:r>
                </w:p>
                <w:p w14:paraId="37679830">
                  <w:pPr>
                    <w:pStyle w:val="4"/>
                    <w:jc w:val="left"/>
                  </w:pPr>
                  <w:r>
                    <w:rPr>
                      <w:rFonts w:ascii="仿宋_GB2312" w:hAnsi="仿宋_GB2312" w:eastAsia="仿宋_GB2312" w:cs="仿宋_GB2312"/>
                      <w:color w:val="000000"/>
                      <w:sz w:val="21"/>
                    </w:rPr>
                    <w:t>HDMI输出：1路；</w:t>
                  </w:r>
                </w:p>
                <w:p w14:paraId="5CEE1939">
                  <w:pPr>
                    <w:pStyle w:val="4"/>
                    <w:jc w:val="left"/>
                  </w:pPr>
                  <w:r>
                    <w:rPr>
                      <w:rFonts w:ascii="仿宋_GB2312" w:hAnsi="仿宋_GB2312" w:eastAsia="仿宋_GB2312" w:cs="仿宋_GB2312"/>
                      <w:color w:val="000000"/>
                      <w:sz w:val="21"/>
                    </w:rPr>
                    <w:t>VGA输出：1路与HDMI同源；</w:t>
                  </w:r>
                  <w:r>
                    <w:br w:type="textWrapping"/>
                  </w:r>
                  <w:r>
                    <w:rPr>
                      <w:rFonts w:ascii="仿宋_GB2312" w:hAnsi="仿宋_GB2312" w:eastAsia="仿宋_GB2312" w:cs="仿宋_GB2312"/>
                      <w:color w:val="000000"/>
                      <w:sz w:val="21"/>
                    </w:rPr>
                    <w:t>硬盘容量：≥4TB ；</w:t>
                  </w:r>
                  <w:r>
                    <w:br w:type="textWrapping"/>
                  </w:r>
                  <w:r>
                    <w:rPr>
                      <w:rFonts w:ascii="仿宋_GB2312" w:hAnsi="仿宋_GB2312" w:eastAsia="仿宋_GB2312" w:cs="仿宋_GB2312"/>
                      <w:color w:val="000000"/>
                      <w:sz w:val="21"/>
                    </w:rPr>
                    <w:t>网络接口：1个，RJ45千兆网口；</w:t>
                  </w:r>
                  <w:r>
                    <w:br w:type="textWrapping"/>
                  </w:r>
                  <w:r>
                    <w:rPr>
                      <w:rFonts w:ascii="仿宋_GB2312" w:hAnsi="仿宋_GB2312" w:eastAsia="仿宋_GB2312" w:cs="仿宋_GB2312"/>
                      <w:color w:val="000000"/>
                      <w:sz w:val="21"/>
                    </w:rPr>
                    <w:t>USB：2个，USB 3.0；</w:t>
                  </w:r>
                  <w:r>
                    <w:br w:type="textWrapping"/>
                  </w:r>
                  <w:r>
                    <w:rPr>
                      <w:rFonts w:ascii="仿宋_GB2312" w:hAnsi="仿宋_GB2312" w:eastAsia="仿宋_GB2312" w:cs="仿宋_GB2312"/>
                      <w:color w:val="000000"/>
                      <w:sz w:val="21"/>
                    </w:rPr>
                    <w:t>网络协议：UPnP、NTP、SADP、PPPoE、DHCP</w:t>
                  </w:r>
                </w:p>
              </w:tc>
              <w:tc>
                <w:tcPr>
                  <w:tcW w:w="15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A7A398F">
                  <w:pPr>
                    <w:pStyle w:val="4"/>
                    <w:jc w:val="center"/>
                  </w:pPr>
                  <w:r>
                    <w:rPr>
                      <w:rFonts w:ascii="仿宋_GB2312" w:hAnsi="仿宋_GB2312" w:eastAsia="仿宋_GB2312" w:cs="仿宋_GB2312"/>
                      <w:color w:val="000000"/>
                      <w:sz w:val="21"/>
                    </w:rPr>
                    <w:t>70</w:t>
                  </w:r>
                </w:p>
              </w:tc>
              <w:tc>
                <w:tcPr>
                  <w:tcW w:w="13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94CAEA7">
                  <w:pPr>
                    <w:pStyle w:val="4"/>
                    <w:jc w:val="both"/>
                  </w:pPr>
                  <w:r>
                    <w:rPr>
                      <w:rFonts w:ascii="仿宋_GB2312" w:hAnsi="仿宋_GB2312" w:eastAsia="仿宋_GB2312" w:cs="仿宋_GB2312"/>
                      <w:color w:val="000000"/>
                      <w:sz w:val="21"/>
                    </w:rPr>
                    <w:t>台</w:t>
                  </w:r>
                </w:p>
              </w:tc>
              <w:tc>
                <w:tcPr>
                  <w:tcW w:w="156"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42F1806">
                  <w:pPr>
                    <w:pStyle w:val="4"/>
                    <w:jc w:val="both"/>
                  </w:pPr>
                </w:p>
              </w:tc>
            </w:tr>
            <w:tr w14:paraId="6A8EC4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272347">
                  <w:pPr>
                    <w:pStyle w:val="4"/>
                    <w:jc w:val="center"/>
                  </w:pPr>
                  <w:r>
                    <w:rPr>
                      <w:rFonts w:ascii="仿宋_GB2312" w:hAnsi="仿宋_GB2312" w:eastAsia="仿宋_GB2312" w:cs="仿宋_GB2312"/>
                      <w:b/>
                      <w:color w:val="000000"/>
                      <w:sz w:val="21"/>
                    </w:rPr>
                    <w:t>3</w:t>
                  </w:r>
                </w:p>
              </w:tc>
              <w:tc>
                <w:tcPr>
                  <w:tcW w:w="2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574D58">
                  <w:pPr>
                    <w:pStyle w:val="4"/>
                    <w:jc w:val="center"/>
                  </w:pPr>
                  <w:r>
                    <w:rPr>
                      <w:rFonts w:ascii="仿宋_GB2312" w:hAnsi="仿宋_GB2312" w:eastAsia="仿宋_GB2312" w:cs="仿宋_GB2312"/>
                      <w:color w:val="000000"/>
                      <w:sz w:val="21"/>
                    </w:rPr>
                    <w:t>硬盘</w:t>
                  </w:r>
                </w:p>
              </w:tc>
              <w:tc>
                <w:tcPr>
                  <w:tcW w:w="17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6C25B9">
                  <w:pPr>
                    <w:pStyle w:val="4"/>
                    <w:jc w:val="both"/>
                  </w:pPr>
                  <w:r>
                    <w:rPr>
                      <w:rFonts w:ascii="仿宋_GB2312" w:hAnsi="仿宋_GB2312" w:eastAsia="仿宋_GB2312" w:cs="仿宋_GB2312"/>
                      <w:color w:val="000000"/>
                      <w:sz w:val="21"/>
                    </w:rPr>
                    <w:t>单盘容量：≥4TB；</w:t>
                  </w:r>
                </w:p>
                <w:p w14:paraId="1A151F01">
                  <w:pPr>
                    <w:pStyle w:val="4"/>
                    <w:jc w:val="both"/>
                  </w:pPr>
                  <w:r>
                    <w:rPr>
                      <w:rFonts w:ascii="仿宋_GB2312" w:hAnsi="仿宋_GB2312" w:eastAsia="仿宋_GB2312" w:cs="仿宋_GB2312"/>
                      <w:color w:val="000000"/>
                      <w:sz w:val="21"/>
                    </w:rPr>
                    <w:t>硬盘接口：≥SATA；</w:t>
                  </w:r>
                </w:p>
                <w:p w14:paraId="57C953DA">
                  <w:pPr>
                    <w:pStyle w:val="4"/>
                    <w:jc w:val="both"/>
                  </w:pPr>
                  <w:r>
                    <w:rPr>
                      <w:rFonts w:ascii="仿宋_GB2312" w:hAnsi="仿宋_GB2312" w:eastAsia="仿宋_GB2312" w:cs="仿宋_GB2312"/>
                      <w:color w:val="000000"/>
                      <w:sz w:val="21"/>
                    </w:rPr>
                    <w:t>转速：≥7200RPM；</w:t>
                  </w:r>
                </w:p>
                <w:p w14:paraId="114C2146">
                  <w:pPr>
                    <w:pStyle w:val="4"/>
                    <w:jc w:val="both"/>
                  </w:pPr>
                  <w:r>
                    <w:rPr>
                      <w:rFonts w:ascii="仿宋_GB2312" w:hAnsi="仿宋_GB2312" w:eastAsia="仿宋_GB2312" w:cs="仿宋_GB2312"/>
                      <w:color w:val="000000"/>
                      <w:sz w:val="21"/>
                    </w:rPr>
                    <w:t>缓存：≥256MB</w:t>
                  </w:r>
                </w:p>
              </w:tc>
              <w:tc>
                <w:tcPr>
                  <w:tcW w:w="1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7FAFCD">
                  <w:pPr>
                    <w:pStyle w:val="4"/>
                    <w:jc w:val="center"/>
                  </w:pPr>
                  <w:r>
                    <w:rPr>
                      <w:rFonts w:ascii="仿宋_GB2312" w:hAnsi="仿宋_GB2312" w:eastAsia="仿宋_GB2312" w:cs="仿宋_GB2312"/>
                      <w:color w:val="000000"/>
                      <w:sz w:val="21"/>
                    </w:rPr>
                    <w:t>30</w:t>
                  </w:r>
                </w:p>
              </w:tc>
              <w:tc>
                <w:tcPr>
                  <w:tcW w:w="1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FF848A">
                  <w:pPr>
                    <w:pStyle w:val="4"/>
                    <w:jc w:val="center"/>
                  </w:pPr>
                  <w:r>
                    <w:rPr>
                      <w:rFonts w:ascii="仿宋_GB2312" w:hAnsi="仿宋_GB2312" w:eastAsia="仿宋_GB2312" w:cs="仿宋_GB2312"/>
                      <w:color w:val="000000"/>
                      <w:sz w:val="21"/>
                    </w:rPr>
                    <w:t>台</w:t>
                  </w:r>
                </w:p>
              </w:tc>
              <w:tc>
                <w:tcPr>
                  <w:tcW w:w="1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AE85A9">
                  <w:pPr>
                    <w:pStyle w:val="4"/>
                    <w:jc w:val="center"/>
                  </w:pPr>
                </w:p>
              </w:tc>
            </w:tr>
            <w:tr w14:paraId="41EE45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5A3CB1">
                  <w:pPr>
                    <w:pStyle w:val="4"/>
                    <w:jc w:val="center"/>
                  </w:pPr>
                  <w:r>
                    <w:rPr>
                      <w:rFonts w:ascii="仿宋_GB2312" w:hAnsi="仿宋_GB2312" w:eastAsia="仿宋_GB2312" w:cs="仿宋_GB2312"/>
                      <w:b/>
                      <w:color w:val="000000"/>
                      <w:sz w:val="21"/>
                    </w:rPr>
                    <w:t>4</w:t>
                  </w:r>
                </w:p>
              </w:tc>
              <w:tc>
                <w:tcPr>
                  <w:tcW w:w="2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77E401">
                  <w:pPr>
                    <w:pStyle w:val="4"/>
                    <w:jc w:val="center"/>
                  </w:pPr>
                  <w:r>
                    <w:rPr>
                      <w:rFonts w:ascii="仿宋_GB2312" w:hAnsi="仿宋_GB2312" w:eastAsia="仿宋_GB2312" w:cs="仿宋_GB2312"/>
                      <w:color w:val="000000"/>
                      <w:sz w:val="21"/>
                    </w:rPr>
                    <w:t>交换机</w:t>
                  </w:r>
                </w:p>
              </w:tc>
              <w:tc>
                <w:tcPr>
                  <w:tcW w:w="17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B855F7">
                  <w:pPr>
                    <w:pStyle w:val="4"/>
                    <w:jc w:val="left"/>
                  </w:pPr>
                  <w:r>
                    <w:rPr>
                      <w:rFonts w:ascii="仿宋_GB2312" w:hAnsi="仿宋_GB2312" w:eastAsia="仿宋_GB2312" w:cs="仿宋_GB2312"/>
                      <w:color w:val="000000"/>
                      <w:sz w:val="21"/>
                    </w:rPr>
                    <w:t>端口数量：≥8；</w:t>
                  </w:r>
                </w:p>
                <w:p w14:paraId="1B121831">
                  <w:pPr>
                    <w:pStyle w:val="4"/>
                    <w:jc w:val="left"/>
                  </w:pPr>
                  <w:r>
                    <w:rPr>
                      <w:rFonts w:ascii="仿宋_GB2312" w:hAnsi="仿宋_GB2312" w:eastAsia="仿宋_GB2312" w:cs="仿宋_GB2312"/>
                      <w:color w:val="000000"/>
                      <w:sz w:val="21"/>
                    </w:rPr>
                    <w:t>接口：千兆；</w:t>
                  </w:r>
                </w:p>
                <w:p w14:paraId="29951AEE">
                  <w:pPr>
                    <w:pStyle w:val="4"/>
                    <w:jc w:val="left"/>
                  </w:pPr>
                  <w:r>
                    <w:rPr>
                      <w:rFonts w:ascii="仿宋_GB2312" w:hAnsi="仿宋_GB2312" w:eastAsia="仿宋_GB2312" w:cs="仿宋_GB2312"/>
                      <w:color w:val="000000"/>
                      <w:sz w:val="21"/>
                    </w:rPr>
                    <w:t>POE供电：实现。</w:t>
                  </w:r>
                </w:p>
              </w:tc>
              <w:tc>
                <w:tcPr>
                  <w:tcW w:w="1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B05415">
                  <w:pPr>
                    <w:pStyle w:val="4"/>
                    <w:jc w:val="center"/>
                  </w:pPr>
                  <w:r>
                    <w:rPr>
                      <w:rFonts w:ascii="仿宋_GB2312" w:hAnsi="仿宋_GB2312" w:eastAsia="仿宋_GB2312" w:cs="仿宋_GB2312"/>
                      <w:color w:val="000000"/>
                      <w:sz w:val="21"/>
                    </w:rPr>
                    <w:t>10</w:t>
                  </w:r>
                </w:p>
              </w:tc>
              <w:tc>
                <w:tcPr>
                  <w:tcW w:w="1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0DF4C7">
                  <w:pPr>
                    <w:pStyle w:val="4"/>
                    <w:jc w:val="center"/>
                  </w:pPr>
                  <w:r>
                    <w:rPr>
                      <w:rFonts w:ascii="仿宋_GB2312" w:hAnsi="仿宋_GB2312" w:eastAsia="仿宋_GB2312" w:cs="仿宋_GB2312"/>
                      <w:color w:val="000000"/>
                      <w:sz w:val="21"/>
                    </w:rPr>
                    <w:t>台</w:t>
                  </w:r>
                </w:p>
              </w:tc>
              <w:tc>
                <w:tcPr>
                  <w:tcW w:w="1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C6D816">
                  <w:pPr>
                    <w:pStyle w:val="4"/>
                    <w:jc w:val="center"/>
                  </w:pPr>
                </w:p>
              </w:tc>
            </w:tr>
            <w:tr w14:paraId="07B28E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674546">
                  <w:pPr>
                    <w:pStyle w:val="4"/>
                    <w:jc w:val="center"/>
                  </w:pPr>
                  <w:r>
                    <w:rPr>
                      <w:rFonts w:ascii="仿宋_GB2312" w:hAnsi="仿宋_GB2312" w:eastAsia="仿宋_GB2312" w:cs="仿宋_GB2312"/>
                      <w:b/>
                      <w:color w:val="000000"/>
                      <w:sz w:val="21"/>
                    </w:rPr>
                    <w:t>5</w:t>
                  </w:r>
                </w:p>
              </w:tc>
              <w:tc>
                <w:tcPr>
                  <w:tcW w:w="2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A960AE">
                  <w:pPr>
                    <w:pStyle w:val="4"/>
                    <w:jc w:val="center"/>
                  </w:pPr>
                  <w:r>
                    <w:rPr>
                      <w:rFonts w:ascii="仿宋_GB2312" w:hAnsi="仿宋_GB2312" w:eastAsia="仿宋_GB2312" w:cs="仿宋_GB2312"/>
                      <w:color w:val="000000"/>
                      <w:sz w:val="21"/>
                    </w:rPr>
                    <w:t>拾音器</w:t>
                  </w:r>
                </w:p>
              </w:tc>
              <w:tc>
                <w:tcPr>
                  <w:tcW w:w="17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15E95C">
                  <w:pPr>
                    <w:pStyle w:val="4"/>
                    <w:jc w:val="left"/>
                  </w:pPr>
                  <w:r>
                    <w:rPr>
                      <w:rFonts w:ascii="仿宋_GB2312" w:hAnsi="仿宋_GB2312" w:eastAsia="仿宋_GB2312" w:cs="仿宋_GB2312"/>
                      <w:color w:val="000000"/>
                      <w:sz w:val="21"/>
                    </w:rPr>
                    <w:t>电源：独立直流稳压电源DC12V；</w:t>
                  </w:r>
                </w:p>
                <w:p w14:paraId="2B6C7D47">
                  <w:pPr>
                    <w:pStyle w:val="4"/>
                    <w:jc w:val="left"/>
                  </w:pPr>
                  <w:r>
                    <w:rPr>
                      <w:rFonts w:ascii="仿宋_GB2312" w:hAnsi="仿宋_GB2312" w:eastAsia="仿宋_GB2312" w:cs="仿宋_GB2312"/>
                      <w:color w:val="000000"/>
                      <w:sz w:val="21"/>
                    </w:rPr>
                    <w:t>拾音范围：≥50平方米；</w:t>
                  </w:r>
                </w:p>
                <w:p w14:paraId="10ED95C2">
                  <w:pPr>
                    <w:pStyle w:val="4"/>
                    <w:jc w:val="left"/>
                  </w:pPr>
                  <w:r>
                    <w:rPr>
                      <w:rFonts w:ascii="仿宋_GB2312" w:hAnsi="仿宋_GB2312" w:eastAsia="仿宋_GB2312" w:cs="仿宋_GB2312"/>
                      <w:color w:val="000000"/>
                      <w:sz w:val="21"/>
                    </w:rPr>
                    <w:t>传输线缆：3×0.5mm RVVP 屏蔽电线。</w:t>
                  </w:r>
                </w:p>
              </w:tc>
              <w:tc>
                <w:tcPr>
                  <w:tcW w:w="1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070768">
                  <w:pPr>
                    <w:pStyle w:val="4"/>
                    <w:jc w:val="center"/>
                  </w:pPr>
                  <w:r>
                    <w:rPr>
                      <w:rFonts w:ascii="仿宋_GB2312" w:hAnsi="仿宋_GB2312" w:eastAsia="仿宋_GB2312" w:cs="仿宋_GB2312"/>
                      <w:color w:val="000000"/>
                      <w:sz w:val="21"/>
                    </w:rPr>
                    <w:t>20</w:t>
                  </w:r>
                </w:p>
              </w:tc>
              <w:tc>
                <w:tcPr>
                  <w:tcW w:w="1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FB2CE7">
                  <w:pPr>
                    <w:pStyle w:val="4"/>
                    <w:jc w:val="center"/>
                  </w:pPr>
                  <w:r>
                    <w:rPr>
                      <w:rFonts w:ascii="仿宋_GB2312" w:hAnsi="仿宋_GB2312" w:eastAsia="仿宋_GB2312" w:cs="仿宋_GB2312"/>
                      <w:color w:val="000000"/>
                      <w:sz w:val="21"/>
                    </w:rPr>
                    <w:t>台</w:t>
                  </w:r>
                </w:p>
              </w:tc>
              <w:tc>
                <w:tcPr>
                  <w:tcW w:w="1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608309">
                  <w:pPr>
                    <w:pStyle w:val="4"/>
                    <w:jc w:val="center"/>
                  </w:pPr>
                </w:p>
              </w:tc>
            </w:tr>
            <w:tr w14:paraId="410E38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0A6C7E">
                  <w:pPr>
                    <w:pStyle w:val="4"/>
                    <w:jc w:val="center"/>
                  </w:pPr>
                  <w:r>
                    <w:rPr>
                      <w:rFonts w:ascii="仿宋_GB2312" w:hAnsi="仿宋_GB2312" w:eastAsia="仿宋_GB2312" w:cs="仿宋_GB2312"/>
                      <w:b/>
                      <w:color w:val="000000"/>
                      <w:sz w:val="21"/>
                    </w:rPr>
                    <w:t>5</w:t>
                  </w:r>
                </w:p>
              </w:tc>
              <w:tc>
                <w:tcPr>
                  <w:tcW w:w="2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E67E38">
                  <w:pPr>
                    <w:pStyle w:val="4"/>
                    <w:jc w:val="center"/>
                  </w:pPr>
                  <w:r>
                    <w:rPr>
                      <w:rFonts w:ascii="仿宋_GB2312" w:hAnsi="仿宋_GB2312" w:eastAsia="仿宋_GB2312" w:cs="仿宋_GB2312"/>
                      <w:color w:val="000000"/>
                      <w:sz w:val="21"/>
                    </w:rPr>
                    <w:t>网线、电源线</w:t>
                  </w:r>
                </w:p>
              </w:tc>
              <w:tc>
                <w:tcPr>
                  <w:tcW w:w="17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3259D2">
                  <w:pPr>
                    <w:pStyle w:val="4"/>
                    <w:jc w:val="center"/>
                  </w:pPr>
                  <w:r>
                    <w:rPr>
                      <w:rFonts w:ascii="仿宋_GB2312" w:hAnsi="仿宋_GB2312" w:eastAsia="仿宋_GB2312" w:cs="仿宋_GB2312"/>
                      <w:color w:val="000000"/>
                      <w:sz w:val="21"/>
                    </w:rPr>
                    <w:t>6类非屏蔽网线，电源线</w:t>
                  </w:r>
                </w:p>
              </w:tc>
              <w:tc>
                <w:tcPr>
                  <w:tcW w:w="1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36BE3D">
                  <w:pPr>
                    <w:pStyle w:val="4"/>
                    <w:jc w:val="center"/>
                  </w:pPr>
                  <w:r>
                    <w:rPr>
                      <w:rFonts w:ascii="仿宋_GB2312" w:hAnsi="仿宋_GB2312" w:eastAsia="仿宋_GB2312" w:cs="仿宋_GB2312"/>
                      <w:color w:val="000000"/>
                      <w:sz w:val="21"/>
                    </w:rPr>
                    <w:t>236</w:t>
                  </w:r>
                </w:p>
              </w:tc>
              <w:tc>
                <w:tcPr>
                  <w:tcW w:w="1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3ABDA2">
                  <w:pPr>
                    <w:pStyle w:val="4"/>
                    <w:jc w:val="center"/>
                  </w:pPr>
                  <w:r>
                    <w:rPr>
                      <w:rFonts w:ascii="仿宋_GB2312" w:hAnsi="仿宋_GB2312" w:eastAsia="仿宋_GB2312" w:cs="仿宋_GB2312"/>
                      <w:color w:val="000000"/>
                      <w:sz w:val="21"/>
                    </w:rPr>
                    <w:t>套</w:t>
                  </w:r>
                </w:p>
              </w:tc>
              <w:tc>
                <w:tcPr>
                  <w:tcW w:w="1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13C9BC">
                  <w:pPr>
                    <w:pStyle w:val="4"/>
                    <w:jc w:val="center"/>
                  </w:pPr>
                </w:p>
              </w:tc>
            </w:tr>
            <w:tr w14:paraId="09E0A1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42635F">
                  <w:pPr>
                    <w:pStyle w:val="4"/>
                    <w:jc w:val="center"/>
                  </w:pPr>
                  <w:r>
                    <w:rPr>
                      <w:rFonts w:ascii="仿宋_GB2312" w:hAnsi="仿宋_GB2312" w:eastAsia="仿宋_GB2312" w:cs="仿宋_GB2312"/>
                      <w:b/>
                      <w:color w:val="000000"/>
                      <w:sz w:val="21"/>
                    </w:rPr>
                    <w:t>6</w:t>
                  </w:r>
                </w:p>
              </w:tc>
              <w:tc>
                <w:tcPr>
                  <w:tcW w:w="2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6472A6">
                  <w:pPr>
                    <w:pStyle w:val="4"/>
                    <w:jc w:val="center"/>
                  </w:pPr>
                  <w:r>
                    <w:rPr>
                      <w:rFonts w:ascii="仿宋_GB2312" w:hAnsi="仿宋_GB2312" w:eastAsia="仿宋_GB2312" w:cs="仿宋_GB2312"/>
                      <w:color w:val="000000"/>
                      <w:sz w:val="21"/>
                    </w:rPr>
                    <w:t>调试及辅材</w:t>
                  </w:r>
                </w:p>
              </w:tc>
              <w:tc>
                <w:tcPr>
                  <w:tcW w:w="17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60DAFD">
                  <w:pPr>
                    <w:pStyle w:val="4"/>
                    <w:jc w:val="center"/>
                  </w:pPr>
                  <w:r>
                    <w:rPr>
                      <w:rFonts w:ascii="仿宋_GB2312" w:hAnsi="仿宋_GB2312" w:eastAsia="仿宋_GB2312" w:cs="仿宋_GB2312"/>
                      <w:color w:val="000000"/>
                      <w:sz w:val="21"/>
                    </w:rPr>
                    <w:t>PVC线槽、条槽及接插件等。</w:t>
                  </w:r>
                </w:p>
              </w:tc>
              <w:tc>
                <w:tcPr>
                  <w:tcW w:w="1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131A35">
                  <w:pPr>
                    <w:pStyle w:val="4"/>
                    <w:jc w:val="center"/>
                  </w:pPr>
                  <w:r>
                    <w:rPr>
                      <w:rFonts w:ascii="仿宋_GB2312" w:hAnsi="仿宋_GB2312" w:eastAsia="仿宋_GB2312" w:cs="仿宋_GB2312"/>
                      <w:color w:val="000000"/>
                      <w:sz w:val="21"/>
                    </w:rPr>
                    <w:t>236</w:t>
                  </w:r>
                </w:p>
              </w:tc>
              <w:tc>
                <w:tcPr>
                  <w:tcW w:w="1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A304C7">
                  <w:pPr>
                    <w:pStyle w:val="4"/>
                    <w:jc w:val="center"/>
                  </w:pPr>
                  <w:r>
                    <w:rPr>
                      <w:rFonts w:ascii="仿宋_GB2312" w:hAnsi="仿宋_GB2312" w:eastAsia="仿宋_GB2312" w:cs="仿宋_GB2312"/>
                      <w:color w:val="000000"/>
                      <w:sz w:val="21"/>
                    </w:rPr>
                    <w:t>套</w:t>
                  </w:r>
                </w:p>
              </w:tc>
              <w:tc>
                <w:tcPr>
                  <w:tcW w:w="1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77069D">
                  <w:pPr>
                    <w:pStyle w:val="4"/>
                    <w:jc w:val="center"/>
                  </w:pPr>
                </w:p>
              </w:tc>
            </w:tr>
          </w:tbl>
          <w:p w14:paraId="0AAAC6D4">
            <w:pPr>
              <w:pStyle w:val="4"/>
              <w:jc w:val="left"/>
            </w:pPr>
            <w:r>
              <w:rPr>
                <w:rFonts w:ascii="仿宋_GB2312" w:hAnsi="仿宋_GB2312" w:eastAsia="仿宋_GB2312" w:cs="仿宋_GB2312"/>
                <w:sz w:val="21"/>
              </w:rPr>
              <w:t>2、现有硬件及软件的维保</w:t>
            </w:r>
          </w:p>
          <w:p w14:paraId="23C941F4">
            <w:pPr>
              <w:pStyle w:val="4"/>
              <w:jc w:val="left"/>
            </w:pPr>
            <w:r>
              <w:rPr>
                <w:rFonts w:ascii="仿宋_GB2312" w:hAnsi="仿宋_GB2312" w:eastAsia="仿宋_GB2312" w:cs="仿宋_GB2312"/>
                <w:sz w:val="21"/>
              </w:rPr>
              <w:t>（1）、考前保障计划</w:t>
            </w:r>
          </w:p>
          <w:p w14:paraId="4A5D2ECD">
            <w:pPr>
              <w:pStyle w:val="4"/>
              <w:jc w:val="left"/>
            </w:pPr>
            <w:r>
              <w:rPr>
                <w:rFonts w:ascii="仿宋_GB2312" w:hAnsi="仿宋_GB2312" w:eastAsia="仿宋_GB2312" w:cs="仿宋_GB2312"/>
                <w:sz w:val="21"/>
              </w:rPr>
              <w:t>考试前一周，根据考区梳理保密室基础信息，在管理平台完成保密室信息、启用计划录入，为考中做准备。</w:t>
            </w:r>
          </w:p>
          <w:p w14:paraId="534A59BF">
            <w:pPr>
              <w:pStyle w:val="4"/>
              <w:jc w:val="left"/>
            </w:pPr>
            <w:r>
              <w:rPr>
                <w:rFonts w:ascii="仿宋_GB2312" w:hAnsi="仿宋_GB2312" w:eastAsia="仿宋_GB2312" w:cs="仿宋_GB2312"/>
                <w:sz w:val="21"/>
              </w:rPr>
              <w:t>（2）、考中保障计划</w:t>
            </w:r>
          </w:p>
          <w:p w14:paraId="14ECEFFF">
            <w:pPr>
              <w:pStyle w:val="4"/>
              <w:jc w:val="left"/>
            </w:pPr>
            <w:r>
              <w:rPr>
                <w:rFonts w:ascii="仿宋_GB2312" w:hAnsi="仿宋_GB2312" w:eastAsia="仿宋_GB2312" w:cs="仿宋_GB2312"/>
                <w:sz w:val="21"/>
              </w:rPr>
              <w:t>安排专人值班，通过管理平台总览全省保密室实时状态，实时展示保密室启用情况、值班人数、告警信息，针对保密室异常情况，汇报给考试院相关处室。</w:t>
            </w:r>
          </w:p>
          <w:p w14:paraId="0C2D5DAE">
            <w:pPr>
              <w:pStyle w:val="4"/>
              <w:jc w:val="left"/>
            </w:pPr>
            <w:r>
              <w:rPr>
                <w:rFonts w:ascii="仿宋_GB2312" w:hAnsi="仿宋_GB2312" w:eastAsia="仿宋_GB2312" w:cs="仿宋_GB2312"/>
                <w:sz w:val="21"/>
              </w:rPr>
              <w:t>值守应用服务器，实时监控中心管理平台、分析软件、客户端运行状态，确保系统不间断稳定运行。</w:t>
            </w:r>
          </w:p>
          <w:p w14:paraId="0966467D">
            <w:pPr>
              <w:pStyle w:val="4"/>
              <w:jc w:val="left"/>
            </w:pPr>
            <w:r>
              <w:rPr>
                <w:rFonts w:ascii="仿宋_GB2312" w:hAnsi="仿宋_GB2312" w:eastAsia="仿宋_GB2312" w:cs="仿宋_GB2312"/>
                <w:sz w:val="21"/>
              </w:rPr>
              <w:t>（3）、保障要求</w:t>
            </w:r>
          </w:p>
          <w:p w14:paraId="2A935239">
            <w:pPr>
              <w:pStyle w:val="4"/>
              <w:jc w:val="left"/>
            </w:pPr>
            <w:r>
              <w:rPr>
                <w:rFonts w:ascii="仿宋_GB2312" w:hAnsi="仿宋_GB2312" w:eastAsia="仿宋_GB2312" w:cs="仿宋_GB2312"/>
                <w:sz w:val="21"/>
              </w:rPr>
              <w:t>围绕陕西省教育考试院各类考试特点，执行人性化管理维护，优先保障考试核心时段系统稳定。运维人员全程待命，确保系统故障、安全异常零延时响应。</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
              <w:gridCol w:w="421"/>
              <w:gridCol w:w="1311"/>
              <w:gridCol w:w="1050"/>
              <w:gridCol w:w="525"/>
            </w:tblGrid>
            <w:tr w14:paraId="376641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045C4D">
                  <w:pPr>
                    <w:pStyle w:val="4"/>
                    <w:jc w:val="center"/>
                  </w:pPr>
                  <w:r>
                    <w:rPr>
                      <w:rFonts w:ascii="仿宋_GB2312" w:hAnsi="仿宋_GB2312" w:eastAsia="仿宋_GB2312" w:cs="仿宋_GB2312"/>
                      <w:b/>
                      <w:color w:val="000000"/>
                      <w:sz w:val="21"/>
                    </w:rPr>
                    <w:t>编号</w:t>
                  </w:r>
                </w:p>
              </w:tc>
              <w:tc>
                <w:tcPr>
                  <w:tcW w:w="40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9D3E944">
                  <w:pPr>
                    <w:pStyle w:val="4"/>
                    <w:jc w:val="center"/>
                  </w:pPr>
                  <w:r>
                    <w:rPr>
                      <w:rFonts w:ascii="仿宋_GB2312" w:hAnsi="仿宋_GB2312" w:eastAsia="仿宋_GB2312" w:cs="仿宋_GB2312"/>
                      <w:b/>
                      <w:color w:val="000000"/>
                      <w:sz w:val="21"/>
                    </w:rPr>
                    <w:t>清单</w:t>
                  </w:r>
                </w:p>
              </w:tc>
              <w:tc>
                <w:tcPr>
                  <w:tcW w:w="131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CFD2FF7">
                  <w:pPr>
                    <w:pStyle w:val="4"/>
                    <w:jc w:val="center"/>
                  </w:pPr>
                  <w:r>
                    <w:rPr>
                      <w:rFonts w:ascii="仿宋_GB2312" w:hAnsi="仿宋_GB2312" w:eastAsia="仿宋_GB2312" w:cs="仿宋_GB2312"/>
                      <w:b/>
                      <w:color w:val="000000"/>
                      <w:sz w:val="21"/>
                    </w:rPr>
                    <w:t>服务项目</w:t>
                  </w:r>
                </w:p>
              </w:tc>
              <w:tc>
                <w:tcPr>
                  <w:tcW w:w="38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D07717">
                  <w:pPr>
                    <w:pStyle w:val="4"/>
                    <w:jc w:val="center"/>
                  </w:pPr>
                  <w:r>
                    <w:rPr>
                      <w:rFonts w:ascii="仿宋_GB2312" w:hAnsi="仿宋_GB2312" w:eastAsia="仿宋_GB2312" w:cs="仿宋_GB2312"/>
                      <w:b/>
                      <w:color w:val="000000"/>
                      <w:sz w:val="21"/>
                    </w:rPr>
                    <w:t>型号规格</w:t>
                  </w:r>
                </w:p>
              </w:tc>
              <w:tc>
                <w:tcPr>
                  <w:tcW w:w="2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D7C36BE">
                  <w:pPr>
                    <w:pStyle w:val="4"/>
                    <w:jc w:val="center"/>
                  </w:pPr>
                  <w:r>
                    <w:rPr>
                      <w:rFonts w:ascii="仿宋_GB2312" w:hAnsi="仿宋_GB2312" w:eastAsia="仿宋_GB2312" w:cs="仿宋_GB2312"/>
                      <w:b/>
                      <w:color w:val="000000"/>
                      <w:sz w:val="21"/>
                    </w:rPr>
                    <w:t>数量</w:t>
                  </w:r>
                </w:p>
              </w:tc>
            </w:tr>
            <w:tr w14:paraId="357288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5693BD">
                  <w:pPr>
                    <w:pStyle w:val="4"/>
                    <w:jc w:val="center"/>
                  </w:pPr>
                  <w:r>
                    <w:rPr>
                      <w:rFonts w:ascii="仿宋_GB2312" w:hAnsi="仿宋_GB2312" w:eastAsia="仿宋_GB2312" w:cs="仿宋_GB2312"/>
                      <w:color w:val="000000"/>
                      <w:sz w:val="21"/>
                    </w:rPr>
                    <w:t>1</w:t>
                  </w:r>
                </w:p>
              </w:tc>
              <w:tc>
                <w:tcPr>
                  <w:tcW w:w="4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F5582C">
                  <w:pPr>
                    <w:pStyle w:val="4"/>
                    <w:jc w:val="left"/>
                  </w:pPr>
                  <w:r>
                    <w:rPr>
                      <w:rFonts w:ascii="仿宋_GB2312" w:hAnsi="仿宋_GB2312" w:eastAsia="仿宋_GB2312" w:cs="仿宋_GB2312"/>
                      <w:color w:val="000000"/>
                      <w:sz w:val="21"/>
                    </w:rPr>
                    <w:t>中心管理平台</w:t>
                  </w:r>
                </w:p>
              </w:tc>
              <w:tc>
                <w:tcPr>
                  <w:tcW w:w="13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555B9A">
                  <w:pPr>
                    <w:pStyle w:val="4"/>
                    <w:numPr>
                      <w:ilvl w:val="0"/>
                      <w:numId w:val="1"/>
                    </w:numPr>
                    <w:jc w:val="left"/>
                  </w:pPr>
                  <w:r>
                    <w:rPr>
                      <w:rFonts w:ascii="仿宋_GB2312" w:hAnsi="仿宋_GB2312" w:eastAsia="仿宋_GB2312" w:cs="仿宋_GB2312"/>
                      <w:color w:val="000000"/>
                      <w:sz w:val="21"/>
                    </w:rPr>
                    <w:t>多画面预览、用户管理、异常告警分发、保密室监控数据图形化展示；</w:t>
                  </w:r>
                </w:p>
                <w:p w14:paraId="1E54CB3D">
                  <w:pPr>
                    <w:pStyle w:val="4"/>
                    <w:numPr>
                      <w:ilvl w:val="0"/>
                      <w:numId w:val="1"/>
                    </w:numPr>
                    <w:jc w:val="left"/>
                  </w:pPr>
                  <w:r>
                    <w:rPr>
                      <w:rFonts w:ascii="仿宋_GB2312" w:hAnsi="仿宋_GB2312" w:eastAsia="仿宋_GB2312" w:cs="仿宋_GB2312"/>
                      <w:color w:val="000000"/>
                      <w:sz w:val="21"/>
                    </w:rPr>
                    <w:t>保密室视频管理：可直观总览保密室情况：根据不同省、市、区权限，可直观的展示保密室信息管理、值班人员管理、保密室启用情况统计、保密室人数统计、保密室告警信息统计、保密室值守情况统计等功能；</w:t>
                  </w:r>
                </w:p>
                <w:p w14:paraId="61915BDB">
                  <w:pPr>
                    <w:pStyle w:val="4"/>
                    <w:numPr>
                      <w:ilvl w:val="0"/>
                      <w:numId w:val="1"/>
                    </w:numPr>
                    <w:jc w:val="left"/>
                  </w:pPr>
                  <w:r>
                    <w:rPr>
                      <w:rFonts w:ascii="仿宋_GB2312" w:hAnsi="仿宋_GB2312" w:eastAsia="仿宋_GB2312" w:cs="仿宋_GB2312"/>
                      <w:color w:val="000000"/>
                      <w:sz w:val="21"/>
                    </w:rPr>
                    <w:t>灵活的视频分析布控：可对全省的保密室分析进行全局设置，也支持对个别保密室进行个性化布控设置。</w:t>
                  </w:r>
                </w:p>
                <w:p w14:paraId="5C47D337">
                  <w:pPr>
                    <w:pStyle w:val="4"/>
                    <w:jc w:val="left"/>
                  </w:pPr>
                  <w:r>
                    <w:rPr>
                      <w:rFonts w:ascii="仿宋_GB2312" w:hAnsi="仿宋_GB2312" w:eastAsia="仿宋_GB2312" w:cs="仿宋_GB2312"/>
                      <w:color w:val="000000"/>
                      <w:sz w:val="21"/>
                    </w:rPr>
                    <w:t>4、完备的用户管理机制：严格遵照省教育考试院、市招办、区县招办三级权限，可单条、批量等方式设定不同的权限。</w:t>
                  </w:r>
                </w:p>
                <w:p w14:paraId="78062021">
                  <w:pPr>
                    <w:pStyle w:val="4"/>
                    <w:jc w:val="left"/>
                  </w:pPr>
                  <w:r>
                    <w:rPr>
                      <w:rFonts w:ascii="仿宋_GB2312" w:hAnsi="仿宋_GB2312" w:eastAsia="仿宋_GB2312" w:cs="仿宋_GB2312"/>
                      <w:color w:val="000000"/>
                      <w:sz w:val="21"/>
                    </w:rPr>
                    <w:t>5、对于陕西省教育考试院所涉及的各类考试等进行人性化管理维护和身份核查。</w:t>
                  </w:r>
                </w:p>
              </w:tc>
              <w:tc>
                <w:tcPr>
                  <w:tcW w:w="3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4BFD81">
                  <w:pPr>
                    <w:pStyle w:val="4"/>
                    <w:jc w:val="center"/>
                  </w:pPr>
                  <w:r>
                    <w:rPr>
                      <w:rFonts w:ascii="仿宋_GB2312" w:hAnsi="仿宋_GB2312" w:eastAsia="仿宋_GB2312" w:cs="仿宋_GB2312"/>
                      <w:color w:val="000000"/>
                      <w:sz w:val="21"/>
                    </w:rPr>
                    <w:t>定制化</w:t>
                  </w:r>
                </w:p>
              </w:tc>
              <w:tc>
                <w:tcPr>
                  <w:tcW w:w="2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EE9301">
                  <w:pPr>
                    <w:pStyle w:val="4"/>
                    <w:jc w:val="center"/>
                  </w:pPr>
                  <w:r>
                    <w:rPr>
                      <w:rFonts w:ascii="仿宋_GB2312" w:hAnsi="仿宋_GB2312" w:eastAsia="仿宋_GB2312" w:cs="仿宋_GB2312"/>
                      <w:color w:val="000000"/>
                      <w:sz w:val="21"/>
                    </w:rPr>
                    <w:t>1</w:t>
                  </w:r>
                </w:p>
              </w:tc>
            </w:tr>
            <w:tr w14:paraId="69F3CA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56210">
                  <w:pPr>
                    <w:pStyle w:val="4"/>
                    <w:jc w:val="center"/>
                  </w:pPr>
                  <w:r>
                    <w:rPr>
                      <w:rFonts w:ascii="仿宋_GB2312" w:hAnsi="仿宋_GB2312" w:eastAsia="仿宋_GB2312" w:cs="仿宋_GB2312"/>
                      <w:color w:val="000000"/>
                      <w:sz w:val="21"/>
                    </w:rPr>
                    <w:t>2</w:t>
                  </w:r>
                </w:p>
              </w:tc>
              <w:tc>
                <w:tcPr>
                  <w:tcW w:w="4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2922D3">
                  <w:pPr>
                    <w:pStyle w:val="4"/>
                    <w:jc w:val="left"/>
                  </w:pPr>
                  <w:r>
                    <w:rPr>
                      <w:rFonts w:ascii="仿宋_GB2312" w:hAnsi="仿宋_GB2312" w:eastAsia="仿宋_GB2312" w:cs="仿宋_GB2312"/>
                      <w:color w:val="000000"/>
                      <w:sz w:val="21"/>
                    </w:rPr>
                    <w:t>视频智能分析软件</w:t>
                  </w:r>
                </w:p>
              </w:tc>
              <w:tc>
                <w:tcPr>
                  <w:tcW w:w="13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F3C82E">
                  <w:pPr>
                    <w:pStyle w:val="4"/>
                    <w:jc w:val="left"/>
                  </w:pPr>
                  <w:r>
                    <w:rPr>
                      <w:rFonts w:ascii="仿宋_GB2312" w:hAnsi="仿宋_GB2312" w:eastAsia="仿宋_GB2312" w:cs="仿宋_GB2312"/>
                      <w:color w:val="000000"/>
                      <w:sz w:val="21"/>
                    </w:rPr>
                    <w:t>1、保密室人数统计；</w:t>
                  </w:r>
                </w:p>
                <w:p w14:paraId="6957655E">
                  <w:pPr>
                    <w:pStyle w:val="4"/>
                    <w:jc w:val="left"/>
                  </w:pPr>
                  <w:r>
                    <w:rPr>
                      <w:rFonts w:ascii="仿宋_GB2312" w:hAnsi="仿宋_GB2312" w:eastAsia="仿宋_GB2312" w:cs="仿宋_GB2312"/>
                      <w:color w:val="000000"/>
                      <w:sz w:val="21"/>
                    </w:rPr>
                    <w:t>2、异常行为检测分析；</w:t>
                  </w:r>
                </w:p>
                <w:p w14:paraId="2C018CE9">
                  <w:pPr>
                    <w:pStyle w:val="4"/>
                    <w:jc w:val="left"/>
                  </w:pPr>
                  <w:r>
                    <w:rPr>
                      <w:rFonts w:ascii="仿宋_GB2312" w:hAnsi="仿宋_GB2312" w:eastAsia="仿宋_GB2312" w:cs="仿宋_GB2312"/>
                      <w:color w:val="000000"/>
                      <w:sz w:val="21"/>
                    </w:rPr>
                    <w:t>3、工作人员人脸授权检测。</w:t>
                  </w:r>
                </w:p>
              </w:tc>
              <w:tc>
                <w:tcPr>
                  <w:tcW w:w="3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222167">
                  <w:pPr>
                    <w:pStyle w:val="4"/>
                    <w:jc w:val="center"/>
                  </w:pPr>
                  <w:r>
                    <w:rPr>
                      <w:rFonts w:ascii="仿宋_GB2312" w:hAnsi="仿宋_GB2312" w:eastAsia="仿宋_GB2312" w:cs="仿宋_GB2312"/>
                      <w:color w:val="000000"/>
                      <w:sz w:val="21"/>
                    </w:rPr>
                    <w:t>定制化</w:t>
                  </w:r>
                </w:p>
              </w:tc>
              <w:tc>
                <w:tcPr>
                  <w:tcW w:w="2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07808D">
                  <w:pPr>
                    <w:pStyle w:val="4"/>
                    <w:jc w:val="center"/>
                  </w:pPr>
                  <w:r>
                    <w:rPr>
                      <w:rFonts w:ascii="仿宋_GB2312" w:hAnsi="仿宋_GB2312" w:eastAsia="仿宋_GB2312" w:cs="仿宋_GB2312"/>
                      <w:color w:val="000000"/>
                      <w:sz w:val="21"/>
                    </w:rPr>
                    <w:t>1</w:t>
                  </w:r>
                </w:p>
              </w:tc>
            </w:tr>
            <w:tr w14:paraId="1E40BB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8332D">
                  <w:pPr>
                    <w:pStyle w:val="4"/>
                    <w:jc w:val="center"/>
                  </w:pPr>
                  <w:r>
                    <w:rPr>
                      <w:rFonts w:ascii="仿宋_GB2312" w:hAnsi="仿宋_GB2312" w:eastAsia="仿宋_GB2312" w:cs="仿宋_GB2312"/>
                      <w:color w:val="000000"/>
                      <w:sz w:val="21"/>
                    </w:rPr>
                    <w:t>3</w:t>
                  </w:r>
                </w:p>
              </w:tc>
              <w:tc>
                <w:tcPr>
                  <w:tcW w:w="4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8F95F4">
                  <w:pPr>
                    <w:pStyle w:val="4"/>
                    <w:jc w:val="left"/>
                  </w:pPr>
                  <w:r>
                    <w:rPr>
                      <w:rFonts w:ascii="仿宋_GB2312" w:hAnsi="仿宋_GB2312" w:eastAsia="仿宋_GB2312" w:cs="仿宋_GB2312"/>
                      <w:color w:val="000000"/>
                      <w:sz w:val="21"/>
                    </w:rPr>
                    <w:t>应用客户端</w:t>
                  </w:r>
                </w:p>
              </w:tc>
              <w:tc>
                <w:tcPr>
                  <w:tcW w:w="13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190A37">
                  <w:pPr>
                    <w:pStyle w:val="4"/>
                    <w:jc w:val="left"/>
                  </w:pPr>
                  <w:r>
                    <w:rPr>
                      <w:rFonts w:ascii="仿宋_GB2312" w:hAnsi="仿宋_GB2312" w:eastAsia="仿宋_GB2312" w:cs="仿宋_GB2312"/>
                      <w:color w:val="000000"/>
                      <w:sz w:val="21"/>
                    </w:rPr>
                    <w:t>1、保密室人数统计；</w:t>
                  </w:r>
                </w:p>
                <w:p w14:paraId="435F7E39">
                  <w:pPr>
                    <w:pStyle w:val="4"/>
                    <w:jc w:val="left"/>
                  </w:pPr>
                  <w:r>
                    <w:rPr>
                      <w:rFonts w:ascii="仿宋_GB2312" w:hAnsi="仿宋_GB2312" w:eastAsia="仿宋_GB2312" w:cs="仿宋_GB2312"/>
                      <w:color w:val="000000"/>
                      <w:sz w:val="21"/>
                    </w:rPr>
                    <w:t>2、异常行为检测分析；</w:t>
                  </w:r>
                </w:p>
                <w:p w14:paraId="48B29145">
                  <w:pPr>
                    <w:pStyle w:val="4"/>
                    <w:jc w:val="left"/>
                  </w:pPr>
                  <w:r>
                    <w:rPr>
                      <w:rFonts w:ascii="仿宋_GB2312" w:hAnsi="仿宋_GB2312" w:eastAsia="仿宋_GB2312" w:cs="仿宋_GB2312"/>
                      <w:color w:val="000000"/>
                      <w:sz w:val="21"/>
                    </w:rPr>
                    <w:t>3、工作人员人脸授权检测；</w:t>
                  </w:r>
                </w:p>
                <w:p w14:paraId="4DB29068">
                  <w:pPr>
                    <w:pStyle w:val="4"/>
                    <w:jc w:val="left"/>
                  </w:pPr>
                  <w:r>
                    <w:rPr>
                      <w:rFonts w:ascii="仿宋_GB2312" w:hAnsi="仿宋_GB2312" w:eastAsia="仿宋_GB2312" w:cs="仿宋_GB2312"/>
                      <w:color w:val="000000"/>
                      <w:sz w:val="21"/>
                    </w:rPr>
                    <w:t>4、对于陕西省教育考试院所涉及的各类考试等进行人性化管理维护。</w:t>
                  </w:r>
                </w:p>
              </w:tc>
              <w:tc>
                <w:tcPr>
                  <w:tcW w:w="3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890C9D">
                  <w:pPr>
                    <w:pStyle w:val="4"/>
                    <w:jc w:val="center"/>
                  </w:pPr>
                  <w:r>
                    <w:rPr>
                      <w:rFonts w:ascii="仿宋_GB2312" w:hAnsi="仿宋_GB2312" w:eastAsia="仿宋_GB2312" w:cs="仿宋_GB2312"/>
                      <w:color w:val="000000"/>
                      <w:sz w:val="21"/>
                    </w:rPr>
                    <w:t>定制化</w:t>
                  </w:r>
                </w:p>
              </w:tc>
              <w:tc>
                <w:tcPr>
                  <w:tcW w:w="2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4FA368">
                  <w:pPr>
                    <w:pStyle w:val="4"/>
                    <w:jc w:val="center"/>
                  </w:pPr>
                  <w:r>
                    <w:rPr>
                      <w:rFonts w:ascii="仿宋_GB2312" w:hAnsi="仿宋_GB2312" w:eastAsia="仿宋_GB2312" w:cs="仿宋_GB2312"/>
                      <w:color w:val="000000"/>
                      <w:sz w:val="21"/>
                    </w:rPr>
                    <w:t>300</w:t>
                  </w:r>
                </w:p>
              </w:tc>
            </w:tr>
            <w:tr w14:paraId="17C1AB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4FB07B">
                  <w:pPr>
                    <w:pStyle w:val="4"/>
                    <w:jc w:val="center"/>
                  </w:pPr>
                  <w:r>
                    <w:rPr>
                      <w:rFonts w:ascii="仿宋_GB2312" w:hAnsi="仿宋_GB2312" w:eastAsia="仿宋_GB2312" w:cs="仿宋_GB2312"/>
                      <w:color w:val="000000"/>
                      <w:sz w:val="21"/>
                    </w:rPr>
                    <w:t>4</w:t>
                  </w:r>
                </w:p>
              </w:tc>
              <w:tc>
                <w:tcPr>
                  <w:tcW w:w="4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00184C">
                  <w:pPr>
                    <w:pStyle w:val="4"/>
                    <w:jc w:val="left"/>
                  </w:pPr>
                  <w:r>
                    <w:rPr>
                      <w:rFonts w:ascii="仿宋_GB2312" w:hAnsi="仿宋_GB2312" w:eastAsia="仿宋_GB2312" w:cs="仿宋_GB2312"/>
                      <w:color w:val="000000"/>
                      <w:sz w:val="21"/>
                    </w:rPr>
                    <w:t>应用服务器</w:t>
                  </w:r>
                </w:p>
              </w:tc>
              <w:tc>
                <w:tcPr>
                  <w:tcW w:w="13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0B40D8">
                  <w:pPr>
                    <w:pStyle w:val="4"/>
                    <w:jc w:val="left"/>
                  </w:pPr>
                  <w:r>
                    <w:rPr>
                      <w:rFonts w:ascii="仿宋_GB2312" w:hAnsi="仿宋_GB2312" w:eastAsia="仿宋_GB2312" w:cs="仿宋_GB2312"/>
                      <w:color w:val="000000"/>
                      <w:sz w:val="21"/>
                    </w:rPr>
                    <w:t>1、服务器日常巡检；如软硬件设备故障或者需要升级巡检后以书面方式汇总给甲方。</w:t>
                  </w:r>
                </w:p>
                <w:p w14:paraId="79F9FD98">
                  <w:pPr>
                    <w:pStyle w:val="4"/>
                    <w:jc w:val="left"/>
                  </w:pPr>
                  <w:r>
                    <w:rPr>
                      <w:rFonts w:ascii="仿宋_GB2312" w:hAnsi="仿宋_GB2312" w:eastAsia="仿宋_GB2312" w:cs="仿宋_GB2312"/>
                      <w:color w:val="000000"/>
                      <w:sz w:val="21"/>
                    </w:rPr>
                    <w:t>2、中心管理平台、视频分析软件、应用客户端程序的正常运行。</w:t>
                  </w:r>
                </w:p>
              </w:tc>
              <w:tc>
                <w:tcPr>
                  <w:tcW w:w="3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B574FA">
                  <w:pPr>
                    <w:pStyle w:val="4"/>
                    <w:jc w:val="center"/>
                  </w:pPr>
                  <w:r>
                    <w:rPr>
                      <w:rFonts w:ascii="仿宋_GB2312" w:hAnsi="仿宋_GB2312" w:eastAsia="仿宋_GB2312" w:cs="仿宋_GB2312"/>
                      <w:color w:val="000000"/>
                      <w:sz w:val="21"/>
                    </w:rPr>
                    <w:t>NF5270M4</w:t>
                  </w:r>
                </w:p>
              </w:tc>
              <w:tc>
                <w:tcPr>
                  <w:tcW w:w="2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BE7A20">
                  <w:pPr>
                    <w:pStyle w:val="4"/>
                    <w:jc w:val="center"/>
                  </w:pPr>
                  <w:r>
                    <w:rPr>
                      <w:rFonts w:ascii="仿宋_GB2312" w:hAnsi="仿宋_GB2312" w:eastAsia="仿宋_GB2312" w:cs="仿宋_GB2312"/>
                      <w:color w:val="000000"/>
                      <w:sz w:val="21"/>
                    </w:rPr>
                    <w:t>1</w:t>
                  </w:r>
                </w:p>
              </w:tc>
            </w:tr>
            <w:tr w14:paraId="54A68E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A57F3">
                  <w:pPr>
                    <w:pStyle w:val="4"/>
                    <w:jc w:val="center"/>
                  </w:pPr>
                  <w:r>
                    <w:rPr>
                      <w:rFonts w:ascii="仿宋_GB2312" w:hAnsi="仿宋_GB2312" w:eastAsia="仿宋_GB2312" w:cs="仿宋_GB2312"/>
                      <w:color w:val="000000"/>
                      <w:sz w:val="21"/>
                    </w:rPr>
                    <w:t>5</w:t>
                  </w:r>
                </w:p>
              </w:tc>
              <w:tc>
                <w:tcPr>
                  <w:tcW w:w="4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708949">
                  <w:pPr>
                    <w:pStyle w:val="4"/>
                    <w:jc w:val="left"/>
                  </w:pPr>
                  <w:r>
                    <w:rPr>
                      <w:rFonts w:ascii="仿宋_GB2312" w:hAnsi="仿宋_GB2312" w:eastAsia="仿宋_GB2312" w:cs="仿宋_GB2312"/>
                      <w:color w:val="000000"/>
                      <w:sz w:val="21"/>
                    </w:rPr>
                    <w:t>数据库服务器</w:t>
                  </w:r>
                </w:p>
              </w:tc>
              <w:tc>
                <w:tcPr>
                  <w:tcW w:w="13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0DAF1E">
                  <w:pPr>
                    <w:pStyle w:val="4"/>
                    <w:jc w:val="left"/>
                  </w:pPr>
                  <w:r>
                    <w:rPr>
                      <w:rFonts w:ascii="仿宋_GB2312" w:hAnsi="仿宋_GB2312" w:eastAsia="仿宋_GB2312" w:cs="仿宋_GB2312"/>
                      <w:color w:val="000000"/>
                      <w:sz w:val="21"/>
                    </w:rPr>
                    <w:t>1、服务器日常巡检；如软硬件设备故障或者需要升级巡检后以书面方式汇总给甲方。</w:t>
                  </w:r>
                </w:p>
                <w:p w14:paraId="155B7DA1">
                  <w:pPr>
                    <w:pStyle w:val="4"/>
                    <w:jc w:val="left"/>
                  </w:pPr>
                  <w:r>
                    <w:rPr>
                      <w:rFonts w:ascii="仿宋_GB2312" w:hAnsi="仿宋_GB2312" w:eastAsia="仿宋_GB2312" w:cs="仿宋_GB2312"/>
                      <w:color w:val="000000"/>
                      <w:sz w:val="21"/>
                    </w:rPr>
                    <w:t>2、支撑应用服务器的正常运行。</w:t>
                  </w:r>
                </w:p>
              </w:tc>
              <w:tc>
                <w:tcPr>
                  <w:tcW w:w="3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16210E">
                  <w:pPr>
                    <w:pStyle w:val="4"/>
                    <w:jc w:val="center"/>
                  </w:pPr>
                  <w:r>
                    <w:rPr>
                      <w:rFonts w:ascii="仿宋_GB2312" w:hAnsi="仿宋_GB2312" w:eastAsia="仿宋_GB2312" w:cs="仿宋_GB2312"/>
                      <w:color w:val="000000"/>
                      <w:sz w:val="21"/>
                    </w:rPr>
                    <w:t>NF5270M4</w:t>
                  </w:r>
                </w:p>
              </w:tc>
              <w:tc>
                <w:tcPr>
                  <w:tcW w:w="2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84A2D0">
                  <w:pPr>
                    <w:pStyle w:val="4"/>
                    <w:jc w:val="center"/>
                  </w:pPr>
                  <w:r>
                    <w:rPr>
                      <w:rFonts w:ascii="仿宋_GB2312" w:hAnsi="仿宋_GB2312" w:eastAsia="仿宋_GB2312" w:cs="仿宋_GB2312"/>
                      <w:color w:val="000000"/>
                      <w:sz w:val="21"/>
                    </w:rPr>
                    <w:t>1</w:t>
                  </w:r>
                </w:p>
              </w:tc>
            </w:tr>
            <w:tr w14:paraId="463F35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9CED54">
                  <w:pPr>
                    <w:pStyle w:val="4"/>
                    <w:jc w:val="center"/>
                  </w:pPr>
                  <w:r>
                    <w:rPr>
                      <w:rFonts w:ascii="仿宋_GB2312" w:hAnsi="仿宋_GB2312" w:eastAsia="仿宋_GB2312" w:cs="仿宋_GB2312"/>
                      <w:color w:val="000000"/>
                      <w:sz w:val="21"/>
                    </w:rPr>
                    <w:t>6</w:t>
                  </w:r>
                </w:p>
              </w:tc>
              <w:tc>
                <w:tcPr>
                  <w:tcW w:w="4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EC6A43">
                  <w:pPr>
                    <w:pStyle w:val="4"/>
                    <w:jc w:val="left"/>
                  </w:pPr>
                  <w:r>
                    <w:rPr>
                      <w:rFonts w:ascii="仿宋_GB2312" w:hAnsi="仿宋_GB2312" w:eastAsia="仿宋_GB2312" w:cs="仿宋_GB2312"/>
                      <w:color w:val="000000"/>
                      <w:sz w:val="21"/>
                    </w:rPr>
                    <w:t>视觉计算图形工作站</w:t>
                  </w:r>
                </w:p>
              </w:tc>
              <w:tc>
                <w:tcPr>
                  <w:tcW w:w="13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EC9A6F">
                  <w:pPr>
                    <w:pStyle w:val="4"/>
                    <w:jc w:val="left"/>
                  </w:pPr>
                  <w:r>
                    <w:rPr>
                      <w:rFonts w:ascii="仿宋_GB2312" w:hAnsi="仿宋_GB2312" w:eastAsia="仿宋_GB2312" w:cs="仿宋_GB2312"/>
                      <w:color w:val="000000"/>
                      <w:sz w:val="21"/>
                    </w:rPr>
                    <w:t>1、服务器日常巡检；如软硬件设备故障或者需要升级巡检后以书面方式汇总给甲方。</w:t>
                  </w:r>
                </w:p>
                <w:p w14:paraId="7D263605">
                  <w:pPr>
                    <w:pStyle w:val="4"/>
                    <w:jc w:val="left"/>
                  </w:pPr>
                  <w:r>
                    <w:rPr>
                      <w:rFonts w:ascii="仿宋_GB2312" w:hAnsi="仿宋_GB2312" w:eastAsia="仿宋_GB2312" w:cs="仿宋_GB2312"/>
                      <w:color w:val="000000"/>
                      <w:sz w:val="21"/>
                    </w:rPr>
                    <w:t>2、支撑保密室人数统计、异常行为检测分析、工作人员人脸授权检测的正常运行；</w:t>
                  </w:r>
                </w:p>
              </w:tc>
              <w:tc>
                <w:tcPr>
                  <w:tcW w:w="3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F747E8">
                  <w:pPr>
                    <w:pStyle w:val="4"/>
                    <w:jc w:val="center"/>
                  </w:pPr>
                  <w:r>
                    <w:rPr>
                      <w:rFonts w:ascii="仿宋_GB2312" w:hAnsi="仿宋_GB2312" w:eastAsia="仿宋_GB2312" w:cs="仿宋_GB2312"/>
                      <w:color w:val="000000"/>
                      <w:sz w:val="21"/>
                    </w:rPr>
                    <w:t>PR4908P</w:t>
                  </w:r>
                </w:p>
              </w:tc>
              <w:tc>
                <w:tcPr>
                  <w:tcW w:w="2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D3A4D3">
                  <w:pPr>
                    <w:pStyle w:val="4"/>
                    <w:jc w:val="center"/>
                  </w:pPr>
                  <w:r>
                    <w:rPr>
                      <w:rFonts w:ascii="仿宋_GB2312" w:hAnsi="仿宋_GB2312" w:eastAsia="仿宋_GB2312" w:cs="仿宋_GB2312"/>
                      <w:color w:val="000000"/>
                      <w:sz w:val="21"/>
                    </w:rPr>
                    <w:t>6</w:t>
                  </w:r>
                </w:p>
              </w:tc>
            </w:tr>
          </w:tbl>
          <w:p w14:paraId="1E045C3C"/>
        </w:tc>
      </w:tr>
    </w:tbl>
    <w:p w14:paraId="1CAC73B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22FDC"/>
    <w:rsid w:val="3B722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2026-04-29T15:41:00Z</dcterms:created>
  <dc:creator>123</dc:creator>
  <cp:lastModifiedBy>123</cp:lastModifiedBy>
  <dcterms:modified xsi:type="dcterms:W3CDTF">2026-04-29T15:41:56Z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0BEDD07AFC384A69ABF677EDF7CA4C17_11</vt:lpwstr>
  </property>
  <property fmtid="{D5CDD505-2E9C-101B-9397-08002B2CF9AE}" pid="4" name="KSOTemplateDocerSaveRecord">
    <vt:lpwstr>eyJoZGlkIjoiYzA1MTFjMGE5NjMwY2U1ODU1MGFhN2UxMjk1NDdlZjEiLCJ1c2VySWQiOiI0NTE5NDQwNTQifQ==</vt:lpwstr>
  </property>
</Properties>
</file>