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5"/>
        <w:gridCol w:w="1069"/>
        <w:gridCol w:w="7374"/>
      </w:tblGrid>
      <w:tr w14:paraId="6FA76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531A046F">
            <w:pPr>
              <w:pStyle w:val="24"/>
              <w:jc w:val="center"/>
              <w:rPr>
                <w:rFonts w:hint="eastAsia" w:asciiTheme="minorEastAsia" w:hAnsiTheme="minorEastAsia" w:eastAsiaTheme="minorEastAsia" w:cstheme="minorEastAsia"/>
              </w:rPr>
            </w:pPr>
            <w:bookmarkStart w:id="0" w:name="_GoBack"/>
            <w:r>
              <w:rPr>
                <w:rFonts w:hint="eastAsia" w:asciiTheme="minorEastAsia" w:hAnsiTheme="minorEastAsia" w:eastAsiaTheme="minorEastAsia" w:cstheme="minorEastAsia"/>
              </w:rPr>
              <w:t>序号</w:t>
            </w:r>
          </w:p>
        </w:tc>
        <w:tc>
          <w:tcPr>
            <w:tcW w:w="1250" w:type="dxa"/>
          </w:tcPr>
          <w:p w14:paraId="78C04ABE">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参数性质</w:t>
            </w:r>
          </w:p>
        </w:tc>
        <w:tc>
          <w:tcPr>
            <w:tcW w:w="6308" w:type="dxa"/>
          </w:tcPr>
          <w:p w14:paraId="1620AFE5">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技术参数与性能指标</w:t>
            </w:r>
          </w:p>
        </w:tc>
      </w:tr>
      <w:tr w14:paraId="687DA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1EC5FE34">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250" w:type="dxa"/>
          </w:tcPr>
          <w:p w14:paraId="1F9B9895">
            <w:pPr>
              <w:rPr>
                <w:rFonts w:hint="eastAsia" w:asciiTheme="minorEastAsia" w:hAnsiTheme="minorEastAsia" w:eastAsiaTheme="minorEastAsia" w:cstheme="minorEastAsia"/>
              </w:rPr>
            </w:pPr>
          </w:p>
        </w:tc>
        <w:tc>
          <w:tcPr>
            <w:tcW w:w="6308" w:type="dxa"/>
          </w:tcPr>
          <w:p w14:paraId="7FBA2D3B">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1"/>
              </w:rPr>
              <w:t>一、项目概况</w:t>
            </w:r>
          </w:p>
          <w:p w14:paraId="1DF5D3FD">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该项目为西安美术学院长安校区与雁塔校区之间的师生通勤班车服务项目，旨在保障两校区师生的日常教学、科研及办公出行需求。项目内容包括每日定时定点的通勤班车服务、临时性大型活动用车保障、节假日师生关怀服务等。服务对象为西安美术学院教职工及学生，预计每日通勤人数约200人次。</w:t>
            </w:r>
          </w:p>
        </w:tc>
      </w:tr>
      <w:tr w14:paraId="4E1FF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4B8C71DF">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250" w:type="dxa"/>
          </w:tcPr>
          <w:p w14:paraId="6B09D2A0">
            <w:pPr>
              <w:rPr>
                <w:rFonts w:hint="eastAsia" w:asciiTheme="minorEastAsia" w:hAnsiTheme="minorEastAsia" w:eastAsiaTheme="minorEastAsia" w:cstheme="minorEastAsia"/>
              </w:rPr>
            </w:pPr>
          </w:p>
        </w:tc>
        <w:tc>
          <w:tcPr>
            <w:tcW w:w="6308" w:type="dxa"/>
          </w:tcPr>
          <w:p w14:paraId="11D073A2">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1"/>
              </w:rPr>
              <w:t>二、服务内容</w:t>
            </w:r>
          </w:p>
          <w:p w14:paraId="7AA6F42D">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（一）通勤班车服务</w:t>
            </w:r>
          </w:p>
          <w:p w14:paraId="68AA2780">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提供雁塔校区至长安校区的日常通勤班车服务，按西安美术学院规定的线路、时间、站点运行，确保准时、安全、舒适。</w:t>
            </w:r>
          </w:p>
          <w:p w14:paraId="5B4FC0F7">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（二）临时用车保障</w:t>
            </w:r>
          </w:p>
          <w:p w14:paraId="4DB13869">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为西安美术学院大型活动、考试、会议等提供临时性客车服务，按需调度，灵活安排。</w:t>
            </w:r>
          </w:p>
          <w:p w14:paraId="49CB27EC">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（三）车辆及设施配备</w:t>
            </w:r>
          </w:p>
          <w:p w14:paraId="6E0F92D1">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提供符合要求的客车，配备必要的人文关怀设施如医药箱、雨伞等，提升服务体验。</w:t>
            </w:r>
          </w:p>
        </w:tc>
      </w:tr>
      <w:tr w14:paraId="683A0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0F320920">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250" w:type="dxa"/>
          </w:tcPr>
          <w:p w14:paraId="3F3284A1">
            <w:pPr>
              <w:rPr>
                <w:rFonts w:hint="eastAsia" w:asciiTheme="minorEastAsia" w:hAnsiTheme="minorEastAsia" w:eastAsiaTheme="minorEastAsia" w:cstheme="minorEastAsia"/>
              </w:rPr>
            </w:pPr>
          </w:p>
        </w:tc>
        <w:tc>
          <w:tcPr>
            <w:tcW w:w="6308" w:type="dxa"/>
          </w:tcPr>
          <w:p w14:paraId="7DB05D45">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1"/>
              </w:rPr>
              <w:t>三、服务标准及要求</w:t>
            </w:r>
          </w:p>
          <w:p w14:paraId="75663E87">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1"/>
              </w:rPr>
              <w:t>（一）车辆要求</w:t>
            </w:r>
          </w:p>
          <w:p w14:paraId="7B822C23">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车辆登记日期不超过5年，行驶里程不超过10万公里；</w:t>
            </w:r>
          </w:p>
          <w:p w14:paraId="6A507D0A">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车辆技术状况良好，落实二级维护及“三检”制度，车容整洁，设施齐全，具备空调、暖风等功能；</w:t>
            </w:r>
          </w:p>
          <w:p w14:paraId="1D12724E">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车辆须符合西安市环保排放标准，配备交强险、承运人责任险（不低于50万元/座）及商业险；</w:t>
            </w:r>
          </w:p>
          <w:p w14:paraId="50DC6BAD">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车辆须配备爱心椅、医药箱（含速效救心丸、纱布、口罩等）、雨伞等人性化设施；</w:t>
            </w:r>
          </w:p>
          <w:p w14:paraId="5BDFE39A">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车辆不得擅自更换，如需更换须提前7个工作日向采购人提出书面申请，经同意后方可更换，且更换后车辆不得低于原标准；</w:t>
            </w:r>
          </w:p>
          <w:p w14:paraId="16EB11D7">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提供车辆行驶证、保险单等证明材料。</w:t>
            </w:r>
          </w:p>
          <w:p w14:paraId="0D281CF1">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1"/>
              </w:rPr>
              <w:t>（二）驾驶员要求</w:t>
            </w:r>
          </w:p>
          <w:p w14:paraId="38DE071E">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驾驶员须持有合法有效的驾驶证，身体健康，无违法犯罪记录，近3年无重大交通安全事故，无酒驾、毒驾 、重大责任事故记录；</w:t>
            </w:r>
          </w:p>
          <w:p w14:paraId="22E550F5">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驾驶员须着装整洁统一，佩戴工牌，文明用语，服务热情；</w:t>
            </w:r>
          </w:p>
          <w:p w14:paraId="59C1B7E3">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驾驶员须熟悉线路，按时发车，不得擅自改变线路、站点或时间；</w:t>
            </w:r>
          </w:p>
          <w:p w14:paraId="15FC53F3">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驾驶员不得在行车过程中接打手持电话、吸烟、超速行驶；</w:t>
            </w:r>
          </w:p>
          <w:p w14:paraId="73A1E2F6">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驾驶员须配合西安美术学院管理，接受监督，及时处理投诉；</w:t>
            </w:r>
          </w:p>
          <w:p w14:paraId="0EFB08C2">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提供驾驶员资格证等证明材料。</w:t>
            </w:r>
          </w:p>
          <w:p w14:paraId="42B7A70B">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1"/>
              </w:rPr>
              <w:t>（三）服务标准</w:t>
            </w:r>
          </w:p>
          <w:p w14:paraId="46035CB0">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按时发车，确保准时到达，延误≥30 分钟：每次视情节酌情扣罚500-2000元，月度累计3次，校方有权解约；</w:t>
            </w:r>
          </w:p>
          <w:p w14:paraId="42763556">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车辆须提前到达始发站，做好发车准备；</w:t>
            </w:r>
          </w:p>
          <w:p w14:paraId="2CCA400A">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服务过程中须文明驾驶，确保师生安全；</w:t>
            </w:r>
          </w:p>
          <w:p w14:paraId="3CEB9201">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如遇车辆故障，须在市区30分钟、郊区1小时内调配替换车辆；</w:t>
            </w:r>
          </w:p>
          <w:p w14:paraId="0F1D091B">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供应商须指定专人负责调度，制定应急预案并报采购人备案；</w:t>
            </w:r>
          </w:p>
          <w:p w14:paraId="7DC6F4FB">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供应商须配合西安美术学院开展节假日人文关怀活动，提供小礼品等增值服务。</w:t>
            </w:r>
          </w:p>
          <w:p w14:paraId="7EB7F78F">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1"/>
              </w:rPr>
              <w:t>（四）其他要求</w:t>
            </w:r>
          </w:p>
          <w:p w14:paraId="3AD37CBD">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行车安全、交通事故、人员伤亡、财产损失全部由供应商承担，校方不承担相关责任；</w:t>
            </w:r>
          </w:p>
          <w:p w14:paraId="23AE5514">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供应商应具备完善的车辆管理和驾驶员培训体系；</w:t>
            </w:r>
          </w:p>
          <w:p w14:paraId="7399FA51">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供应商应具备应急处理和故障救援能力。</w:t>
            </w:r>
          </w:p>
        </w:tc>
      </w:tr>
      <w:tr w14:paraId="4001D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4373F1E3">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250" w:type="dxa"/>
          </w:tcPr>
          <w:p w14:paraId="46E13D4A">
            <w:pPr>
              <w:rPr>
                <w:rFonts w:hint="eastAsia" w:asciiTheme="minorEastAsia" w:hAnsiTheme="minorEastAsia" w:eastAsiaTheme="minorEastAsia" w:cstheme="minorEastAsia"/>
              </w:rPr>
            </w:pPr>
          </w:p>
        </w:tc>
        <w:tc>
          <w:tcPr>
            <w:tcW w:w="6308" w:type="dxa"/>
          </w:tcPr>
          <w:p w14:paraId="4438BB52">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1"/>
              </w:rPr>
              <w:t>四、线路运营安排</w:t>
            </w:r>
          </w:p>
          <w:p w14:paraId="1B2D65ED">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（一）日常通勤线路</w:t>
            </w:r>
          </w:p>
          <w:tbl>
            <w:tblPr>
              <w:tblStyle w:val="13"/>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72"/>
              <w:gridCol w:w="1622"/>
              <w:gridCol w:w="1372"/>
              <w:gridCol w:w="1372"/>
            </w:tblGrid>
            <w:tr w14:paraId="4E00D4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3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6CA0023">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始发地点</w:t>
                  </w:r>
                </w:p>
              </w:tc>
              <w:tc>
                <w:tcPr>
                  <w:tcW w:w="162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51B2C4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发车时间</w:t>
                  </w:r>
                </w:p>
              </w:tc>
              <w:tc>
                <w:tcPr>
                  <w:tcW w:w="13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D9162F">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车辆数</w:t>
                  </w:r>
                </w:p>
              </w:tc>
              <w:tc>
                <w:tcPr>
                  <w:tcW w:w="137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6884E41">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终到站点</w:t>
                  </w:r>
                </w:p>
              </w:tc>
            </w:tr>
            <w:tr w14:paraId="57BD02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6A84EA">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雁塔校区</w:t>
                  </w:r>
                </w:p>
              </w:tc>
              <w:tc>
                <w:tcPr>
                  <w:tcW w:w="1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209A9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7:05</w:t>
                  </w:r>
                </w:p>
              </w:tc>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D59DEB">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1</w:t>
                  </w:r>
                </w:p>
              </w:tc>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4918C1">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长安校区</w:t>
                  </w:r>
                </w:p>
              </w:tc>
            </w:tr>
            <w:tr w14:paraId="4D852B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05C88C">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雁塔校区</w:t>
                  </w:r>
                </w:p>
              </w:tc>
              <w:tc>
                <w:tcPr>
                  <w:tcW w:w="1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BF672">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7:25</w:t>
                  </w:r>
                </w:p>
              </w:tc>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BDB33D">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1</w:t>
                  </w:r>
                </w:p>
              </w:tc>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08CC2E">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长安校区</w:t>
                  </w:r>
                </w:p>
              </w:tc>
            </w:tr>
            <w:tr w14:paraId="415270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2824A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长安校区</w:t>
                  </w:r>
                </w:p>
              </w:tc>
              <w:tc>
                <w:tcPr>
                  <w:tcW w:w="1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126F27">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12:10</w:t>
                  </w:r>
                </w:p>
              </w:tc>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83A1B5">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1</w:t>
                  </w:r>
                </w:p>
              </w:tc>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E2FCFC">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雁塔校区</w:t>
                  </w:r>
                </w:p>
              </w:tc>
            </w:tr>
            <w:tr w14:paraId="53B14B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60A7EB">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雁塔校区</w:t>
                  </w:r>
                </w:p>
              </w:tc>
              <w:tc>
                <w:tcPr>
                  <w:tcW w:w="1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A37317">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13:20</w:t>
                  </w:r>
                </w:p>
              </w:tc>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69C00">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1</w:t>
                  </w:r>
                </w:p>
              </w:tc>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EBFD91">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长安校区</w:t>
                  </w:r>
                </w:p>
              </w:tc>
            </w:tr>
            <w:tr w14:paraId="6D4499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BB674">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长安校区</w:t>
                  </w:r>
                </w:p>
              </w:tc>
              <w:tc>
                <w:tcPr>
                  <w:tcW w:w="1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CBFBC4">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18:00</w:t>
                  </w:r>
                </w:p>
              </w:tc>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AD1955">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1</w:t>
                  </w:r>
                </w:p>
              </w:tc>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9C87D5">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雁塔校区</w:t>
                  </w:r>
                </w:p>
              </w:tc>
            </w:tr>
            <w:tr w14:paraId="1D94A4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1C3FF">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长安校区</w:t>
                  </w:r>
                </w:p>
              </w:tc>
              <w:tc>
                <w:tcPr>
                  <w:tcW w:w="162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B1AE0E">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18:20</w:t>
                  </w:r>
                </w:p>
              </w:tc>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3F4D05">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1</w:t>
                  </w:r>
                </w:p>
              </w:tc>
              <w:tc>
                <w:tcPr>
                  <w:tcW w:w="13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EB3604">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雁塔校区</w:t>
                  </w:r>
                </w:p>
              </w:tc>
            </w:tr>
          </w:tbl>
          <w:p w14:paraId="42ADA89D">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1"/>
              </w:rPr>
              <w:t>（二）通勤车计价结算方法</w:t>
            </w:r>
          </w:p>
          <w:p w14:paraId="2DA1B950">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1、两辆车，共运行3圈，根据院历教学时间估算，2026学年（2026年9月-2027年8月），运行日为185天。</w:t>
            </w:r>
          </w:p>
          <w:p w14:paraId="35592B50">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2、两个校区间一个往返为一圈，单价为一辆车跑一圈的价格，圈数为每个运行日两辆车跑的圈数的总和。</w:t>
            </w:r>
          </w:p>
          <w:p w14:paraId="0145E32E">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3、计算公式：费用=圈数（3圈）×单价（元/圈）×运行日</w:t>
            </w:r>
          </w:p>
          <w:p w14:paraId="6CC3BA96">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1"/>
              </w:rPr>
              <w:t>（三）临时用车安排</w:t>
            </w:r>
          </w:p>
          <w:p w14:paraId="7790FCD7">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根据西安美术学院实际需求，提供临时用车服务，每公里单价参照固定用车(通勤车)的折算单价，超出100公里另行协商。</w:t>
            </w:r>
          </w:p>
          <w:p w14:paraId="6604307C">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1"/>
              </w:rPr>
              <w:t>（四）报价要求</w:t>
            </w:r>
          </w:p>
          <w:p w14:paraId="65B76BE5">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 xml:space="preserve">本项目包括固定用车（通勤车）及临时用车，固定用车的最高限价（单价）：780元/圈，临时用车每公里单价参照固定用车（通勤车）的折算单价。供应商报价时只需报固定用车（通勤车）价格。 </w:t>
            </w:r>
            <w:r>
              <w:rPr>
                <w:rFonts w:hint="eastAsia" w:asciiTheme="minorEastAsia" w:hAnsiTheme="minorEastAsia" w:eastAsiaTheme="minorEastAsia" w:cstheme="minorEastAsia"/>
                <w:b/>
                <w:sz w:val="21"/>
              </w:rPr>
              <w:t>注：报价形式为单价。</w:t>
            </w:r>
          </w:p>
        </w:tc>
      </w:tr>
      <w:tr w14:paraId="15FC0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 w:type="dxa"/>
          </w:tcPr>
          <w:p w14:paraId="1BD844FB">
            <w:pPr>
              <w:pStyle w:val="24"/>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250" w:type="dxa"/>
          </w:tcPr>
          <w:p w14:paraId="6600F8B6">
            <w:pPr>
              <w:rPr>
                <w:rFonts w:hint="eastAsia" w:asciiTheme="minorEastAsia" w:hAnsiTheme="minorEastAsia" w:eastAsiaTheme="minorEastAsia" w:cstheme="minorEastAsia"/>
              </w:rPr>
            </w:pPr>
          </w:p>
        </w:tc>
        <w:tc>
          <w:tcPr>
            <w:tcW w:w="6308" w:type="dxa"/>
          </w:tcPr>
          <w:p w14:paraId="590662A9">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1"/>
              </w:rPr>
              <w:t>五、服务质量与评价标准</w:t>
            </w:r>
          </w:p>
          <w:p w14:paraId="627095F4">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采购人定期对服务质量进行考评，内容包括准时率、服务态度、车辆状况、应急处理能力等；</w:t>
            </w:r>
          </w:p>
          <w:p w14:paraId="300C65CA">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要求服务质量达到合格以上，当月考核分数达到95分以上；详见通勤车辆服务考核表附件。</w:t>
            </w:r>
          </w:p>
          <w:p w14:paraId="1E927715">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如发生延误、投诉、事故等，按合同约定扣减相应服务费；</w:t>
            </w:r>
          </w:p>
          <w:p w14:paraId="4624F56F">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一年内累计发生3次及以上严重违约行为，采购人有权解除合同，并将供应商列入不良供应商名单。</w:t>
            </w:r>
          </w:p>
          <w:p w14:paraId="632B15EE">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附件：</w:t>
            </w:r>
          </w:p>
          <w:p w14:paraId="60125942">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西安美术学院通勤车辆服务考核表</w:t>
            </w:r>
          </w:p>
          <w:p w14:paraId="55FE1AD7">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考核人：</w:t>
            </w:r>
            <w:r>
              <w:rPr>
                <w:rFonts w:hint="eastAsia" w:asciiTheme="minorEastAsia" w:hAnsiTheme="minorEastAsia" w:eastAsiaTheme="minorEastAsia" w:cstheme="minorEastAsia"/>
                <w:sz w:val="21"/>
                <w:u w:val="single"/>
              </w:rPr>
              <w:t xml:space="preserve">              </w:t>
            </w:r>
            <w:r>
              <w:rPr>
                <w:rFonts w:hint="eastAsia" w:asciiTheme="minorEastAsia" w:hAnsiTheme="minorEastAsia" w:eastAsiaTheme="minorEastAsia" w:cstheme="minorEastAsia"/>
                <w:sz w:val="21"/>
              </w:rPr>
              <w:t xml:space="preserve">                             </w:t>
            </w:r>
          </w:p>
          <w:p w14:paraId="426C3312">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被考核人：</w:t>
            </w:r>
            <w:r>
              <w:rPr>
                <w:rFonts w:hint="eastAsia" w:asciiTheme="minorEastAsia" w:hAnsiTheme="minorEastAsia" w:eastAsiaTheme="minorEastAsia" w:cstheme="minorEastAsia"/>
                <w:sz w:val="21"/>
                <w:u w:val="single"/>
              </w:rPr>
              <w:t xml:space="preserve">             </w:t>
            </w:r>
          </w:p>
          <w:p w14:paraId="770A1883">
            <w:pPr>
              <w:pStyle w:val="24"/>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rPr>
              <w:t>考核时间：     年     月     日</w:t>
            </w:r>
          </w:p>
          <w:tbl>
            <w:tblPr>
              <w:tblStyle w:val="13"/>
              <w:tblW w:w="715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00"/>
              <w:gridCol w:w="627"/>
              <w:gridCol w:w="1000"/>
              <w:gridCol w:w="2650"/>
              <w:gridCol w:w="627"/>
              <w:gridCol w:w="627"/>
              <w:gridCol w:w="627"/>
            </w:tblGrid>
            <w:tr w14:paraId="5E51DF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000" w:type="dxa"/>
                  <w:tcBorders>
                    <w:top w:val="single" w:color="000000" w:sz="4" w:space="0"/>
                    <w:left w:val="single" w:color="000000" w:sz="4" w:space="0"/>
                    <w:bottom w:val="single" w:color="000000" w:sz="4" w:space="0"/>
                    <w:right w:val="single" w:color="000000" w:sz="4" w:space="0"/>
                  </w:tcBorders>
                  <w:tcMar>
                    <w:top w:w="30" w:type="dxa"/>
                    <w:left w:w="60" w:type="dxa"/>
                    <w:bottom w:w="30" w:type="dxa"/>
                    <w:right w:w="60" w:type="dxa"/>
                  </w:tcMar>
                  <w:vAlign w:val="top"/>
                </w:tcPr>
                <w:p w14:paraId="6BB591FD">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18"/>
                    </w:rPr>
                    <w:t>考核项目</w:t>
                  </w:r>
                </w:p>
              </w:tc>
              <w:tc>
                <w:tcPr>
                  <w:tcW w:w="627" w:type="dxa"/>
                  <w:tcBorders>
                    <w:top w:val="single" w:color="000000" w:sz="4" w:space="0"/>
                    <w:left w:val="nil"/>
                    <w:bottom w:val="single" w:color="000000" w:sz="4" w:space="0"/>
                    <w:right w:val="single" w:color="000000" w:sz="4" w:space="0"/>
                  </w:tcBorders>
                  <w:tcMar>
                    <w:top w:w="30" w:type="dxa"/>
                    <w:left w:w="60" w:type="dxa"/>
                    <w:bottom w:w="30" w:type="dxa"/>
                    <w:right w:w="60" w:type="dxa"/>
                  </w:tcMar>
                  <w:vAlign w:val="top"/>
                </w:tcPr>
                <w:p w14:paraId="4880618C">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18"/>
                    </w:rPr>
                    <w:t>序号</w:t>
                  </w:r>
                </w:p>
              </w:tc>
              <w:tc>
                <w:tcPr>
                  <w:tcW w:w="1000" w:type="dxa"/>
                  <w:tcBorders>
                    <w:top w:val="single" w:color="000000" w:sz="4" w:space="0"/>
                    <w:left w:val="nil"/>
                    <w:bottom w:val="single" w:color="000000" w:sz="4" w:space="0"/>
                    <w:right w:val="single" w:color="000000" w:sz="4" w:space="0"/>
                  </w:tcBorders>
                  <w:tcMar>
                    <w:top w:w="30" w:type="dxa"/>
                    <w:left w:w="60" w:type="dxa"/>
                    <w:bottom w:w="30" w:type="dxa"/>
                    <w:right w:w="60" w:type="dxa"/>
                  </w:tcMar>
                  <w:vAlign w:val="top"/>
                </w:tcPr>
                <w:p w14:paraId="71D75DE8">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18"/>
                    </w:rPr>
                    <w:t>考核内容</w:t>
                  </w:r>
                </w:p>
              </w:tc>
              <w:tc>
                <w:tcPr>
                  <w:tcW w:w="2650" w:type="dxa"/>
                  <w:tcBorders>
                    <w:top w:val="single" w:color="000000" w:sz="4" w:space="0"/>
                    <w:left w:val="nil"/>
                    <w:bottom w:val="single" w:color="000000" w:sz="4" w:space="0"/>
                    <w:right w:val="single" w:color="000000" w:sz="4" w:space="0"/>
                  </w:tcBorders>
                  <w:tcMar>
                    <w:top w:w="30" w:type="dxa"/>
                    <w:left w:w="60" w:type="dxa"/>
                    <w:bottom w:w="30" w:type="dxa"/>
                    <w:right w:w="60" w:type="dxa"/>
                  </w:tcMar>
                  <w:vAlign w:val="top"/>
                </w:tcPr>
                <w:p w14:paraId="3B98AEF0">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18"/>
                    </w:rPr>
                    <w:t>标准细则</w:t>
                  </w:r>
                </w:p>
              </w:tc>
              <w:tc>
                <w:tcPr>
                  <w:tcW w:w="627" w:type="dxa"/>
                  <w:tcBorders>
                    <w:top w:val="single" w:color="000000" w:sz="4" w:space="0"/>
                    <w:left w:val="nil"/>
                    <w:bottom w:val="single" w:color="000000" w:sz="4" w:space="0"/>
                    <w:right w:val="single" w:color="000000" w:sz="4" w:space="0"/>
                  </w:tcBorders>
                  <w:tcMar>
                    <w:top w:w="30" w:type="dxa"/>
                    <w:left w:w="60" w:type="dxa"/>
                    <w:bottom w:w="30" w:type="dxa"/>
                    <w:right w:w="60" w:type="dxa"/>
                  </w:tcMar>
                  <w:vAlign w:val="top"/>
                </w:tcPr>
                <w:p w14:paraId="4A744E85">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18"/>
                    </w:rPr>
                    <w:t>分</w:t>
                  </w:r>
                </w:p>
                <w:p w14:paraId="35C05620">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18"/>
                    </w:rPr>
                    <w:t>值</w:t>
                  </w:r>
                </w:p>
              </w:tc>
              <w:tc>
                <w:tcPr>
                  <w:tcW w:w="627" w:type="dxa"/>
                  <w:tcBorders>
                    <w:top w:val="single" w:color="000000" w:sz="4" w:space="0"/>
                    <w:left w:val="nil"/>
                    <w:bottom w:val="single" w:color="000000" w:sz="4" w:space="0"/>
                    <w:right w:val="single" w:color="000000" w:sz="4" w:space="0"/>
                  </w:tcBorders>
                  <w:tcMar>
                    <w:top w:w="30" w:type="dxa"/>
                    <w:left w:w="60" w:type="dxa"/>
                    <w:bottom w:w="30" w:type="dxa"/>
                    <w:right w:w="60" w:type="dxa"/>
                  </w:tcMar>
                  <w:vAlign w:val="top"/>
                </w:tcPr>
                <w:p w14:paraId="0695348E">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18"/>
                    </w:rPr>
                    <w:t>得</w:t>
                  </w:r>
                </w:p>
                <w:p w14:paraId="307F2ED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18"/>
                    </w:rPr>
                    <w:t>分</w:t>
                  </w:r>
                </w:p>
              </w:tc>
              <w:tc>
                <w:tcPr>
                  <w:tcW w:w="627" w:type="dxa"/>
                  <w:tcBorders>
                    <w:top w:val="single" w:color="000000" w:sz="4" w:space="0"/>
                    <w:left w:val="nil"/>
                    <w:bottom w:val="single" w:color="000000" w:sz="4" w:space="0"/>
                    <w:right w:val="single" w:color="000000" w:sz="4" w:space="0"/>
                  </w:tcBorders>
                  <w:tcMar>
                    <w:top w:w="30" w:type="dxa"/>
                    <w:left w:w="60" w:type="dxa"/>
                    <w:bottom w:w="30" w:type="dxa"/>
                    <w:right w:w="60" w:type="dxa"/>
                  </w:tcMar>
                  <w:vAlign w:val="top"/>
                </w:tcPr>
                <w:p w14:paraId="7CF01847">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18"/>
                    </w:rPr>
                    <w:t>备</w:t>
                  </w:r>
                </w:p>
                <w:p w14:paraId="2E19453F">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sz w:val="18"/>
                    </w:rPr>
                    <w:t>注</w:t>
                  </w:r>
                </w:p>
              </w:tc>
            </w:tr>
            <w:tr w14:paraId="2CA1A4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904" w:hRule="atLeast"/>
              </w:trPr>
              <w:tc>
                <w:tcPr>
                  <w:tcW w:w="1000" w:type="dxa"/>
                  <w:vMerge w:val="restart"/>
                  <w:tcBorders>
                    <w:top w:val="nil"/>
                    <w:left w:val="single" w:color="000000" w:sz="4" w:space="0"/>
                    <w:bottom w:val="nil"/>
                    <w:right w:val="single" w:color="000000" w:sz="4" w:space="0"/>
                  </w:tcBorders>
                  <w:tcMar>
                    <w:top w:w="30" w:type="dxa"/>
                    <w:left w:w="60" w:type="dxa"/>
                    <w:bottom w:w="30" w:type="dxa"/>
                    <w:right w:w="60" w:type="dxa"/>
                  </w:tcMar>
                  <w:vAlign w:val="top"/>
                </w:tcPr>
                <w:p w14:paraId="55FC6EAB">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车辆管理</w:t>
                  </w:r>
                </w:p>
                <w:p w14:paraId="382032AD">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（25分）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6AF41991">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1</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1FF34D61">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车辆技术状况及清洁</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7CCE0B27">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车辆符合合同要求（宇通牌，绿色，登记≤5年，里程≤10万公里）；车况良好，车容整洁，空调暖风正常。每发现1项不达标扣2分。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147BDBBF">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6</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3F169E8F">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02FA56E2">
                  <w:pPr>
                    <w:rPr>
                      <w:rFonts w:hint="eastAsia" w:asciiTheme="minorEastAsia" w:hAnsiTheme="minorEastAsia" w:eastAsiaTheme="minorEastAsia" w:cstheme="minorEastAsia"/>
                    </w:rPr>
                  </w:pPr>
                </w:p>
              </w:tc>
            </w:tr>
            <w:tr w14:paraId="6D8B6A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96" w:hRule="atLeast"/>
              </w:trPr>
              <w:tc>
                <w:tcPr>
                  <w:tcW w:w="1000" w:type="dxa"/>
                  <w:vMerge w:val="continue"/>
                  <w:tcBorders>
                    <w:top w:val="nil"/>
                    <w:left w:val="single" w:color="000000" w:sz="4" w:space="0"/>
                    <w:bottom w:val="nil"/>
                    <w:right w:val="single" w:color="000000" w:sz="4" w:space="0"/>
                  </w:tcBorders>
                </w:tcPr>
                <w:p w14:paraId="1CC16A9F">
                  <w:pP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58609989">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2</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0DB807AB">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随车配备及保险</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5D83F9F5">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配备雨伞、爱心椅、医药箱（含指定物品）；保险齐全（交强险、承运人险≥50万/座、商业险）。每缺1项扣2分。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329BEDBA">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6</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5CC0AAB1">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4B4A4452">
                  <w:pPr>
                    <w:rPr>
                      <w:rFonts w:hint="eastAsia" w:asciiTheme="minorEastAsia" w:hAnsiTheme="minorEastAsia" w:eastAsiaTheme="minorEastAsia" w:cstheme="minorEastAsia"/>
                    </w:rPr>
                  </w:pPr>
                </w:p>
              </w:tc>
            </w:tr>
            <w:tr w14:paraId="3021A9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96" w:hRule="atLeast"/>
              </w:trPr>
              <w:tc>
                <w:tcPr>
                  <w:tcW w:w="1000" w:type="dxa"/>
                  <w:vMerge w:val="continue"/>
                  <w:tcBorders>
                    <w:top w:val="nil"/>
                    <w:left w:val="single" w:color="000000" w:sz="4" w:space="0"/>
                    <w:bottom w:val="nil"/>
                    <w:right w:val="single" w:color="000000" w:sz="4" w:space="0"/>
                  </w:tcBorders>
                </w:tcPr>
                <w:p w14:paraId="4CC52157">
                  <w:pP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6E5B839F">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3</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1AC32B0C">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车辆更换管理</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2F2809B5">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不得擅自更换车辆；确需更换须提前7日书面申请并经甲方同意，更换车辆须符合全部要求。擅自更换每次扣3分。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45C0B520">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6</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092D0E2F">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51A0F6ED">
                  <w:pPr>
                    <w:rPr>
                      <w:rFonts w:hint="eastAsia" w:asciiTheme="minorEastAsia" w:hAnsiTheme="minorEastAsia" w:eastAsiaTheme="minorEastAsia" w:cstheme="minorEastAsia"/>
                    </w:rPr>
                  </w:pPr>
                </w:p>
              </w:tc>
            </w:tr>
            <w:tr w14:paraId="1B169F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596" w:hRule="atLeast"/>
              </w:trPr>
              <w:tc>
                <w:tcPr>
                  <w:tcW w:w="1000" w:type="dxa"/>
                  <w:vMerge w:val="continue"/>
                  <w:tcBorders>
                    <w:top w:val="nil"/>
                    <w:left w:val="single" w:color="000000" w:sz="4" w:space="0"/>
                    <w:bottom w:val="nil"/>
                    <w:right w:val="single" w:color="000000" w:sz="4" w:space="0"/>
                  </w:tcBorders>
                </w:tcPr>
                <w:p w14:paraId="5C7478C6">
                  <w:pP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5852AC01">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4</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217C5A2A">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应急备用车及故障救援</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5D78776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制定故障应急预案并备案；故障后市区≤30分钟、郊区≤1小时救援或更换车辆。超时每次扣2分，影响用车每次扣3分。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38DADF4C">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7</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1A9BD781">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0E5700FC">
                  <w:pPr>
                    <w:rPr>
                      <w:rFonts w:hint="eastAsia" w:asciiTheme="minorEastAsia" w:hAnsiTheme="minorEastAsia" w:eastAsiaTheme="minorEastAsia" w:cstheme="minorEastAsia"/>
                    </w:rPr>
                  </w:pPr>
                </w:p>
              </w:tc>
            </w:tr>
            <w:tr w14:paraId="72CA08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06" w:hRule="atLeast"/>
              </w:trPr>
              <w:tc>
                <w:tcPr>
                  <w:tcW w:w="1000" w:type="dxa"/>
                  <w:vMerge w:val="restart"/>
                  <w:tcBorders>
                    <w:top w:val="single" w:color="000000" w:sz="4" w:space="0"/>
                    <w:left w:val="single" w:color="000000" w:sz="4" w:space="0"/>
                    <w:bottom w:val="nil"/>
                    <w:right w:val="single" w:color="000000" w:sz="4" w:space="0"/>
                  </w:tcBorders>
                  <w:tcMar>
                    <w:top w:w="30" w:type="dxa"/>
                    <w:left w:w="60" w:type="dxa"/>
                    <w:bottom w:w="30" w:type="dxa"/>
                    <w:right w:w="60" w:type="dxa"/>
                  </w:tcMar>
                  <w:vAlign w:val="top"/>
                </w:tcPr>
                <w:p w14:paraId="0FD1DFA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驾驶员服务（25分）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4C42529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1</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4EF9EE25">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驾驶员资质与培训</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2CB8E307">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持有效驾驶证，无重大事故记录，身体健康，品行良好，经岗前安全培训，熟悉线路。资质不符每人次扣3分。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26385934">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7</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17EFFB15">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0FF6BC64">
                  <w:pPr>
                    <w:rPr>
                      <w:rFonts w:hint="eastAsia" w:asciiTheme="minorEastAsia" w:hAnsiTheme="minorEastAsia" w:eastAsiaTheme="minorEastAsia" w:cstheme="minorEastAsia"/>
                    </w:rPr>
                  </w:pPr>
                </w:p>
              </w:tc>
            </w:tr>
            <w:tr w14:paraId="564E25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06" w:hRule="atLeast"/>
              </w:trPr>
              <w:tc>
                <w:tcPr>
                  <w:tcW w:w="1000" w:type="dxa"/>
                  <w:vMerge w:val="continue"/>
                  <w:tcBorders>
                    <w:top w:val="single" w:color="000000" w:sz="4" w:space="0"/>
                    <w:left w:val="single" w:color="000000" w:sz="4" w:space="0"/>
                    <w:bottom w:val="nil"/>
                    <w:right w:val="single" w:color="000000" w:sz="4" w:space="0"/>
                  </w:tcBorders>
                </w:tcPr>
                <w:p w14:paraId="730FA4FE">
                  <w:pP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02CC43AB">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2</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7785ABE4">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服务规范</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6B88D2B1">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着装整洁、佩戴工牌，使用文明用语，行车不接打手持电话、不吸烟、不超速，按规定站点停靠。每违反1项扣2分。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2360EFC0">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8</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57957635">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6D8783DC">
                  <w:pPr>
                    <w:rPr>
                      <w:rFonts w:hint="eastAsia" w:asciiTheme="minorEastAsia" w:hAnsiTheme="minorEastAsia" w:eastAsiaTheme="minorEastAsia" w:cstheme="minorEastAsia"/>
                    </w:rPr>
                  </w:pPr>
                </w:p>
              </w:tc>
            </w:tr>
            <w:tr w14:paraId="5BA47D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06" w:hRule="atLeast"/>
              </w:trPr>
              <w:tc>
                <w:tcPr>
                  <w:tcW w:w="1000" w:type="dxa"/>
                  <w:vMerge w:val="continue"/>
                  <w:tcBorders>
                    <w:top w:val="single" w:color="000000" w:sz="4" w:space="0"/>
                    <w:left w:val="single" w:color="000000" w:sz="4" w:space="0"/>
                    <w:bottom w:val="nil"/>
                    <w:right w:val="single" w:color="000000" w:sz="4" w:space="0"/>
                  </w:tcBorders>
                </w:tcPr>
                <w:p w14:paraId="770D73DD">
                  <w:pP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79F06184">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3</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67A68508">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驾驶员更换管理</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4EF9CD61">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不得擅自更换驾驶员；临时更换须提前告知并提供新司机信息，新司机须符合资质要求。擅自更换每次扣2分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07391D6E">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5</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20B87BAE">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18F8183F">
                  <w:pPr>
                    <w:rPr>
                      <w:rFonts w:hint="eastAsia" w:asciiTheme="minorEastAsia" w:hAnsiTheme="minorEastAsia" w:eastAsiaTheme="minorEastAsia" w:cstheme="minorEastAsia"/>
                    </w:rPr>
                  </w:pPr>
                </w:p>
              </w:tc>
            </w:tr>
            <w:tr w14:paraId="37E47C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06" w:hRule="atLeast"/>
              </w:trPr>
              <w:tc>
                <w:tcPr>
                  <w:tcW w:w="1000" w:type="dxa"/>
                  <w:vMerge w:val="continue"/>
                  <w:tcBorders>
                    <w:top w:val="single" w:color="000000" w:sz="4" w:space="0"/>
                    <w:left w:val="single" w:color="000000" w:sz="4" w:space="0"/>
                    <w:bottom w:val="nil"/>
                    <w:right w:val="single" w:color="000000" w:sz="4" w:space="0"/>
                  </w:tcBorders>
                </w:tcPr>
                <w:p w14:paraId="1CDE4E65">
                  <w:pP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055A5881">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4</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54F41D94">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服从甲方管理与投诉处理</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4D9ED352">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服从甲方车辆管理部门管理；对甲方合理投诉须3日内处理和整改。不服从管理每次扣2分，逾期不整改每次扣2分。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2EDF7EF4">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5</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51D591AD">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734C07AE">
                  <w:pPr>
                    <w:rPr>
                      <w:rFonts w:hint="eastAsia" w:asciiTheme="minorEastAsia" w:hAnsiTheme="minorEastAsia" w:eastAsiaTheme="minorEastAsia" w:cstheme="minorEastAsia"/>
                    </w:rPr>
                  </w:pPr>
                </w:p>
              </w:tc>
            </w:tr>
            <w:tr w14:paraId="67D002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06" w:hRule="atLeast"/>
              </w:trPr>
              <w:tc>
                <w:tcPr>
                  <w:tcW w:w="1000" w:type="dxa"/>
                  <w:vMerge w:val="restart"/>
                  <w:tcBorders>
                    <w:top w:val="single" w:color="000000" w:sz="4" w:space="0"/>
                    <w:left w:val="single" w:color="000000" w:sz="4" w:space="0"/>
                    <w:bottom w:val="nil"/>
                    <w:right w:val="single" w:color="000000" w:sz="4" w:space="0"/>
                  </w:tcBorders>
                  <w:tcMar>
                    <w:top w:w="30" w:type="dxa"/>
                    <w:left w:w="60" w:type="dxa"/>
                    <w:bottom w:w="30" w:type="dxa"/>
                    <w:right w:w="60" w:type="dxa"/>
                  </w:tcMar>
                  <w:vAlign w:val="top"/>
                </w:tcPr>
                <w:p w14:paraId="4614C61F">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运营准时性（20分）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622095A7">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1</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218E2643">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准时发车、到达</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3161C705">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按约定时间、路线、站点运行，不得私自提前发车、迟到、串线、溜站、甩客。每发生一次迟到（≤30分钟）扣2分。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3EEF694E">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10</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51699E08">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006E8F79">
                  <w:pPr>
                    <w:rPr>
                      <w:rFonts w:hint="eastAsia" w:asciiTheme="minorEastAsia" w:hAnsiTheme="minorEastAsia" w:eastAsiaTheme="minorEastAsia" w:cstheme="minorEastAsia"/>
                    </w:rPr>
                  </w:pPr>
                </w:p>
              </w:tc>
            </w:tr>
            <w:tr w14:paraId="3110FF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06" w:hRule="atLeast"/>
              </w:trPr>
              <w:tc>
                <w:tcPr>
                  <w:tcW w:w="1000" w:type="dxa"/>
                  <w:vMerge w:val="continue"/>
                  <w:tcBorders>
                    <w:top w:val="single" w:color="000000" w:sz="4" w:space="0"/>
                    <w:left w:val="single" w:color="000000" w:sz="4" w:space="0"/>
                    <w:bottom w:val="nil"/>
                    <w:right w:val="single" w:color="000000" w:sz="4" w:space="0"/>
                  </w:tcBorders>
                </w:tcPr>
                <w:p w14:paraId="58DB01F1">
                  <w:pP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2FB267E8">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2</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7662ADD9">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延误处理</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5CB96FFD">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延误超过30分钟每次扣4分；因延误导致教学、科研活动受影响或造成实际损失的，该项不得分（扣10分）。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4416D26E">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10</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0FB1F08D">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741FF898">
                  <w:pPr>
                    <w:rPr>
                      <w:rFonts w:hint="eastAsia" w:asciiTheme="minorEastAsia" w:hAnsiTheme="minorEastAsia" w:eastAsiaTheme="minorEastAsia" w:cstheme="minorEastAsia"/>
                    </w:rPr>
                  </w:pPr>
                </w:p>
              </w:tc>
            </w:tr>
            <w:tr w14:paraId="58845B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06" w:hRule="atLeast"/>
              </w:trPr>
              <w:tc>
                <w:tcPr>
                  <w:tcW w:w="1000" w:type="dxa"/>
                  <w:vMerge w:val="restart"/>
                  <w:tcBorders>
                    <w:top w:val="single" w:color="000000" w:sz="4" w:space="0"/>
                    <w:left w:val="single" w:color="000000" w:sz="4" w:space="0"/>
                    <w:bottom w:val="nil"/>
                    <w:right w:val="single" w:color="000000" w:sz="4" w:space="0"/>
                  </w:tcBorders>
                  <w:tcMar>
                    <w:top w:w="30" w:type="dxa"/>
                    <w:left w:w="60" w:type="dxa"/>
                    <w:bottom w:w="30" w:type="dxa"/>
                    <w:right w:w="60" w:type="dxa"/>
                  </w:tcMar>
                  <w:vAlign w:val="top"/>
                </w:tcPr>
                <w:p w14:paraId="581651EB">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安全管理（15分）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1CE66EEA">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1</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0AF0A27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安全驾驶记录</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0193A0FC">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无超速、疲劳驾驶等违规行为；无重大交通事故记录。每发生一次一般违规（如超速）扣2分，发生负主责的交通事故扣5分。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391BDD69">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8</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30995E4B">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2BAADCEE">
                  <w:pPr>
                    <w:rPr>
                      <w:rFonts w:hint="eastAsia" w:asciiTheme="minorEastAsia" w:hAnsiTheme="minorEastAsia" w:eastAsiaTheme="minorEastAsia" w:cstheme="minorEastAsia"/>
                    </w:rPr>
                  </w:pPr>
                </w:p>
              </w:tc>
            </w:tr>
            <w:tr w14:paraId="27D7C3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606" w:hRule="atLeast"/>
              </w:trPr>
              <w:tc>
                <w:tcPr>
                  <w:tcW w:w="1000" w:type="dxa"/>
                  <w:vMerge w:val="continue"/>
                  <w:tcBorders>
                    <w:top w:val="single" w:color="000000" w:sz="4" w:space="0"/>
                    <w:left w:val="single" w:color="000000" w:sz="4" w:space="0"/>
                    <w:bottom w:val="nil"/>
                    <w:right w:val="single" w:color="000000" w:sz="4" w:space="0"/>
                  </w:tcBorders>
                </w:tcPr>
                <w:p w14:paraId="6CCDE927">
                  <w:pP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225B1B12">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2</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0217DBC7">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事故处理与责任</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78CDBCB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发生事故乙方自行处理；造成甲方人员人身或财产损失乙方承担全部责任（不可抗力除外）。未及时妥善处理每次扣3分。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05C43A25">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7</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5FECC23B">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24D3E6E8">
                  <w:pPr>
                    <w:rPr>
                      <w:rFonts w:hint="eastAsia" w:asciiTheme="minorEastAsia" w:hAnsiTheme="minorEastAsia" w:eastAsiaTheme="minorEastAsia" w:cstheme="minorEastAsia"/>
                    </w:rPr>
                  </w:pPr>
                </w:p>
              </w:tc>
            </w:tr>
            <w:tr w14:paraId="3D4337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000" w:type="dxa"/>
                  <w:vMerge w:val="restart"/>
                  <w:tcBorders>
                    <w:top w:val="nil"/>
                    <w:left w:val="single" w:color="000000" w:sz="4" w:space="0"/>
                    <w:bottom w:val="single" w:color="000000" w:sz="4" w:space="0"/>
                    <w:right w:val="single" w:color="000000" w:sz="4" w:space="0"/>
                  </w:tcBorders>
                  <w:tcMar>
                    <w:top w:w="30" w:type="dxa"/>
                    <w:left w:w="60" w:type="dxa"/>
                    <w:bottom w:w="30" w:type="dxa"/>
                    <w:right w:w="60" w:type="dxa"/>
                  </w:tcMar>
                  <w:vAlign w:val="top"/>
                </w:tcPr>
                <w:p w14:paraId="3196DFA2">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台账与记录（10分）</w:t>
                  </w:r>
                </w:p>
                <w:p w14:paraId="5738A18A">
                  <w:pPr>
                    <w:pStyle w:val="24"/>
                    <w:jc w:val="both"/>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3C62B807">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1</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3506688B">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用车明细记录</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251386F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每次运行后提供用车明细单，经甲方确认，记录真实完整。缺漏一次扣1分。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4B74E19E">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5</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684FD199">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413C3620">
                  <w:pPr>
                    <w:rPr>
                      <w:rFonts w:hint="eastAsia" w:asciiTheme="minorEastAsia" w:hAnsiTheme="minorEastAsia" w:eastAsiaTheme="minorEastAsia" w:cstheme="minorEastAsia"/>
                    </w:rPr>
                  </w:pPr>
                </w:p>
              </w:tc>
            </w:tr>
            <w:tr w14:paraId="3FB079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1000" w:type="dxa"/>
                  <w:vMerge w:val="continue"/>
                  <w:tcBorders>
                    <w:top w:val="nil"/>
                    <w:left w:val="single" w:color="000000" w:sz="4" w:space="0"/>
                    <w:bottom w:val="single" w:color="000000" w:sz="4" w:space="0"/>
                    <w:right w:val="single" w:color="000000" w:sz="4" w:space="0"/>
                  </w:tcBorders>
                </w:tcPr>
                <w:p w14:paraId="1A5F5747">
                  <w:pP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5F4DFECE">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2</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0DD7A135">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维修、年检提前通知</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4D0F6ED4">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车辆因年检、维修停驶提前3个工作日书面通知甲方并安排合格替换车。未提前通知每次扣2分。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0AF03208">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5</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6055509B">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7A0B0649">
                  <w:pPr>
                    <w:rPr>
                      <w:rFonts w:hint="eastAsia" w:asciiTheme="minorEastAsia" w:hAnsiTheme="minorEastAsia" w:eastAsiaTheme="minorEastAsia" w:cstheme="minorEastAsia"/>
                    </w:rPr>
                  </w:pPr>
                </w:p>
              </w:tc>
            </w:tr>
            <w:tr w14:paraId="056FB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000" w:type="dxa"/>
                  <w:tcBorders>
                    <w:top w:val="nil"/>
                    <w:left w:val="single" w:color="000000" w:sz="4" w:space="0"/>
                    <w:bottom w:val="single" w:color="000000" w:sz="4" w:space="0"/>
                    <w:right w:val="single" w:color="000000" w:sz="4" w:space="0"/>
                  </w:tcBorders>
                  <w:tcMar>
                    <w:top w:w="30" w:type="dxa"/>
                    <w:left w:w="60" w:type="dxa"/>
                    <w:bottom w:w="30" w:type="dxa"/>
                    <w:right w:w="60" w:type="dxa"/>
                  </w:tcMar>
                  <w:vAlign w:val="top"/>
                </w:tcPr>
                <w:p w14:paraId="5079EA27">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投诉与满意度</w:t>
                  </w:r>
                </w:p>
                <w:p w14:paraId="2210F74C">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（5分）</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440E8D3B">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1</w:t>
                  </w:r>
                </w:p>
              </w:tc>
              <w:tc>
                <w:tcPr>
                  <w:tcW w:w="1000" w:type="dxa"/>
                  <w:tcBorders>
                    <w:top w:val="nil"/>
                    <w:left w:val="nil"/>
                    <w:bottom w:val="single" w:color="000000" w:sz="4" w:space="0"/>
                    <w:right w:val="single" w:color="000000" w:sz="4" w:space="0"/>
                  </w:tcBorders>
                  <w:tcMar>
                    <w:top w:w="30" w:type="dxa"/>
                    <w:left w:w="60" w:type="dxa"/>
                    <w:bottom w:w="30" w:type="dxa"/>
                    <w:right w:w="60" w:type="dxa"/>
                  </w:tcMar>
                  <w:vAlign w:val="top"/>
                </w:tcPr>
                <w:p w14:paraId="7A98CABD">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师生投诉情况</w:t>
                  </w:r>
                </w:p>
              </w:tc>
              <w:tc>
                <w:tcPr>
                  <w:tcW w:w="2650" w:type="dxa"/>
                  <w:tcBorders>
                    <w:top w:val="nil"/>
                    <w:left w:val="nil"/>
                    <w:bottom w:val="single" w:color="000000" w:sz="4" w:space="0"/>
                    <w:right w:val="single" w:color="000000" w:sz="4" w:space="0"/>
                  </w:tcBorders>
                  <w:tcMar>
                    <w:top w:w="30" w:type="dxa"/>
                    <w:left w:w="60" w:type="dxa"/>
                    <w:bottom w:w="30" w:type="dxa"/>
                    <w:right w:w="60" w:type="dxa"/>
                  </w:tcMar>
                  <w:vAlign w:val="top"/>
                </w:tcPr>
                <w:p w14:paraId="7144B40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每收到一次有效投诉（经核实确属乙方责任）扣1分，扣完为止。</w:t>
                  </w: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37AB9CE9">
                  <w:pPr>
                    <w:pStyle w:val="24"/>
                    <w:jc w:val="cente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2DE05D6D">
                  <w:pPr>
                    <w:rPr>
                      <w:rFonts w:hint="eastAsia" w:asciiTheme="minorEastAsia" w:hAnsiTheme="minorEastAsia" w:eastAsiaTheme="minorEastAsia" w:cstheme="minorEastAsia"/>
                    </w:rPr>
                  </w:pPr>
                </w:p>
              </w:tc>
              <w:tc>
                <w:tcPr>
                  <w:tcW w:w="627" w:type="dxa"/>
                  <w:tcBorders>
                    <w:top w:val="nil"/>
                    <w:left w:val="nil"/>
                    <w:bottom w:val="single" w:color="000000" w:sz="4" w:space="0"/>
                    <w:right w:val="single" w:color="000000" w:sz="4" w:space="0"/>
                  </w:tcBorders>
                  <w:tcMar>
                    <w:top w:w="30" w:type="dxa"/>
                    <w:left w:w="60" w:type="dxa"/>
                    <w:bottom w:w="30" w:type="dxa"/>
                    <w:right w:w="60" w:type="dxa"/>
                  </w:tcMar>
                  <w:vAlign w:val="top"/>
                </w:tcPr>
                <w:p w14:paraId="7220D1E1">
                  <w:pPr>
                    <w:rPr>
                      <w:rFonts w:hint="eastAsia" w:asciiTheme="minorEastAsia" w:hAnsiTheme="minorEastAsia" w:eastAsiaTheme="minorEastAsia" w:cstheme="minorEastAsia"/>
                    </w:rPr>
                  </w:pPr>
                </w:p>
              </w:tc>
            </w:tr>
            <w:tr w14:paraId="6337C8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00" w:type="dxa"/>
                  <w:tcBorders>
                    <w:top w:val="nil"/>
                    <w:left w:val="single" w:color="000000" w:sz="4" w:space="0"/>
                    <w:bottom w:val="single" w:color="000000" w:sz="4" w:space="0"/>
                    <w:right w:val="single" w:color="000000" w:sz="4" w:space="0"/>
                  </w:tcBorders>
                  <w:tcMar>
                    <w:top w:w="30" w:type="dxa"/>
                    <w:left w:w="60" w:type="dxa"/>
                    <w:bottom w:w="30" w:type="dxa"/>
                    <w:right w:w="60" w:type="dxa"/>
                  </w:tcMar>
                  <w:vAlign w:val="top"/>
                </w:tcPr>
                <w:p w14:paraId="1D4BD6B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总分</w:t>
                  </w:r>
                </w:p>
              </w:tc>
              <w:tc>
                <w:tcPr>
                  <w:tcW w:w="4277" w:type="dxa"/>
                  <w:gridSpan w:val="3"/>
                  <w:tcBorders>
                    <w:top w:val="nil"/>
                    <w:left w:val="nil"/>
                    <w:bottom w:val="single" w:color="000000" w:sz="4" w:space="0"/>
                    <w:right w:val="single" w:color="000000" w:sz="4" w:space="0"/>
                  </w:tcBorders>
                  <w:tcMar>
                    <w:top w:w="30" w:type="dxa"/>
                    <w:left w:w="60" w:type="dxa"/>
                    <w:bottom w:w="30" w:type="dxa"/>
                    <w:right w:w="60" w:type="dxa"/>
                  </w:tcMar>
                  <w:vAlign w:val="top"/>
                </w:tcPr>
                <w:p w14:paraId="6486AD9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100</w:t>
                  </w:r>
                </w:p>
              </w:tc>
              <w:tc>
                <w:tcPr>
                  <w:tcW w:w="1881" w:type="dxa"/>
                  <w:gridSpan w:val="3"/>
                  <w:tcBorders>
                    <w:top w:val="nil"/>
                    <w:left w:val="nil"/>
                    <w:bottom w:val="single" w:color="000000" w:sz="4" w:space="0"/>
                    <w:right w:val="single" w:color="000000" w:sz="4" w:space="0"/>
                  </w:tcBorders>
                  <w:tcMar>
                    <w:top w:w="30" w:type="dxa"/>
                    <w:left w:w="60" w:type="dxa"/>
                    <w:bottom w:w="30" w:type="dxa"/>
                    <w:right w:w="60" w:type="dxa"/>
                  </w:tcMar>
                  <w:vAlign w:val="top"/>
                </w:tcPr>
                <w:p w14:paraId="7A4E9F1E">
                  <w:pPr>
                    <w:pStyle w:val="24"/>
                    <w:jc w:val="center"/>
                    <w:rPr>
                      <w:rFonts w:hint="eastAsia" w:asciiTheme="minorEastAsia" w:hAnsiTheme="minorEastAsia" w:eastAsiaTheme="minorEastAsia" w:cstheme="minorEastAsia"/>
                    </w:rPr>
                  </w:pPr>
                </w:p>
              </w:tc>
            </w:tr>
            <w:tr w14:paraId="2E0BF2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89" w:hRule="atLeast"/>
              </w:trPr>
              <w:tc>
                <w:tcPr>
                  <w:tcW w:w="1000" w:type="dxa"/>
                  <w:tcBorders>
                    <w:top w:val="nil"/>
                    <w:left w:val="single" w:color="000000" w:sz="4" w:space="0"/>
                    <w:bottom w:val="single" w:color="000000" w:sz="4" w:space="0"/>
                    <w:right w:val="single" w:color="000000" w:sz="4" w:space="0"/>
                  </w:tcBorders>
                  <w:tcMar>
                    <w:top w:w="30" w:type="dxa"/>
                    <w:left w:w="60" w:type="dxa"/>
                    <w:bottom w:w="30" w:type="dxa"/>
                    <w:right w:w="60" w:type="dxa"/>
                  </w:tcMar>
                  <w:vAlign w:val="top"/>
                </w:tcPr>
                <w:p w14:paraId="3FF01D15">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备注</w:t>
                  </w:r>
                </w:p>
              </w:tc>
              <w:tc>
                <w:tcPr>
                  <w:tcW w:w="6158" w:type="dxa"/>
                  <w:gridSpan w:val="6"/>
                  <w:tcBorders>
                    <w:top w:val="nil"/>
                    <w:left w:val="nil"/>
                    <w:bottom w:val="single" w:color="000000" w:sz="4" w:space="0"/>
                    <w:right w:val="single" w:color="000000" w:sz="4" w:space="0"/>
                  </w:tcBorders>
                  <w:tcMar>
                    <w:top w:w="30" w:type="dxa"/>
                    <w:left w:w="60" w:type="dxa"/>
                    <w:bottom w:w="30" w:type="dxa"/>
                    <w:right w:w="60" w:type="dxa"/>
                  </w:tcMar>
                  <w:vAlign w:val="top"/>
                </w:tcPr>
                <w:p w14:paraId="3703817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95-100分：全额支付当期应结算服务费；</w:t>
                  </w:r>
                </w:p>
                <w:p w14:paraId="1A71A23F">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90-95分：扣除当期应结算服务费的2%；</w:t>
                  </w:r>
                </w:p>
                <w:p w14:paraId="3557CEF8">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85-90分：扣除当期应结算服务费的3%；</w:t>
                  </w:r>
                </w:p>
                <w:p w14:paraId="3BE26FA6">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85分以下：扣除当期应结算服务费的5%。</w:t>
                  </w:r>
                </w:p>
              </w:tc>
            </w:tr>
            <w:tr w14:paraId="59A672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00" w:type="dxa"/>
                  <w:tcBorders>
                    <w:top w:val="nil"/>
                    <w:left w:val="single" w:color="000000" w:sz="4" w:space="0"/>
                    <w:bottom w:val="single" w:color="000000" w:sz="4" w:space="0"/>
                    <w:right w:val="single" w:color="000000" w:sz="4" w:space="0"/>
                  </w:tcBorders>
                  <w:tcMar>
                    <w:top w:w="30" w:type="dxa"/>
                    <w:left w:w="60" w:type="dxa"/>
                    <w:bottom w:w="30" w:type="dxa"/>
                    <w:right w:w="60" w:type="dxa"/>
                  </w:tcMar>
                  <w:vAlign w:val="top"/>
                </w:tcPr>
                <w:p w14:paraId="2918D0B8">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突出问题</w:t>
                  </w:r>
                </w:p>
              </w:tc>
              <w:tc>
                <w:tcPr>
                  <w:tcW w:w="6158" w:type="dxa"/>
                  <w:gridSpan w:val="6"/>
                  <w:tcBorders>
                    <w:top w:val="nil"/>
                    <w:left w:val="nil"/>
                    <w:bottom w:val="single" w:color="000000" w:sz="4" w:space="0"/>
                    <w:right w:val="single" w:color="000000" w:sz="4" w:space="0"/>
                  </w:tcBorders>
                  <w:tcMar>
                    <w:top w:w="30" w:type="dxa"/>
                    <w:left w:w="60" w:type="dxa"/>
                    <w:bottom w:w="30" w:type="dxa"/>
                    <w:right w:w="60" w:type="dxa"/>
                  </w:tcMar>
                  <w:vAlign w:val="top"/>
                </w:tcPr>
                <w:p w14:paraId="24AC4A9D">
                  <w:pPr>
                    <w:pStyle w:val="24"/>
                    <w:jc w:val="center"/>
                    <w:rPr>
                      <w:rFonts w:hint="eastAsia" w:asciiTheme="minorEastAsia" w:hAnsiTheme="minorEastAsia" w:eastAsiaTheme="minorEastAsia" w:cstheme="minorEastAsia"/>
                    </w:rPr>
                  </w:pPr>
                </w:p>
              </w:tc>
            </w:tr>
            <w:tr w14:paraId="44D782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1000" w:type="dxa"/>
                  <w:tcBorders>
                    <w:top w:val="nil"/>
                    <w:left w:val="single" w:color="000000" w:sz="4" w:space="0"/>
                    <w:bottom w:val="single" w:color="000000" w:sz="4" w:space="0"/>
                    <w:right w:val="single" w:color="000000" w:sz="4" w:space="0"/>
                  </w:tcBorders>
                  <w:tcMar>
                    <w:top w:w="30" w:type="dxa"/>
                    <w:left w:w="60" w:type="dxa"/>
                    <w:bottom w:w="30" w:type="dxa"/>
                    <w:right w:w="60" w:type="dxa"/>
                  </w:tcMar>
                  <w:vAlign w:val="top"/>
                </w:tcPr>
                <w:p w14:paraId="15282C51">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整改建议</w:t>
                  </w:r>
                </w:p>
              </w:tc>
              <w:tc>
                <w:tcPr>
                  <w:tcW w:w="6158" w:type="dxa"/>
                  <w:gridSpan w:val="6"/>
                  <w:tcBorders>
                    <w:top w:val="nil"/>
                    <w:left w:val="nil"/>
                    <w:bottom w:val="single" w:color="000000" w:sz="4" w:space="0"/>
                    <w:right w:val="single" w:color="000000" w:sz="4" w:space="0"/>
                  </w:tcBorders>
                  <w:tcMar>
                    <w:top w:w="30" w:type="dxa"/>
                    <w:left w:w="60" w:type="dxa"/>
                    <w:bottom w:w="30" w:type="dxa"/>
                    <w:right w:w="60" w:type="dxa"/>
                  </w:tcMar>
                  <w:vAlign w:val="top"/>
                </w:tcPr>
                <w:p w14:paraId="173006D7">
                  <w:pPr>
                    <w:pStyle w:val="24"/>
                    <w:jc w:val="center"/>
                    <w:rPr>
                      <w:rFonts w:hint="eastAsia" w:asciiTheme="minorEastAsia" w:hAnsiTheme="minorEastAsia" w:eastAsiaTheme="minorEastAsia" w:cstheme="minorEastAsia"/>
                    </w:rPr>
                  </w:pPr>
                </w:p>
              </w:tc>
            </w:tr>
            <w:tr w14:paraId="10481D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99" w:hRule="atLeast"/>
              </w:trPr>
              <w:tc>
                <w:tcPr>
                  <w:tcW w:w="1000" w:type="dxa"/>
                  <w:tcBorders>
                    <w:top w:val="nil"/>
                    <w:left w:val="single" w:color="000000" w:sz="4" w:space="0"/>
                    <w:bottom w:val="single" w:color="000000" w:sz="4" w:space="0"/>
                    <w:right w:val="single" w:color="000000" w:sz="4" w:space="0"/>
                  </w:tcBorders>
                  <w:tcMar>
                    <w:top w:w="30" w:type="dxa"/>
                    <w:left w:w="60" w:type="dxa"/>
                    <w:bottom w:w="30" w:type="dxa"/>
                    <w:right w:w="60" w:type="dxa"/>
                  </w:tcMar>
                  <w:vAlign w:val="top"/>
                </w:tcPr>
                <w:p w14:paraId="2414777A">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通勤车辆公司</w:t>
                  </w:r>
                </w:p>
                <w:p w14:paraId="0916F594">
                  <w:pPr>
                    <w:pStyle w:val="2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sz w:val="18"/>
                    </w:rPr>
                    <w:t>负责人确认签字</w:t>
                  </w:r>
                </w:p>
              </w:tc>
              <w:tc>
                <w:tcPr>
                  <w:tcW w:w="6158" w:type="dxa"/>
                  <w:gridSpan w:val="6"/>
                  <w:tcBorders>
                    <w:top w:val="nil"/>
                    <w:left w:val="nil"/>
                    <w:bottom w:val="single" w:color="000000" w:sz="4" w:space="0"/>
                    <w:right w:val="single" w:color="000000" w:sz="4" w:space="0"/>
                  </w:tcBorders>
                  <w:tcMar>
                    <w:top w:w="30" w:type="dxa"/>
                    <w:left w:w="60" w:type="dxa"/>
                    <w:bottom w:w="30" w:type="dxa"/>
                    <w:right w:w="60" w:type="dxa"/>
                  </w:tcMar>
                  <w:vAlign w:val="top"/>
                </w:tcPr>
                <w:p w14:paraId="5B5C5C57">
                  <w:pPr>
                    <w:pStyle w:val="24"/>
                    <w:jc w:val="center"/>
                    <w:rPr>
                      <w:rFonts w:hint="eastAsia" w:asciiTheme="minorEastAsia" w:hAnsiTheme="minorEastAsia" w:eastAsiaTheme="minorEastAsia" w:cstheme="minorEastAsia"/>
                    </w:rPr>
                  </w:pPr>
                </w:p>
              </w:tc>
            </w:tr>
          </w:tbl>
          <w:p w14:paraId="1E53D525">
            <w:pPr>
              <w:rPr>
                <w:rFonts w:hint="eastAsia" w:asciiTheme="minorEastAsia" w:hAnsiTheme="minorEastAsia" w:eastAsiaTheme="minorEastAsia" w:cstheme="minorEastAsia"/>
              </w:rPr>
            </w:pPr>
          </w:p>
        </w:tc>
      </w:tr>
      <w:bookmarkEnd w:id="0"/>
    </w:tbl>
    <w:p w14:paraId="2C493844">
      <w:pPr>
        <w:rPr>
          <w:rFonts w:hint="eastAsia" w:asciiTheme="minorEastAsia" w:hAnsiTheme="minorEastAsia" w:eastAsiaTheme="minorEastAsia" w:cstheme="minorEastAsia"/>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C2F6B"/>
    <w:rsid w:val="00070FC8"/>
    <w:rsid w:val="003F4F10"/>
    <w:rsid w:val="01945F0D"/>
    <w:rsid w:val="03695A7E"/>
    <w:rsid w:val="041C0406"/>
    <w:rsid w:val="04F86854"/>
    <w:rsid w:val="056D213B"/>
    <w:rsid w:val="09581E0B"/>
    <w:rsid w:val="09661480"/>
    <w:rsid w:val="0AFC0872"/>
    <w:rsid w:val="0BD54C38"/>
    <w:rsid w:val="0C9E7A33"/>
    <w:rsid w:val="0CCE2B32"/>
    <w:rsid w:val="1262753D"/>
    <w:rsid w:val="13FD6130"/>
    <w:rsid w:val="140E0EC4"/>
    <w:rsid w:val="147C5547"/>
    <w:rsid w:val="15705A0C"/>
    <w:rsid w:val="188B3505"/>
    <w:rsid w:val="19AC2F6B"/>
    <w:rsid w:val="1B253563"/>
    <w:rsid w:val="1D3764AF"/>
    <w:rsid w:val="1D9E4A5B"/>
    <w:rsid w:val="1E463B44"/>
    <w:rsid w:val="1EFA1543"/>
    <w:rsid w:val="1FD837FF"/>
    <w:rsid w:val="2156503C"/>
    <w:rsid w:val="22443F19"/>
    <w:rsid w:val="229E3FE6"/>
    <w:rsid w:val="23841FE2"/>
    <w:rsid w:val="2572590B"/>
    <w:rsid w:val="279D4A03"/>
    <w:rsid w:val="28273A7C"/>
    <w:rsid w:val="2A0F46C9"/>
    <w:rsid w:val="2A59588F"/>
    <w:rsid w:val="2BB30485"/>
    <w:rsid w:val="2BD074BC"/>
    <w:rsid w:val="2DD545E4"/>
    <w:rsid w:val="2E2B7622"/>
    <w:rsid w:val="2F792957"/>
    <w:rsid w:val="316C37E1"/>
    <w:rsid w:val="31AC7601"/>
    <w:rsid w:val="328016EB"/>
    <w:rsid w:val="33255F19"/>
    <w:rsid w:val="33B76E22"/>
    <w:rsid w:val="34072559"/>
    <w:rsid w:val="34580245"/>
    <w:rsid w:val="3529097C"/>
    <w:rsid w:val="359D7DF2"/>
    <w:rsid w:val="35D3262D"/>
    <w:rsid w:val="37384EA6"/>
    <w:rsid w:val="37D746BF"/>
    <w:rsid w:val="37EB63BB"/>
    <w:rsid w:val="38B83436"/>
    <w:rsid w:val="38C51523"/>
    <w:rsid w:val="38E66C78"/>
    <w:rsid w:val="3954329D"/>
    <w:rsid w:val="3A547742"/>
    <w:rsid w:val="3A876CAF"/>
    <w:rsid w:val="3B5C400D"/>
    <w:rsid w:val="3BA4698B"/>
    <w:rsid w:val="3C70268B"/>
    <w:rsid w:val="3D711112"/>
    <w:rsid w:val="3F6842E5"/>
    <w:rsid w:val="3F787D27"/>
    <w:rsid w:val="42843912"/>
    <w:rsid w:val="428471F1"/>
    <w:rsid w:val="434033E5"/>
    <w:rsid w:val="43584653"/>
    <w:rsid w:val="440F052B"/>
    <w:rsid w:val="444E2D35"/>
    <w:rsid w:val="451A4083"/>
    <w:rsid w:val="464F0AA0"/>
    <w:rsid w:val="470E332D"/>
    <w:rsid w:val="47F449BF"/>
    <w:rsid w:val="486A6177"/>
    <w:rsid w:val="48F73E0E"/>
    <w:rsid w:val="4B8435F5"/>
    <w:rsid w:val="4CDE6A97"/>
    <w:rsid w:val="4D2C0C77"/>
    <w:rsid w:val="4D31095B"/>
    <w:rsid w:val="503D5436"/>
    <w:rsid w:val="51BA62F1"/>
    <w:rsid w:val="53AD2C2D"/>
    <w:rsid w:val="5427247B"/>
    <w:rsid w:val="54803B90"/>
    <w:rsid w:val="560D6F51"/>
    <w:rsid w:val="56C86F6D"/>
    <w:rsid w:val="56E122FB"/>
    <w:rsid w:val="5825126E"/>
    <w:rsid w:val="5A581238"/>
    <w:rsid w:val="5BE11727"/>
    <w:rsid w:val="5C66723E"/>
    <w:rsid w:val="5D131446"/>
    <w:rsid w:val="5D1564AC"/>
    <w:rsid w:val="5D572A52"/>
    <w:rsid w:val="5F2B0CC9"/>
    <w:rsid w:val="620852F1"/>
    <w:rsid w:val="639F579F"/>
    <w:rsid w:val="64025AB8"/>
    <w:rsid w:val="64674C53"/>
    <w:rsid w:val="673C6346"/>
    <w:rsid w:val="676F425C"/>
    <w:rsid w:val="67C12E69"/>
    <w:rsid w:val="67DD6BED"/>
    <w:rsid w:val="69F91AE9"/>
    <w:rsid w:val="6A0619EB"/>
    <w:rsid w:val="6A082CE3"/>
    <w:rsid w:val="6C7E2CAC"/>
    <w:rsid w:val="6CEC129F"/>
    <w:rsid w:val="6DD966FB"/>
    <w:rsid w:val="6F36347B"/>
    <w:rsid w:val="6FB5018B"/>
    <w:rsid w:val="6FC935DB"/>
    <w:rsid w:val="7072622A"/>
    <w:rsid w:val="70CD1B9F"/>
    <w:rsid w:val="71EA7315"/>
    <w:rsid w:val="72AC1CC9"/>
    <w:rsid w:val="7312541D"/>
    <w:rsid w:val="741D2E7E"/>
    <w:rsid w:val="753A6D9B"/>
    <w:rsid w:val="76127D2C"/>
    <w:rsid w:val="76193FBE"/>
    <w:rsid w:val="766D75CC"/>
    <w:rsid w:val="774F0B38"/>
    <w:rsid w:val="77C307FF"/>
    <w:rsid w:val="77FA5285"/>
    <w:rsid w:val="788A35B0"/>
    <w:rsid w:val="79F74C45"/>
    <w:rsid w:val="7A0D5D0B"/>
    <w:rsid w:val="7B1B065A"/>
    <w:rsid w:val="7B232107"/>
    <w:rsid w:val="7C0F2859"/>
    <w:rsid w:val="7C4F1CC3"/>
    <w:rsid w:val="7E6E636B"/>
    <w:rsid w:val="7ED57FAF"/>
    <w:rsid w:val="7F0C0D77"/>
    <w:rsid w:val="7F1033A7"/>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autoRedefine/>
    <w:qFormat/>
    <w:uiPriority w:val="0"/>
    <w:pPr>
      <w:keepNext/>
      <w:adjustRightInd w:val="0"/>
      <w:snapToGrid w:val="0"/>
      <w:spacing w:before="50" w:beforeLines="50" w:after="50" w:afterLines="50" w:line="360" w:lineRule="auto"/>
      <w:jc w:val="center"/>
      <w:outlineLvl w:val="0"/>
    </w:pPr>
    <w:rPr>
      <w:rFonts w:ascii="宋体" w:hAnsi="宋体" w:eastAsia="宋体" w:cs="宋体"/>
      <w:b/>
      <w:snapToGrid w:val="0"/>
      <w:color w:val="000000"/>
      <w:kern w:val="0"/>
      <w:sz w:val="32"/>
      <w:szCs w:val="22"/>
      <w:lang w:eastAsia="en-US"/>
    </w:rPr>
  </w:style>
  <w:style w:type="paragraph" w:styleId="3">
    <w:name w:val="heading 2"/>
    <w:basedOn w:val="1"/>
    <w:next w:val="1"/>
    <w:link w:val="15"/>
    <w:autoRedefine/>
    <w:semiHidden/>
    <w:unhideWhenUsed/>
    <w:qFormat/>
    <w:uiPriority w:val="0"/>
    <w:pPr>
      <w:keepNext/>
      <w:keepLines/>
      <w:jc w:val="center"/>
      <w:outlineLvl w:val="1"/>
    </w:pPr>
    <w:rPr>
      <w:rFonts w:ascii="宋体" w:hAnsi="宋体" w:eastAsia="宋体" w:cs="宋体"/>
      <w:b/>
      <w:bCs/>
      <w:color w:val="000000"/>
      <w:kern w:val="0"/>
      <w:sz w:val="30"/>
      <w:szCs w:val="32"/>
      <w:highlight w:val="none"/>
    </w:rPr>
  </w:style>
  <w:style w:type="paragraph" w:styleId="4">
    <w:name w:val="heading 3"/>
    <w:basedOn w:val="1"/>
    <w:next w:val="1"/>
    <w:link w:val="16"/>
    <w:autoRedefine/>
    <w:semiHidden/>
    <w:unhideWhenUsed/>
    <w:qFormat/>
    <w:uiPriority w:val="0"/>
    <w:pPr>
      <w:keepNext/>
      <w:keepLines/>
      <w:spacing w:beforeLines="0" w:beforeAutospacing="0" w:afterLines="0" w:afterAutospacing="0" w:line="360" w:lineRule="auto"/>
      <w:ind w:firstLine="666" w:firstLineChars="200"/>
      <w:jc w:val="left"/>
      <w:outlineLvl w:val="2"/>
    </w:pPr>
    <w:rPr>
      <w:rFonts w:ascii="宋体" w:hAnsi="宋体" w:eastAsia="宋体" w:cs="宋体"/>
      <w:b/>
      <w:sz w:val="28"/>
      <w:szCs w:val="24"/>
    </w:rPr>
  </w:style>
  <w:style w:type="paragraph" w:styleId="5">
    <w:name w:val="heading 4"/>
    <w:basedOn w:val="1"/>
    <w:next w:val="1"/>
    <w:link w:val="20"/>
    <w:autoRedefine/>
    <w:semiHidden/>
    <w:unhideWhenUsed/>
    <w:qFormat/>
    <w:uiPriority w:val="0"/>
    <w:pPr>
      <w:keepNext/>
      <w:keepLines/>
      <w:adjustRightInd w:val="0"/>
      <w:snapToGrid w:val="0"/>
      <w:spacing w:line="360" w:lineRule="auto"/>
      <w:ind w:firstLine="0" w:firstLineChars="0"/>
      <w:jc w:val="left"/>
      <w:outlineLvl w:val="3"/>
    </w:pPr>
    <w:rPr>
      <w:rFonts w:ascii="宋体" w:hAnsi="宋体" w:eastAsia="宋体" w:cs="宋体"/>
      <w:b/>
      <w:bCs/>
      <w:sz w:val="28"/>
      <w:szCs w:val="28"/>
    </w:rPr>
  </w:style>
  <w:style w:type="paragraph" w:styleId="6">
    <w:name w:val="heading 5"/>
    <w:basedOn w:val="1"/>
    <w:next w:val="1"/>
    <w:link w:val="22"/>
    <w:autoRedefine/>
    <w:semiHidden/>
    <w:unhideWhenUsed/>
    <w:qFormat/>
    <w:uiPriority w:val="0"/>
    <w:pPr>
      <w:keepNext/>
      <w:keepLines/>
      <w:adjustRightInd w:val="0"/>
      <w:spacing w:line="360" w:lineRule="auto"/>
      <w:ind w:firstLine="0" w:firstLineChars="0"/>
      <w:jc w:val="left"/>
      <w:textAlignment w:val="baseline"/>
      <w:outlineLvl w:val="4"/>
    </w:pPr>
    <w:rPr>
      <w:rFonts w:ascii="Times New Roman" w:hAnsi="Times New Roman" w:eastAsia="宋体" w:cs="Times New Roman"/>
      <w:b/>
      <w:bCs/>
      <w:kern w:val="0"/>
      <w:sz w:val="28"/>
      <w:szCs w:val="28"/>
    </w:rPr>
  </w:style>
  <w:style w:type="paragraph" w:styleId="7">
    <w:name w:val="heading 6"/>
    <w:basedOn w:val="1"/>
    <w:next w:val="1"/>
    <w:link w:val="21"/>
    <w:semiHidden/>
    <w:unhideWhenUsed/>
    <w:qFormat/>
    <w:uiPriority w:val="0"/>
    <w:pPr>
      <w:keepNext/>
      <w:keepLines/>
      <w:spacing w:before="240" w:beforeLines="0" w:beforeAutospacing="0" w:after="64" w:afterLines="0" w:afterAutospacing="0" w:line="317" w:lineRule="auto"/>
      <w:outlineLvl w:val="5"/>
    </w:pPr>
    <w:rPr>
      <w:rFonts w:ascii="Arial" w:hAnsi="Arial" w:eastAsia="宋体" w:cs="Times New Roman"/>
      <w:b/>
      <w:sz w:val="28"/>
      <w:szCs w:val="24"/>
    </w:r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jc w:val="center"/>
      <w:outlineLvl w:val="6"/>
    </w:pPr>
    <w:rPr>
      <w:rFonts w:asciiTheme="minorAscii" w:hAnsiTheme="minorAscii" w:eastAsiaTheme="minorEastAsia" w:cstheme="minorBidi"/>
      <w:b/>
      <w:sz w:val="24"/>
      <w:szCs w:val="24"/>
    </w:rPr>
  </w:style>
  <w:style w:type="paragraph" w:styleId="9">
    <w:name w:val="heading 8"/>
    <w:basedOn w:val="1"/>
    <w:next w:val="1"/>
    <w:semiHidden/>
    <w:unhideWhenUsed/>
    <w:qFormat/>
    <w:uiPriority w:val="0"/>
    <w:pPr>
      <w:keepNext/>
      <w:keepLines/>
      <w:spacing w:before="240" w:beforeLines="0" w:beforeAutospacing="0" w:after="64" w:afterLines="0" w:afterAutospacing="0" w:line="317" w:lineRule="auto"/>
      <w:outlineLvl w:val="7"/>
    </w:pPr>
    <w:rPr>
      <w:rFonts w:ascii="Arial" w:hAnsi="Arial" w:eastAsia="新宋体" w:cs="Times New Roman"/>
      <w:sz w:val="24"/>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10">
    <w:name w:val="Body Text"/>
    <w:basedOn w:val="1"/>
    <w:next w:val="1"/>
    <w:link w:val="18"/>
    <w:qFormat/>
    <w:uiPriority w:val="0"/>
    <w:pPr>
      <w:adjustRightInd w:val="0"/>
      <w:snapToGrid w:val="0"/>
      <w:spacing w:before="120" w:line="360" w:lineRule="auto"/>
      <w:ind w:left="215" w:firstLine="1044" w:firstLineChars="200"/>
      <w:jc w:val="left"/>
    </w:pPr>
    <w:rPr>
      <w:rFonts w:ascii="宋体" w:hAnsi="宋体" w:cs="宋体"/>
      <w:szCs w:val="28"/>
      <w:lang w:val="zh-CN" w:bidi="zh-CN"/>
    </w:rPr>
  </w:style>
  <w:style w:type="paragraph" w:styleId="11">
    <w:name w:val="toc 1"/>
    <w:basedOn w:val="1"/>
    <w:next w:val="1"/>
    <w:qFormat/>
    <w:uiPriority w:val="0"/>
    <w:rPr>
      <w:rFonts w:asciiTheme="minorAscii" w:hAnsiTheme="minorAscii" w:eastAsiaTheme="minorEastAsia" w:cstheme="minorBidi"/>
      <w:b/>
      <w:sz w:val="28"/>
      <w:szCs w:val="24"/>
    </w:rPr>
  </w:style>
  <w:style w:type="paragraph" w:styleId="12">
    <w:name w:val="toc 2"/>
    <w:basedOn w:val="1"/>
    <w:next w:val="1"/>
    <w:qFormat/>
    <w:uiPriority w:val="0"/>
    <w:pPr>
      <w:ind w:left="420" w:leftChars="200"/>
    </w:pPr>
    <w:rPr>
      <w:rFonts w:asciiTheme="minorAscii" w:hAnsiTheme="minorAscii" w:eastAsiaTheme="minorEastAsia" w:cstheme="minorBidi"/>
      <w:b/>
      <w:szCs w:val="24"/>
    </w:rPr>
  </w:style>
  <w:style w:type="character" w:customStyle="1" w:styleId="15">
    <w:name w:val="标题 2 字符"/>
    <w:link w:val="3"/>
    <w:autoRedefine/>
    <w:qFormat/>
    <w:uiPriority w:val="9"/>
    <w:rPr>
      <w:rFonts w:ascii="宋体" w:hAnsi="宋体" w:eastAsia="宋体" w:cs="宋体"/>
      <w:b/>
      <w:bCs/>
      <w:color w:val="000000"/>
      <w:kern w:val="0"/>
      <w:sz w:val="30"/>
      <w:szCs w:val="32"/>
      <w:highlight w:val="none"/>
      <w:lang w:val="en-US" w:eastAsia="zh-CN" w:bidi="ar-SA"/>
    </w:rPr>
  </w:style>
  <w:style w:type="character" w:customStyle="1" w:styleId="16">
    <w:name w:val="标题 3 字符1"/>
    <w:link w:val="4"/>
    <w:autoRedefine/>
    <w:qFormat/>
    <w:uiPriority w:val="0"/>
    <w:rPr>
      <w:rFonts w:ascii="宋体" w:hAnsi="宋体" w:eastAsia="宋体" w:cs="宋体"/>
      <w:b/>
      <w:sz w:val="28"/>
      <w:szCs w:val="24"/>
    </w:rPr>
  </w:style>
  <w:style w:type="character" w:customStyle="1" w:styleId="17">
    <w:name w:val="标题 1 字符"/>
    <w:link w:val="2"/>
    <w:autoRedefine/>
    <w:qFormat/>
    <w:uiPriority w:val="0"/>
    <w:rPr>
      <w:rFonts w:ascii="宋体" w:hAnsi="宋体" w:eastAsia="宋体" w:cs="宋体"/>
      <w:b/>
      <w:snapToGrid w:val="0"/>
      <w:color w:val="000000"/>
      <w:kern w:val="0"/>
      <w:sz w:val="32"/>
      <w:szCs w:val="22"/>
      <w:lang w:eastAsia="en-US"/>
    </w:rPr>
  </w:style>
  <w:style w:type="character" w:customStyle="1" w:styleId="18">
    <w:name w:val="正文文本 Char"/>
    <w:link w:val="10"/>
    <w:qFormat/>
    <w:uiPriority w:val="0"/>
    <w:rPr>
      <w:rFonts w:ascii="宋体" w:hAnsi="宋体" w:eastAsia="宋体" w:cs="宋体"/>
      <w:sz w:val="24"/>
      <w:szCs w:val="28"/>
      <w:lang w:val="zh-CN" w:bidi="zh-CN"/>
    </w:rPr>
  </w:style>
  <w:style w:type="paragraph" w:customStyle="1" w:styleId="19">
    <w:name w:val="表格"/>
    <w:basedOn w:val="1"/>
    <w:qFormat/>
    <w:uiPriority w:val="0"/>
    <w:pPr>
      <w:adjustRightInd w:val="0"/>
      <w:snapToGrid w:val="0"/>
      <w:spacing w:line="240" w:lineRule="auto"/>
      <w:jc w:val="center"/>
    </w:pPr>
    <w:rPr>
      <w:rFonts w:hint="eastAsia" w:ascii="宋体" w:hAnsi="宋体" w:eastAsia="宋体" w:cs="宋体"/>
      <w:sz w:val="24"/>
      <w:szCs w:val="24"/>
      <w:lang w:val="zh-CN"/>
    </w:rPr>
  </w:style>
  <w:style w:type="character" w:customStyle="1" w:styleId="20">
    <w:name w:val="标题 4 Char"/>
    <w:link w:val="5"/>
    <w:qFormat/>
    <w:uiPriority w:val="0"/>
    <w:rPr>
      <w:rFonts w:ascii="宋体" w:hAnsi="宋体" w:eastAsia="宋体" w:cs="宋体"/>
      <w:b/>
      <w:bCs/>
      <w:kern w:val="2"/>
      <w:sz w:val="28"/>
      <w:szCs w:val="28"/>
    </w:rPr>
  </w:style>
  <w:style w:type="character" w:customStyle="1" w:styleId="21">
    <w:name w:val="标题 6 Char"/>
    <w:link w:val="7"/>
    <w:qFormat/>
    <w:uiPriority w:val="0"/>
    <w:rPr>
      <w:rFonts w:ascii="Arial" w:hAnsi="Arial" w:eastAsia="宋体" w:cs="Times New Roman"/>
      <w:b/>
      <w:bCs/>
      <w:kern w:val="0"/>
      <w:sz w:val="28"/>
      <w:szCs w:val="24"/>
    </w:rPr>
  </w:style>
  <w:style w:type="character" w:customStyle="1" w:styleId="22">
    <w:name w:val="标题 5 Char"/>
    <w:link w:val="6"/>
    <w:qFormat/>
    <w:uiPriority w:val="0"/>
    <w:rPr>
      <w:rFonts w:ascii="Times New Roman" w:hAnsi="Times New Roman" w:eastAsia="宋体" w:cs="Times New Roman"/>
      <w:b/>
      <w:bCs/>
      <w:kern w:val="0"/>
      <w:sz w:val="28"/>
      <w:szCs w:val="28"/>
    </w:rPr>
  </w:style>
  <w:style w:type="paragraph" w:customStyle="1" w:styleId="23">
    <w:name w:val="居中"/>
    <w:basedOn w:val="1"/>
    <w:qFormat/>
    <w:uiPriority w:val="0"/>
    <w:pPr>
      <w:jc w:val="center"/>
    </w:pPr>
    <w:rPr>
      <w:rFonts w:ascii="Times New Roman" w:hAnsi="Times New Roman" w:eastAsia="宋体"/>
      <w:b/>
      <w:sz w:val="28"/>
    </w:rPr>
  </w:style>
  <w:style w:type="paragraph" w:customStyle="1" w:styleId="2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2026-05-06T01:58:00Z</dcterms:created>
  <dc:creator>hh</dc:creator>
  <cp:lastModifiedBy>hh</cp:lastModifiedBy>
  <dcterms:modified xsi:type="dcterms:W3CDTF">2026-05-06T02:00:25Z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E211BE35A3EF4B6BAB3A414C493317F4_11</vt:lpwstr>
  </property>
  <property fmtid="{D5CDD505-2E9C-101B-9397-08002B2CF9AE}" pid="4" name="KSOTemplateDocerSaveRecord">
    <vt:lpwstr>eyJoZGlkIjoiMDE0MWExYzZhN2MyNGJiNTVhNDFjN2I1MzgyYTEyNWYiLCJ1c2VySWQiOiI1NTQxNTg5NzAifQ==</vt:lpwstr>
  </property>
</Properties>
</file>