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A244E">
      <w:pPr>
        <w:pStyle w:val="2"/>
        <w:keepNext w:val="0"/>
        <w:keepLines w:val="0"/>
        <w:widowControl/>
        <w:suppressLineNumbers w:val="0"/>
        <w:spacing w:before="0" w:beforeAutospacing="1" w:after="0" w:afterAutospacing="1"/>
        <w:ind w:left="0" w:right="0" w:firstLine="640"/>
        <w:jc w:val="both"/>
      </w:pPr>
      <w:r>
        <w:rPr>
          <w:rStyle w:val="5"/>
          <w:rFonts w:ascii="仿宋" w:hAnsi="仿宋" w:eastAsia="仿宋" w:cs="仿宋"/>
          <w:sz w:val="32"/>
          <w:szCs w:val="32"/>
        </w:rPr>
        <w:t>一、服务内容（包括工作区域、工作内容等）</w:t>
      </w:r>
    </w:p>
    <w:tbl>
      <w:tblPr>
        <w:tblW w:w="0" w:type="auto"/>
        <w:tblInd w:w="1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54"/>
        <w:gridCol w:w="1259"/>
        <w:gridCol w:w="5704"/>
        <w:gridCol w:w="699"/>
      </w:tblGrid>
      <w:tr w14:paraId="5818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15" w:type="dxa"/>
            <w:tcBorders>
              <w:top w:val="single" w:color="000000" w:sz="6" w:space="0"/>
              <w:left w:val="single" w:color="000000" w:sz="6" w:space="0"/>
              <w:bottom w:val="single" w:color="000000" w:sz="6" w:space="0"/>
              <w:right w:val="single" w:color="000000" w:sz="6" w:space="0"/>
            </w:tcBorders>
            <w:shd w:val="clear"/>
            <w:tcMar>
              <w:bottom w:w="0" w:type="dxa"/>
            </w:tcMar>
            <w:vAlign w:val="top"/>
          </w:tcPr>
          <w:p w14:paraId="268BA5FB">
            <w:pPr>
              <w:pStyle w:val="2"/>
              <w:keepNext w:val="0"/>
              <w:keepLines w:val="0"/>
              <w:widowControl/>
              <w:suppressLineNumbers w:val="0"/>
              <w:spacing w:before="0" w:beforeAutospacing="1" w:after="0" w:afterAutospacing="1"/>
              <w:ind w:left="0" w:right="0"/>
              <w:jc w:val="center"/>
            </w:pPr>
            <w:r>
              <w:rPr>
                <w:rStyle w:val="5"/>
                <w:rFonts w:hint="eastAsia" w:ascii="仿宋" w:hAnsi="仿宋" w:eastAsia="仿宋" w:cs="仿宋"/>
                <w:color w:val="000000"/>
                <w:sz w:val="24"/>
                <w:szCs w:val="24"/>
              </w:rPr>
              <w:t>序号</w:t>
            </w:r>
          </w:p>
        </w:tc>
        <w:tc>
          <w:tcPr>
            <w:tcW w:w="1470" w:type="dxa"/>
            <w:tcBorders>
              <w:top w:val="single" w:color="000000" w:sz="6" w:space="0"/>
              <w:left w:val="nil"/>
              <w:bottom w:val="single" w:color="000000" w:sz="6" w:space="0"/>
              <w:right w:val="single" w:color="000000" w:sz="6" w:space="0"/>
            </w:tcBorders>
            <w:shd w:val="clear"/>
            <w:tcMar>
              <w:bottom w:w="0" w:type="dxa"/>
            </w:tcMar>
            <w:vAlign w:val="top"/>
          </w:tcPr>
          <w:p w14:paraId="297291D6">
            <w:pPr>
              <w:pStyle w:val="2"/>
              <w:keepNext w:val="0"/>
              <w:keepLines w:val="0"/>
              <w:widowControl/>
              <w:suppressLineNumbers w:val="0"/>
              <w:spacing w:before="0" w:beforeAutospacing="1" w:after="0" w:afterAutospacing="1"/>
              <w:ind w:left="0" w:right="0"/>
              <w:jc w:val="center"/>
            </w:pPr>
            <w:r>
              <w:rPr>
                <w:rStyle w:val="5"/>
                <w:rFonts w:hint="eastAsia" w:ascii="仿宋" w:hAnsi="仿宋" w:eastAsia="仿宋" w:cs="仿宋"/>
                <w:color w:val="000000"/>
                <w:sz w:val="24"/>
                <w:szCs w:val="24"/>
              </w:rPr>
              <w:t>产品名称</w:t>
            </w:r>
          </w:p>
        </w:tc>
        <w:tc>
          <w:tcPr>
            <w:tcW w:w="6765" w:type="dxa"/>
            <w:tcBorders>
              <w:top w:val="single" w:color="000000" w:sz="6" w:space="0"/>
              <w:left w:val="nil"/>
              <w:bottom w:val="single" w:color="000000" w:sz="6" w:space="0"/>
              <w:right w:val="single" w:color="000000" w:sz="6" w:space="0"/>
            </w:tcBorders>
            <w:shd w:val="clear"/>
            <w:tcMar>
              <w:bottom w:w="0" w:type="dxa"/>
            </w:tcMar>
            <w:vAlign w:val="top"/>
          </w:tcPr>
          <w:p w14:paraId="2F0F7C1C">
            <w:pPr>
              <w:pStyle w:val="2"/>
              <w:keepNext w:val="0"/>
              <w:keepLines w:val="0"/>
              <w:widowControl/>
              <w:suppressLineNumbers w:val="0"/>
              <w:spacing w:before="0" w:beforeAutospacing="1" w:after="0" w:afterAutospacing="1"/>
              <w:ind w:left="0" w:right="0"/>
              <w:jc w:val="center"/>
            </w:pPr>
            <w:r>
              <w:rPr>
                <w:rStyle w:val="5"/>
                <w:rFonts w:hint="eastAsia" w:ascii="仿宋" w:hAnsi="仿宋" w:eastAsia="仿宋" w:cs="仿宋"/>
                <w:color w:val="000000"/>
                <w:sz w:val="24"/>
                <w:szCs w:val="24"/>
              </w:rPr>
              <w:t>描述</w:t>
            </w:r>
          </w:p>
        </w:tc>
        <w:tc>
          <w:tcPr>
            <w:tcW w:w="765" w:type="dxa"/>
            <w:tcBorders>
              <w:top w:val="single" w:color="000000" w:sz="6" w:space="0"/>
              <w:left w:val="nil"/>
              <w:bottom w:val="single" w:color="000000" w:sz="6" w:space="0"/>
              <w:right w:val="single" w:color="000000" w:sz="6" w:space="0"/>
            </w:tcBorders>
            <w:shd w:val="clear"/>
            <w:tcMar>
              <w:bottom w:w="0" w:type="dxa"/>
            </w:tcMar>
            <w:vAlign w:val="top"/>
          </w:tcPr>
          <w:p w14:paraId="54D2FDB2">
            <w:pPr>
              <w:pStyle w:val="2"/>
              <w:keepNext w:val="0"/>
              <w:keepLines w:val="0"/>
              <w:widowControl/>
              <w:suppressLineNumbers w:val="0"/>
              <w:spacing w:before="0" w:beforeAutospacing="1" w:after="0" w:afterAutospacing="1"/>
              <w:ind w:left="0" w:right="0"/>
              <w:jc w:val="center"/>
            </w:pPr>
            <w:r>
              <w:rPr>
                <w:rStyle w:val="5"/>
                <w:rFonts w:hint="eastAsia" w:ascii="仿宋" w:hAnsi="仿宋" w:eastAsia="仿宋" w:cs="仿宋"/>
                <w:color w:val="000000"/>
                <w:sz w:val="24"/>
                <w:szCs w:val="24"/>
              </w:rPr>
              <w:t>数量</w:t>
            </w:r>
          </w:p>
        </w:tc>
      </w:tr>
      <w:tr w14:paraId="40466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15" w:type="dxa"/>
            <w:tcBorders>
              <w:top w:val="nil"/>
              <w:left w:val="single" w:color="000000" w:sz="6" w:space="0"/>
              <w:bottom w:val="single" w:color="000000" w:sz="6" w:space="0"/>
              <w:right w:val="single" w:color="000000" w:sz="6" w:space="0"/>
            </w:tcBorders>
            <w:shd w:val="clear"/>
            <w:tcMar>
              <w:bottom w:w="0" w:type="dxa"/>
            </w:tcMar>
            <w:vAlign w:val="center"/>
          </w:tcPr>
          <w:p w14:paraId="4EE17564">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1</w:t>
            </w:r>
          </w:p>
        </w:tc>
        <w:tc>
          <w:tcPr>
            <w:tcW w:w="1470" w:type="dxa"/>
            <w:tcBorders>
              <w:top w:val="nil"/>
              <w:left w:val="nil"/>
              <w:bottom w:val="single" w:color="000000" w:sz="6" w:space="0"/>
              <w:right w:val="single" w:color="000000" w:sz="6" w:space="0"/>
            </w:tcBorders>
            <w:shd w:val="clear"/>
            <w:tcMar>
              <w:bottom w:w="0" w:type="dxa"/>
            </w:tcMar>
            <w:vAlign w:val="center"/>
          </w:tcPr>
          <w:p w14:paraId="0D39AA2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国产办公软件及服务</w:t>
            </w:r>
          </w:p>
        </w:tc>
        <w:tc>
          <w:tcPr>
            <w:tcW w:w="6765" w:type="dxa"/>
            <w:tcBorders>
              <w:top w:val="nil"/>
              <w:left w:val="nil"/>
              <w:bottom w:val="single" w:color="000000" w:sz="6" w:space="0"/>
              <w:right w:val="single" w:color="000000" w:sz="6" w:space="0"/>
            </w:tcBorders>
            <w:shd w:val="clear"/>
            <w:tcMar>
              <w:bottom w:w="0" w:type="dxa"/>
            </w:tcMar>
            <w:vAlign w:val="center"/>
          </w:tcPr>
          <w:p w14:paraId="3718F47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授权方式：年场地授权；</w:t>
            </w:r>
          </w:p>
          <w:p w14:paraId="3CE99D3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授权点位：在校师生数；</w:t>
            </w:r>
          </w:p>
          <w:p w14:paraId="53336EB6">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授权方式：年订阅式；</w:t>
            </w:r>
          </w:p>
          <w:p w14:paraId="67E2FB0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授权服务期限：一年；</w:t>
            </w:r>
          </w:p>
        </w:tc>
        <w:tc>
          <w:tcPr>
            <w:tcW w:w="765" w:type="dxa"/>
            <w:tcBorders>
              <w:top w:val="nil"/>
              <w:left w:val="nil"/>
              <w:bottom w:val="single" w:color="000000" w:sz="6" w:space="0"/>
              <w:right w:val="single" w:color="000000" w:sz="6" w:space="0"/>
            </w:tcBorders>
            <w:shd w:val="clear"/>
            <w:tcMar>
              <w:bottom w:w="0" w:type="dxa"/>
            </w:tcMar>
            <w:vAlign w:val="center"/>
          </w:tcPr>
          <w:p w14:paraId="220ADD76">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1项</w:t>
            </w:r>
          </w:p>
        </w:tc>
      </w:tr>
      <w:tr w14:paraId="1442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15" w:type="dxa"/>
            <w:tcBorders>
              <w:top w:val="nil"/>
              <w:left w:val="single" w:color="000000" w:sz="6" w:space="0"/>
              <w:bottom w:val="single" w:color="000000" w:sz="6" w:space="0"/>
              <w:right w:val="single" w:color="000000" w:sz="6" w:space="0"/>
            </w:tcBorders>
            <w:shd w:val="clear"/>
            <w:tcMar>
              <w:bottom w:w="0" w:type="dxa"/>
            </w:tcMar>
            <w:vAlign w:val="center"/>
          </w:tcPr>
          <w:p w14:paraId="5B0834E9">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2</w:t>
            </w:r>
          </w:p>
        </w:tc>
        <w:tc>
          <w:tcPr>
            <w:tcW w:w="1470" w:type="dxa"/>
            <w:tcBorders>
              <w:top w:val="nil"/>
              <w:left w:val="nil"/>
              <w:bottom w:val="single" w:color="000000" w:sz="6" w:space="0"/>
              <w:right w:val="single" w:color="000000" w:sz="6" w:space="0"/>
            </w:tcBorders>
            <w:shd w:val="clear"/>
            <w:tcMar>
              <w:bottom w:w="0" w:type="dxa"/>
            </w:tcMar>
            <w:vAlign w:val="center"/>
          </w:tcPr>
          <w:p w14:paraId="15892AB2">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国产杀毒软件及服务</w:t>
            </w:r>
          </w:p>
        </w:tc>
        <w:tc>
          <w:tcPr>
            <w:tcW w:w="6765" w:type="dxa"/>
            <w:tcBorders>
              <w:top w:val="nil"/>
              <w:left w:val="nil"/>
              <w:bottom w:val="nil"/>
              <w:right w:val="single" w:color="000000" w:sz="6" w:space="0"/>
            </w:tcBorders>
            <w:shd w:val="clear"/>
            <w:tcMar>
              <w:bottom w:w="0" w:type="dxa"/>
            </w:tcMar>
            <w:vAlign w:val="center"/>
          </w:tcPr>
          <w:p w14:paraId="3D36FC1B">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授权范围：满足学校师生及固定资产设备合法使用。</w:t>
            </w:r>
          </w:p>
          <w:p w14:paraId="4992116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授权方式：支持PC端</w:t>
            </w:r>
          </w:p>
          <w:p w14:paraId="7CC5903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授权服务期限：一年；</w:t>
            </w:r>
          </w:p>
        </w:tc>
        <w:tc>
          <w:tcPr>
            <w:tcW w:w="765" w:type="dxa"/>
            <w:tcBorders>
              <w:top w:val="nil"/>
              <w:left w:val="nil"/>
              <w:bottom w:val="single" w:color="000000" w:sz="6" w:space="0"/>
              <w:right w:val="single" w:color="000000" w:sz="6" w:space="0"/>
            </w:tcBorders>
            <w:shd w:val="clear"/>
            <w:tcMar>
              <w:bottom w:w="0" w:type="dxa"/>
            </w:tcMar>
            <w:vAlign w:val="center"/>
          </w:tcPr>
          <w:p w14:paraId="6DB6D1E8">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100套</w:t>
            </w:r>
          </w:p>
        </w:tc>
      </w:tr>
      <w:tr w14:paraId="3976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15" w:type="dxa"/>
            <w:tcBorders>
              <w:top w:val="nil"/>
              <w:left w:val="single" w:color="000000" w:sz="6" w:space="0"/>
              <w:bottom w:val="single" w:color="000000" w:sz="6" w:space="0"/>
              <w:right w:val="single" w:color="000000" w:sz="6" w:space="0"/>
            </w:tcBorders>
            <w:shd w:val="clear"/>
            <w:tcMar>
              <w:bottom w:w="0" w:type="dxa"/>
            </w:tcMar>
            <w:vAlign w:val="center"/>
          </w:tcPr>
          <w:p w14:paraId="50F0E20F">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3</w:t>
            </w:r>
          </w:p>
        </w:tc>
        <w:tc>
          <w:tcPr>
            <w:tcW w:w="1470" w:type="dxa"/>
            <w:tcBorders>
              <w:top w:val="nil"/>
              <w:left w:val="nil"/>
              <w:bottom w:val="single" w:color="000000" w:sz="6" w:space="0"/>
              <w:right w:val="single" w:color="000000" w:sz="6" w:space="0"/>
            </w:tcBorders>
            <w:shd w:val="clear"/>
            <w:tcMar>
              <w:bottom w:w="0" w:type="dxa"/>
            </w:tcMar>
            <w:vAlign w:val="center"/>
          </w:tcPr>
          <w:p w14:paraId="48BBE09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国产视频编辑软件</w:t>
            </w:r>
          </w:p>
        </w:tc>
        <w:tc>
          <w:tcPr>
            <w:tcW w:w="6765" w:type="dxa"/>
            <w:tcBorders>
              <w:top w:val="single" w:color="000000" w:sz="6" w:space="0"/>
              <w:left w:val="nil"/>
              <w:bottom w:val="single" w:color="000000" w:sz="6" w:space="0"/>
              <w:right w:val="single" w:color="000000" w:sz="6" w:space="0"/>
            </w:tcBorders>
            <w:shd w:val="clear"/>
            <w:tcMar>
              <w:bottom w:w="0" w:type="dxa"/>
            </w:tcMar>
            <w:vAlign w:val="center"/>
          </w:tcPr>
          <w:p w14:paraId="7B37E23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授权范围：满足学校师生及固定资产设备合法使用。</w:t>
            </w:r>
          </w:p>
          <w:p w14:paraId="6412D6FA">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授权方式：支持PC端及移动端</w:t>
            </w:r>
          </w:p>
          <w:p w14:paraId="608BDE3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授权服务期限：一年；</w:t>
            </w:r>
          </w:p>
        </w:tc>
        <w:tc>
          <w:tcPr>
            <w:tcW w:w="765" w:type="dxa"/>
            <w:tcBorders>
              <w:top w:val="nil"/>
              <w:left w:val="nil"/>
              <w:bottom w:val="single" w:color="000000" w:sz="6" w:space="0"/>
              <w:right w:val="single" w:color="000000" w:sz="6" w:space="0"/>
            </w:tcBorders>
            <w:shd w:val="clear"/>
            <w:tcMar>
              <w:bottom w:w="0" w:type="dxa"/>
            </w:tcMar>
            <w:vAlign w:val="center"/>
          </w:tcPr>
          <w:p w14:paraId="1633556E">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5套</w:t>
            </w:r>
          </w:p>
        </w:tc>
      </w:tr>
      <w:tr w14:paraId="547F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15" w:type="dxa"/>
            <w:tcBorders>
              <w:top w:val="nil"/>
              <w:left w:val="single" w:color="000000" w:sz="6" w:space="0"/>
              <w:bottom w:val="single" w:color="000000" w:sz="6" w:space="0"/>
              <w:right w:val="single" w:color="000000" w:sz="6" w:space="0"/>
            </w:tcBorders>
            <w:shd w:val="clear"/>
            <w:tcMar>
              <w:bottom w:w="0" w:type="dxa"/>
            </w:tcMar>
            <w:vAlign w:val="center"/>
          </w:tcPr>
          <w:p w14:paraId="69DCECE5">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4</w:t>
            </w:r>
          </w:p>
        </w:tc>
        <w:tc>
          <w:tcPr>
            <w:tcW w:w="1470" w:type="dxa"/>
            <w:tcBorders>
              <w:top w:val="nil"/>
              <w:left w:val="nil"/>
              <w:bottom w:val="single" w:color="000000" w:sz="6" w:space="0"/>
              <w:right w:val="single" w:color="000000" w:sz="6" w:space="0"/>
            </w:tcBorders>
            <w:shd w:val="clear"/>
            <w:tcMar>
              <w:bottom w:w="0" w:type="dxa"/>
            </w:tcMar>
            <w:vAlign w:val="center"/>
          </w:tcPr>
          <w:p w14:paraId="1661E69B">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软件管理运维及驻场服务</w:t>
            </w:r>
          </w:p>
        </w:tc>
        <w:tc>
          <w:tcPr>
            <w:tcW w:w="6765" w:type="dxa"/>
            <w:tcBorders>
              <w:top w:val="nil"/>
              <w:left w:val="nil"/>
              <w:bottom w:val="single" w:color="000000" w:sz="6" w:space="0"/>
              <w:right w:val="single" w:color="000000" w:sz="6" w:space="0"/>
            </w:tcBorders>
            <w:shd w:val="clear"/>
            <w:tcMar>
              <w:bottom w:w="0" w:type="dxa"/>
            </w:tcMar>
            <w:vAlign w:val="center"/>
          </w:tcPr>
          <w:p w14:paraId="0AF164F2">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1.部署正版软件管理平台。支持信创硬件平台、信创服务器OS且支持私有云平台部署。实现正版软件介质统一管理、统一分发、用户自助下载。提供资产管理系统表式模板下载及数据统计。</w:t>
            </w:r>
          </w:p>
          <w:p w14:paraId="6D4CA46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2.配合学校完成校内电脑的正版软件的安装、激活及数据统计工作，并进行正版化检查工作，规划、牵头实施软件正版化检查，确保校内办公 终端操作系统、办公软件、杀毒软件符合正版化工作要求。</w:t>
            </w:r>
          </w:p>
          <w:p w14:paraId="2C56272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3.提供宣传资料，配合学校完成正版软件宣传培训工作。</w:t>
            </w:r>
          </w:p>
          <w:p w14:paraId="7BFBAA76">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4.提供1名技术人员长期在校进行驻场服务,要求具有两年（含）以上相关工作经历，具备处理常见计算机、打印机、网络等办公设施设备问题能力。人员要固定，不得随意换人。</w:t>
            </w:r>
          </w:p>
          <w:p w14:paraId="0C53F26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工作时间：工作日上午08∶00-12∶00 ，下午14∶00-18∶00，法定节假日可正常休息，具体时间由学校根据需要安排。</w:t>
            </w:r>
          </w:p>
          <w:p w14:paraId="70C56ADA">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工作内容：包括但不限于操作系统及软件安装激活、规范性日常维护、故障应急响应、设备问题解决、系统安全防范等，做好运维台账，建立完备的运维过程文档资料，协助学校处理各类计算机、办公设备及网络问题等。</w:t>
            </w:r>
          </w:p>
          <w:p w14:paraId="3450A1B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服务期限：一年</w:t>
            </w:r>
          </w:p>
        </w:tc>
        <w:tc>
          <w:tcPr>
            <w:tcW w:w="765" w:type="dxa"/>
            <w:tcBorders>
              <w:top w:val="nil"/>
              <w:left w:val="nil"/>
              <w:bottom w:val="single" w:color="000000" w:sz="6" w:space="0"/>
              <w:right w:val="single" w:color="000000" w:sz="6" w:space="0"/>
            </w:tcBorders>
            <w:shd w:val="clear"/>
            <w:tcMar>
              <w:bottom w:w="0" w:type="dxa"/>
            </w:tcMar>
            <w:vAlign w:val="center"/>
          </w:tcPr>
          <w:p w14:paraId="03FA8FCC">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1项</w:t>
            </w:r>
          </w:p>
        </w:tc>
      </w:tr>
    </w:tbl>
    <w:p w14:paraId="6384EB3C">
      <w:pPr>
        <w:pStyle w:val="2"/>
        <w:keepNext w:val="0"/>
        <w:keepLines w:val="0"/>
        <w:widowControl/>
        <w:suppressLineNumbers w:val="0"/>
        <w:spacing w:before="0" w:beforeAutospacing="1" w:after="0" w:afterAutospacing="1"/>
        <w:ind w:left="0" w:right="0" w:firstLine="640"/>
        <w:jc w:val="both"/>
      </w:pPr>
      <w:r>
        <w:rPr>
          <w:rStyle w:val="5"/>
          <w:rFonts w:hint="eastAsia" w:ascii="仿宋" w:hAnsi="仿宋" w:eastAsia="仿宋" w:cs="仿宋"/>
          <w:sz w:val="32"/>
          <w:szCs w:val="32"/>
        </w:rPr>
        <w:t>二、技术要求</w:t>
      </w:r>
    </w:p>
    <w:tbl>
      <w:tblPr>
        <w:tblW w:w="0" w:type="auto"/>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50"/>
        <w:gridCol w:w="829"/>
        <w:gridCol w:w="7102"/>
      </w:tblGrid>
      <w:tr w14:paraId="3D5DE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18CA354">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序号</w:t>
            </w:r>
          </w:p>
        </w:tc>
        <w:tc>
          <w:tcPr>
            <w:tcW w:w="9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17111E69">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技术/服务项目</w:t>
            </w:r>
          </w:p>
        </w:tc>
        <w:tc>
          <w:tcPr>
            <w:tcW w:w="82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top"/>
          </w:tcPr>
          <w:p w14:paraId="6F5D16B4">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技术/服务指标</w:t>
            </w:r>
          </w:p>
        </w:tc>
      </w:tr>
      <w:tr w14:paraId="0802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BDF179A">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1</w:t>
            </w:r>
          </w:p>
        </w:tc>
        <w:tc>
          <w:tcPr>
            <w:tcW w:w="9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11B9B1C">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国产办公软件及服务</w:t>
            </w: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C18196A">
            <w:pPr>
              <w:pStyle w:val="2"/>
              <w:keepNext w:val="0"/>
              <w:keepLines w:val="0"/>
              <w:widowControl/>
              <w:suppressLineNumbers w:val="0"/>
              <w:spacing w:before="0" w:beforeAutospacing="1" w:after="0" w:afterAutospacing="1"/>
              <w:ind w:left="0" w:right="0"/>
              <w:jc w:val="both"/>
            </w:pPr>
            <w:r>
              <w:rPr>
                <w:rStyle w:val="5"/>
                <w:rFonts w:hint="eastAsia" w:ascii="仿宋" w:hAnsi="仿宋" w:eastAsia="仿宋" w:cs="仿宋"/>
                <w:color w:val="000000"/>
                <w:sz w:val="24"/>
                <w:szCs w:val="24"/>
              </w:rPr>
              <w:t>1.软件功能要求</w:t>
            </w:r>
          </w:p>
        </w:tc>
      </w:tr>
      <w:tr w14:paraId="4612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0451610">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5B7AAF9">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A810A51">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（1）授权方式：办公软件客户端年场地授权，满足我校教职工、在校学生及固定资产设备合法使用。授权期限：1年。(提供证明文件)。</w:t>
            </w:r>
          </w:p>
          <w:p w14:paraId="482F955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（2）需提供软件厂商针对本项目的授权书，针对我校的售后服务承诺函。</w:t>
            </w:r>
          </w:p>
          <w:p w14:paraId="790748D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（3）投标产品提供运行在包括且不限于Windows、统信、银河麒麟操作系统上运行的office办公软件客户端产品，包含且不限于文字、表格、演示文档、PDF编辑等功能组件。</w:t>
            </w:r>
          </w:p>
          <w:p w14:paraId="31033F5A">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（4）投标产品支持窗口多组件/整合模式，支持进行单窗口多标签的拆分与组合，在多窗口模式下支持在系统任务栏显示多主窗口，可以通过快捷键来回切换查看多个文档。</w:t>
            </w:r>
          </w:p>
          <w:p w14:paraId="592ED7C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（5）投标产品支持PDF类型文档阅读、编辑、转换等功能。</w:t>
            </w:r>
          </w:p>
          <w:p w14:paraId="37E90224">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（6）文字模块智能目录导航，自动识别文档结构，实时调整文档目录；标题格式不用调整样式，也可智能自动生成目录。</w:t>
            </w:r>
          </w:p>
          <w:p w14:paraId="31FAAFD4">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（7）文字模块支持翻译功能，能支持多种语言（至少包括中文，英语，韩语，日语，法语）互相翻译转换，同时支持选定字词实时翻译功能。</w:t>
            </w:r>
          </w:p>
          <w:p w14:paraId="5918DE3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（8）宏代码兼容，能直接打开微软创建的宏文档，并运行宏代码。兼容微软2007以上版本采用的CNG加密算法，能够打开CNG加密的文件。兼容微软基于COM技术的插件接口标准，能够加载已有的常用插件。</w:t>
            </w:r>
          </w:p>
          <w:p w14:paraId="411BE36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（9）文件格式兼容：实现文件格式包括且不限于doc、docx、wps、wpt、xls、xlsx、et、ett、ppt、dps、dpt、Office模板文件（dot、xlt和pot文件）、PDF文件的兼容。</w:t>
            </w:r>
          </w:p>
          <w:p w14:paraId="25E7DBD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（10）提供与OA系统等业务系统的二次开发接口，全面支持B/S、C/S应用。</w:t>
            </w:r>
          </w:p>
        </w:tc>
      </w:tr>
      <w:tr w14:paraId="031A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7FDB242">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A33332E">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C446316">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color w:val="000000"/>
                <w:sz w:val="24"/>
                <w:szCs w:val="24"/>
              </w:rPr>
              <w:t>授权服务期限：一年；</w:t>
            </w:r>
          </w:p>
        </w:tc>
      </w:tr>
      <w:tr w14:paraId="0C16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5471D6C2">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68267F5">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CDEBF78">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color w:val="000000"/>
                <w:sz w:val="24"/>
                <w:szCs w:val="24"/>
              </w:rPr>
              <w:t>售后期限：一年</w:t>
            </w:r>
          </w:p>
        </w:tc>
      </w:tr>
      <w:tr w14:paraId="6C4D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425D36F">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297AB25">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225020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w:t>
            </w:r>
            <w:r>
              <w:rPr>
                <w:rFonts w:hint="eastAsia" w:ascii="仿宋" w:hAnsi="仿宋" w:eastAsia="仿宋" w:cs="仿宋"/>
                <w:color w:val="000000"/>
                <w:sz w:val="24"/>
                <w:szCs w:val="24"/>
              </w:rPr>
              <w:t>提供软件生产厂商对本项目的授权函及售后服务承诺函。</w:t>
            </w:r>
          </w:p>
        </w:tc>
      </w:tr>
      <w:tr w14:paraId="0F4E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71D718F6">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6131462">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66E7CA5">
            <w:pPr>
              <w:pStyle w:val="2"/>
              <w:keepNext w:val="0"/>
              <w:keepLines w:val="0"/>
              <w:widowControl/>
              <w:suppressLineNumbers w:val="0"/>
              <w:spacing w:before="0" w:beforeAutospacing="1" w:after="0" w:afterAutospacing="1"/>
              <w:ind w:left="0" w:right="0"/>
              <w:jc w:val="left"/>
            </w:pPr>
            <w:r>
              <w:rPr>
                <w:rStyle w:val="5"/>
                <w:rFonts w:hint="eastAsia" w:ascii="仿宋" w:hAnsi="仿宋" w:eastAsia="仿宋" w:cs="仿宋"/>
                <w:color w:val="000000"/>
                <w:sz w:val="24"/>
                <w:szCs w:val="24"/>
              </w:rPr>
              <w:t>2.账号服务功能要求</w:t>
            </w:r>
          </w:p>
        </w:tc>
      </w:tr>
      <w:tr w14:paraId="4CFFE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D748466">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4703446">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CB486A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提供不少于550个校园云账号用户订阅许可，每账号不小于2T的云文档空间存储容量，还可以根据账号使用情况进行空间分配，同时提供AI权益，实现AI内容创作、智慧助手、知识洞察。AI写公式、一键生成PPT、写文章、改写、智能问答、文档总结、模版素材，AI会议助手等。</w:t>
            </w:r>
          </w:p>
          <w:p w14:paraId="048DCFD4">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（2）支持PDF版式文件格式互转功能，可与Word、Excel、PPT格式文档相互转换。（需提供有效证明文件或者截图进行证明）</w:t>
            </w:r>
          </w:p>
          <w:p w14:paraId="02E2905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（3）支持实时通讯能力，支持一对一单聊会话和创建群聊会话；会话支持设置消息免打扰、聊天列表置顶等功能。（需提供有效证明文件或者截图进行证明）</w:t>
            </w:r>
          </w:p>
          <w:p w14:paraId="58880172">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（4）提供可以共享协作的日历服务，可以将日历分享给其他人，其他人可以根据分享者配置的编辑、查看、仅查看忙闲权限，对于分享者的日历进行管理和查看。日程可以分享到聊天，选择参与人。</w:t>
            </w:r>
          </w:p>
          <w:p w14:paraId="5266ADD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5）支持会议功能。可基于文档发起会议功能，并邀请其他成员参与；单次不少于120分钟会议时间，会议可接入至少50方，支持AI会议助手，实现会议纪要、会议总结、录屏等功能。支持单独创建会议，通过会议ID或者链接可进行在线会议，可提供云文档共享、屏幕共享多种内容共享方式。</w:t>
            </w:r>
          </w:p>
          <w:p w14:paraId="58DCC814">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6）支持在线文字、演示、表格、思维导图、流程图、文档共享、表单功能。可创建基础表单、考试、打卡、接龙等多种常用信息采集表，提供多种常用模板，并且支持链接、二维码、海报、微信、QQ等方式进行邀请填写，后台自动生成Excel表格和填报情况汇总。</w:t>
            </w:r>
          </w:p>
          <w:p w14:paraId="63009BD5">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（7）后台管理提供多权益管理，文档安全管控能力，支持团队文档水印、团队文档分享范围管控、文档流转安</w:t>
            </w:r>
            <w:r>
              <w:rPr>
                <w:rFonts w:hint="eastAsia" w:ascii="仿宋" w:hAnsi="仿宋" w:eastAsia="仿宋" w:cs="仿宋"/>
                <w:sz w:val="24"/>
                <w:szCs w:val="24"/>
              </w:rPr>
              <w:t>全管控（具有是否禁止</w:t>
            </w:r>
            <w:r>
              <w:rPr>
                <w:rFonts w:hint="eastAsia" w:ascii="仿宋" w:hAnsi="仿宋" w:eastAsia="仿宋" w:cs="仿宋"/>
                <w:color w:val="000000"/>
                <w:sz w:val="24"/>
                <w:szCs w:val="24"/>
              </w:rPr>
              <w:t>分享到学校/团队外）的能力；</w:t>
            </w:r>
          </w:p>
          <w:p w14:paraId="5F5A9F1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（8）后台角色管理：根据不同的管理能力，创建不同角色，如日志管理员、组织架构管理员等情况，完成分权管理。（不限于提供有效证明文件或者软件功能截图进行证明）</w:t>
            </w:r>
          </w:p>
          <w:p w14:paraId="1CAB3886">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（9）日志管理：支持对文档操作、团队操作、后台操作和登录操作进行日志记录，并支持日志导出。（不限于提供有效证明文件或者软件功能截图进行证明）</w:t>
            </w:r>
          </w:p>
          <w:p w14:paraId="19440503">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（10）后台管理支持通讯录可见性自定义设置，有效保障组织架构信息不被任意查看。</w:t>
            </w:r>
          </w:p>
          <w:p w14:paraId="6B582C03">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11）同时提供上限为在校学生人数的校园标准云账号用户订阅许可，每账号不小于50G的云文档空间存储容量，还可以根据账号使用情况进行空间分配，提供在线文字、演示、表格、思维导图、流程图、文档共享、表单等功能。</w:t>
            </w:r>
          </w:p>
        </w:tc>
      </w:tr>
      <w:tr w14:paraId="1116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4B237D6">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AB56B53">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9D11055">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授权服务期限：一年；</w:t>
            </w:r>
          </w:p>
        </w:tc>
      </w:tr>
      <w:tr w14:paraId="57D2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E86532D">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84E378B">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D4EA02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售后期限：一年</w:t>
            </w:r>
          </w:p>
        </w:tc>
      </w:tr>
      <w:tr w14:paraId="3937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96F8444">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73B45BD">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3166304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w:t>
            </w:r>
            <w:r>
              <w:rPr>
                <w:rFonts w:hint="eastAsia" w:ascii="仿宋" w:hAnsi="仿宋" w:eastAsia="仿宋" w:cs="仿宋"/>
                <w:color w:val="000000"/>
                <w:sz w:val="24"/>
                <w:szCs w:val="24"/>
              </w:rPr>
              <w:t>提供软件生产厂商对本项目的授权函及售后服务承诺函。</w:t>
            </w:r>
          </w:p>
        </w:tc>
      </w:tr>
      <w:tr w14:paraId="73361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99A9F69">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2</w:t>
            </w:r>
          </w:p>
        </w:tc>
        <w:tc>
          <w:tcPr>
            <w:tcW w:w="9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1284664">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国产杀毒软件服务</w:t>
            </w: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09BE506">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1.支持 PC 端100 台；</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2.具有邮件预警功能，遇到全网发现病毒事件、网络攻击事件以及超过一周未进行更新时，通过发送邮件进行预警。</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3.管理中心集成可视化威胁数据概览、终端统一运维管控、漏洞修复、资产管理、级联部署、中心管理、威胁日志报表、邮件预警等八大模块功能，有效针对全网终端安全进行管理与防护。</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4.终端基于虚拟沙盒环境与通用脱壳技术实现对病毒的有效识别，将病毒防御、系统防御、网络防御和访问控制四大模块深度协作运行，构建主动防御入侵系统，为全网终端保驾护航。</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5.要求客户端安装后占用硬盘空间≤60M，日常使用内存占用30M左右，有效节省电脑资源。</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6.要求中心支持容灾备份功能，当主中心计算机遭受如宕机、断电、硬件/软件故障等意外情况或人为操作错误导致主中心计算机无法正常使用时，备用中心将自动顶替宕机的主中心且同步数据。</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7.要求支持可对终端添加多个中心地址,当终端接入网络环境时,中心可对终端实施管控。</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8.要求中心可统计全网操作系统版本信息、安装时间、激活状态且具有操作系统占比可视化数据图；可统计全网终端硬件信息包括CPU、内存、硬盘、网卡、显卡、主板且支持硬件清单导出、支持全网终端硬件变更历史记录包括变更时间、变更硬件、操作。</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9.要求支持热补丁机制，利用产品自身防御功能，防护其他软件以及系统出现的漏洞，阻止对计算机造成损害与入侵。</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10.要求具有反病毒底层技术，反病毒引擎为本地反病毒引擎，不依赖云（联网时的病毒查杀能力与断网时的病毒查杀能力一致）具有轻量级的病毒库，却有较强的病毒查杀能力。</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11.要求支持基于HTTP协议的数据流量检测，可检测恶意代码并追溯恶意代码来源。</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12.要求终端具有弹窗拦截工具，具备自动拦截方式，手动截图拦截方式，可拦截流氓、广告、以及恶意弹窗等。</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13.要求管理中心支持对Windows、Linux、Mac各种不同操作系统版本的客户端统一运维管控。</w:t>
            </w:r>
          </w:p>
        </w:tc>
      </w:tr>
      <w:tr w14:paraId="7008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073898E8">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95B05A6">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40F4B40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授权服务期限：一年；</w:t>
            </w:r>
          </w:p>
        </w:tc>
      </w:tr>
      <w:tr w14:paraId="1C79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F60EEBA">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902D84A">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C839819">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售后期限：一年</w:t>
            </w:r>
          </w:p>
        </w:tc>
      </w:tr>
      <w:tr w14:paraId="5707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FB88BD1">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7921B602">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05AACDA">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w:t>
            </w:r>
            <w:r>
              <w:rPr>
                <w:rFonts w:hint="eastAsia" w:ascii="仿宋" w:hAnsi="仿宋" w:eastAsia="仿宋" w:cs="仿宋"/>
                <w:color w:val="000000"/>
                <w:sz w:val="24"/>
                <w:szCs w:val="24"/>
              </w:rPr>
              <w:t>提供原厂商授权、售后承诺函等相关资料</w:t>
            </w:r>
          </w:p>
        </w:tc>
      </w:tr>
      <w:tr w14:paraId="510AF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796A6054">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3</w:t>
            </w:r>
          </w:p>
        </w:tc>
        <w:tc>
          <w:tcPr>
            <w:tcW w:w="915"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2CD150A">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sz w:val="24"/>
                <w:szCs w:val="24"/>
              </w:rPr>
              <w:t>国产视频编辑软件</w:t>
            </w: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bottom"/>
          </w:tcPr>
          <w:p w14:paraId="5612E00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1.桌面端专业级视频剪辑软件，支持 Windows 、统信、银河麒麟操作系统。</w:t>
            </w:r>
          </w:p>
          <w:p w14:paraId="6B466095">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2.支持多轨道视频、音频编辑，时间线面板展示清晰，具备轨道高度调整及锁定功能 。</w:t>
            </w:r>
          </w:p>
          <w:p w14:paraId="4701976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3.支持关键帧动画功能，可自由调节画面位置、缩放、旋转及不透明度 。</w:t>
            </w:r>
          </w:p>
          <w:p w14:paraId="2AB03CA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4.支持曲线变速功能，可自定义视频速度变化曲线 。</w:t>
            </w:r>
          </w:p>
          <w:p w14:paraId="0A01CFD4">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4.支持蒙版功能（包含线性、圆形、矩形及多种自定义形状），便于多轨道合成 。</w:t>
            </w:r>
          </w:p>
          <w:p w14:paraId="69586FE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5.具备AI智能语音识别能力，可自动识别视频/音频人声并生成精准字幕，支持文本修改和样式预设 。</w:t>
            </w:r>
          </w:p>
          <w:p w14:paraId="0D15AFB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6.支持智能抠像（人像）及绿幕抠像功能 。</w:t>
            </w:r>
          </w:p>
          <w:p w14:paraId="1B5AEA9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7.支持文本转语音（AI朗读）功能，提供多种音色选择 。</w:t>
            </w:r>
          </w:p>
          <w:p w14:paraId="69FFF95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8.提供海量云端素材库，包含但不限于：专属贴纸、花字、特效、转场、滤镜及热门背景音乐（BGM） 。</w:t>
            </w:r>
          </w:p>
          <w:p w14:paraId="3AF5C43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9.支持人声分离功能，可提取或分离音频中的人声和背景音 。</w:t>
            </w:r>
          </w:p>
          <w:p w14:paraId="4F09418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10.支持不低于 4K 分辨率 视频导出 。</w:t>
            </w:r>
          </w:p>
          <w:p w14:paraId="6FA0E16F">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11.支持不低于 60fps（帧/秒） 的视频帧率 。</w:t>
            </w:r>
          </w:p>
          <w:p w14:paraId="49EC2E87">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12.支持多档码率调节，以适应不同平台的上传需求 。</w:t>
            </w:r>
          </w:p>
          <w:p w14:paraId="0AC449B8">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13.文件格式：支持且不限于导入主流视频（MP4/MOV）、音频（MP3/WMA/M4A）及图像（JPEG/PNG）等格式。</w:t>
            </w:r>
          </w:p>
        </w:tc>
      </w:tr>
      <w:tr w14:paraId="628E0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2E379D2B">
            <w:pPr>
              <w:pStyle w:val="2"/>
              <w:keepNext w:val="0"/>
              <w:keepLines w:val="0"/>
              <w:widowControl/>
              <w:suppressLineNumbers w:val="0"/>
              <w:spacing w:before="0" w:beforeAutospacing="1" w:after="0" w:afterAutospacing="1"/>
              <w:ind w:left="0" w:right="0"/>
              <w:jc w:val="center"/>
            </w:pPr>
            <w:r>
              <w:rPr>
                <w:rFonts w:hint="eastAsia" w:ascii="仿宋" w:hAnsi="仿宋" w:eastAsia="仿宋" w:cs="仿宋"/>
                <w:color w:val="000000"/>
                <w:sz w:val="24"/>
                <w:szCs w:val="24"/>
              </w:rPr>
              <w:t>4</w:t>
            </w:r>
          </w:p>
        </w:tc>
        <w:tc>
          <w:tcPr>
            <w:tcW w:w="915"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5666F2A">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软件管理运维及驻场服务</w:t>
            </w: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5E778C4D">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1.正版软件管理平台应当支持部署在学校，且支持信创硬件平台、信创服务器OS及支持私有云平台部署。</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2.平台必须同时支持IPV4和IPV6。</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3.正版软件管理平台应是基于 B/S 技术架构，编程语言应当使用 “C++、QT、PHP、NodeJs”等主流编程语言。</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4.正版软件管理平台需要采用统一的标准接口开发，需要能与本校的统一身份认证系统进行对接，对接方式包括（但不限于）单点登录，支持中间表方式对用户信息进行对接。</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5.正版软件管理平台需要自带独立的用户管理系统，以便在正版软件管理平台内可以实现独立设置用户在正版软件管理平台中的使用权限。能支持在软件资源管理与服务平台内对用户信息进行编辑。</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6.权限管理：要求具有统一的权限管理中心，支持权限的分级授权管理。具有完备的权限控制体系，包括组织授权、用户授权、角色授权、岗位授权、功能授权、操作权限、字段权限以及多维度的数据授权。提供截图证明。</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7.激活方式，在用户使用统一身份认证系统账号密码登录以后，直接通过点击即可完成整个激活操作。且一旦发生激活问题，激活客户端应当给出简单快捷的解决方案。</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8.使用技巧：在本地资源发布使用说明，内容包括平台或要求的使用技巧，形式包括视频或文件。须提供不少于100个包含自有制作、授权使用或第三方合法来源的视频资料，并且存放于采购人存储服务器中。</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9.支持移动端问题处理：面向用户提供移动端自助问题搜索功能，能快速查找并解决问题。</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10.正版软件管理平台应当支持实验室、机房等大批量的计算机激活，激活过程中，机房的客户机需要能在无人干预的情况下自动完成激活操作。</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11.整个激活过程，应当保证不泄露（包括秘钥在内）任何的涉密信息。 激活客户端应当保证无法被反编译，以避免因为激活客户端被反编译而导致的关键数据或参数的泄露。</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12.激活客户端：定制激活客户端，须免安装、用户自助激活，激活过程用户无须输入密钥，保障密钥安全；</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13.补丁更新：要求平台集成补丁服务器功能，提供软件补丁的分析检测和下载安装；实现平台与补丁更新服务器数据的实时同步；</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14. 正版软件管理平台提供商一年应当提供不少于 4 次的更新服务，服务内容应当包括：软件、文档、视频资料更新；正版软件管理平台定制开发；身份认证地接；正版软件管理平台系统优化；</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15．监控管理功能：监控平台服务器、激活服务器、补丁服务器等运行状况，实时了解服务器健康状态，监控内容不限于 CPU、内存使用率、硬盘使用空间检测、服务器补丁安装提醒、服务器攻击智能提醒等，所有监控数据都在平台中可查。</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16．要求平台可统计计算机信息，包括但不限于软件名称、版本号、安装时间、所属人等；</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17.正版软件管理平台的系统网站（包括管理后台），应当兼容不同的浏览器，并且可以根据本校的需求进行一定的定制，以便于本校的一贯风格保持一致。</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18.正版软件管理平台提供的服务，应当符合第三方软件提供公司的使用管理规范，以避免本校因为在系统和软件的使用过程中，因为不符合第三方软件提供商的软件使用规定而产生的软件使用规范问题。</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19.数据的存储和传输，正版软件管理平台的关键数据须进行加密存储和传输，以避免数据在存储和传输的过程中可能产生的安全隐患。</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20.正版软件管理平台提供商，应当提供完备的正版软件管理平台数据（包括软件和镜像、数据资料、日志）等在内的数据备份策略和故障恢复策略。在可能的情况下，正版软件管理平台提供商需要进行服务器负载均衡和主从服务器的部署。</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21.满足并发处理要求：保证正版软件管理平台在大规模用户访问的情况下仍然能够提供高速的服务，支持至少 500 人并发访问、下载。</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22.学校管理员可以通过正版软件管理平台的管理后台对系统的以下数据进行自主管理和维护：</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23. 日志管理：提供日志功能（登录日志、操作日志），该模块可查看用户在系统内的操作。包含业务数据录入、修改、提交、删除等操作，日志信息不可删除、不可修改。日志保存至少六个月。</w:t>
            </w:r>
            <w:r>
              <w:rPr>
                <w:rFonts w:hint="default" w:ascii="Times New Roman" w:hAnsi="Times New Roman" w:cs="Times New Roman"/>
                <w:sz w:val="19"/>
                <w:szCs w:val="19"/>
              </w:rPr>
              <w:br w:type="textWrapping"/>
            </w:r>
            <w:r>
              <w:rPr>
                <w:rFonts w:hint="eastAsia" w:ascii="仿宋" w:hAnsi="仿宋" w:eastAsia="仿宋" w:cs="仿宋"/>
                <w:sz w:val="24"/>
                <w:szCs w:val="24"/>
              </w:rPr>
              <w:t>▲</w:t>
            </w:r>
            <w:r>
              <w:rPr>
                <w:rFonts w:hint="eastAsia" w:ascii="仿宋" w:hAnsi="仿宋" w:eastAsia="仿宋" w:cs="仿宋"/>
                <w:color w:val="000000"/>
                <w:sz w:val="24"/>
                <w:szCs w:val="24"/>
              </w:rPr>
              <w:t>24.数据统计管理：包含平台访问量、软件下载量、软件激活量等数据分析及平台使用报告，能够针对一种和多种软件安装情况对用户下载量和软件下载量进行相应实时统计，并可以以浏览器模式查看分类统计；能以各种格式导出或打印软件使用报告；支持数据大屏输出（不限于提供截图等证明材料）</w:t>
            </w:r>
          </w:p>
        </w:tc>
      </w:tr>
      <w:tr w14:paraId="5B43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CC3C627">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96D537C">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6C1B821E">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软件检查及分析服务要求：</w:t>
            </w:r>
          </w:p>
          <w:p w14:paraId="128D5800">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sz w:val="24"/>
                <w:szCs w:val="24"/>
              </w:rPr>
              <w:t>▲</w:t>
            </w:r>
            <w:r>
              <w:rPr>
                <w:rFonts w:hint="eastAsia" w:ascii="仿宋" w:hAnsi="仿宋" w:eastAsia="仿宋" w:cs="仿宋"/>
                <w:color w:val="000000"/>
                <w:sz w:val="24"/>
                <w:szCs w:val="24"/>
              </w:rPr>
              <w:t>1.提供软件检查工具，自行采集操作系统、杀毒软件、办公软件等信息；根据用户需求，可以在平台后台添加检查的软件；提供软件开发第三方证明材料，包括但不限于软件著作权、第三方检测报告”</w:t>
            </w:r>
            <w:r>
              <w:rPr>
                <w:rFonts w:hint="default" w:ascii="Times New Roman" w:hAnsi="Times New Roman" w:cs="Times New Roman"/>
                <w:sz w:val="19"/>
                <w:szCs w:val="19"/>
              </w:rPr>
              <w:br w:type="textWrapping"/>
            </w:r>
            <w:r>
              <w:rPr>
                <w:rFonts w:hint="eastAsia" w:ascii="仿宋" w:hAnsi="仿宋" w:eastAsia="仿宋" w:cs="仿宋"/>
                <w:sz w:val="24"/>
                <w:szCs w:val="24"/>
              </w:rPr>
              <w:t>▲</w:t>
            </w:r>
            <w:r>
              <w:rPr>
                <w:rFonts w:hint="eastAsia" w:ascii="仿宋" w:hAnsi="仿宋" w:eastAsia="仿宋" w:cs="仿宋"/>
                <w:color w:val="000000"/>
                <w:sz w:val="24"/>
                <w:szCs w:val="24"/>
              </w:rPr>
              <w:t>2.提供台账统计工具，建立软件按台账，包括电脑的部门信息、人员信息、IP地址、MAC地址、软件名称及版本等数据，要求数据统计格式必须和陕西省版权局要求格式内容一致；提供第三方提供的有效正版软件检查认证证书；</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3.台账工具提供免安装版和安装版两种方式供用户选择，免安装版可直接运行完成数据采样，安装版可实现实时数据更新功能。</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4.内容分析服务：支持统计网内用户使用终端类型数目，终端使用分布。支持终端操作系统种类区分及数量统计；</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5.日志分析服务要求：支持“应用明细”统计；支持“协议定制”功能，跟踪统计指定的协议应用情况；针对并发连接数的指定时段应用明细统计；账号登陆事件日志，支持图片等查询；访问事件日志；</w:t>
            </w:r>
            <w:r>
              <w:rPr>
                <w:rFonts w:hint="default" w:ascii="Times New Roman" w:hAnsi="Times New Roman" w:cs="Times New Roman"/>
                <w:sz w:val="19"/>
                <w:szCs w:val="19"/>
              </w:rPr>
              <w:br w:type="textWrapping"/>
            </w:r>
            <w:r>
              <w:rPr>
                <w:rFonts w:hint="eastAsia" w:ascii="仿宋" w:hAnsi="仿宋" w:eastAsia="仿宋" w:cs="仿宋"/>
                <w:color w:val="000000"/>
                <w:sz w:val="24"/>
                <w:szCs w:val="24"/>
              </w:rPr>
              <w:t>6.配合采购人进行正版化检查工作，规划、牵头实施软件正版化检查，确保校内办公终端操作系统、办公软件、杀毒软件符合正版化工作要求。</w:t>
            </w:r>
          </w:p>
        </w:tc>
      </w:tr>
      <w:tr w14:paraId="38B6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442FEEE6">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5059DA3B">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B36FD7F">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4"/>
                <w:szCs w:val="24"/>
              </w:rPr>
              <w:t>集成服务要求：</w:t>
            </w:r>
          </w:p>
          <w:p w14:paraId="0F9A51CE">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4"/>
                <w:szCs w:val="24"/>
              </w:rPr>
              <w:t>1.要求依照采购人统一身份认证平台的接口规范，实现单点登陆升级，并集成到统一身份认证系统中或根据学校相关集成要求，实现其它方式集成。</w:t>
            </w:r>
            <w:r>
              <w:rPr>
                <w:rFonts w:hint="default" w:ascii="Times New Roman" w:hAnsi="Times New Roman" w:cs="Times New Roman"/>
                <w:sz w:val="19"/>
                <w:szCs w:val="19"/>
              </w:rPr>
              <w:br w:type="textWrapping"/>
            </w:r>
            <w:r>
              <w:rPr>
                <w:rFonts w:hint="eastAsia" w:ascii="仿宋" w:hAnsi="仿宋" w:eastAsia="仿宋" w:cs="仿宋"/>
                <w:sz w:val="24"/>
                <w:szCs w:val="24"/>
              </w:rPr>
              <w:t>2.软件管理：可通过该模块对校内提供的各项软件服务进行管理和维护，通过上传和发布功能在软件库中更新和维护软件的信息。</w:t>
            </w:r>
            <w:r>
              <w:rPr>
                <w:rFonts w:hint="default" w:ascii="Times New Roman" w:hAnsi="Times New Roman" w:cs="Times New Roman"/>
                <w:sz w:val="19"/>
                <w:szCs w:val="19"/>
              </w:rPr>
              <w:br w:type="textWrapping"/>
            </w:r>
            <w:r>
              <w:rPr>
                <w:rFonts w:hint="eastAsia" w:ascii="仿宋" w:hAnsi="仿宋" w:eastAsia="仿宋" w:cs="仿宋"/>
                <w:sz w:val="24"/>
                <w:szCs w:val="24"/>
              </w:rPr>
              <w:t>3.要求平台能供操作系统、办公软件及杀毒软件的对接功能，包括但不限于微软、统信、麒麟、金山、永中、火绒、360等市场主流品牌软件，提供产品下载、激活、账号注册等功能。</w:t>
            </w:r>
            <w:r>
              <w:rPr>
                <w:rFonts w:hint="default" w:ascii="Times New Roman" w:hAnsi="Times New Roman" w:cs="Times New Roman"/>
                <w:sz w:val="19"/>
                <w:szCs w:val="19"/>
              </w:rPr>
              <w:br w:type="textWrapping"/>
            </w:r>
            <w:r>
              <w:rPr>
                <w:rFonts w:hint="eastAsia" w:ascii="仿宋" w:hAnsi="仿宋" w:eastAsia="仿宋" w:cs="仿宋"/>
                <w:sz w:val="24"/>
                <w:szCs w:val="24"/>
              </w:rPr>
              <w:t>4.要求平台可集成其他正版工具类软件的功能，提供软件管理、账号注册、数据统计等功能，可提供详细方案。</w:t>
            </w:r>
            <w:r>
              <w:rPr>
                <w:rFonts w:hint="default" w:ascii="Times New Roman" w:hAnsi="Times New Roman" w:cs="Times New Roman"/>
                <w:sz w:val="19"/>
                <w:szCs w:val="19"/>
              </w:rPr>
              <w:br w:type="textWrapping"/>
            </w:r>
            <w:r>
              <w:rPr>
                <w:rFonts w:hint="eastAsia" w:ascii="仿宋" w:hAnsi="仿宋" w:eastAsia="仿宋" w:cs="仿宋"/>
                <w:sz w:val="24"/>
                <w:szCs w:val="24"/>
              </w:rPr>
              <w:t>▲5.提供运维工单系统，用户可通过平台进行运维申请，相关公司运维人员及学校负责人员可实时收到短信提醒，并关注处理</w:t>
            </w:r>
            <w:r>
              <w:rPr>
                <w:rFonts w:hint="eastAsia" w:ascii="仿宋" w:hAnsi="仿宋" w:eastAsia="仿宋" w:cs="仿宋"/>
                <w:color w:val="000000"/>
                <w:sz w:val="24"/>
                <w:szCs w:val="24"/>
              </w:rPr>
              <w:t>过程及处理结果。（需提供包括但不限于提供截图证明、技术白皮书、产品彩页等证明材料）</w:t>
            </w:r>
            <w:r>
              <w:rPr>
                <w:rFonts w:hint="default" w:ascii="Times New Roman" w:hAnsi="Times New Roman" w:cs="Times New Roman"/>
                <w:sz w:val="19"/>
                <w:szCs w:val="19"/>
              </w:rPr>
              <w:br w:type="textWrapping"/>
            </w:r>
            <w:r>
              <w:rPr>
                <w:rFonts w:hint="eastAsia" w:ascii="仿宋" w:hAnsi="仿宋" w:eastAsia="仿宋" w:cs="仿宋"/>
                <w:sz w:val="24"/>
                <w:szCs w:val="24"/>
              </w:rPr>
              <w:t>6.提供人工智能体验功能，提供不低于三家市场主流AI对话体验服务，能够自主完成人机互动。</w:t>
            </w:r>
          </w:p>
          <w:p w14:paraId="03C52F78">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4"/>
                <w:szCs w:val="24"/>
              </w:rPr>
              <w:t>▲7.需要在现有平台上进行定制化服务及版本升级，须保留原平台中的历史数据，保留原平台中激活工具使用方式，满足用户使用习惯，保证已激活的用户设备无需重新激活；提供现有平台针对此项目对接接口证明文件。</w:t>
            </w:r>
          </w:p>
        </w:tc>
      </w:tr>
      <w:tr w14:paraId="1FA1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1A943741">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694472A4">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9165829">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4"/>
                <w:szCs w:val="24"/>
              </w:rPr>
              <w:t>驻场运维人员要求：</w:t>
            </w:r>
          </w:p>
          <w:p w14:paraId="6221063E">
            <w:pPr>
              <w:pStyle w:val="2"/>
              <w:keepNext w:val="0"/>
              <w:keepLines w:val="0"/>
              <w:widowControl/>
              <w:suppressLineNumbers w:val="0"/>
              <w:spacing w:before="0" w:beforeAutospacing="1" w:after="0" w:afterAutospacing="1"/>
              <w:ind w:left="0" w:right="0" w:firstLine="0"/>
              <w:jc w:val="left"/>
            </w:pPr>
            <w:r>
              <w:rPr>
                <w:rFonts w:hint="eastAsia" w:ascii="仿宋" w:hAnsi="仿宋" w:eastAsia="仿宋" w:cs="仿宋"/>
                <w:color w:val="000000"/>
                <w:sz w:val="24"/>
                <w:szCs w:val="24"/>
              </w:rPr>
              <w:t>1.提供1名技术人员长期在校进行驻场服务,要求具有两年（含）以上相关工作经历，具备处理常见计算机、打印机、网络等办公设施设备问题能力。人员要固定，不得随意换人。</w:t>
            </w:r>
            <w:r>
              <w:rPr>
                <w:rFonts w:hint="default" w:ascii="Times New Roman" w:hAnsi="Times New Roman" w:cs="Times New Roman"/>
                <w:sz w:val="19"/>
                <w:szCs w:val="19"/>
              </w:rPr>
              <w:br w:type="textWrapping"/>
            </w:r>
            <w:r>
              <w:rPr>
                <w:rFonts w:hint="eastAsia" w:ascii="仿宋" w:hAnsi="仿宋" w:eastAsia="仿宋" w:cs="仿宋"/>
                <w:sz w:val="19"/>
                <w:szCs w:val="19"/>
              </w:rPr>
              <w:t>2.</w:t>
            </w:r>
            <w:r>
              <w:rPr>
                <w:rFonts w:hint="eastAsia" w:ascii="仿宋" w:hAnsi="仿宋" w:eastAsia="仿宋" w:cs="仿宋"/>
                <w:color w:val="000000"/>
                <w:sz w:val="24"/>
                <w:szCs w:val="24"/>
              </w:rPr>
              <w:t>工作时间：工作日上午08∶00-12∶00 ，下午14∶00-18∶00，法定节假日可正常休息，具体时间由学校根据需要安排。</w:t>
            </w:r>
            <w:r>
              <w:rPr>
                <w:rFonts w:hint="default" w:ascii="Times New Roman" w:hAnsi="Times New Roman" w:cs="Times New Roman"/>
                <w:sz w:val="19"/>
                <w:szCs w:val="19"/>
              </w:rPr>
              <w:br w:type="textWrapping"/>
            </w:r>
            <w:r>
              <w:rPr>
                <w:rFonts w:hint="eastAsia" w:ascii="仿宋" w:hAnsi="仿宋" w:eastAsia="仿宋" w:cs="仿宋"/>
                <w:sz w:val="19"/>
                <w:szCs w:val="19"/>
              </w:rPr>
              <w:t>3.</w:t>
            </w:r>
            <w:r>
              <w:rPr>
                <w:rFonts w:hint="eastAsia" w:ascii="仿宋" w:hAnsi="仿宋" w:eastAsia="仿宋" w:cs="仿宋"/>
                <w:color w:val="000000"/>
                <w:sz w:val="24"/>
                <w:szCs w:val="24"/>
              </w:rPr>
              <w:t>工作内容：包括但不限于操作系统及软件安装激活、规范性日常维护、故障应急响应、设备问题解决、系统安全防范等，做好运维台账，建立完备的运维过程文档资料，协助学校处理各类计算机、办公设备及网络问题等。</w:t>
            </w:r>
            <w:r>
              <w:rPr>
                <w:rFonts w:hint="default" w:ascii="Times New Roman" w:hAnsi="Times New Roman" w:cs="Times New Roman"/>
                <w:sz w:val="19"/>
                <w:szCs w:val="19"/>
              </w:rPr>
              <w:br w:type="textWrapping"/>
            </w:r>
            <w:r>
              <w:rPr>
                <w:rFonts w:hint="eastAsia" w:ascii="仿宋" w:hAnsi="仿宋" w:eastAsia="仿宋" w:cs="仿宋"/>
                <w:sz w:val="19"/>
                <w:szCs w:val="19"/>
              </w:rPr>
              <w:t>4.</w:t>
            </w:r>
            <w:r>
              <w:rPr>
                <w:rFonts w:hint="eastAsia" w:ascii="仿宋" w:hAnsi="仿宋" w:eastAsia="仿宋" w:cs="仿宋"/>
                <w:color w:val="000000"/>
                <w:sz w:val="24"/>
                <w:szCs w:val="24"/>
              </w:rPr>
              <w:t>服务期限：一年</w:t>
            </w:r>
          </w:p>
        </w:tc>
      </w:tr>
      <w:tr w14:paraId="4406F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706E206">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388E92C5">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0CFAF012">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授权期限：一年</w:t>
            </w:r>
          </w:p>
        </w:tc>
      </w:tr>
      <w:tr w14:paraId="4E51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350B8AED">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2C23E3E2">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24837F1C">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售后服务期限：一年</w:t>
            </w:r>
          </w:p>
        </w:tc>
      </w:tr>
      <w:tr w14:paraId="3D03F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top"/>
          </w:tcPr>
          <w:p w14:paraId="68C5D288">
            <w:pPr>
              <w:rPr>
                <w:rFonts w:hint="default" w:ascii="Times New Roman" w:hAnsi="Times New Roman" w:cs="Times New Roman"/>
                <w:sz w:val="19"/>
                <w:szCs w:val="19"/>
              </w:rPr>
            </w:pPr>
          </w:p>
        </w:tc>
        <w:tc>
          <w:tcPr>
            <w:tcW w:w="915"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14:paraId="458F4F54">
            <w:pPr>
              <w:rPr>
                <w:rFonts w:hint="default" w:ascii="Times New Roman" w:hAnsi="Times New Roman" w:cs="Times New Roman"/>
                <w:sz w:val="19"/>
                <w:szCs w:val="19"/>
              </w:rPr>
            </w:pPr>
          </w:p>
        </w:tc>
        <w:tc>
          <w:tcPr>
            <w:tcW w:w="8250" w:type="dxa"/>
            <w:tcBorders>
              <w:top w:val="nil"/>
              <w:left w:val="nil"/>
              <w:bottom w:val="single" w:color="000000" w:sz="6" w:space="0"/>
              <w:right w:val="single" w:color="000000" w:sz="6" w:space="0"/>
            </w:tcBorders>
            <w:shd w:val="clear"/>
            <w:tcMar>
              <w:top w:w="0" w:type="dxa"/>
              <w:left w:w="105" w:type="dxa"/>
              <w:bottom w:w="0" w:type="dxa"/>
              <w:right w:w="105" w:type="dxa"/>
            </w:tcMar>
            <w:vAlign w:val="top"/>
          </w:tcPr>
          <w:p w14:paraId="1678681B">
            <w:pPr>
              <w:pStyle w:val="2"/>
              <w:keepNext w:val="0"/>
              <w:keepLines w:val="0"/>
              <w:widowControl/>
              <w:suppressLineNumbers w:val="0"/>
              <w:spacing w:before="0" w:beforeAutospacing="1" w:after="0" w:afterAutospacing="1"/>
              <w:ind w:left="0" w:right="0"/>
              <w:jc w:val="left"/>
            </w:pPr>
            <w:r>
              <w:rPr>
                <w:rFonts w:hint="eastAsia" w:ascii="仿宋" w:hAnsi="仿宋" w:eastAsia="仿宋" w:cs="仿宋"/>
                <w:color w:val="000000"/>
                <w:sz w:val="24"/>
                <w:szCs w:val="24"/>
              </w:rPr>
              <w:t>提供软件著作权登记证书</w:t>
            </w:r>
          </w:p>
        </w:tc>
      </w:tr>
    </w:tbl>
    <w:p w14:paraId="5CD333A9">
      <w:pPr>
        <w:pStyle w:val="2"/>
        <w:keepNext w:val="0"/>
        <w:keepLines w:val="0"/>
        <w:widowControl/>
        <w:suppressLineNumbers w:val="0"/>
        <w:spacing w:before="0" w:beforeAutospacing="1" w:after="0" w:afterAutospacing="1"/>
        <w:ind w:left="0" w:right="0" w:firstLine="640"/>
        <w:jc w:val="both"/>
      </w:pPr>
      <w:r>
        <w:rPr>
          <w:rStyle w:val="5"/>
          <w:rFonts w:hint="eastAsia" w:ascii="仿宋" w:hAnsi="仿宋" w:eastAsia="仿宋" w:cs="仿宋"/>
          <w:sz w:val="32"/>
          <w:szCs w:val="32"/>
        </w:rPr>
        <w:t>三、服务要求</w:t>
      </w:r>
    </w:p>
    <w:p w14:paraId="64BEF881">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 xml:space="preserve">1. </w:t>
      </w:r>
      <w:r>
        <w:rPr>
          <w:rFonts w:hint="eastAsia" w:ascii="仿宋" w:hAnsi="仿宋" w:eastAsia="仿宋" w:cs="仿宋"/>
          <w:color w:val="000000"/>
          <w:sz w:val="28"/>
          <w:szCs w:val="28"/>
        </w:rPr>
        <w:t>提供本地客户服务支持，24小时快速响应，包含定期巡检、平台升级、数据导入、更新服务及技术支持等多项服务；</w:t>
      </w:r>
    </w:p>
    <w:p w14:paraId="027B715E">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color w:val="000000"/>
          <w:sz w:val="28"/>
          <w:szCs w:val="28"/>
        </w:rPr>
        <w:t>2. 培训3名及以上系统管理人员，进行系统操作培训；</w:t>
      </w:r>
    </w:p>
    <w:p w14:paraId="016E627C">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color w:val="000000"/>
          <w:sz w:val="28"/>
          <w:szCs w:val="28"/>
        </w:rPr>
        <w:t>3. 提供电话热线与网络咨询服务；</w:t>
      </w:r>
    </w:p>
    <w:p w14:paraId="109B2630">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color w:val="000000"/>
          <w:sz w:val="28"/>
          <w:szCs w:val="28"/>
        </w:rPr>
        <w:t>4. 软件在升级范围内发布新版本应提供免费升级；</w:t>
      </w:r>
    </w:p>
    <w:p w14:paraId="78105FC0">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color w:val="000000"/>
          <w:sz w:val="28"/>
          <w:szCs w:val="28"/>
        </w:rPr>
        <w:t>5. 提供不少于两场针对管理员或最终用户的培训。</w:t>
      </w:r>
    </w:p>
    <w:p w14:paraId="538944E7">
      <w:pPr>
        <w:pStyle w:val="2"/>
        <w:keepNext w:val="0"/>
        <w:keepLines w:val="0"/>
        <w:widowControl/>
        <w:suppressLineNumbers w:val="0"/>
        <w:spacing w:before="0" w:beforeAutospacing="1" w:after="0" w:afterAutospacing="1"/>
        <w:ind w:left="0" w:right="0" w:firstLine="640"/>
        <w:jc w:val="both"/>
      </w:pPr>
      <w:r>
        <w:rPr>
          <w:rStyle w:val="5"/>
          <w:rFonts w:hint="eastAsia" w:ascii="仿宋" w:hAnsi="仿宋" w:eastAsia="仿宋" w:cs="仿宋"/>
          <w:sz w:val="32"/>
          <w:szCs w:val="32"/>
        </w:rPr>
        <w:t>四、商务要求（本项为实质性条款，不可负偏离）</w:t>
      </w:r>
    </w:p>
    <w:p w14:paraId="5B4F56E2">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（一）服务期限</w:t>
      </w:r>
    </w:p>
    <w:p w14:paraId="5185A741">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一年，具体时间在合同中约定</w:t>
      </w:r>
    </w:p>
    <w:p w14:paraId="66B7C0D2">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（二）款项结算</w:t>
      </w:r>
    </w:p>
    <w:p w14:paraId="116E697B">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1.项目完成并经采购方验收合格后依据等额发票一次性付清全部款项。</w:t>
      </w:r>
    </w:p>
    <w:p w14:paraId="69100C62">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2.履约保证金</w:t>
      </w:r>
    </w:p>
    <w:p w14:paraId="0583CABC">
      <w:pPr>
        <w:pStyle w:val="2"/>
        <w:keepNext w:val="0"/>
        <w:keepLines w:val="0"/>
        <w:widowControl/>
        <w:suppressLineNumbers w:val="0"/>
      </w:pPr>
      <w:r>
        <w:rPr>
          <w:rFonts w:hint="eastAsia" w:ascii="仿宋" w:hAnsi="仿宋" w:eastAsia="仿宋" w:cs="仿宋"/>
          <w:sz w:val="28"/>
          <w:szCs w:val="28"/>
        </w:rPr>
        <w:t>（1）履约保证金交纳时间：供应商应在签订合同前须将履约保证金交至西安市财政局预算单位实有资金财政代管账户，其数额为合同金额的5%。</w:t>
      </w:r>
    </w:p>
    <w:p w14:paraId="46C9ED53">
      <w:pPr>
        <w:pStyle w:val="2"/>
        <w:keepNext w:val="0"/>
        <w:keepLines w:val="0"/>
        <w:widowControl/>
        <w:suppressLineNumbers w:val="0"/>
      </w:pPr>
      <w:r>
        <w:rPr>
          <w:rFonts w:hint="eastAsia" w:ascii="仿宋" w:hAnsi="仿宋" w:eastAsia="仿宋" w:cs="仿宋"/>
          <w:sz w:val="28"/>
          <w:szCs w:val="28"/>
        </w:rPr>
        <w:t>（2）履约保证金的缴纳形式：供应商可自主选择银行对公转账、电汇或以支票、保函等非现金形式交纳。</w:t>
      </w:r>
    </w:p>
    <w:p w14:paraId="34D20FA7">
      <w:pPr>
        <w:pStyle w:val="2"/>
        <w:keepNext w:val="0"/>
        <w:keepLines w:val="0"/>
        <w:widowControl/>
        <w:suppressLineNumbers w:val="0"/>
      </w:pPr>
      <w:r>
        <w:rPr>
          <w:rFonts w:hint="eastAsia" w:ascii="仿宋" w:hAnsi="仿宋" w:eastAsia="仿宋" w:cs="仿宋"/>
          <w:sz w:val="28"/>
          <w:szCs w:val="28"/>
        </w:rPr>
        <w:t>（3）履约保证金的退还：项目验收合格后，成交供应商向采购人提交双方约定的所有档案资料(三份纸质版，一份电子版)，并持《申请支付履约保证金的函》到采购人办理相关手续后，采购人于30日内向成交供应商无息退还。</w:t>
      </w:r>
    </w:p>
    <w:p w14:paraId="5FDB09FD">
      <w:pPr>
        <w:pStyle w:val="2"/>
        <w:keepNext w:val="0"/>
        <w:keepLines w:val="0"/>
        <w:widowControl/>
        <w:suppressLineNumbers w:val="0"/>
      </w:pPr>
      <w:r>
        <w:rPr>
          <w:rFonts w:hint="eastAsia" w:ascii="仿宋" w:hAnsi="仿宋" w:eastAsia="仿宋" w:cs="仿宋"/>
          <w:sz w:val="28"/>
          <w:szCs w:val="28"/>
        </w:rPr>
        <w:t>（4）履约保证金收取账号信息：</w:t>
      </w:r>
    </w:p>
    <w:p w14:paraId="3AF0E5DC">
      <w:pPr>
        <w:pStyle w:val="2"/>
        <w:keepNext w:val="0"/>
        <w:keepLines w:val="0"/>
        <w:widowControl/>
        <w:suppressLineNumbers w:val="0"/>
      </w:pPr>
      <w:r>
        <w:rPr>
          <w:rFonts w:hint="eastAsia" w:ascii="仿宋" w:hAnsi="仿宋" w:eastAsia="仿宋" w:cs="仿宋"/>
          <w:sz w:val="28"/>
          <w:szCs w:val="28"/>
        </w:rPr>
        <w:t>名称:西安市财政局预算单位实有资金财政代管账户</w:t>
      </w:r>
    </w:p>
    <w:p w14:paraId="6DF56D70">
      <w:pPr>
        <w:pStyle w:val="2"/>
        <w:keepNext w:val="0"/>
        <w:keepLines w:val="0"/>
        <w:widowControl/>
        <w:suppressLineNumbers w:val="0"/>
      </w:pPr>
      <w:r>
        <w:rPr>
          <w:rFonts w:hint="eastAsia" w:ascii="仿宋" w:hAnsi="仿宋" w:eastAsia="仿宋" w:cs="仿宋"/>
          <w:sz w:val="28"/>
          <w:szCs w:val="28"/>
        </w:rPr>
        <w:t>开户银行:中国建设银行股份有限公司西安莲湖路支行</w:t>
      </w:r>
    </w:p>
    <w:p w14:paraId="2A4B2F43">
      <w:pPr>
        <w:pStyle w:val="2"/>
        <w:keepNext w:val="0"/>
        <w:keepLines w:val="0"/>
        <w:widowControl/>
        <w:suppressLineNumbers w:val="0"/>
      </w:pPr>
      <w:r>
        <w:rPr>
          <w:rFonts w:hint="eastAsia" w:ascii="仿宋" w:hAnsi="仿宋" w:eastAsia="仿宋" w:cs="仿宋"/>
          <w:sz w:val="28"/>
          <w:szCs w:val="28"/>
        </w:rPr>
        <w:t>银行账号:61001711100052518874-203033</w:t>
      </w:r>
    </w:p>
    <w:p w14:paraId="60E1FDFA">
      <w:pPr>
        <w:pStyle w:val="2"/>
        <w:keepNext w:val="0"/>
        <w:keepLines w:val="0"/>
        <w:widowControl/>
        <w:suppressLineNumbers w:val="0"/>
      </w:pPr>
      <w:r>
        <w:rPr>
          <w:rFonts w:hint="eastAsia" w:ascii="仿宋" w:hAnsi="仿宋" w:eastAsia="仿宋" w:cs="仿宋"/>
          <w:sz w:val="28"/>
          <w:szCs w:val="28"/>
        </w:rPr>
        <w:t>纳税人识别号:12610100437202545W</w:t>
      </w:r>
    </w:p>
    <w:p w14:paraId="499155C3">
      <w:pPr>
        <w:pStyle w:val="2"/>
        <w:keepNext w:val="0"/>
        <w:keepLines w:val="0"/>
        <w:widowControl/>
        <w:suppressLineNumbers w:val="0"/>
      </w:pPr>
      <w:r>
        <w:rPr>
          <w:rFonts w:hint="eastAsia" w:ascii="仿宋" w:hAnsi="仿宋" w:eastAsia="仿宋" w:cs="仿宋"/>
          <w:sz w:val="28"/>
          <w:szCs w:val="28"/>
        </w:rPr>
        <w:t>地址:西安市灞桥区港务大道 396号</w:t>
      </w:r>
    </w:p>
    <w:p w14:paraId="2B694106">
      <w:pPr>
        <w:pStyle w:val="2"/>
        <w:keepNext w:val="0"/>
        <w:keepLines w:val="0"/>
        <w:widowControl/>
        <w:suppressLineNumbers w:val="0"/>
      </w:pPr>
      <w:r>
        <w:rPr>
          <w:rFonts w:hint="eastAsia" w:ascii="仿宋" w:hAnsi="仿宋" w:eastAsia="仿宋" w:cs="仿宋"/>
          <w:sz w:val="28"/>
          <w:szCs w:val="28"/>
        </w:rPr>
        <w:t>电话：029-88092201</w:t>
      </w:r>
    </w:p>
    <w:p w14:paraId="3F016E05">
      <w:pPr>
        <w:pStyle w:val="2"/>
        <w:keepNext w:val="0"/>
        <w:keepLines w:val="0"/>
        <w:widowControl/>
        <w:suppressLineNumbers w:val="0"/>
        <w:spacing w:before="0" w:beforeAutospacing="1" w:after="0" w:afterAutospacing="1"/>
        <w:ind w:left="0" w:right="0" w:firstLine="640"/>
        <w:jc w:val="both"/>
      </w:pPr>
      <w:r>
        <w:rPr>
          <w:rStyle w:val="5"/>
          <w:rFonts w:hint="eastAsia" w:ascii="仿宋" w:hAnsi="仿宋" w:eastAsia="仿宋" w:cs="仿宋"/>
          <w:sz w:val="32"/>
          <w:szCs w:val="32"/>
        </w:rPr>
        <w:t>五、其他（本项为实质性条款，不可负偏离）</w:t>
      </w:r>
    </w:p>
    <w:p w14:paraId="0B7729DF">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（一）进度要求</w:t>
      </w:r>
    </w:p>
    <w:p w14:paraId="40ADC04A">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8"/>
          <w:szCs w:val="28"/>
        </w:rPr>
        <w:t>合同签订后，30日内部署完成</w:t>
      </w:r>
    </w:p>
    <w:p w14:paraId="131F4DC0">
      <w:pPr>
        <w:pStyle w:val="2"/>
        <w:keepNext w:val="0"/>
        <w:keepLines w:val="0"/>
        <w:widowControl/>
        <w:suppressLineNumbers w:val="0"/>
        <w:spacing w:before="0" w:beforeAutospacing="1" w:after="0" w:afterAutospacing="1"/>
        <w:ind w:left="0" w:right="0"/>
        <w:jc w:val="both"/>
      </w:pPr>
      <w:r>
        <w:rPr>
          <w:rFonts w:hint="eastAsia" w:ascii="仿宋" w:hAnsi="仿宋" w:eastAsia="仿宋" w:cs="仿宋"/>
          <w:sz w:val="28"/>
          <w:szCs w:val="28"/>
        </w:rPr>
        <w:t>    （二）成果交付要求</w:t>
      </w:r>
    </w:p>
    <w:p w14:paraId="5F4CCE18">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1.乙方负责安装调试，达到正常运行条件后书面通知甲方验收。</w:t>
      </w:r>
    </w:p>
    <w:p w14:paraId="3726A8B6">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2.安装完成后应提供详细的安装报告，并详细记录各种指示的实测数据。</w:t>
      </w:r>
    </w:p>
    <w:p w14:paraId="4530769F">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3.提供完整的操作手册和安装、调试、维修手册；提供制造厂家的检验测试报告或出厂检测报告。</w:t>
      </w:r>
    </w:p>
    <w:p w14:paraId="12926236">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4.甲方根据合同要求对产品进行验收、确认产品的规格、型号和数量。验收依据为本合同文本、采购文件、响应文件和国内相应的标准、规范。</w:t>
      </w:r>
    </w:p>
    <w:p w14:paraId="768DFF05">
      <w:pPr>
        <w:pStyle w:val="2"/>
        <w:keepNext w:val="0"/>
        <w:keepLines w:val="0"/>
        <w:widowControl/>
        <w:suppressLineNumbers w:val="0"/>
        <w:spacing w:before="0" w:beforeAutospacing="1" w:after="0" w:afterAutospacing="1"/>
        <w:ind w:left="0" w:right="0" w:firstLine="420"/>
        <w:jc w:val="both"/>
      </w:pPr>
      <w:r>
        <w:rPr>
          <w:rFonts w:hint="eastAsia" w:ascii="仿宋" w:hAnsi="仿宋" w:eastAsia="仿宋" w:cs="仿宋"/>
          <w:sz w:val="28"/>
          <w:szCs w:val="28"/>
        </w:rPr>
        <w:t>5.验收合格后，填写验收单，并向甲方提交所包含的所有资料，以便使用单位日后管理和维护。</w:t>
      </w:r>
    </w:p>
    <w:p w14:paraId="2A1B69F7">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（三）质量验收标准或规范</w:t>
      </w:r>
    </w:p>
    <w:p w14:paraId="27F6BEC3">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1.乙方保证所提供的产品质量可靠，进货渠道正常，配置合理，技术性能完全满足竞争性磋商文件要求；</w:t>
      </w:r>
    </w:p>
    <w:p w14:paraId="6C349F27">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2.若产品有质量问题，由乙方负责解决并承担费用。（产品质量应符合国标标准和本合同附件的要求。）</w:t>
      </w:r>
    </w:p>
    <w:p w14:paraId="3436C298">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（四）违约责任</w:t>
      </w:r>
    </w:p>
    <w:p w14:paraId="4092DF9B">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1.按《中华人民共和国民法典》中的相关条款执行。</w:t>
      </w:r>
    </w:p>
    <w:p w14:paraId="3A5A2DEA">
      <w:pPr>
        <w:pStyle w:val="2"/>
        <w:keepNext w:val="0"/>
        <w:keepLines w:val="0"/>
        <w:widowControl/>
        <w:suppressLineNumbers w:val="0"/>
        <w:spacing w:before="0" w:beforeAutospacing="1" w:after="0" w:afterAutospacing="1"/>
        <w:ind w:left="0" w:right="0" w:firstLine="560"/>
        <w:jc w:val="both"/>
      </w:pPr>
      <w:r>
        <w:rPr>
          <w:rFonts w:hint="eastAsia" w:ascii="仿宋" w:hAnsi="仿宋" w:eastAsia="仿宋" w:cs="仿宋"/>
          <w:sz w:val="28"/>
          <w:szCs w:val="28"/>
        </w:rPr>
        <w:t>2.未按合同要求提供产品或产品质量不能满足技术要求，甲方有权终止合同，并保留追究乙方违约责任的权利。</w:t>
      </w:r>
    </w:p>
    <w:p w14:paraId="6BD681D8">
      <w:pPr>
        <w:pStyle w:val="2"/>
        <w:keepNext w:val="0"/>
        <w:keepLines w:val="0"/>
        <w:widowControl/>
        <w:suppressLineNumbers w:val="0"/>
      </w:pPr>
      <w:r>
        <w:rPr>
          <w:rFonts w:hint="eastAsia" w:ascii="仿宋" w:hAnsi="仿宋" w:eastAsia="仿宋" w:cs="仿宋"/>
          <w:sz w:val="28"/>
          <w:szCs w:val="28"/>
        </w:rPr>
        <w:t>    3.时间迟延的，违约方按照每天1%向对方承担违约责任。产品质量问题违约的，除了按照迟延时间计算违约金外，另可以采取退货、换货等方式，由供方承担一切费用。</w:t>
      </w:r>
      <w:r>
        <w:t> </w:t>
      </w:r>
    </w:p>
    <w:p w14:paraId="0732CCC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7344B"/>
    <w:rsid w:val="46773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2026-05-06T08:51:00Z</dcterms:created>
  <dc:creator>MM</dc:creator>
  <cp:lastModifiedBy>MM</cp:lastModifiedBy>
  <dcterms:modified xsi:type="dcterms:W3CDTF">2026-05-06T08:51:54Z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06644BA35DAF4DB1BA221DD0CA998391_11</vt:lpwstr>
  </property>
  <property fmtid="{D5CDD505-2E9C-101B-9397-08002B2CF9AE}" pid="4" name="KSOTemplateDocerSaveRecord">
    <vt:lpwstr>eyJoZGlkIjoiZjE0YzgwMDZiMGRhYzYxYTI2NTRlZjg0ZjkzMDI0ZDYiLCJ1c2VySWQiOiI2NDc2MTk1MzAifQ==</vt:lpwstr>
  </property>
</Properties>
</file>