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A5C8F" w14:textId="77777777" w:rsidR="00443045" w:rsidRDefault="00000000">
      <w:pPr>
        <w:pStyle w:val="null3"/>
        <w:jc w:val="center"/>
        <w:outlineLvl w:val="1"/>
        <w:rPr>
          <w:rFonts w:hint="default"/>
        </w:rPr>
      </w:pPr>
      <w:r>
        <w:rPr>
          <w:rFonts w:ascii="仿宋_GB2312" w:eastAsia="仿宋_GB2312" w:hAnsi="仿宋_GB2312" w:cs="仿宋_GB2312"/>
          <w:b/>
          <w:sz w:val="36"/>
        </w:rPr>
        <w:t>第三章 磋商项目技术、服务、商务及其他要求</w:t>
      </w:r>
    </w:p>
    <w:p w14:paraId="05FDA04D" w14:textId="77777777" w:rsidR="00443045" w:rsidRDefault="00000000">
      <w:pPr>
        <w:pStyle w:val="null3"/>
        <w:ind w:firstLine="480"/>
        <w:rPr>
          <w:rFonts w:hint="default"/>
        </w:rPr>
      </w:pPr>
      <w:r>
        <w:rPr>
          <w:rFonts w:ascii="仿宋_GB2312" w:eastAsia="仿宋_GB2312" w:hAnsi="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6DFB63B4" w14:textId="77777777" w:rsidR="00443045" w:rsidRDefault="00000000">
      <w:pPr>
        <w:pStyle w:val="null3"/>
        <w:outlineLvl w:val="2"/>
        <w:rPr>
          <w:rFonts w:hint="default"/>
        </w:rPr>
      </w:pPr>
      <w:r>
        <w:rPr>
          <w:rFonts w:ascii="仿宋_GB2312" w:eastAsia="仿宋_GB2312" w:hAnsi="仿宋_GB2312" w:cs="仿宋_GB2312"/>
          <w:b/>
          <w:sz w:val="28"/>
        </w:rPr>
        <w:t>3.1采购项目概况</w:t>
      </w:r>
    </w:p>
    <w:p w14:paraId="602CDBA6" w14:textId="77777777" w:rsidR="00443045" w:rsidRDefault="00000000">
      <w:pPr>
        <w:pStyle w:val="null3"/>
        <w:ind w:firstLine="480"/>
        <w:rPr>
          <w:rFonts w:hint="default"/>
        </w:rPr>
      </w:pPr>
      <w:r>
        <w:rPr>
          <w:rFonts w:ascii="仿宋_GB2312" w:eastAsia="仿宋_GB2312" w:hAnsi="仿宋_GB2312" w:cs="仿宋_GB2312"/>
        </w:rPr>
        <w:t>2025年野猪等野生动物危害防控与补偿项目（中央资金）</w:t>
      </w:r>
    </w:p>
    <w:p w14:paraId="33F35D13" w14:textId="77777777" w:rsidR="00443045" w:rsidRDefault="00000000">
      <w:pPr>
        <w:pStyle w:val="null3"/>
        <w:outlineLvl w:val="2"/>
        <w:rPr>
          <w:rFonts w:hint="default"/>
        </w:rPr>
      </w:pPr>
      <w:r>
        <w:rPr>
          <w:rFonts w:ascii="仿宋_GB2312" w:eastAsia="仿宋_GB2312" w:hAnsi="仿宋_GB2312" w:cs="仿宋_GB2312"/>
          <w:b/>
          <w:sz w:val="28"/>
        </w:rPr>
        <w:t>3.2服务内容及服务要求</w:t>
      </w:r>
    </w:p>
    <w:p w14:paraId="1A467FB7" w14:textId="77777777" w:rsidR="00443045" w:rsidRDefault="00000000">
      <w:pPr>
        <w:pStyle w:val="null3"/>
        <w:outlineLvl w:val="3"/>
        <w:rPr>
          <w:rFonts w:hint="default"/>
        </w:rPr>
      </w:pPr>
      <w:r>
        <w:rPr>
          <w:rFonts w:ascii="仿宋_GB2312" w:eastAsia="仿宋_GB2312" w:hAnsi="仿宋_GB2312" w:cs="仿宋_GB2312"/>
          <w:b/>
          <w:sz w:val="24"/>
        </w:rPr>
        <w:t>3.2.1服务内容</w:t>
      </w:r>
    </w:p>
    <w:p w14:paraId="1D9E52D8" w14:textId="77777777" w:rsidR="00443045" w:rsidRDefault="00000000">
      <w:pPr>
        <w:pStyle w:val="null3"/>
        <w:rPr>
          <w:rFonts w:hint="default"/>
        </w:rPr>
      </w:pPr>
      <w:r>
        <w:rPr>
          <w:rFonts w:ascii="仿宋_GB2312" w:eastAsia="仿宋_GB2312" w:hAnsi="仿宋_GB2312" w:cs="仿宋_GB2312"/>
        </w:rPr>
        <w:t>采购包1：</w:t>
      </w:r>
    </w:p>
    <w:p w14:paraId="5DDCE742" w14:textId="77777777" w:rsidR="00443045" w:rsidRDefault="00000000">
      <w:pPr>
        <w:pStyle w:val="null3"/>
        <w:rPr>
          <w:rFonts w:hint="default"/>
        </w:rPr>
      </w:pPr>
      <w:r>
        <w:rPr>
          <w:rFonts w:ascii="仿宋_GB2312" w:eastAsia="仿宋_GB2312" w:hAnsi="仿宋_GB2312" w:cs="仿宋_GB2312"/>
        </w:rPr>
        <w:t>采购包预算金额（元）: 500,000.00</w:t>
      </w:r>
    </w:p>
    <w:p w14:paraId="7EA0B10E" w14:textId="77777777" w:rsidR="00443045" w:rsidRDefault="00000000">
      <w:pPr>
        <w:pStyle w:val="null3"/>
        <w:rPr>
          <w:rFonts w:hint="default"/>
        </w:rPr>
      </w:pPr>
      <w:r>
        <w:rPr>
          <w:rFonts w:ascii="仿宋_GB2312" w:eastAsia="仿宋_GB2312" w:hAnsi="仿宋_GB2312" w:cs="仿宋_GB2312"/>
        </w:rPr>
        <w:t>采购包最高限价（元）: 500,000.00</w:t>
      </w:r>
    </w:p>
    <w:p w14:paraId="75B55D5E" w14:textId="77777777" w:rsidR="00443045" w:rsidRDefault="00000000">
      <w:pPr>
        <w:pStyle w:val="null3"/>
        <w:rPr>
          <w:rFonts w:hint="default"/>
        </w:rPr>
      </w:pPr>
      <w:r>
        <w:rPr>
          <w:rFonts w:ascii="仿宋_GB2312" w:eastAsia="仿宋_GB2312" w:hAnsi="仿宋_GB2312" w:cs="仿宋_GB2312"/>
        </w:rPr>
        <w:t>供应商报价不允许超过标的金额</w:t>
      </w:r>
    </w:p>
    <w:p w14:paraId="49CBE5F2" w14:textId="77777777" w:rsidR="00443045" w:rsidRDefault="00000000">
      <w:pPr>
        <w:pStyle w:val="null3"/>
        <w:rPr>
          <w:rFonts w:hint="default"/>
        </w:rPr>
      </w:pPr>
      <w:r>
        <w:rPr>
          <w:rFonts w:ascii="仿宋_GB2312" w:eastAsia="仿宋_GB2312" w:hAnsi="仿宋_GB2312" w:cs="仿宋_GB2312"/>
        </w:rPr>
        <w:t>（招单价的）供应商报价不允许超过标的单价</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2"/>
        <w:gridCol w:w="805"/>
        <w:gridCol w:w="805"/>
        <w:gridCol w:w="1216"/>
        <w:gridCol w:w="783"/>
        <w:gridCol w:w="783"/>
        <w:gridCol w:w="783"/>
        <w:gridCol w:w="783"/>
        <w:gridCol w:w="783"/>
        <w:gridCol w:w="783"/>
      </w:tblGrid>
      <w:tr w:rsidR="00443045" w14:paraId="56C32505" w14:textId="77777777">
        <w:tc>
          <w:tcPr>
            <w:tcW w:w="831" w:type="dxa"/>
          </w:tcPr>
          <w:p w14:paraId="2E414610" w14:textId="77777777" w:rsidR="00443045" w:rsidRDefault="00000000">
            <w:pPr>
              <w:pStyle w:val="null3"/>
              <w:rPr>
                <w:rFonts w:hint="default"/>
              </w:rPr>
            </w:pPr>
            <w:r>
              <w:rPr>
                <w:rFonts w:ascii="仿宋_GB2312" w:eastAsia="仿宋_GB2312" w:hAnsi="仿宋_GB2312" w:cs="仿宋_GB2312"/>
              </w:rPr>
              <w:t>序号</w:t>
            </w:r>
          </w:p>
        </w:tc>
        <w:tc>
          <w:tcPr>
            <w:tcW w:w="831" w:type="dxa"/>
          </w:tcPr>
          <w:p w14:paraId="1929A2CA" w14:textId="77777777" w:rsidR="00443045" w:rsidRDefault="00000000">
            <w:pPr>
              <w:pStyle w:val="null3"/>
              <w:rPr>
                <w:rFonts w:hint="default"/>
              </w:rPr>
            </w:pPr>
            <w:r>
              <w:rPr>
                <w:rFonts w:ascii="仿宋_GB2312" w:eastAsia="仿宋_GB2312" w:hAnsi="仿宋_GB2312" w:cs="仿宋_GB2312"/>
              </w:rPr>
              <w:t>标的名称</w:t>
            </w:r>
          </w:p>
        </w:tc>
        <w:tc>
          <w:tcPr>
            <w:tcW w:w="831" w:type="dxa"/>
          </w:tcPr>
          <w:p w14:paraId="6D56E417" w14:textId="77777777" w:rsidR="00443045" w:rsidRDefault="00000000">
            <w:pPr>
              <w:pStyle w:val="null3"/>
              <w:rPr>
                <w:rFonts w:hint="default"/>
              </w:rPr>
            </w:pPr>
            <w:r>
              <w:rPr>
                <w:rFonts w:ascii="仿宋_GB2312" w:eastAsia="仿宋_GB2312" w:hAnsi="仿宋_GB2312" w:cs="仿宋_GB2312"/>
              </w:rPr>
              <w:t>数量</w:t>
            </w:r>
          </w:p>
        </w:tc>
        <w:tc>
          <w:tcPr>
            <w:tcW w:w="831" w:type="dxa"/>
          </w:tcPr>
          <w:p w14:paraId="397935D9" w14:textId="77777777" w:rsidR="00443045" w:rsidRDefault="00000000">
            <w:pPr>
              <w:pStyle w:val="null3"/>
              <w:rPr>
                <w:rFonts w:hint="default"/>
              </w:rPr>
            </w:pPr>
            <w:r>
              <w:rPr>
                <w:rFonts w:ascii="仿宋_GB2312" w:eastAsia="仿宋_GB2312" w:hAnsi="仿宋_GB2312" w:cs="仿宋_GB2312"/>
              </w:rPr>
              <w:t>标的金额 （元）</w:t>
            </w:r>
          </w:p>
        </w:tc>
        <w:tc>
          <w:tcPr>
            <w:tcW w:w="831" w:type="dxa"/>
          </w:tcPr>
          <w:p w14:paraId="7A13AA75" w14:textId="77777777" w:rsidR="00443045" w:rsidRDefault="00000000">
            <w:pPr>
              <w:pStyle w:val="null3"/>
              <w:rPr>
                <w:rFonts w:hint="default"/>
              </w:rPr>
            </w:pPr>
            <w:r>
              <w:rPr>
                <w:rFonts w:ascii="仿宋_GB2312" w:eastAsia="仿宋_GB2312" w:hAnsi="仿宋_GB2312" w:cs="仿宋_GB2312"/>
              </w:rPr>
              <w:t>计量单位</w:t>
            </w:r>
          </w:p>
        </w:tc>
        <w:tc>
          <w:tcPr>
            <w:tcW w:w="831" w:type="dxa"/>
          </w:tcPr>
          <w:p w14:paraId="5F7F4888" w14:textId="77777777" w:rsidR="00443045" w:rsidRDefault="00000000">
            <w:pPr>
              <w:pStyle w:val="null3"/>
              <w:rPr>
                <w:rFonts w:hint="default"/>
              </w:rPr>
            </w:pPr>
            <w:r>
              <w:rPr>
                <w:rFonts w:ascii="仿宋_GB2312" w:eastAsia="仿宋_GB2312" w:hAnsi="仿宋_GB2312" w:cs="仿宋_GB2312"/>
              </w:rPr>
              <w:t>所属行业</w:t>
            </w:r>
          </w:p>
        </w:tc>
        <w:tc>
          <w:tcPr>
            <w:tcW w:w="831" w:type="dxa"/>
          </w:tcPr>
          <w:p w14:paraId="310E7754" w14:textId="77777777" w:rsidR="00443045" w:rsidRDefault="00000000">
            <w:pPr>
              <w:pStyle w:val="null3"/>
              <w:rPr>
                <w:rFonts w:hint="default"/>
              </w:rPr>
            </w:pPr>
            <w:r>
              <w:rPr>
                <w:rFonts w:ascii="仿宋_GB2312" w:eastAsia="仿宋_GB2312" w:hAnsi="仿宋_GB2312" w:cs="仿宋_GB2312"/>
              </w:rPr>
              <w:t>是否核心产品</w:t>
            </w:r>
          </w:p>
        </w:tc>
        <w:tc>
          <w:tcPr>
            <w:tcW w:w="831" w:type="dxa"/>
          </w:tcPr>
          <w:p w14:paraId="130496E7" w14:textId="77777777" w:rsidR="00443045" w:rsidRDefault="00000000">
            <w:pPr>
              <w:pStyle w:val="null3"/>
              <w:rPr>
                <w:rFonts w:hint="default"/>
              </w:rPr>
            </w:pPr>
            <w:r>
              <w:rPr>
                <w:rFonts w:ascii="仿宋_GB2312" w:eastAsia="仿宋_GB2312" w:hAnsi="仿宋_GB2312" w:cs="仿宋_GB2312"/>
              </w:rPr>
              <w:t>是否允许进口产品</w:t>
            </w:r>
          </w:p>
        </w:tc>
        <w:tc>
          <w:tcPr>
            <w:tcW w:w="831" w:type="dxa"/>
          </w:tcPr>
          <w:p w14:paraId="321DD70A" w14:textId="77777777" w:rsidR="00443045" w:rsidRDefault="00000000">
            <w:pPr>
              <w:pStyle w:val="null3"/>
              <w:rPr>
                <w:rFonts w:hint="default"/>
              </w:rPr>
            </w:pPr>
            <w:r>
              <w:rPr>
                <w:rFonts w:ascii="仿宋_GB2312" w:eastAsia="仿宋_GB2312" w:hAnsi="仿宋_GB2312" w:cs="仿宋_GB2312"/>
              </w:rPr>
              <w:t>是否属于节能产品</w:t>
            </w:r>
          </w:p>
        </w:tc>
        <w:tc>
          <w:tcPr>
            <w:tcW w:w="831" w:type="dxa"/>
          </w:tcPr>
          <w:p w14:paraId="3DCF5A2C" w14:textId="77777777" w:rsidR="00443045" w:rsidRDefault="00000000">
            <w:pPr>
              <w:pStyle w:val="null3"/>
              <w:rPr>
                <w:rFonts w:hint="default"/>
              </w:rPr>
            </w:pPr>
            <w:r>
              <w:rPr>
                <w:rFonts w:ascii="仿宋_GB2312" w:eastAsia="仿宋_GB2312" w:hAnsi="仿宋_GB2312" w:cs="仿宋_GB2312"/>
              </w:rPr>
              <w:t>是否属于环境标志产品</w:t>
            </w:r>
          </w:p>
        </w:tc>
      </w:tr>
      <w:tr w:rsidR="00443045" w14:paraId="224A6672" w14:textId="77777777">
        <w:tc>
          <w:tcPr>
            <w:tcW w:w="831" w:type="dxa"/>
          </w:tcPr>
          <w:p w14:paraId="17702542" w14:textId="77777777" w:rsidR="00443045" w:rsidRDefault="00000000">
            <w:pPr>
              <w:pStyle w:val="null3"/>
              <w:rPr>
                <w:rFonts w:hint="default"/>
              </w:rPr>
            </w:pPr>
            <w:r>
              <w:rPr>
                <w:rFonts w:ascii="仿宋_GB2312" w:eastAsia="仿宋_GB2312" w:hAnsi="仿宋_GB2312" w:cs="仿宋_GB2312"/>
              </w:rPr>
              <w:t>1</w:t>
            </w:r>
          </w:p>
        </w:tc>
        <w:tc>
          <w:tcPr>
            <w:tcW w:w="831" w:type="dxa"/>
          </w:tcPr>
          <w:p w14:paraId="445212CB" w14:textId="77777777" w:rsidR="00443045" w:rsidRDefault="00000000">
            <w:pPr>
              <w:pStyle w:val="null3"/>
              <w:rPr>
                <w:rFonts w:hint="default"/>
              </w:rPr>
            </w:pPr>
            <w:r>
              <w:rPr>
                <w:rFonts w:ascii="仿宋_GB2312" w:eastAsia="仿宋_GB2312" w:hAnsi="仿宋_GB2312" w:cs="仿宋_GB2312"/>
              </w:rPr>
              <w:t>2025年野猪等野生动物危害防控与补偿项目</w:t>
            </w:r>
          </w:p>
        </w:tc>
        <w:tc>
          <w:tcPr>
            <w:tcW w:w="831" w:type="dxa"/>
          </w:tcPr>
          <w:p w14:paraId="1BA7C9F8" w14:textId="77777777" w:rsidR="00443045" w:rsidRDefault="00000000">
            <w:pPr>
              <w:pStyle w:val="null3"/>
              <w:jc w:val="right"/>
              <w:rPr>
                <w:rFonts w:hint="default"/>
              </w:rPr>
            </w:pPr>
            <w:r>
              <w:rPr>
                <w:rFonts w:ascii="仿宋_GB2312" w:eastAsia="仿宋_GB2312" w:hAnsi="仿宋_GB2312" w:cs="仿宋_GB2312"/>
              </w:rPr>
              <w:t>1.00</w:t>
            </w:r>
          </w:p>
        </w:tc>
        <w:tc>
          <w:tcPr>
            <w:tcW w:w="831" w:type="dxa"/>
          </w:tcPr>
          <w:p w14:paraId="0EFBE8DE" w14:textId="77777777" w:rsidR="00443045" w:rsidRDefault="00000000">
            <w:pPr>
              <w:pStyle w:val="null3"/>
              <w:jc w:val="right"/>
              <w:rPr>
                <w:rFonts w:hint="default"/>
              </w:rPr>
            </w:pPr>
            <w:r>
              <w:rPr>
                <w:rFonts w:ascii="仿宋_GB2312" w:eastAsia="仿宋_GB2312" w:hAnsi="仿宋_GB2312" w:cs="仿宋_GB2312"/>
              </w:rPr>
              <w:t>500,000.00</w:t>
            </w:r>
          </w:p>
        </w:tc>
        <w:tc>
          <w:tcPr>
            <w:tcW w:w="831" w:type="dxa"/>
          </w:tcPr>
          <w:p w14:paraId="712141D8" w14:textId="77777777" w:rsidR="00443045" w:rsidRDefault="00000000">
            <w:pPr>
              <w:pStyle w:val="null3"/>
              <w:rPr>
                <w:rFonts w:hint="default"/>
              </w:rPr>
            </w:pPr>
            <w:r>
              <w:rPr>
                <w:rFonts w:ascii="仿宋_GB2312" w:eastAsia="仿宋_GB2312" w:hAnsi="仿宋_GB2312" w:cs="仿宋_GB2312"/>
              </w:rPr>
              <w:t>项</w:t>
            </w:r>
          </w:p>
        </w:tc>
        <w:tc>
          <w:tcPr>
            <w:tcW w:w="831" w:type="dxa"/>
          </w:tcPr>
          <w:p w14:paraId="23E7FA53" w14:textId="77777777" w:rsidR="00443045" w:rsidRDefault="00000000">
            <w:pPr>
              <w:pStyle w:val="null3"/>
              <w:rPr>
                <w:rFonts w:hint="default"/>
              </w:rPr>
            </w:pPr>
            <w:r>
              <w:rPr>
                <w:rFonts w:ascii="仿宋_GB2312" w:eastAsia="仿宋_GB2312" w:hAnsi="仿宋_GB2312" w:cs="仿宋_GB2312"/>
              </w:rPr>
              <w:t>其他未列明行业</w:t>
            </w:r>
          </w:p>
        </w:tc>
        <w:tc>
          <w:tcPr>
            <w:tcW w:w="831" w:type="dxa"/>
          </w:tcPr>
          <w:p w14:paraId="157B0990" w14:textId="77777777" w:rsidR="00443045" w:rsidRDefault="00000000">
            <w:pPr>
              <w:pStyle w:val="null3"/>
              <w:rPr>
                <w:rFonts w:hint="default"/>
              </w:rPr>
            </w:pPr>
            <w:r>
              <w:rPr>
                <w:rFonts w:ascii="仿宋_GB2312" w:eastAsia="仿宋_GB2312" w:hAnsi="仿宋_GB2312" w:cs="仿宋_GB2312"/>
              </w:rPr>
              <w:t>否</w:t>
            </w:r>
          </w:p>
        </w:tc>
        <w:tc>
          <w:tcPr>
            <w:tcW w:w="831" w:type="dxa"/>
          </w:tcPr>
          <w:p w14:paraId="2C2A90C3" w14:textId="77777777" w:rsidR="00443045" w:rsidRDefault="00000000">
            <w:pPr>
              <w:pStyle w:val="null3"/>
              <w:rPr>
                <w:rFonts w:hint="default"/>
              </w:rPr>
            </w:pPr>
            <w:r>
              <w:rPr>
                <w:rFonts w:ascii="仿宋_GB2312" w:eastAsia="仿宋_GB2312" w:hAnsi="仿宋_GB2312" w:cs="仿宋_GB2312"/>
              </w:rPr>
              <w:t>否</w:t>
            </w:r>
          </w:p>
        </w:tc>
        <w:tc>
          <w:tcPr>
            <w:tcW w:w="831" w:type="dxa"/>
          </w:tcPr>
          <w:p w14:paraId="78004C33" w14:textId="77777777" w:rsidR="00443045" w:rsidRDefault="00000000">
            <w:pPr>
              <w:pStyle w:val="null3"/>
              <w:rPr>
                <w:rFonts w:hint="default"/>
              </w:rPr>
            </w:pPr>
            <w:r>
              <w:rPr>
                <w:rFonts w:ascii="仿宋_GB2312" w:eastAsia="仿宋_GB2312" w:hAnsi="仿宋_GB2312" w:cs="仿宋_GB2312"/>
              </w:rPr>
              <w:t>否</w:t>
            </w:r>
          </w:p>
        </w:tc>
        <w:tc>
          <w:tcPr>
            <w:tcW w:w="831" w:type="dxa"/>
          </w:tcPr>
          <w:p w14:paraId="3E7825AE" w14:textId="77777777" w:rsidR="00443045" w:rsidRDefault="00000000">
            <w:pPr>
              <w:pStyle w:val="null3"/>
              <w:rPr>
                <w:rFonts w:hint="default"/>
              </w:rPr>
            </w:pPr>
            <w:r>
              <w:rPr>
                <w:rFonts w:ascii="仿宋_GB2312" w:eastAsia="仿宋_GB2312" w:hAnsi="仿宋_GB2312" w:cs="仿宋_GB2312"/>
              </w:rPr>
              <w:t>否</w:t>
            </w:r>
          </w:p>
        </w:tc>
      </w:tr>
    </w:tbl>
    <w:p w14:paraId="1B48DBEA" w14:textId="77777777" w:rsidR="00443045" w:rsidRDefault="00000000">
      <w:pPr>
        <w:pStyle w:val="null3"/>
        <w:outlineLvl w:val="2"/>
        <w:rPr>
          <w:rFonts w:hint="default"/>
        </w:rPr>
      </w:pPr>
      <w:r>
        <w:rPr>
          <w:rFonts w:ascii="仿宋_GB2312" w:eastAsia="仿宋_GB2312" w:hAnsi="仿宋_GB2312" w:cs="仿宋_GB2312"/>
          <w:b/>
          <w:sz w:val="28"/>
        </w:rPr>
        <w:t>3.2.2服务要求</w:t>
      </w:r>
    </w:p>
    <w:p w14:paraId="552951D6" w14:textId="77777777" w:rsidR="00443045" w:rsidRDefault="00000000">
      <w:pPr>
        <w:pStyle w:val="null3"/>
        <w:rPr>
          <w:rFonts w:hint="default"/>
        </w:rPr>
      </w:pPr>
      <w:r>
        <w:rPr>
          <w:rFonts w:ascii="仿宋_GB2312" w:eastAsia="仿宋_GB2312" w:hAnsi="仿宋_GB2312" w:cs="仿宋_GB2312"/>
        </w:rPr>
        <w:t>采购包1：</w:t>
      </w:r>
    </w:p>
    <w:p w14:paraId="2D355091" w14:textId="77777777" w:rsidR="00443045" w:rsidRDefault="00000000">
      <w:pPr>
        <w:pStyle w:val="null3"/>
        <w:rPr>
          <w:rFonts w:hint="default"/>
        </w:rPr>
      </w:pPr>
      <w:r>
        <w:rPr>
          <w:rFonts w:ascii="仿宋_GB2312" w:eastAsia="仿宋_GB2312" w:hAnsi="仿宋_GB2312" w:cs="仿宋_GB2312"/>
        </w:rPr>
        <w:t>标的名称：2025年野猪等野生动物危害防控与补偿项目</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1276"/>
        <w:gridCol w:w="6213"/>
      </w:tblGrid>
      <w:tr w:rsidR="00443045" w14:paraId="0F714E9B" w14:textId="77777777" w:rsidTr="00CB6848">
        <w:tc>
          <w:tcPr>
            <w:tcW w:w="817" w:type="dxa"/>
          </w:tcPr>
          <w:p w14:paraId="71608BA3" w14:textId="77777777" w:rsidR="00443045" w:rsidRDefault="00000000">
            <w:pPr>
              <w:pStyle w:val="null3"/>
              <w:rPr>
                <w:rFonts w:hint="default"/>
              </w:rPr>
            </w:pPr>
            <w:r>
              <w:rPr>
                <w:rFonts w:ascii="仿宋_GB2312" w:eastAsia="仿宋_GB2312" w:hAnsi="仿宋_GB2312" w:cs="仿宋_GB2312"/>
              </w:rPr>
              <w:t xml:space="preserve"> 序号</w:t>
            </w:r>
          </w:p>
        </w:tc>
        <w:tc>
          <w:tcPr>
            <w:tcW w:w="1276" w:type="dxa"/>
          </w:tcPr>
          <w:p w14:paraId="1FD9D890" w14:textId="77777777" w:rsidR="00443045" w:rsidRDefault="00000000">
            <w:pPr>
              <w:pStyle w:val="null3"/>
              <w:rPr>
                <w:rFonts w:hint="default"/>
              </w:rPr>
            </w:pPr>
            <w:r>
              <w:rPr>
                <w:rFonts w:ascii="仿宋_GB2312" w:eastAsia="仿宋_GB2312" w:hAnsi="仿宋_GB2312" w:cs="仿宋_GB2312"/>
              </w:rPr>
              <w:t xml:space="preserve"> 参数性质</w:t>
            </w:r>
          </w:p>
        </w:tc>
        <w:tc>
          <w:tcPr>
            <w:tcW w:w="6214" w:type="dxa"/>
          </w:tcPr>
          <w:p w14:paraId="0355D8F8" w14:textId="77777777" w:rsidR="00443045" w:rsidRDefault="00000000">
            <w:pPr>
              <w:pStyle w:val="null3"/>
              <w:rPr>
                <w:rFonts w:hint="default"/>
              </w:rPr>
            </w:pPr>
            <w:r>
              <w:rPr>
                <w:rFonts w:ascii="仿宋_GB2312" w:eastAsia="仿宋_GB2312" w:hAnsi="仿宋_GB2312" w:cs="仿宋_GB2312"/>
              </w:rPr>
              <w:t xml:space="preserve"> 技术参数与性能指标</w:t>
            </w:r>
          </w:p>
        </w:tc>
      </w:tr>
      <w:tr w:rsidR="00443045" w14:paraId="2F810DDF" w14:textId="77777777" w:rsidTr="00CB6848">
        <w:tc>
          <w:tcPr>
            <w:tcW w:w="817" w:type="dxa"/>
          </w:tcPr>
          <w:p w14:paraId="08E13FBE" w14:textId="77777777" w:rsidR="00443045" w:rsidRDefault="00000000">
            <w:pPr>
              <w:pStyle w:val="null3"/>
              <w:rPr>
                <w:rFonts w:hint="default"/>
              </w:rPr>
            </w:pPr>
            <w:r>
              <w:rPr>
                <w:rFonts w:ascii="仿宋_GB2312" w:eastAsia="仿宋_GB2312" w:hAnsi="仿宋_GB2312" w:cs="仿宋_GB2312"/>
              </w:rPr>
              <w:t>1</w:t>
            </w:r>
          </w:p>
        </w:tc>
        <w:tc>
          <w:tcPr>
            <w:tcW w:w="1276" w:type="dxa"/>
          </w:tcPr>
          <w:p w14:paraId="44570EAD" w14:textId="77777777" w:rsidR="00443045" w:rsidRDefault="00443045"/>
        </w:tc>
        <w:tc>
          <w:tcPr>
            <w:tcW w:w="6214" w:type="dxa"/>
          </w:tcPr>
          <w:p w14:paraId="5ADAD498" w14:textId="77777777" w:rsidR="00443045" w:rsidRDefault="00000000">
            <w:pPr>
              <w:pStyle w:val="null3"/>
              <w:jc w:val="both"/>
              <w:rPr>
                <w:rFonts w:hint="default"/>
              </w:rPr>
            </w:pPr>
            <w:r>
              <w:rPr>
                <w:rFonts w:ascii="仿宋_GB2312" w:eastAsia="仿宋_GB2312" w:hAnsi="仿宋_GB2312" w:cs="仿宋_GB2312"/>
                <w:b/>
                <w:sz w:val="21"/>
              </w:rPr>
              <w:t>一、项目概况</w:t>
            </w:r>
          </w:p>
          <w:p w14:paraId="181AAB94" w14:textId="77777777" w:rsidR="00443045" w:rsidRDefault="00000000">
            <w:pPr>
              <w:pStyle w:val="null3"/>
              <w:ind w:firstLine="540"/>
              <w:jc w:val="both"/>
              <w:rPr>
                <w:rFonts w:hint="default"/>
              </w:rPr>
            </w:pPr>
            <w:r>
              <w:rPr>
                <w:rFonts w:ascii="仿宋_GB2312" w:eastAsia="仿宋_GB2312" w:hAnsi="仿宋_GB2312" w:cs="仿宋_GB2312"/>
                <w:sz w:val="21"/>
              </w:rPr>
              <w:t>按近年来，随着国家生态文明体系建设的不断推进，秦岭山区生态环境明显改善，野生动物种群数量持续上升，野生动物致害事件时有发生，为了解决群众因野生动物肇事受到的人身和财产损失，解决野生动物保护与肇事的矛盾。</w:t>
            </w:r>
          </w:p>
          <w:p w14:paraId="523516DE" w14:textId="77777777" w:rsidR="00443045" w:rsidRDefault="00000000">
            <w:pPr>
              <w:pStyle w:val="null3"/>
              <w:ind w:firstLine="540"/>
              <w:jc w:val="both"/>
              <w:rPr>
                <w:rFonts w:hint="default"/>
              </w:rPr>
            </w:pPr>
            <w:r>
              <w:rPr>
                <w:rFonts w:ascii="仿宋_GB2312" w:eastAsia="仿宋_GB2312" w:hAnsi="仿宋_GB2312" w:cs="仿宋_GB2312"/>
                <w:b/>
                <w:sz w:val="21"/>
              </w:rPr>
              <w:t>二、服务内容</w:t>
            </w:r>
          </w:p>
          <w:p w14:paraId="59BB3523" w14:textId="77777777" w:rsidR="00443045" w:rsidRDefault="00000000">
            <w:pPr>
              <w:pStyle w:val="null3"/>
              <w:ind w:firstLine="400"/>
              <w:jc w:val="both"/>
              <w:rPr>
                <w:rFonts w:hint="default"/>
              </w:rPr>
            </w:pPr>
            <w:r>
              <w:rPr>
                <w:rFonts w:ascii="仿宋_GB2312" w:eastAsia="仿宋_GB2312" w:hAnsi="仿宋_GB2312" w:cs="仿宋_GB2312"/>
                <w:sz w:val="21"/>
              </w:rPr>
              <w:t>1、农业损失赔付标准</w:t>
            </w:r>
          </w:p>
          <w:p w14:paraId="7DF26E88" w14:textId="77777777" w:rsidR="00443045" w:rsidRDefault="00000000">
            <w:pPr>
              <w:pStyle w:val="null3"/>
              <w:ind w:firstLine="400"/>
              <w:jc w:val="both"/>
              <w:rPr>
                <w:rFonts w:hint="default"/>
              </w:rPr>
            </w:pPr>
            <w:r>
              <w:rPr>
                <w:rFonts w:ascii="仿宋_GB2312" w:eastAsia="仿宋_GB2312" w:hAnsi="仿宋_GB2312" w:cs="仿宋_GB2312"/>
                <w:sz w:val="21"/>
              </w:rPr>
              <w:t>本保单农作物赔付标准以中央及地方政策性保险相关文件规定的险种保额为准执行，赔偿按照损坏面积、结合农作物生长特点进行赔付，具体以现行条款为准。(未列明的农作物、经济作物及养殖业按照西安市政策性农业保险实施文件标准进行赔付)</w:t>
            </w:r>
          </w:p>
          <w:p w14:paraId="58874A0C" w14:textId="77777777" w:rsidR="00443045" w:rsidRDefault="00000000">
            <w:pPr>
              <w:pStyle w:val="null3"/>
              <w:ind w:firstLine="400"/>
              <w:jc w:val="both"/>
              <w:rPr>
                <w:rFonts w:hint="default"/>
              </w:rPr>
            </w:pPr>
            <w:r>
              <w:rPr>
                <w:rFonts w:ascii="仿宋_GB2312" w:eastAsia="仿宋_GB2312" w:hAnsi="仿宋_GB2312" w:cs="仿宋_GB2312"/>
                <w:sz w:val="21"/>
              </w:rPr>
              <w:lastRenderedPageBreak/>
              <w:t>（1）农业种植赔付标准:</w:t>
            </w:r>
          </w:p>
          <w:p w14:paraId="593084E6" w14:textId="77777777" w:rsidR="00443045" w:rsidRDefault="00000000">
            <w:pPr>
              <w:pStyle w:val="null3"/>
              <w:ind w:firstLine="400"/>
              <w:jc w:val="both"/>
              <w:rPr>
                <w:rFonts w:hint="default"/>
              </w:rPr>
            </w:pPr>
            <w:r>
              <w:rPr>
                <w:rFonts w:ascii="仿宋_GB2312" w:eastAsia="仿宋_GB2312" w:hAnsi="仿宋_GB2312" w:cs="仿宋_GB2312"/>
                <w:sz w:val="21"/>
              </w:rPr>
              <w:t>其中小麦、玉米、马铃薯、油 料作物500元/亩，公益林550元/亩，葡萄种植4000元/亩，猕猴桃种植2000元/亩；</w:t>
            </w:r>
          </w:p>
          <w:p w14:paraId="356763E4" w14:textId="77777777" w:rsidR="00443045" w:rsidRDefault="00000000">
            <w:pPr>
              <w:pStyle w:val="null3"/>
              <w:ind w:firstLine="400"/>
              <w:jc w:val="both"/>
              <w:rPr>
                <w:rFonts w:hint="default"/>
              </w:rPr>
            </w:pPr>
            <w:r>
              <w:rPr>
                <w:rFonts w:ascii="仿宋_GB2312" w:eastAsia="仿宋_GB2312" w:hAnsi="仿宋_GB2312" w:cs="仿宋_GB2312"/>
                <w:sz w:val="21"/>
              </w:rPr>
              <w:t>（2）农业养殖赔付标准:</w:t>
            </w:r>
          </w:p>
          <w:p w14:paraId="5A6FF0BA" w14:textId="77777777" w:rsidR="00443045" w:rsidRDefault="00000000">
            <w:pPr>
              <w:pStyle w:val="null3"/>
              <w:ind w:firstLine="400"/>
              <w:jc w:val="both"/>
              <w:rPr>
                <w:rFonts w:hint="default"/>
              </w:rPr>
            </w:pPr>
            <w:r>
              <w:rPr>
                <w:rFonts w:ascii="仿宋_GB2312" w:eastAsia="仿宋_GB2312" w:hAnsi="仿宋_GB2312" w:cs="仿宋_GB2312"/>
                <w:sz w:val="21"/>
              </w:rPr>
              <w:t>育肥猪800元/头，能繁母猪1500元/头，仔猪400元/头，奶牛8000元/头，奶山羊1200元/头；</w:t>
            </w:r>
          </w:p>
          <w:p w14:paraId="1372F3AD" w14:textId="77777777" w:rsidR="00443045" w:rsidRDefault="00000000">
            <w:pPr>
              <w:pStyle w:val="null3"/>
              <w:ind w:firstLine="400"/>
              <w:jc w:val="both"/>
              <w:rPr>
                <w:rFonts w:hint="default"/>
              </w:rPr>
            </w:pPr>
            <w:r>
              <w:rPr>
                <w:rFonts w:ascii="仿宋_GB2312" w:eastAsia="仿宋_GB2312" w:hAnsi="仿宋_GB2312" w:cs="仿宋_GB2312"/>
                <w:sz w:val="21"/>
              </w:rPr>
              <w:t>（3）中华蜂赔付标准:</w:t>
            </w:r>
          </w:p>
          <w:p w14:paraId="3BFB0119" w14:textId="77777777" w:rsidR="00443045" w:rsidRDefault="00000000">
            <w:pPr>
              <w:pStyle w:val="null3"/>
              <w:ind w:firstLine="400"/>
              <w:jc w:val="both"/>
              <w:rPr>
                <w:rFonts w:hint="default"/>
              </w:rPr>
            </w:pPr>
            <w:r>
              <w:rPr>
                <w:rFonts w:ascii="仿宋_GB2312" w:eastAsia="仿宋_GB2312" w:hAnsi="仿宋_GB2312" w:cs="仿宋_GB2312"/>
                <w:sz w:val="21"/>
              </w:rPr>
              <w:t>中华蜂养殖户在可管可控范围内，受到野生动物侵害时，每箱不低于5脾（含）的实际损失补偿，每箱最高300元（含箱）给予补偿。</w:t>
            </w:r>
          </w:p>
          <w:p w14:paraId="27660057" w14:textId="77777777" w:rsidR="00443045" w:rsidRDefault="00000000">
            <w:pPr>
              <w:pStyle w:val="null3"/>
              <w:ind w:firstLine="400"/>
              <w:jc w:val="both"/>
              <w:rPr>
                <w:rFonts w:hint="default"/>
              </w:rPr>
            </w:pPr>
            <w:r>
              <w:rPr>
                <w:rFonts w:ascii="仿宋_GB2312" w:eastAsia="仿宋_GB2312" w:hAnsi="仿宋_GB2312" w:cs="仿宋_GB2312"/>
                <w:sz w:val="21"/>
              </w:rPr>
              <w:t>2、人身损害赔付标准:单次事故意外死亡、伤残赔偿最高限额每人10万元，意外伤害医疗费用单次赔偿最高限额每人2万元。人身损害全年全区累计不超过200万元。</w:t>
            </w:r>
          </w:p>
          <w:p w14:paraId="0F27BE6F" w14:textId="77777777" w:rsidR="00443045" w:rsidRDefault="00000000">
            <w:pPr>
              <w:pStyle w:val="null3"/>
              <w:ind w:firstLine="560"/>
              <w:jc w:val="both"/>
              <w:rPr>
                <w:rFonts w:hint="default"/>
              </w:rPr>
            </w:pPr>
            <w:r>
              <w:rPr>
                <w:rFonts w:ascii="仿宋_GB2312" w:eastAsia="仿宋_GB2312" w:hAnsi="仿宋_GB2312" w:cs="仿宋_GB2312"/>
                <w:sz w:val="21"/>
              </w:rPr>
              <w:t>3、财产损害赔付标准:按照实际损失在每户财产损失赔偿限额内据实赔付。其中:农作物经济作物以种植险相关条款为准，按照损坏面积、结合农作物生长特点等相关政策进行赔偿；中蜂养殖户在可管、可控范围内养殖中蜂，每箱不低于5脾(含)的，最高限额300元/箱； 其它财产标的赔偿以可鉴定的、政府有关部门和承办保险机构共同认定的实际损失为准。可以鉴定的以鉴定意见确定实际损失，不可鉴定或不方便鉴定的，以政府有关部门和承办保险机构共同确定实际损失。每户财产损失每年最高累计赔偿不超过2万元，全年全区累计不超过300万元。理赔时，需提供当地街道农办出具的事故认定书及相关证明材料。全区累计赔偿最高限额及单次事故赔偿最高限额如下:</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054"/>
              <w:gridCol w:w="1680"/>
              <w:gridCol w:w="1475"/>
              <w:gridCol w:w="1208"/>
            </w:tblGrid>
            <w:tr w:rsidR="00443045" w14:paraId="07EA9A10" w14:textId="77777777" w:rsidTr="00CB6848">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C15DFA" w14:textId="77777777" w:rsidR="00443045" w:rsidRDefault="00000000">
                  <w:pPr>
                    <w:pStyle w:val="null3"/>
                    <w:jc w:val="both"/>
                    <w:rPr>
                      <w:rFonts w:hint="default"/>
                    </w:rPr>
                  </w:pPr>
                  <w:r>
                    <w:rPr>
                      <w:rFonts w:ascii="仿宋_GB2312" w:eastAsia="仿宋_GB2312" w:hAnsi="仿宋_GB2312" w:cs="仿宋_GB2312"/>
                      <w:b/>
                      <w:sz w:val="21"/>
                    </w:rPr>
                    <w:t>保险类型</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F3EF565" w14:textId="77777777" w:rsidR="00443045" w:rsidRDefault="00000000">
                  <w:pPr>
                    <w:pStyle w:val="null3"/>
                    <w:jc w:val="both"/>
                    <w:rPr>
                      <w:rFonts w:hint="default"/>
                    </w:rPr>
                  </w:pPr>
                  <w:r>
                    <w:rPr>
                      <w:rFonts w:ascii="仿宋_GB2312" w:eastAsia="仿宋_GB2312" w:hAnsi="仿宋_GB2312" w:cs="仿宋_GB2312"/>
                      <w:b/>
                      <w:sz w:val="21"/>
                    </w:rPr>
                    <w:t>保险内容</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58F8AA" w14:textId="77777777" w:rsidR="00443045" w:rsidRDefault="00000000">
                  <w:pPr>
                    <w:pStyle w:val="null3"/>
                    <w:jc w:val="both"/>
                    <w:rPr>
                      <w:rFonts w:hint="default"/>
                    </w:rPr>
                  </w:pPr>
                  <w:r>
                    <w:rPr>
                      <w:rFonts w:ascii="仿宋_GB2312" w:eastAsia="仿宋_GB2312" w:hAnsi="仿宋_GB2312" w:cs="仿宋_GB2312"/>
                      <w:b/>
                      <w:sz w:val="21"/>
                    </w:rPr>
                    <w:t>累计赔偿限额</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485B7D" w14:textId="77777777" w:rsidR="00443045" w:rsidRDefault="00000000">
                  <w:pPr>
                    <w:pStyle w:val="null3"/>
                    <w:jc w:val="both"/>
                    <w:rPr>
                      <w:rFonts w:hint="default"/>
                    </w:rPr>
                  </w:pPr>
                  <w:r>
                    <w:rPr>
                      <w:rFonts w:ascii="仿宋_GB2312" w:eastAsia="仿宋_GB2312" w:hAnsi="仿宋_GB2312" w:cs="仿宋_GB2312"/>
                      <w:b/>
                      <w:sz w:val="21"/>
                    </w:rPr>
                    <w:t>赔偿限额</w:t>
                  </w:r>
                </w:p>
              </w:tc>
            </w:tr>
            <w:tr w:rsidR="00443045" w14:paraId="6F61790D" w14:textId="77777777" w:rsidTr="00CB6848">
              <w:tc>
                <w:tcPr>
                  <w:tcW w:w="0" w:type="auto"/>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250E82" w14:textId="77777777" w:rsidR="00443045" w:rsidRDefault="00000000">
                  <w:pPr>
                    <w:pStyle w:val="null3"/>
                    <w:jc w:val="both"/>
                    <w:rPr>
                      <w:rFonts w:hint="default"/>
                    </w:rPr>
                  </w:pPr>
                  <w:r>
                    <w:rPr>
                      <w:rFonts w:ascii="仿宋_GB2312" w:eastAsia="仿宋_GB2312" w:hAnsi="仿宋_GB2312" w:cs="仿宋_GB2312"/>
                      <w:sz w:val="21"/>
                    </w:rPr>
                    <w:t>人身意外</w:t>
                  </w:r>
                </w:p>
              </w:tc>
              <w:tc>
                <w:tcPr>
                  <w:tcW w:w="0" w:type="auto"/>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EAA81FD" w14:textId="77777777" w:rsidR="00443045" w:rsidRDefault="00000000">
                  <w:pPr>
                    <w:pStyle w:val="null3"/>
                    <w:jc w:val="both"/>
                    <w:rPr>
                      <w:rFonts w:hint="default"/>
                    </w:rPr>
                  </w:pPr>
                  <w:r>
                    <w:rPr>
                      <w:rFonts w:ascii="仿宋_GB2312" w:eastAsia="仿宋_GB2312" w:hAnsi="仿宋_GB2312" w:cs="仿宋_GB2312"/>
                      <w:sz w:val="21"/>
                    </w:rPr>
                    <w:t>意外死亡</w:t>
                  </w:r>
                </w:p>
              </w:tc>
              <w:tc>
                <w:tcPr>
                  <w:tcW w:w="0" w:type="auto"/>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49D545" w14:textId="77777777" w:rsidR="00443045" w:rsidRDefault="00000000">
                  <w:pPr>
                    <w:pStyle w:val="null3"/>
                    <w:jc w:val="both"/>
                    <w:rPr>
                      <w:rFonts w:hint="default"/>
                    </w:rPr>
                  </w:pPr>
                  <w:r>
                    <w:rPr>
                      <w:rFonts w:ascii="仿宋_GB2312" w:eastAsia="仿宋_GB2312" w:hAnsi="仿宋_GB2312" w:cs="仿宋_GB2312"/>
                      <w:sz w:val="21"/>
                    </w:rPr>
                    <w:t>200万元/年</w:t>
                  </w:r>
                </w:p>
              </w:tc>
              <w:tc>
                <w:tcPr>
                  <w:tcW w:w="0" w:type="auto"/>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87BCC4" w14:textId="77777777" w:rsidR="00443045" w:rsidRDefault="00000000">
                  <w:pPr>
                    <w:pStyle w:val="null3"/>
                    <w:jc w:val="both"/>
                    <w:rPr>
                      <w:rFonts w:hint="default"/>
                    </w:rPr>
                  </w:pPr>
                  <w:r>
                    <w:rPr>
                      <w:rFonts w:ascii="仿宋_GB2312" w:eastAsia="仿宋_GB2312" w:hAnsi="仿宋_GB2312" w:cs="仿宋_GB2312"/>
                      <w:sz w:val="21"/>
                    </w:rPr>
                    <w:t>10万元/人</w:t>
                  </w:r>
                </w:p>
              </w:tc>
            </w:tr>
            <w:tr w:rsidR="00443045" w14:paraId="17810391" w14:textId="77777777" w:rsidTr="00CB6848">
              <w:tc>
                <w:tcPr>
                  <w:tcW w:w="0" w:type="auto"/>
                  <w:vMerge/>
                  <w:tcBorders>
                    <w:top w:val="none" w:sz="4" w:space="0" w:color="000000"/>
                    <w:left w:val="single" w:sz="4" w:space="0" w:color="000000"/>
                    <w:bottom w:val="single" w:sz="4" w:space="0" w:color="000000"/>
                    <w:right w:val="single" w:sz="4" w:space="0" w:color="000000"/>
                  </w:tcBorders>
                </w:tcPr>
                <w:p w14:paraId="096DDD5D" w14:textId="77777777" w:rsidR="00443045" w:rsidRDefault="00443045"/>
              </w:tc>
              <w:tc>
                <w:tcPr>
                  <w:tcW w:w="0" w:type="auto"/>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6D1F327" w14:textId="77777777" w:rsidR="00443045" w:rsidRDefault="00000000">
                  <w:pPr>
                    <w:pStyle w:val="null3"/>
                    <w:jc w:val="both"/>
                    <w:rPr>
                      <w:rFonts w:hint="default"/>
                    </w:rPr>
                  </w:pPr>
                  <w:r>
                    <w:rPr>
                      <w:rFonts w:ascii="仿宋_GB2312" w:eastAsia="仿宋_GB2312" w:hAnsi="仿宋_GB2312" w:cs="仿宋_GB2312"/>
                      <w:sz w:val="21"/>
                    </w:rPr>
                    <w:t>意外伤残</w:t>
                  </w:r>
                </w:p>
              </w:tc>
              <w:tc>
                <w:tcPr>
                  <w:tcW w:w="0" w:type="auto"/>
                  <w:vMerge/>
                  <w:tcBorders>
                    <w:top w:val="none" w:sz="4" w:space="0" w:color="000000"/>
                    <w:left w:val="single" w:sz="4" w:space="0" w:color="000000"/>
                    <w:bottom w:val="single" w:sz="4" w:space="0" w:color="000000"/>
                    <w:right w:val="single" w:sz="4" w:space="0" w:color="000000"/>
                  </w:tcBorders>
                </w:tcPr>
                <w:p w14:paraId="4F6A0C1D" w14:textId="77777777" w:rsidR="00443045" w:rsidRDefault="00443045"/>
              </w:tc>
              <w:tc>
                <w:tcPr>
                  <w:tcW w:w="0" w:type="auto"/>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25F926C" w14:textId="77777777" w:rsidR="00443045" w:rsidRDefault="00000000">
                  <w:pPr>
                    <w:pStyle w:val="null3"/>
                    <w:jc w:val="both"/>
                    <w:rPr>
                      <w:rFonts w:hint="default"/>
                    </w:rPr>
                  </w:pPr>
                  <w:r>
                    <w:rPr>
                      <w:rFonts w:ascii="仿宋_GB2312" w:eastAsia="仿宋_GB2312" w:hAnsi="仿宋_GB2312" w:cs="仿宋_GB2312"/>
                      <w:sz w:val="21"/>
                    </w:rPr>
                    <w:t>10万元/人</w:t>
                  </w:r>
                </w:p>
              </w:tc>
            </w:tr>
            <w:tr w:rsidR="00443045" w14:paraId="291677F7" w14:textId="77777777" w:rsidTr="00CB6848">
              <w:tc>
                <w:tcPr>
                  <w:tcW w:w="0" w:type="auto"/>
                  <w:vMerge/>
                  <w:tcBorders>
                    <w:top w:val="none" w:sz="4" w:space="0" w:color="000000"/>
                    <w:left w:val="single" w:sz="4" w:space="0" w:color="000000"/>
                    <w:bottom w:val="single" w:sz="4" w:space="0" w:color="000000"/>
                    <w:right w:val="single" w:sz="4" w:space="0" w:color="000000"/>
                  </w:tcBorders>
                </w:tcPr>
                <w:p w14:paraId="4B728C58" w14:textId="77777777" w:rsidR="00443045" w:rsidRDefault="00443045"/>
              </w:tc>
              <w:tc>
                <w:tcPr>
                  <w:tcW w:w="0" w:type="auto"/>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7EEE6E" w14:textId="77777777" w:rsidR="00443045" w:rsidRDefault="00000000">
                  <w:pPr>
                    <w:pStyle w:val="null3"/>
                    <w:jc w:val="both"/>
                    <w:rPr>
                      <w:rFonts w:hint="default"/>
                    </w:rPr>
                  </w:pPr>
                  <w:r>
                    <w:rPr>
                      <w:rFonts w:ascii="仿宋_GB2312" w:eastAsia="仿宋_GB2312" w:hAnsi="仿宋_GB2312" w:cs="仿宋_GB2312"/>
                      <w:sz w:val="21"/>
                    </w:rPr>
                    <w:t>意外伤害医疗</w:t>
                  </w:r>
                </w:p>
              </w:tc>
              <w:tc>
                <w:tcPr>
                  <w:tcW w:w="0" w:type="auto"/>
                  <w:vMerge/>
                  <w:tcBorders>
                    <w:top w:val="none" w:sz="4" w:space="0" w:color="000000"/>
                    <w:left w:val="single" w:sz="4" w:space="0" w:color="000000"/>
                    <w:bottom w:val="single" w:sz="4" w:space="0" w:color="000000"/>
                    <w:right w:val="single" w:sz="4" w:space="0" w:color="000000"/>
                  </w:tcBorders>
                </w:tcPr>
                <w:p w14:paraId="148D9900" w14:textId="77777777" w:rsidR="00443045" w:rsidRDefault="00443045"/>
              </w:tc>
              <w:tc>
                <w:tcPr>
                  <w:tcW w:w="0" w:type="auto"/>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3360D5" w14:textId="77777777" w:rsidR="00443045" w:rsidRDefault="00000000">
                  <w:pPr>
                    <w:pStyle w:val="null3"/>
                    <w:jc w:val="both"/>
                    <w:rPr>
                      <w:rFonts w:hint="default"/>
                    </w:rPr>
                  </w:pPr>
                  <w:r>
                    <w:rPr>
                      <w:rFonts w:ascii="仿宋_GB2312" w:eastAsia="仿宋_GB2312" w:hAnsi="仿宋_GB2312" w:cs="仿宋_GB2312"/>
                      <w:sz w:val="21"/>
                    </w:rPr>
                    <w:t>2万元/人</w:t>
                  </w:r>
                </w:p>
              </w:tc>
            </w:tr>
            <w:tr w:rsidR="00443045" w14:paraId="3B722E5C" w14:textId="77777777" w:rsidTr="00CB6848">
              <w:tc>
                <w:tcPr>
                  <w:tcW w:w="0" w:type="auto"/>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E04F520" w14:textId="77777777" w:rsidR="00443045" w:rsidRDefault="00000000">
                  <w:pPr>
                    <w:pStyle w:val="null3"/>
                    <w:jc w:val="both"/>
                    <w:rPr>
                      <w:rFonts w:hint="default"/>
                    </w:rPr>
                  </w:pPr>
                  <w:r>
                    <w:rPr>
                      <w:rFonts w:ascii="仿宋_GB2312" w:eastAsia="仿宋_GB2312" w:hAnsi="仿宋_GB2312" w:cs="仿宋_GB2312"/>
                      <w:sz w:val="21"/>
                    </w:rPr>
                    <w:t>财产损失</w:t>
                  </w:r>
                </w:p>
              </w:tc>
              <w:tc>
                <w:tcPr>
                  <w:tcW w:w="0" w:type="auto"/>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3CC7E1" w14:textId="77777777" w:rsidR="00443045" w:rsidRDefault="00000000">
                  <w:pPr>
                    <w:pStyle w:val="null3"/>
                    <w:jc w:val="both"/>
                    <w:rPr>
                      <w:rFonts w:hint="default"/>
                    </w:rPr>
                  </w:pPr>
                  <w:r>
                    <w:rPr>
                      <w:rFonts w:ascii="仿宋_GB2312" w:eastAsia="仿宋_GB2312" w:hAnsi="仿宋_GB2312" w:cs="仿宋_GB2312"/>
                      <w:sz w:val="21"/>
                    </w:rPr>
                    <w:t>农作物经济作物</w:t>
                  </w:r>
                </w:p>
              </w:tc>
              <w:tc>
                <w:tcPr>
                  <w:tcW w:w="0" w:type="auto"/>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9CCFB39" w14:textId="77777777" w:rsidR="00443045" w:rsidRDefault="00000000">
                  <w:pPr>
                    <w:pStyle w:val="null3"/>
                    <w:jc w:val="both"/>
                    <w:rPr>
                      <w:rFonts w:hint="default"/>
                    </w:rPr>
                  </w:pPr>
                  <w:r>
                    <w:rPr>
                      <w:rFonts w:ascii="仿宋_GB2312" w:eastAsia="仿宋_GB2312" w:hAnsi="仿宋_GB2312" w:cs="仿宋_GB2312"/>
                      <w:sz w:val="21"/>
                    </w:rPr>
                    <w:t>300万元/年</w:t>
                  </w:r>
                </w:p>
              </w:tc>
              <w:tc>
                <w:tcPr>
                  <w:tcW w:w="0" w:type="auto"/>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7CE968C" w14:textId="77777777" w:rsidR="00443045" w:rsidRDefault="00000000">
                  <w:pPr>
                    <w:pStyle w:val="null3"/>
                    <w:jc w:val="both"/>
                    <w:rPr>
                      <w:rFonts w:hint="default"/>
                    </w:rPr>
                  </w:pPr>
                  <w:r>
                    <w:rPr>
                      <w:rFonts w:ascii="仿宋_GB2312" w:eastAsia="仿宋_GB2312" w:hAnsi="仿宋_GB2312" w:cs="仿宋_GB2312"/>
                      <w:sz w:val="21"/>
                    </w:rPr>
                    <w:t>2万元/户</w:t>
                  </w:r>
                </w:p>
              </w:tc>
            </w:tr>
            <w:tr w:rsidR="00443045" w14:paraId="59DB3718" w14:textId="77777777" w:rsidTr="00CB6848">
              <w:tc>
                <w:tcPr>
                  <w:tcW w:w="0" w:type="auto"/>
                  <w:vMerge/>
                  <w:tcBorders>
                    <w:top w:val="none" w:sz="4" w:space="0" w:color="000000"/>
                    <w:left w:val="single" w:sz="4" w:space="0" w:color="000000"/>
                    <w:bottom w:val="single" w:sz="4" w:space="0" w:color="000000"/>
                    <w:right w:val="single" w:sz="4" w:space="0" w:color="000000"/>
                  </w:tcBorders>
                </w:tcPr>
                <w:p w14:paraId="26694D6D" w14:textId="77777777" w:rsidR="00443045" w:rsidRDefault="00443045"/>
              </w:tc>
              <w:tc>
                <w:tcPr>
                  <w:tcW w:w="0" w:type="auto"/>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CC0572" w14:textId="77777777" w:rsidR="00443045" w:rsidRDefault="00000000">
                  <w:pPr>
                    <w:pStyle w:val="null3"/>
                    <w:jc w:val="both"/>
                    <w:rPr>
                      <w:rFonts w:hint="default"/>
                    </w:rPr>
                  </w:pPr>
                  <w:r>
                    <w:rPr>
                      <w:rFonts w:ascii="仿宋_GB2312" w:eastAsia="仿宋_GB2312" w:hAnsi="仿宋_GB2312" w:cs="仿宋_GB2312"/>
                      <w:sz w:val="21"/>
                    </w:rPr>
                    <w:t>建筑设施设备</w:t>
                  </w:r>
                </w:p>
              </w:tc>
              <w:tc>
                <w:tcPr>
                  <w:tcW w:w="0" w:type="auto"/>
                  <w:vMerge/>
                  <w:tcBorders>
                    <w:top w:val="none" w:sz="4" w:space="0" w:color="000000"/>
                    <w:left w:val="single" w:sz="4" w:space="0" w:color="000000"/>
                    <w:bottom w:val="single" w:sz="4" w:space="0" w:color="000000"/>
                    <w:right w:val="single" w:sz="4" w:space="0" w:color="000000"/>
                  </w:tcBorders>
                </w:tcPr>
                <w:p w14:paraId="1DF9BEC2" w14:textId="77777777" w:rsidR="00443045" w:rsidRDefault="00443045"/>
              </w:tc>
              <w:tc>
                <w:tcPr>
                  <w:tcW w:w="0" w:type="auto"/>
                  <w:vMerge/>
                  <w:tcBorders>
                    <w:top w:val="none" w:sz="4" w:space="0" w:color="000000"/>
                    <w:left w:val="single" w:sz="4" w:space="0" w:color="000000"/>
                    <w:bottom w:val="single" w:sz="4" w:space="0" w:color="000000"/>
                    <w:right w:val="single" w:sz="4" w:space="0" w:color="000000"/>
                  </w:tcBorders>
                </w:tcPr>
                <w:p w14:paraId="1117D1E0" w14:textId="77777777" w:rsidR="00443045" w:rsidRDefault="00443045"/>
              </w:tc>
            </w:tr>
            <w:tr w:rsidR="00443045" w14:paraId="0E077F47" w14:textId="77777777" w:rsidTr="00CB6848">
              <w:tc>
                <w:tcPr>
                  <w:tcW w:w="0" w:type="auto"/>
                  <w:vMerge/>
                  <w:tcBorders>
                    <w:top w:val="none" w:sz="4" w:space="0" w:color="000000"/>
                    <w:left w:val="single" w:sz="4" w:space="0" w:color="000000"/>
                    <w:bottom w:val="single" w:sz="4" w:space="0" w:color="000000"/>
                    <w:right w:val="single" w:sz="4" w:space="0" w:color="000000"/>
                  </w:tcBorders>
                </w:tcPr>
                <w:p w14:paraId="49DD80D0" w14:textId="77777777" w:rsidR="00443045" w:rsidRDefault="00443045"/>
              </w:tc>
              <w:tc>
                <w:tcPr>
                  <w:tcW w:w="0" w:type="auto"/>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A39762" w14:textId="77777777" w:rsidR="00443045" w:rsidRDefault="00000000">
                  <w:pPr>
                    <w:pStyle w:val="null3"/>
                    <w:jc w:val="both"/>
                    <w:rPr>
                      <w:rFonts w:hint="default"/>
                    </w:rPr>
                  </w:pPr>
                  <w:r>
                    <w:rPr>
                      <w:rFonts w:ascii="仿宋_GB2312" w:eastAsia="仿宋_GB2312" w:hAnsi="仿宋_GB2312" w:cs="仿宋_GB2312"/>
                      <w:sz w:val="21"/>
                    </w:rPr>
                    <w:t>家养牲畜</w:t>
                  </w:r>
                </w:p>
              </w:tc>
              <w:tc>
                <w:tcPr>
                  <w:tcW w:w="0" w:type="auto"/>
                  <w:vMerge/>
                  <w:tcBorders>
                    <w:top w:val="none" w:sz="4" w:space="0" w:color="000000"/>
                    <w:left w:val="single" w:sz="4" w:space="0" w:color="000000"/>
                    <w:bottom w:val="single" w:sz="4" w:space="0" w:color="000000"/>
                    <w:right w:val="single" w:sz="4" w:space="0" w:color="000000"/>
                  </w:tcBorders>
                </w:tcPr>
                <w:p w14:paraId="0BF3730E" w14:textId="77777777" w:rsidR="00443045" w:rsidRDefault="00443045"/>
              </w:tc>
              <w:tc>
                <w:tcPr>
                  <w:tcW w:w="0" w:type="auto"/>
                  <w:vMerge/>
                  <w:tcBorders>
                    <w:top w:val="none" w:sz="4" w:space="0" w:color="000000"/>
                    <w:left w:val="single" w:sz="4" w:space="0" w:color="000000"/>
                    <w:bottom w:val="single" w:sz="4" w:space="0" w:color="000000"/>
                    <w:right w:val="single" w:sz="4" w:space="0" w:color="000000"/>
                  </w:tcBorders>
                </w:tcPr>
                <w:p w14:paraId="15919B82" w14:textId="77777777" w:rsidR="00443045" w:rsidRDefault="00443045"/>
              </w:tc>
            </w:tr>
          </w:tbl>
          <w:p w14:paraId="50AA9159" w14:textId="77777777" w:rsidR="00443045" w:rsidRDefault="00000000">
            <w:pPr>
              <w:pStyle w:val="null3"/>
              <w:ind w:firstLine="400"/>
              <w:jc w:val="both"/>
              <w:rPr>
                <w:rFonts w:hint="default"/>
              </w:rPr>
            </w:pPr>
            <w:r>
              <w:rPr>
                <w:rFonts w:ascii="仿宋_GB2312" w:eastAsia="仿宋_GB2312" w:hAnsi="仿宋_GB2312" w:cs="仿宋_GB2312"/>
                <w:sz w:val="21"/>
              </w:rPr>
              <w:t>备注:赔偿范围及标准参照《陕西省重点保护陆生野生动物造成人身财产损害补偿办法》</w:t>
            </w:r>
          </w:p>
          <w:p w14:paraId="3A96D2E8" w14:textId="77777777" w:rsidR="00443045" w:rsidRDefault="00000000">
            <w:pPr>
              <w:pStyle w:val="null3"/>
              <w:jc w:val="both"/>
              <w:rPr>
                <w:rFonts w:hint="default"/>
              </w:rPr>
            </w:pPr>
            <w:r>
              <w:rPr>
                <w:rFonts w:ascii="仿宋_GB2312" w:eastAsia="仿宋_GB2312" w:hAnsi="仿宋_GB2312" w:cs="仿宋_GB2312"/>
                <w:b/>
                <w:sz w:val="21"/>
              </w:rPr>
              <w:t>三、技术要求</w:t>
            </w:r>
          </w:p>
          <w:p w14:paraId="4725E460" w14:textId="77777777" w:rsidR="00443045" w:rsidRDefault="00000000">
            <w:pPr>
              <w:pStyle w:val="null3"/>
              <w:ind w:firstLine="400"/>
              <w:jc w:val="both"/>
              <w:rPr>
                <w:rFonts w:hint="default"/>
              </w:rPr>
            </w:pPr>
            <w:r>
              <w:rPr>
                <w:rFonts w:ascii="仿宋_GB2312" w:eastAsia="仿宋_GB2312" w:hAnsi="仿宋_GB2312" w:cs="仿宋_GB2312"/>
                <w:sz w:val="21"/>
              </w:rPr>
              <w:t>1、理赔服务方案</w:t>
            </w:r>
          </w:p>
          <w:p w14:paraId="13B70567" w14:textId="77777777" w:rsidR="00443045" w:rsidRDefault="00000000">
            <w:pPr>
              <w:pStyle w:val="null3"/>
              <w:ind w:firstLine="400"/>
              <w:jc w:val="both"/>
              <w:rPr>
                <w:rFonts w:hint="default"/>
              </w:rPr>
            </w:pPr>
            <w:r>
              <w:rPr>
                <w:rFonts w:ascii="仿宋_GB2312" w:eastAsia="仿宋_GB2312" w:hAnsi="仿宋_GB2312" w:cs="仿宋_GB2312"/>
                <w:sz w:val="21"/>
              </w:rPr>
              <w:t xml:space="preserve">（一）随着生态环境改善，野生动物（如野猪、黑熊等）活动频繁，导致人身伤害、财产损失事件增多。群众对野生动物类别区分比较模糊，导致非法捕猎野生动物的案件也在逐年增加，为保障公众权益，保险公司在完善理赔服务流程的同时，采用“保险+预防”模式投入部分资金用于印刷保护野生动物等宣传彩页到各村分发，并用村委扩音喇叭对群众进行宣读；协助当地政府部门、街办、村组相关的工作，增加群众保护野生动物的意识及预防野生动物对自身及财产造成损害。  </w:t>
            </w:r>
          </w:p>
          <w:p w14:paraId="6F5701AE" w14:textId="77777777" w:rsidR="00443045" w:rsidRDefault="00000000">
            <w:pPr>
              <w:pStyle w:val="null3"/>
              <w:ind w:firstLine="400"/>
              <w:jc w:val="both"/>
              <w:rPr>
                <w:rFonts w:hint="default"/>
              </w:rPr>
            </w:pPr>
            <w:r>
              <w:rPr>
                <w:rFonts w:ascii="仿宋_GB2312" w:eastAsia="仿宋_GB2312" w:hAnsi="仿宋_GB2312" w:cs="仿宋_GB2312"/>
                <w:sz w:val="21"/>
              </w:rPr>
              <w:t>（二）野生动物肇事发生后，受害人应当及时向当地村组、街</w:t>
            </w:r>
            <w:r>
              <w:rPr>
                <w:rFonts w:ascii="仿宋_GB2312" w:eastAsia="仿宋_GB2312" w:hAnsi="仿宋_GB2312" w:cs="仿宋_GB2312"/>
                <w:sz w:val="21"/>
              </w:rPr>
              <w:lastRenderedPageBreak/>
              <w:t>道（景区管理局）报告，未向当地村组、街办报告的，最迟应于肇事发生后10日内向承保保险公司报案，肇事发生后，不得破坏现场，有条件的应当提供相关影像资料。</w:t>
            </w:r>
          </w:p>
          <w:p w14:paraId="77E85210" w14:textId="77777777" w:rsidR="00443045" w:rsidRDefault="00000000">
            <w:pPr>
              <w:pStyle w:val="null3"/>
              <w:ind w:firstLine="400"/>
              <w:jc w:val="both"/>
              <w:rPr>
                <w:rFonts w:hint="default"/>
              </w:rPr>
            </w:pPr>
            <w:r>
              <w:rPr>
                <w:rFonts w:ascii="仿宋_GB2312" w:eastAsia="仿宋_GB2312" w:hAnsi="仿宋_GB2312" w:cs="仿宋_GB2312"/>
                <w:sz w:val="21"/>
              </w:rPr>
              <w:t>（三）野生动物肇事发生后，当地街道办 （景区管理局或区野生动物管理站应当对事故进行认定，并向受害人出具书面的事故认定书及相关证明材料。</w:t>
            </w:r>
          </w:p>
          <w:p w14:paraId="26A138B5" w14:textId="77777777" w:rsidR="00443045" w:rsidRDefault="00000000">
            <w:pPr>
              <w:pStyle w:val="null3"/>
              <w:ind w:firstLine="400"/>
              <w:jc w:val="both"/>
              <w:rPr>
                <w:rFonts w:hint="default"/>
              </w:rPr>
            </w:pPr>
            <w:r>
              <w:rPr>
                <w:rFonts w:ascii="仿宋_GB2312" w:eastAsia="仿宋_GB2312" w:hAnsi="仿宋_GB2312" w:cs="仿宋_GB2312"/>
                <w:sz w:val="21"/>
              </w:rPr>
              <w:t>（四）承保公司在接到报案后24小时内进行现场勘验评估，按程序及时理赔。</w:t>
            </w:r>
          </w:p>
          <w:p w14:paraId="12094C34" w14:textId="77777777" w:rsidR="00443045" w:rsidRDefault="00000000">
            <w:pPr>
              <w:pStyle w:val="null3"/>
              <w:ind w:firstLine="400"/>
              <w:jc w:val="both"/>
              <w:rPr>
                <w:rFonts w:hint="default"/>
              </w:rPr>
            </w:pPr>
            <w:r>
              <w:rPr>
                <w:rFonts w:ascii="仿宋_GB2312" w:eastAsia="仿宋_GB2312" w:hAnsi="仿宋_GB2312" w:cs="仿宋_GB2312"/>
                <w:sz w:val="21"/>
              </w:rPr>
              <w:t>（五）人身意外伤害、室内外财产、家养牲畜、养殖产业、经济作物发生损失的，在每人或每户每次事故财产损失责任限额内进行补偿。</w:t>
            </w:r>
          </w:p>
          <w:p w14:paraId="09BD0F35" w14:textId="77777777" w:rsidR="00443045" w:rsidRDefault="00000000">
            <w:pPr>
              <w:pStyle w:val="null3"/>
              <w:ind w:firstLine="400"/>
              <w:jc w:val="both"/>
              <w:rPr>
                <w:rFonts w:hint="default"/>
              </w:rPr>
            </w:pPr>
            <w:r>
              <w:rPr>
                <w:rFonts w:ascii="仿宋_GB2312" w:eastAsia="仿宋_GB2312" w:hAnsi="仿宋_GB2312" w:cs="仿宋_GB2312"/>
                <w:sz w:val="21"/>
              </w:rPr>
              <w:t>快速响应野生动物肇事案件，减少受害者损失。规范理赔流程，确保公平、透明、高效。促进人与野生动物和谐共处。</w:t>
            </w:r>
          </w:p>
          <w:p w14:paraId="34FD0D17" w14:textId="77777777" w:rsidR="00443045" w:rsidRDefault="00000000">
            <w:pPr>
              <w:pStyle w:val="null3"/>
              <w:ind w:firstLine="400"/>
              <w:jc w:val="both"/>
              <w:rPr>
                <w:rFonts w:hint="default"/>
              </w:rPr>
            </w:pPr>
            <w:r>
              <w:rPr>
                <w:rFonts w:ascii="仿宋_GB2312" w:eastAsia="仿宋_GB2312" w:hAnsi="仿宋_GB2312" w:cs="仿宋_GB2312"/>
                <w:sz w:val="21"/>
              </w:rPr>
              <w:t>2、免赔事项</w:t>
            </w:r>
          </w:p>
          <w:p w14:paraId="6AEC04F8" w14:textId="77777777" w:rsidR="00443045" w:rsidRDefault="00000000">
            <w:pPr>
              <w:pStyle w:val="null3"/>
              <w:ind w:firstLine="400"/>
              <w:jc w:val="both"/>
              <w:rPr>
                <w:rFonts w:hint="default"/>
              </w:rPr>
            </w:pPr>
            <w:r>
              <w:rPr>
                <w:rFonts w:ascii="仿宋_GB2312" w:eastAsia="仿宋_GB2312" w:hAnsi="仿宋_GB2312" w:cs="仿宋_GB2312"/>
                <w:sz w:val="21"/>
              </w:rPr>
              <w:t>农作物、经济作物承保范围仅限常住户口所在地为鄠邑区行政区域内种植户。重点保护野生动物造成人身伤害和财产损失有下列情形之一的，保险公司不承担赔偿责任：</w:t>
            </w:r>
          </w:p>
          <w:p w14:paraId="7B878138" w14:textId="77777777" w:rsidR="00443045" w:rsidRDefault="00000000">
            <w:pPr>
              <w:pStyle w:val="null3"/>
              <w:ind w:firstLine="400"/>
              <w:jc w:val="both"/>
              <w:rPr>
                <w:rFonts w:hint="default"/>
              </w:rPr>
            </w:pPr>
            <w:r>
              <w:rPr>
                <w:rFonts w:ascii="仿宋_GB2312" w:eastAsia="仿宋_GB2312" w:hAnsi="仿宋_GB2312" w:cs="仿宋_GB2312"/>
                <w:sz w:val="21"/>
              </w:rPr>
              <w:t>(1）对主动攻击和故意伤害重点保护野生动物的人员造成伤害或者死亡的；</w:t>
            </w:r>
          </w:p>
          <w:p w14:paraId="18754D8A" w14:textId="77777777" w:rsidR="00443045" w:rsidRDefault="00000000">
            <w:pPr>
              <w:pStyle w:val="null3"/>
              <w:ind w:firstLine="400"/>
              <w:jc w:val="both"/>
              <w:rPr>
                <w:rFonts w:hint="default"/>
              </w:rPr>
            </w:pPr>
            <w:r>
              <w:rPr>
                <w:rFonts w:ascii="仿宋_GB2312" w:eastAsia="仿宋_GB2312" w:hAnsi="仿宋_GB2312" w:cs="仿宋_GB2312"/>
                <w:sz w:val="21"/>
              </w:rPr>
              <w:t>(2）对进行非法狩猎活动或者擅自进入自然保护区的人员造成身体伤害或者死亡的；</w:t>
            </w:r>
          </w:p>
          <w:p w14:paraId="672C54E9" w14:textId="77777777" w:rsidR="00443045" w:rsidRDefault="00000000">
            <w:pPr>
              <w:pStyle w:val="null3"/>
              <w:ind w:firstLine="400"/>
              <w:jc w:val="both"/>
              <w:rPr>
                <w:rFonts w:hint="default"/>
              </w:rPr>
            </w:pPr>
            <w:r>
              <w:rPr>
                <w:rFonts w:ascii="仿宋_GB2312" w:eastAsia="仿宋_GB2312" w:hAnsi="仿宋_GB2312" w:cs="仿宋_GB2312"/>
                <w:sz w:val="21"/>
              </w:rPr>
              <w:t>(3）对在依法划定的生产经营范围以外种植的农作物和经济林木造成损毁的；</w:t>
            </w:r>
          </w:p>
          <w:p w14:paraId="2AC26E2D" w14:textId="77777777" w:rsidR="00443045" w:rsidRDefault="00000000">
            <w:pPr>
              <w:pStyle w:val="null3"/>
              <w:ind w:firstLine="400"/>
              <w:jc w:val="both"/>
              <w:rPr>
                <w:rFonts w:hint="default"/>
              </w:rPr>
            </w:pPr>
            <w:r>
              <w:rPr>
                <w:rFonts w:ascii="仿宋_GB2312" w:eastAsia="仿宋_GB2312" w:hAnsi="仿宋_GB2312" w:cs="仿宋_GB2312"/>
                <w:sz w:val="21"/>
              </w:rPr>
              <w:t>(4）驯养繁殖、运输重点保护野生动物的单位或者个人，因管理不善致使野生动物造成人身伤害或财产损害的；</w:t>
            </w:r>
          </w:p>
          <w:p w14:paraId="00096DAC" w14:textId="77777777" w:rsidR="00443045" w:rsidRDefault="00000000">
            <w:pPr>
              <w:pStyle w:val="null3"/>
              <w:ind w:firstLine="400"/>
              <w:jc w:val="both"/>
              <w:rPr>
                <w:rFonts w:hint="default"/>
              </w:rPr>
            </w:pPr>
            <w:r>
              <w:rPr>
                <w:rFonts w:ascii="仿宋_GB2312" w:eastAsia="仿宋_GB2312" w:hAnsi="仿宋_GB2312" w:cs="仿宋_GB2312"/>
                <w:sz w:val="21"/>
              </w:rPr>
              <w:t>(5）对野养散放或者在自然保护区核心、缓冲区或其他法律规定禁止范围内放牧牲畜造成伤害或者死亡的。</w:t>
            </w:r>
          </w:p>
          <w:p w14:paraId="04C1113E" w14:textId="77777777" w:rsidR="00443045" w:rsidRDefault="00000000">
            <w:pPr>
              <w:pStyle w:val="null3"/>
              <w:jc w:val="both"/>
              <w:rPr>
                <w:rFonts w:hint="default"/>
              </w:rPr>
            </w:pPr>
            <w:r>
              <w:rPr>
                <w:rFonts w:ascii="仿宋_GB2312" w:eastAsia="仿宋_GB2312" w:hAnsi="仿宋_GB2312" w:cs="仿宋_GB2312"/>
                <w:b/>
                <w:sz w:val="21"/>
              </w:rPr>
              <w:t>四、服务要求</w:t>
            </w:r>
          </w:p>
          <w:p w14:paraId="7DBF1C03" w14:textId="77777777" w:rsidR="00443045" w:rsidRDefault="00000000">
            <w:pPr>
              <w:pStyle w:val="null3"/>
              <w:ind w:firstLine="380"/>
              <w:jc w:val="both"/>
              <w:rPr>
                <w:rFonts w:hint="default"/>
              </w:rPr>
            </w:pPr>
            <w:r>
              <w:rPr>
                <w:rFonts w:ascii="仿宋_GB2312" w:eastAsia="仿宋_GB2312" w:hAnsi="仿宋_GB2312" w:cs="仿宋_GB2312"/>
                <w:sz w:val="21"/>
              </w:rPr>
              <w:t>人员专业配置齐全、分工合理、具有相关工作经验，遵循市场经济规律，发挥保险机构专业化风险防控优势，引入商业保险模式，实现由政府直接补偿向商业保险赔偿方式的逐步转变。</w:t>
            </w:r>
          </w:p>
          <w:p w14:paraId="27A29832" w14:textId="77777777" w:rsidR="00443045" w:rsidRDefault="00000000">
            <w:pPr>
              <w:pStyle w:val="null3"/>
              <w:jc w:val="both"/>
              <w:rPr>
                <w:rFonts w:hint="default"/>
              </w:rPr>
            </w:pPr>
            <w:r>
              <w:rPr>
                <w:rFonts w:ascii="仿宋_GB2312" w:eastAsia="仿宋_GB2312" w:hAnsi="仿宋_GB2312" w:cs="仿宋_GB2312"/>
                <w:b/>
                <w:sz w:val="21"/>
              </w:rPr>
              <w:t>五、商务要求</w:t>
            </w:r>
          </w:p>
          <w:p w14:paraId="23B5763B" w14:textId="77777777" w:rsidR="00443045" w:rsidRDefault="00000000">
            <w:pPr>
              <w:pStyle w:val="null3"/>
              <w:ind w:firstLine="380"/>
              <w:jc w:val="both"/>
              <w:rPr>
                <w:rFonts w:hint="default"/>
              </w:rPr>
            </w:pPr>
            <w:r>
              <w:rPr>
                <w:rFonts w:ascii="仿宋_GB2312" w:eastAsia="仿宋_GB2312" w:hAnsi="仿宋_GB2312" w:cs="仿宋_GB2312"/>
                <w:sz w:val="21"/>
              </w:rPr>
              <w:t>1、付款方式：合同签订后，成交供应商向采购人开具保费合规发票，采购人在收到发票后按时一次性支付两年的保费；第一年保单到期前30日内，成交供应商及时完成续保，确保保险保障不中断。</w:t>
            </w:r>
          </w:p>
          <w:p w14:paraId="03857487" w14:textId="77777777" w:rsidR="00443045" w:rsidRDefault="00000000">
            <w:pPr>
              <w:pStyle w:val="null3"/>
              <w:ind w:firstLine="380"/>
              <w:jc w:val="both"/>
              <w:rPr>
                <w:rFonts w:hint="default"/>
              </w:rPr>
            </w:pPr>
            <w:r>
              <w:rPr>
                <w:rFonts w:ascii="仿宋_GB2312" w:eastAsia="仿宋_GB2312" w:hAnsi="仿宋_GB2312" w:cs="仿宋_GB2312"/>
                <w:sz w:val="21"/>
              </w:rPr>
              <w:t>2、服务期限：自合同签订之日起两年。</w:t>
            </w:r>
          </w:p>
          <w:p w14:paraId="31D41046" w14:textId="77777777" w:rsidR="00443045" w:rsidRDefault="00000000">
            <w:pPr>
              <w:pStyle w:val="null3"/>
              <w:ind w:firstLine="380"/>
              <w:jc w:val="both"/>
              <w:rPr>
                <w:rFonts w:hint="default"/>
              </w:rPr>
            </w:pPr>
            <w:r>
              <w:rPr>
                <w:rFonts w:ascii="仿宋_GB2312" w:eastAsia="仿宋_GB2312" w:hAnsi="仿宋_GB2312" w:cs="仿宋_GB2312"/>
                <w:sz w:val="21"/>
              </w:rPr>
              <w:t>3、在鄠邑区行政范围内，凡是发生野生动物肇事造成人身和财产损失的事故，均由承保保险公司承担赔偿责任。</w:t>
            </w:r>
          </w:p>
        </w:tc>
      </w:tr>
    </w:tbl>
    <w:p w14:paraId="04FDDF95" w14:textId="77777777" w:rsidR="00443045" w:rsidRDefault="00000000">
      <w:pPr>
        <w:pStyle w:val="null3"/>
        <w:outlineLvl w:val="2"/>
        <w:rPr>
          <w:rFonts w:hint="default"/>
        </w:rPr>
      </w:pPr>
      <w:r>
        <w:rPr>
          <w:rFonts w:ascii="仿宋_GB2312" w:eastAsia="仿宋_GB2312" w:hAnsi="仿宋_GB2312" w:cs="仿宋_GB2312"/>
          <w:b/>
          <w:sz w:val="28"/>
        </w:rPr>
        <w:lastRenderedPageBreak/>
        <w:t>3.2.3人员配置要求</w:t>
      </w:r>
    </w:p>
    <w:p w14:paraId="1A771A1E" w14:textId="77777777" w:rsidR="00443045" w:rsidRDefault="00000000">
      <w:pPr>
        <w:pStyle w:val="null3"/>
        <w:rPr>
          <w:rFonts w:hint="default"/>
        </w:rPr>
      </w:pPr>
      <w:r>
        <w:rPr>
          <w:rFonts w:ascii="仿宋_GB2312" w:eastAsia="仿宋_GB2312" w:hAnsi="仿宋_GB2312" w:cs="仿宋_GB2312"/>
        </w:rPr>
        <w:t>采购包1：</w:t>
      </w:r>
    </w:p>
    <w:p w14:paraId="6631B335" w14:textId="77777777" w:rsidR="00443045" w:rsidRDefault="00000000">
      <w:pPr>
        <w:pStyle w:val="null3"/>
        <w:rPr>
          <w:rFonts w:hint="default"/>
        </w:rPr>
      </w:pPr>
      <w:r>
        <w:rPr>
          <w:rFonts w:ascii="仿宋_GB2312" w:eastAsia="仿宋_GB2312" w:hAnsi="仿宋_GB2312" w:cs="仿宋_GB2312"/>
        </w:rPr>
        <w:t>/</w:t>
      </w:r>
    </w:p>
    <w:p w14:paraId="1BB4EEF1" w14:textId="77777777" w:rsidR="00443045" w:rsidRDefault="00000000">
      <w:pPr>
        <w:pStyle w:val="null3"/>
        <w:outlineLvl w:val="2"/>
        <w:rPr>
          <w:rFonts w:hint="default"/>
        </w:rPr>
      </w:pPr>
      <w:r>
        <w:rPr>
          <w:rFonts w:ascii="仿宋_GB2312" w:eastAsia="仿宋_GB2312" w:hAnsi="仿宋_GB2312" w:cs="仿宋_GB2312"/>
          <w:b/>
          <w:sz w:val="28"/>
        </w:rPr>
        <w:t>3.2.4设施设备要求</w:t>
      </w:r>
    </w:p>
    <w:p w14:paraId="073F629B" w14:textId="77777777" w:rsidR="00443045" w:rsidRDefault="00000000">
      <w:pPr>
        <w:pStyle w:val="null3"/>
        <w:rPr>
          <w:rFonts w:hint="default"/>
        </w:rPr>
      </w:pPr>
      <w:r>
        <w:rPr>
          <w:rFonts w:ascii="仿宋_GB2312" w:eastAsia="仿宋_GB2312" w:hAnsi="仿宋_GB2312" w:cs="仿宋_GB2312"/>
        </w:rPr>
        <w:lastRenderedPageBreak/>
        <w:t>采购包1：</w:t>
      </w:r>
    </w:p>
    <w:p w14:paraId="25B679A0" w14:textId="77777777" w:rsidR="00443045" w:rsidRDefault="00000000">
      <w:pPr>
        <w:pStyle w:val="null3"/>
        <w:rPr>
          <w:rFonts w:hint="default"/>
        </w:rPr>
      </w:pPr>
      <w:r>
        <w:rPr>
          <w:rFonts w:ascii="仿宋_GB2312" w:eastAsia="仿宋_GB2312" w:hAnsi="仿宋_GB2312" w:cs="仿宋_GB2312"/>
        </w:rPr>
        <w:t>/</w:t>
      </w:r>
    </w:p>
    <w:p w14:paraId="6464B422" w14:textId="77777777" w:rsidR="00443045" w:rsidRDefault="00000000">
      <w:pPr>
        <w:pStyle w:val="null3"/>
        <w:outlineLvl w:val="2"/>
        <w:rPr>
          <w:rFonts w:hint="default"/>
        </w:rPr>
      </w:pPr>
      <w:r>
        <w:rPr>
          <w:rFonts w:ascii="仿宋_GB2312" w:eastAsia="仿宋_GB2312" w:hAnsi="仿宋_GB2312" w:cs="仿宋_GB2312"/>
          <w:b/>
          <w:sz w:val="28"/>
        </w:rPr>
        <w:t>3.2.5其他要求</w:t>
      </w:r>
    </w:p>
    <w:p w14:paraId="065F615C" w14:textId="77777777" w:rsidR="00443045" w:rsidRDefault="00000000">
      <w:pPr>
        <w:pStyle w:val="null3"/>
        <w:rPr>
          <w:rFonts w:hint="default"/>
        </w:rPr>
      </w:pPr>
      <w:r>
        <w:rPr>
          <w:rFonts w:ascii="仿宋_GB2312" w:eastAsia="仿宋_GB2312" w:hAnsi="仿宋_GB2312" w:cs="仿宋_GB2312"/>
        </w:rPr>
        <w:t>采购包1：</w:t>
      </w:r>
    </w:p>
    <w:p w14:paraId="1426B435" w14:textId="77777777" w:rsidR="00443045" w:rsidRDefault="00000000">
      <w:pPr>
        <w:pStyle w:val="null3"/>
        <w:rPr>
          <w:rFonts w:hint="default"/>
        </w:rPr>
      </w:pPr>
      <w:r>
        <w:rPr>
          <w:rFonts w:ascii="仿宋_GB2312" w:eastAsia="仿宋_GB2312" w:hAnsi="仿宋_GB2312" w:cs="仿宋_GB2312"/>
        </w:rPr>
        <w:t>/</w:t>
      </w:r>
    </w:p>
    <w:p w14:paraId="2BDC080F" w14:textId="77777777" w:rsidR="00443045" w:rsidRDefault="00000000">
      <w:pPr>
        <w:pStyle w:val="null3"/>
        <w:outlineLvl w:val="2"/>
        <w:rPr>
          <w:rFonts w:hint="default"/>
        </w:rPr>
      </w:pPr>
      <w:r>
        <w:rPr>
          <w:rFonts w:ascii="仿宋_GB2312" w:eastAsia="仿宋_GB2312" w:hAnsi="仿宋_GB2312" w:cs="仿宋_GB2312"/>
          <w:b/>
          <w:sz w:val="28"/>
        </w:rPr>
        <w:t>3.3商务要求</w:t>
      </w:r>
    </w:p>
    <w:p w14:paraId="332DE0C5" w14:textId="77777777" w:rsidR="00443045" w:rsidRDefault="00000000">
      <w:pPr>
        <w:pStyle w:val="null3"/>
        <w:outlineLvl w:val="3"/>
        <w:rPr>
          <w:rFonts w:hint="default"/>
        </w:rPr>
      </w:pPr>
      <w:r>
        <w:rPr>
          <w:rFonts w:ascii="仿宋_GB2312" w:eastAsia="仿宋_GB2312" w:hAnsi="仿宋_GB2312" w:cs="仿宋_GB2312"/>
          <w:b/>
          <w:sz w:val="24"/>
        </w:rPr>
        <w:t>3.3.1服务期限</w:t>
      </w:r>
    </w:p>
    <w:p w14:paraId="0214BDB0" w14:textId="77777777" w:rsidR="00443045" w:rsidRDefault="00000000">
      <w:pPr>
        <w:pStyle w:val="null3"/>
        <w:rPr>
          <w:rFonts w:hint="default"/>
        </w:rPr>
      </w:pPr>
      <w:r>
        <w:rPr>
          <w:rFonts w:ascii="仿宋_GB2312" w:eastAsia="仿宋_GB2312" w:hAnsi="仿宋_GB2312" w:cs="仿宋_GB2312"/>
        </w:rPr>
        <w:t>采购包1：</w:t>
      </w:r>
    </w:p>
    <w:p w14:paraId="70BDAD6D" w14:textId="77777777" w:rsidR="00443045" w:rsidRDefault="00000000">
      <w:pPr>
        <w:pStyle w:val="null3"/>
        <w:rPr>
          <w:rFonts w:hint="default"/>
        </w:rPr>
      </w:pPr>
      <w:r>
        <w:rPr>
          <w:rFonts w:ascii="仿宋_GB2312" w:eastAsia="仿宋_GB2312" w:hAnsi="仿宋_GB2312" w:cs="仿宋_GB2312"/>
        </w:rPr>
        <w:t>自合同签订之日起两年</w:t>
      </w:r>
    </w:p>
    <w:p w14:paraId="37B31A0C" w14:textId="77777777" w:rsidR="00443045" w:rsidRDefault="00000000">
      <w:pPr>
        <w:pStyle w:val="null3"/>
        <w:outlineLvl w:val="3"/>
        <w:rPr>
          <w:rFonts w:hint="default"/>
        </w:rPr>
      </w:pPr>
      <w:r>
        <w:rPr>
          <w:rFonts w:ascii="仿宋_GB2312" w:eastAsia="仿宋_GB2312" w:hAnsi="仿宋_GB2312" w:cs="仿宋_GB2312"/>
          <w:b/>
          <w:sz w:val="24"/>
        </w:rPr>
        <w:t>3.3.2服务地点</w:t>
      </w:r>
    </w:p>
    <w:p w14:paraId="6CFB1B0B" w14:textId="77777777" w:rsidR="00443045" w:rsidRDefault="00000000">
      <w:pPr>
        <w:pStyle w:val="null3"/>
        <w:rPr>
          <w:rFonts w:hint="default"/>
        </w:rPr>
      </w:pPr>
      <w:r>
        <w:rPr>
          <w:rFonts w:ascii="仿宋_GB2312" w:eastAsia="仿宋_GB2312" w:hAnsi="仿宋_GB2312" w:cs="仿宋_GB2312"/>
        </w:rPr>
        <w:t>采购包1：</w:t>
      </w:r>
    </w:p>
    <w:p w14:paraId="78496948" w14:textId="77777777" w:rsidR="00443045" w:rsidRDefault="00000000">
      <w:pPr>
        <w:pStyle w:val="null3"/>
        <w:rPr>
          <w:rFonts w:hint="default"/>
        </w:rPr>
      </w:pPr>
      <w:r>
        <w:rPr>
          <w:rFonts w:ascii="仿宋_GB2312" w:eastAsia="仿宋_GB2312" w:hAnsi="仿宋_GB2312" w:cs="仿宋_GB2312"/>
        </w:rPr>
        <w:t>采购人指定地点</w:t>
      </w:r>
    </w:p>
    <w:p w14:paraId="3358EBC3" w14:textId="77777777" w:rsidR="00443045" w:rsidRDefault="00000000">
      <w:pPr>
        <w:pStyle w:val="null3"/>
        <w:outlineLvl w:val="3"/>
        <w:rPr>
          <w:rFonts w:hint="default"/>
        </w:rPr>
      </w:pPr>
      <w:r>
        <w:rPr>
          <w:rFonts w:ascii="仿宋_GB2312" w:eastAsia="仿宋_GB2312" w:hAnsi="仿宋_GB2312" w:cs="仿宋_GB2312"/>
          <w:b/>
          <w:sz w:val="24"/>
        </w:rPr>
        <w:t>3.3.3考核（验收）标准和方法</w:t>
      </w:r>
    </w:p>
    <w:p w14:paraId="75597460" w14:textId="77777777" w:rsidR="00443045" w:rsidRDefault="00000000">
      <w:pPr>
        <w:pStyle w:val="null3"/>
        <w:rPr>
          <w:rFonts w:hint="default"/>
        </w:rPr>
      </w:pPr>
      <w:r>
        <w:rPr>
          <w:rFonts w:ascii="仿宋_GB2312" w:eastAsia="仿宋_GB2312" w:hAnsi="仿宋_GB2312" w:cs="仿宋_GB2312"/>
        </w:rPr>
        <w:t>采购包1：</w:t>
      </w:r>
    </w:p>
    <w:p w14:paraId="03D26D3B" w14:textId="77777777" w:rsidR="00443045" w:rsidRDefault="00000000">
      <w:pPr>
        <w:pStyle w:val="null3"/>
        <w:rPr>
          <w:rFonts w:hint="default"/>
        </w:rPr>
      </w:pPr>
      <w:r>
        <w:rPr>
          <w:rFonts w:ascii="仿宋_GB2312" w:eastAsia="仿宋_GB2312" w:hAnsi="仿宋_GB2312" w:cs="仿宋_GB2312"/>
        </w:rPr>
        <w:t>详见合同文本。</w:t>
      </w:r>
    </w:p>
    <w:p w14:paraId="3AB528B5" w14:textId="77777777" w:rsidR="00443045" w:rsidRDefault="00000000">
      <w:pPr>
        <w:pStyle w:val="null3"/>
        <w:outlineLvl w:val="3"/>
        <w:rPr>
          <w:rFonts w:hint="default"/>
        </w:rPr>
      </w:pPr>
      <w:r>
        <w:rPr>
          <w:rFonts w:ascii="仿宋_GB2312" w:eastAsia="仿宋_GB2312" w:hAnsi="仿宋_GB2312" w:cs="仿宋_GB2312"/>
          <w:b/>
          <w:sz w:val="24"/>
        </w:rPr>
        <w:t>3.3.4支付方式</w:t>
      </w:r>
    </w:p>
    <w:p w14:paraId="52E76B0A" w14:textId="77777777" w:rsidR="00443045" w:rsidRDefault="00000000">
      <w:pPr>
        <w:pStyle w:val="null3"/>
        <w:rPr>
          <w:rFonts w:hint="default"/>
        </w:rPr>
      </w:pPr>
      <w:r>
        <w:rPr>
          <w:rFonts w:ascii="仿宋_GB2312" w:eastAsia="仿宋_GB2312" w:hAnsi="仿宋_GB2312" w:cs="仿宋_GB2312"/>
        </w:rPr>
        <w:t>采购包1：</w:t>
      </w:r>
    </w:p>
    <w:p w14:paraId="13023CD2" w14:textId="77777777" w:rsidR="00443045" w:rsidRDefault="00000000">
      <w:pPr>
        <w:pStyle w:val="null3"/>
        <w:rPr>
          <w:rFonts w:hint="default"/>
        </w:rPr>
      </w:pPr>
      <w:r>
        <w:rPr>
          <w:rFonts w:ascii="仿宋_GB2312" w:eastAsia="仿宋_GB2312" w:hAnsi="仿宋_GB2312" w:cs="仿宋_GB2312"/>
        </w:rPr>
        <w:t>一次付清</w:t>
      </w:r>
    </w:p>
    <w:p w14:paraId="57E40420" w14:textId="77777777" w:rsidR="00443045" w:rsidRDefault="00000000">
      <w:pPr>
        <w:pStyle w:val="null3"/>
        <w:outlineLvl w:val="3"/>
        <w:rPr>
          <w:rFonts w:hint="default"/>
        </w:rPr>
      </w:pPr>
      <w:r>
        <w:rPr>
          <w:rFonts w:ascii="仿宋_GB2312" w:eastAsia="仿宋_GB2312" w:hAnsi="仿宋_GB2312" w:cs="仿宋_GB2312"/>
          <w:b/>
          <w:sz w:val="24"/>
        </w:rPr>
        <w:t>3.3.5支付约定</w:t>
      </w:r>
    </w:p>
    <w:p w14:paraId="617F3689" w14:textId="77777777" w:rsidR="00443045" w:rsidRDefault="00000000">
      <w:pPr>
        <w:pStyle w:val="null3"/>
        <w:rPr>
          <w:rFonts w:hint="default"/>
        </w:rPr>
      </w:pPr>
      <w:r>
        <w:rPr>
          <w:rFonts w:ascii="仿宋_GB2312" w:eastAsia="仿宋_GB2312" w:hAnsi="仿宋_GB2312" w:cs="仿宋_GB2312"/>
        </w:rPr>
        <w:t>采购包1： 付款条件说明： 合同签订后，成交供应商向采购人开具保费合规发票，采购人在收到发票后 ，达到付款条件起 30 日内，支付合同总金额的 100.00%。</w:t>
      </w:r>
    </w:p>
    <w:p w14:paraId="685C09B9" w14:textId="77777777" w:rsidR="00443045" w:rsidRDefault="00000000">
      <w:pPr>
        <w:pStyle w:val="null3"/>
        <w:outlineLvl w:val="3"/>
        <w:rPr>
          <w:rFonts w:hint="default"/>
        </w:rPr>
      </w:pPr>
      <w:r>
        <w:rPr>
          <w:rFonts w:ascii="仿宋_GB2312" w:eastAsia="仿宋_GB2312" w:hAnsi="仿宋_GB2312" w:cs="仿宋_GB2312"/>
          <w:b/>
          <w:sz w:val="24"/>
        </w:rPr>
        <w:t>3.3.6违约责任及解决争议的方法</w:t>
      </w:r>
    </w:p>
    <w:p w14:paraId="2DEDE3E3" w14:textId="77777777" w:rsidR="00443045" w:rsidRDefault="00000000">
      <w:pPr>
        <w:pStyle w:val="null3"/>
        <w:rPr>
          <w:rFonts w:hint="default"/>
        </w:rPr>
      </w:pPr>
      <w:r>
        <w:rPr>
          <w:rFonts w:ascii="仿宋_GB2312" w:eastAsia="仿宋_GB2312" w:hAnsi="仿宋_GB2312" w:cs="仿宋_GB2312"/>
        </w:rPr>
        <w:t>采购包1：</w:t>
      </w:r>
    </w:p>
    <w:p w14:paraId="1A4C419A" w14:textId="77777777" w:rsidR="00443045" w:rsidRDefault="00000000">
      <w:pPr>
        <w:pStyle w:val="null3"/>
        <w:rPr>
          <w:rFonts w:hint="default"/>
        </w:rPr>
      </w:pPr>
      <w:r>
        <w:rPr>
          <w:rFonts w:ascii="仿宋_GB2312" w:eastAsia="仿宋_GB2312" w:hAnsi="仿宋_GB2312" w:cs="仿宋_GB2312"/>
        </w:rPr>
        <w:t>详见合同文本。</w:t>
      </w:r>
    </w:p>
    <w:p w14:paraId="7A7D6504" w14:textId="77777777" w:rsidR="00443045" w:rsidRDefault="00000000">
      <w:pPr>
        <w:pStyle w:val="null3"/>
        <w:outlineLvl w:val="2"/>
        <w:rPr>
          <w:rFonts w:hint="default"/>
        </w:rPr>
      </w:pPr>
      <w:r>
        <w:rPr>
          <w:rFonts w:ascii="仿宋_GB2312" w:eastAsia="仿宋_GB2312" w:hAnsi="仿宋_GB2312" w:cs="仿宋_GB2312"/>
          <w:b/>
          <w:sz w:val="28"/>
        </w:rPr>
        <w:t>3.4其他要求</w:t>
      </w:r>
    </w:p>
    <w:p w14:paraId="379953DF" w14:textId="77777777" w:rsidR="00443045" w:rsidRDefault="00000000">
      <w:pPr>
        <w:pStyle w:val="null3"/>
        <w:rPr>
          <w:rFonts w:hint="default"/>
        </w:rPr>
      </w:pPr>
      <w:r>
        <w:rPr>
          <w:rFonts w:ascii="仿宋_GB2312" w:eastAsia="仿宋_GB2312" w:hAnsi="仿宋_GB2312" w:cs="仿宋_GB2312"/>
        </w:rPr>
        <w:t>参与本项目采购的供应商应通过陕西省政府采购综合管理平台的项目电子化交易系统在线实施响应、磋商、报价等操作，磋商响应时无需供应商现场提供纸质响应文件，但在中标（成交）后中标（成交）供应商需在2个工作日内提供纸质响应文件正本一套、副本一套（电子版文件一份含完整的电子文件PDF版本），纸质响应文件应通过专用制作软件直接打印，确保与项目电子化交易系统中的电子响应文件保持一致，不允许修改和补充。递交文件地点：陕西省西安市曲江新区旺座曲江 B 座 3105。</w:t>
      </w:r>
    </w:p>
    <w:p w14:paraId="3337A3D0" w14:textId="5B599FF5" w:rsidR="00443045" w:rsidRDefault="00000000">
      <w:pPr>
        <w:pStyle w:val="null3"/>
        <w:rPr>
          <w:lang w:eastAsia="zh-CN"/>
        </w:rPr>
      </w:pPr>
      <w:r>
        <w:rPr>
          <w:rFonts w:ascii="仿宋_GB2312" w:eastAsia="仿宋_GB2312" w:hAnsi="仿宋_GB2312" w:cs="仿宋_GB2312"/>
        </w:rPr>
        <w:t xml:space="preserve"> </w:t>
      </w:r>
      <w:r>
        <w:rPr>
          <w:rFonts w:ascii="仿宋_GB2312" w:eastAsia="仿宋_GB2312" w:hAnsi="仿宋_GB2312" w:cs="仿宋_GB2312"/>
        </w:rPr>
        <w:br/>
      </w:r>
    </w:p>
    <w:sectPr w:rsidR="004430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3B52B8D"/>
    <w:rsid w:val="00443045"/>
    <w:rsid w:val="00CB6848"/>
    <w:rsid w:val="00DE67A0"/>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519AB"/>
  <w15:docId w15:val="{54267124-9808-4349-8A26-2778DD6C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1524</Words>
  <Characters>1585</Characters>
  <Application>Microsoft Office Word</Application>
  <DocSecurity>0</DocSecurity>
  <Lines>99</Lines>
  <Paragraphs>86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陕西省政府采购综合管理平台</dc:creator>
  <cp:lastModifiedBy>Payne</cp:lastModifiedBy>
  <cp:revision>2</cp:revision>
  <dcterms:created xsi:type="dcterms:W3CDTF">2026-05-07T07:00:00Z</dcterms:created>
  <dcterms:modified xsi:type="dcterms:W3CDTF">2026-05-07T07:00:00Z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