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  <w:highlight w:val="none"/>
        </w:rPr>
        <w:t>采购项目概况</w:t>
      </w:r>
      <w:bookmarkStart w:id="1" w:name="_GoBack"/>
      <w:bookmarkEnd w:id="1"/>
    </w:p>
    <w:p>
      <w:pPr>
        <w:pStyle w:val="4"/>
        <w:ind w:firstLine="720" w:firstLineChars="300"/>
        <w:outlineLvl w:val="2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为推进全流程无纸化办案，实现电子卷宗随案同步生成，拟通过外包服务方式，配备20名专业人员，配套软硬件设备，完成纸质材料扫描、智能编目、归目挂载、质检装订等全流程工作，确保电子卷宗与纸质卷宗一致、随案生成、高效流转</w:t>
      </w:r>
    </w:p>
    <w:p>
      <w:pPr>
        <w:pStyle w:val="4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  <w:rPr>
          <w:rFonts w:hint="default"/>
        </w:rPr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  <w:rPr>
          <w:rFonts w:hint="default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1,872,900.00</w:t>
      </w:r>
    </w:p>
    <w:p>
      <w:pPr>
        <w:pStyle w:val="4"/>
        <w:rPr>
          <w:rFonts w:hint="default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1,872,900.00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83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电子卷宗随案同步生成服务</w:t>
            </w:r>
          </w:p>
        </w:tc>
        <w:tc>
          <w:tcPr>
            <w:tcW w:w="831" w:type="dxa"/>
          </w:tcPr>
          <w:p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  <w:rPr>
                <w:rFonts w:hint="default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1,872,900.00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pPr>
        <w:pStyle w:val="4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3.2.2</w:t>
      </w:r>
      <w:r>
        <w:rPr>
          <w:rFonts w:ascii="仿宋_GB2312" w:hAnsi="仿宋_GB2312" w:eastAsia="仿宋_GB2312" w:cs="仿宋_GB2312"/>
          <w:b/>
          <w:sz w:val="28"/>
          <w:highlight w:val="none"/>
        </w:rPr>
        <w:t>服务要求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  <w:rPr>
          <w:rFonts w:hint="default" w:eastAsia="仿宋_GB2312"/>
          <w:lang w:eastAsia="zh-CN"/>
        </w:rPr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  <w:lang w:eastAsia="zh-CN"/>
        </w:rPr>
        <w:t>电子卷宗随案同步生成服务</w:t>
      </w:r>
    </w:p>
    <w:tbl>
      <w:tblPr>
        <w:tblStyle w:val="2"/>
        <w:tblW w:w="83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465"/>
        <w:gridCol w:w="729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49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465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7293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465" w:type="dxa"/>
          </w:tcPr>
          <w:p/>
        </w:tc>
        <w:tc>
          <w:tcPr>
            <w:tcW w:w="7293" w:type="dxa"/>
          </w:tcPr>
          <w:p>
            <w:pPr>
              <w:pStyle w:val="4"/>
              <w:numPr>
                <w:ilvl w:val="0"/>
                <w:numId w:val="1"/>
              </w:numPr>
              <w:ind w:left="480" w:firstLine="0"/>
              <w:jc w:val="both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服务内容</w:t>
            </w:r>
          </w:p>
          <w:tbl>
            <w:tblPr>
              <w:tblStyle w:val="2"/>
              <w:tblW w:w="6840" w:type="dxa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0"/>
              <w:gridCol w:w="1547"/>
              <w:gridCol w:w="3129"/>
              <w:gridCol w:w="818"/>
              <w:gridCol w:w="766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</w:trPr>
              <w:tc>
                <w:tcPr>
                  <w:tcW w:w="5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序号</w:t>
                  </w:r>
                </w:p>
              </w:tc>
              <w:tc>
                <w:tcPr>
                  <w:tcW w:w="154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类别</w:t>
                  </w:r>
                </w:p>
              </w:tc>
              <w:tc>
                <w:tcPr>
                  <w:tcW w:w="31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标的物名称</w:t>
                  </w: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单位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0" w:hRule="atLeast"/>
              </w:trPr>
              <w:tc>
                <w:tcPr>
                  <w:tcW w:w="5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司法事务辅助综合服务</w:t>
                  </w: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包含司法事务辅助人员服务、司法事务辅助服务、软硬件使用服务、培训服务。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人/年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1547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bookmarkStart w:id="0" w:name="OLE_LINK25"/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司法事务辅助综合服务配套的软硬件设备服务</w:t>
                  </w:r>
                  <w:bookmarkEnd w:id="0"/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智能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立案材料收转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服务终端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台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1" w:hRule="atLeast"/>
              </w:trPr>
              <w:tc>
                <w:tcPr>
                  <w:tcW w:w="5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eastAsia" w:ascii="楷体" w:hAnsi="楷体" w:eastAsia="楷体"/>
                      <w:sz w:val="24"/>
                    </w:rPr>
                  </w:pPr>
                </w:p>
              </w:tc>
              <w:tc>
                <w:tcPr>
                  <w:tcW w:w="1547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eastAsia" w:ascii="楷体" w:hAnsi="楷体" w:eastAsia="楷体"/>
                      <w:sz w:val="24"/>
                    </w:rPr>
                  </w:pPr>
                </w:p>
              </w:tc>
              <w:tc>
                <w:tcPr>
                  <w:tcW w:w="31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  <w:lang w:eastAsia="zh-CN"/>
                    </w:rPr>
                    <w:t>智能材料</w:t>
                  </w: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辅助系统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套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1</w:t>
                  </w:r>
                </w:p>
              </w:tc>
            </w:tr>
          </w:tbl>
          <w:p>
            <w:pPr>
              <w:pStyle w:val="4"/>
              <w:numPr>
                <w:ilvl w:val="0"/>
                <w:numId w:val="1"/>
              </w:numPr>
              <w:ind w:left="480" w:firstLine="0"/>
              <w:jc w:val="both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服务要求</w:t>
            </w:r>
          </w:p>
          <w:tbl>
            <w:tblPr>
              <w:tblStyle w:val="2"/>
              <w:tblW w:w="6742" w:type="dxa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1"/>
              <w:gridCol w:w="686"/>
              <w:gridCol w:w="1195"/>
              <w:gridCol w:w="4290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序号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类别</w:t>
                  </w:r>
                </w:p>
              </w:tc>
              <w:tc>
                <w:tcPr>
                  <w:tcW w:w="11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b/>
                      <w:sz w:val="24"/>
                      <w:szCs w:val="22"/>
                    </w:rPr>
                    <w:t>标的物名称</w:t>
                  </w:r>
                </w:p>
              </w:tc>
              <w:tc>
                <w:tcPr>
                  <w:tcW w:w="429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规格参数及相关要求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0" w:hRule="atLeast"/>
              </w:trPr>
              <w:tc>
                <w:tcPr>
                  <w:tcW w:w="5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司法事务辅助综合服务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司法事务辅助综合服务</w:t>
                  </w:r>
                </w:p>
              </w:tc>
              <w:tc>
                <w:tcPr>
                  <w:tcW w:w="42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1. 司法事务辅助综合服务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1.1司法事务辅助人员服务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现场配备20人提供司法事务辅助服务。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1.2司法事务辅助服务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1、电子卷宗随案生成服务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岗位职责：驻点人员对每一个案件卷宗材料(含立案、审理、执行各阶段)随收随扫，结案时纸质卷宗与电子卷宗同步生成，实现案件审理执行过程的全程留痕和科学管理。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（1）工作内容: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①接收、登记案件从立案阶段到归档阶段产生的相关材料；并随案同步生成可利用电子卷宗内容。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②提供纸质卷宗材料中间柜保管、借阅、归档全流程管理服务。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③提供结案后卷宗归档服务，核对、整理案件审判过程中产生的所有电子卷宗材料以及纸质卷宗材料。进行封面打印、卷宗装订后，归档交付档案室工作人员。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（2）工作要求: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①服务过程中需要保证纸质材料原件的完整性不得损坏、缺失。电子卷宗材料图像内容完整、清晰。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②材料交接必须进行严格的清点、登记，经手人签字，全过程留痕，便于追溯。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③需对接触到的材料内容严格保密，不得泄露。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（3）人员要求: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①辅助服务人员需熟悉保密法规与制度，遵守项目场所管理规定，具备严谨的工作态度。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②辅助服务人员需在项目开始前进行相关保密培训。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2、卷宗服务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（1）材料交接登记：提供对接收的纸质材料逐个进行交接登记，记录交接事项、人员对象、材料内容等；包括材料首次入库、过程补充、借阅与归还。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（2）材料在库保管：对案件办理过程中所涉及的纸质案卷进行统一保管，通过后台管理系统进行对应出库、入库的管理，提供包括但不限于【卷宗借阅】、【借阅催还】、【借阅归还】和【卷宗归档】服务。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3）日常运维：负责对智能中间柜系统的软件和硬件突发事件的运维处理，如系统断电、网络通讯、库房数据运维等问题；同时提供阶段性数据（如在库、出库、操作流转等）的校验复核和对外提供管理数据的统计分析，确保系统数据的准确性与一致性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1.3软硬件使用服务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1、定期巡查：相关硬件设施的维护检查，软件系统运行扫描与检测，如有安全性问题可通过升级服务，及时解决安全隐患；对巡检记录进行登记，并对巡检进行测评和提出相关的合理性建议。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2、设备硬件维修：可为用户提供硬件部品的备件更换和维修服务，快速解决使用过程出现的问题，做好应有的服务保障。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3、应急服务：如设备出现软硬件故障时，一般问题提供2小时内电话支持。难点、重点问题，如需现场排查的，提供2天内现场技术服务。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1.4培训服务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1、培训方案编制：需明确并编制适应本项目特点的培训方案。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2、对系统的基本知识、管理制度进行培训。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3、对系统中相关标准（主要部分）培训，如系统的概述、管理法律、法规等。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4、系统结构及原理：讲解系统及设备的构造与主要设备的操作与日常维护，对常见的故障进行分析和处理。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5、培训达成目标：能够拥有独立、熟练地进行系统平台软件操作与终端应用系统的操作使用、设备常见故障的排除和日常维护工作的能力，使得该系统能够得到正确的应用和良好的维护，保证整个平台系统可以得到安全可信、稳定的运行。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0" w:hRule="atLeast"/>
              </w:trPr>
              <w:tc>
                <w:tcPr>
                  <w:tcW w:w="57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司法事务辅助综合服务配套的软硬件设备服务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智能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立案材料收转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服务终端</w:t>
                  </w:r>
                </w:p>
              </w:tc>
              <w:tc>
                <w:tcPr>
                  <w:tcW w:w="42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【配置要求】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1、功能主机：CPU：国产八核，内存≥8G；触控屏：尺寸≥13.3英寸，电容式触控，支持多点触控；分辨率：≥1920*1080；接口：至少包含1个RJ45千兆网口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2、AI算力模组：CPU：国产4核，内存≥4G；内置独立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NPU，具有1TOPS AI算力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；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3、采集组件：馈纸式；扫描速度：50ppm/100ipm；扫描幅面：最大支持A4幅面；扫描模式：支持单面、双面扫描模式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4、回执组件：打印方式：热敏行式打印；纸张类型:热敏纸/热敏标签纸；纸张宽度:20~58mm(可调节)；打印速度：≥100mm/s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5、读卡模组：接口方式：USB；读卡类别：二代身份证/ IC卡；读卡距离：0-3cm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6、摄像头：分辨率：≥1920*1080；帧率：≥30帧/秒 （1080P）；焦距：2cm-无穷远；接口支持：USB2.0及以上接口；电源：DC 5V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7、输入组件：配备紧凑型键盘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8、尺寸：≥433mmx392mmx398mm（长×宽×高）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b/>
                      <w:bCs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b/>
                      <w:bCs/>
                      <w:sz w:val="24"/>
                      <w:szCs w:val="22"/>
                    </w:rPr>
                    <w:t>【功能要求】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（1）支持智能立案功能：根据标准化立案流程设定，采用分步式引导操作，支持当事人自主完成立案申请，简单易懂；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（2）支持高清扫描功能：可实现立案材料高清扫描，支持单面、双面扫描模式，扫描完成后可预览；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（3）支持电子签名功能：支持手机扫码登录，配合手机端完成电子签名操作，签名信息可同步保存至系统；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（4）支持智能识别上传功能：无需人工干预，按人民法院电子档案规范智能识别并分类管理电子材料，直接同步上传至人民法院在线服务网系统；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（5）支持历史立案功能：支持用户查看历史立案信息、查询审核情况，可按立案时间、案件类型、案件名称、进展阶段等条件筛选查询。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3" w:hRule="atLeast"/>
              </w:trPr>
              <w:tc>
                <w:tcPr>
                  <w:tcW w:w="57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eastAsia" w:ascii="楷体" w:hAnsi="楷体" w:eastAsia="楷体"/>
                      <w:sz w:val="24"/>
                    </w:rPr>
                  </w:pPr>
                </w:p>
              </w:tc>
              <w:tc>
                <w:tcPr>
                  <w:tcW w:w="68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eastAsia" w:ascii="楷体" w:hAnsi="楷体" w:eastAsia="楷体"/>
                      <w:sz w:val="24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 w:cs="仿宋_GB2312"/>
                      <w:sz w:val="24"/>
                      <w:szCs w:val="22"/>
                      <w:lang w:eastAsia="zh-CN"/>
                    </w:rPr>
                    <w:t>智能材料</w:t>
                  </w:r>
                  <w:r>
                    <w:rPr>
                      <w:rFonts w:ascii="楷体" w:hAnsi="楷体" w:eastAsia="楷体" w:cs="仿宋_GB2312"/>
                      <w:sz w:val="24"/>
                      <w:szCs w:val="22"/>
                    </w:rPr>
                    <w:t>辅助系统</w:t>
                  </w:r>
                </w:p>
              </w:tc>
              <w:tc>
                <w:tcPr>
                  <w:tcW w:w="42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支持案件卷宗材料批量上传、智能识别归类、自动阅卷分析案情、用户指导意见标签式录入、个人知识库创建与引用等，辅助用户快速撰写相关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材料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（1）需具备单个/批量文件上传能力，支持word、pdf、txt等常见文件类型。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（2）具备需根据用户上传的案件卷宗材料，自动完成案情解析，并根据解析结果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整理材料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（3）需支持用户输入指导意见，用户可输入适用法条等指导意见，从而提高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材料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生成质量。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（4）需支持将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材料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初稿以word格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式下载至本地电脑，下载的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材料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需支持在末尾附相关法条具体内容。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（</w:t>
                  </w:r>
                  <w:r>
                    <w:rPr>
                      <w:rFonts w:ascii="楷体" w:hAnsi="楷体" w:eastAsia="楷体"/>
                      <w:sz w:val="24"/>
                      <w:szCs w:val="22"/>
                      <w:lang w:eastAsia="zh-CN"/>
                    </w:rPr>
                    <w:t>5</w:t>
                  </w:r>
                  <w:r>
                    <w:rPr>
                      <w:rFonts w:ascii="楷体" w:hAnsi="楷体" w:eastAsia="楷体"/>
                      <w:sz w:val="24"/>
                      <w:szCs w:val="22"/>
                    </w:rPr>
                    <w:t>）需提供历史会话功能，方便用户随时查看写作历史记录。</w:t>
                  </w:r>
                </w:p>
                <w:p>
                  <w:pPr>
                    <w:pStyle w:val="4"/>
                    <w:rPr>
                      <w:rFonts w:ascii="楷体" w:hAnsi="楷体" w:eastAsia="楷体"/>
                      <w:sz w:val="24"/>
                      <w:szCs w:val="22"/>
                    </w:rPr>
                  </w:pPr>
                </w:p>
              </w:tc>
            </w:tr>
          </w:tbl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F53B9"/>
    <w:multiLevelType w:val="singleLevel"/>
    <w:tmpl w:val="86AF53B9"/>
    <w:lvl w:ilvl="0" w:tentative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A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pPr>
      <w:spacing w:after="160" w:line="278" w:lineRule="auto"/>
    </w:pPr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2026-05-07T08:47:18Z</dcterms:created>
  <dc:creator>Administrator</dc:creator>
  <cp:lastModifiedBy>Administrator</cp:lastModifiedBy>
  <dcterms:modified xsi:type="dcterms:W3CDTF">2026-05-07T08:47:34Z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