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592929">
      <w:pPr>
        <w:widowControl/>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b/>
          <w:sz w:val="32"/>
          <w:szCs w:val="32"/>
        </w:rPr>
        <w:t>政府采购需求书</w:t>
      </w:r>
    </w:p>
    <w:tbl>
      <w:tblPr>
        <w:tblStyle w:val="9"/>
        <w:tblW w:w="93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689"/>
        <w:gridCol w:w="1556"/>
        <w:gridCol w:w="7067"/>
      </w:tblGrid>
      <w:tr w14:paraId="272FB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89" w:type="dxa"/>
            <w:vAlign w:val="center"/>
          </w:tcPr>
          <w:p w14:paraId="240EB7F2">
            <w:pPr>
              <w:snapToGrid w:val="0"/>
              <w:jc w:val="center"/>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8"/>
                <w:szCs w:val="28"/>
                <w:lang w:val="zh-CN"/>
              </w:rPr>
              <w:t>序号</w:t>
            </w:r>
          </w:p>
        </w:tc>
        <w:tc>
          <w:tcPr>
            <w:tcW w:w="1556" w:type="dxa"/>
            <w:vAlign w:val="center"/>
          </w:tcPr>
          <w:p w14:paraId="4E1D8731">
            <w:pPr>
              <w:pStyle w:val="33"/>
              <w:ind w:left="38"/>
              <w:jc w:val="center"/>
              <w:rPr>
                <w:rFonts w:hint="eastAsia" w:asciiTheme="minorEastAsia" w:hAnsiTheme="minorEastAsia" w:eastAsiaTheme="minorEastAsia" w:cstheme="minorEastAsia"/>
                <w:b/>
                <w:kern w:val="2"/>
                <w:lang w:val="zh-CN"/>
              </w:rPr>
            </w:pPr>
            <w:r>
              <w:rPr>
                <w:rFonts w:hint="eastAsia" w:asciiTheme="minorEastAsia" w:hAnsiTheme="minorEastAsia" w:eastAsiaTheme="minorEastAsia" w:cstheme="minorEastAsia"/>
                <w:b/>
                <w:kern w:val="2"/>
                <w:sz w:val="28"/>
                <w:szCs w:val="28"/>
                <w:lang w:val="zh-CN"/>
              </w:rPr>
              <w:t>关键事项</w:t>
            </w:r>
          </w:p>
        </w:tc>
        <w:tc>
          <w:tcPr>
            <w:tcW w:w="7067" w:type="dxa"/>
            <w:vAlign w:val="center"/>
          </w:tcPr>
          <w:p w14:paraId="017E6725">
            <w:pPr>
              <w:pStyle w:val="33"/>
              <w:jc w:val="center"/>
              <w:rPr>
                <w:rFonts w:hint="eastAsia" w:asciiTheme="minorEastAsia" w:hAnsiTheme="minorEastAsia" w:eastAsiaTheme="minorEastAsia" w:cstheme="minorEastAsia"/>
                <w:b/>
                <w:kern w:val="2"/>
                <w:lang w:val="zh-CN"/>
              </w:rPr>
            </w:pPr>
            <w:r>
              <w:rPr>
                <w:rFonts w:hint="eastAsia" w:asciiTheme="minorEastAsia" w:hAnsiTheme="minorEastAsia" w:eastAsiaTheme="minorEastAsia" w:cstheme="minorEastAsia"/>
                <w:b/>
                <w:kern w:val="2"/>
                <w:sz w:val="28"/>
                <w:szCs w:val="28"/>
                <w:lang w:val="zh-CN"/>
              </w:rPr>
              <w:t>说明和要求</w:t>
            </w:r>
          </w:p>
        </w:tc>
      </w:tr>
      <w:tr w14:paraId="00706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89" w:type="dxa"/>
            <w:vAlign w:val="center"/>
          </w:tcPr>
          <w:p w14:paraId="7508D010">
            <w:pPr>
              <w:snapToGrid w:val="0"/>
              <w:spacing w:after="200"/>
              <w:jc w:val="center"/>
              <w:rPr>
                <w:rFonts w:hint="eastAsia"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zh-CN"/>
              </w:rPr>
              <w:t>1</w:t>
            </w:r>
          </w:p>
        </w:tc>
        <w:tc>
          <w:tcPr>
            <w:tcW w:w="1556" w:type="dxa"/>
            <w:vAlign w:val="center"/>
          </w:tcPr>
          <w:p w14:paraId="0E4B9398">
            <w:pPr>
              <w:pStyle w:val="33"/>
              <w:ind w:left="38"/>
              <w:jc w:val="center"/>
              <w:rPr>
                <w:rFonts w:hint="eastAsia" w:asciiTheme="minorEastAsia" w:hAnsiTheme="minorEastAsia" w:eastAsiaTheme="minorEastAsia" w:cstheme="minorEastAsia"/>
                <w:kern w:val="2"/>
                <w:lang w:val="zh-CN"/>
              </w:rPr>
            </w:pPr>
            <w:r>
              <w:rPr>
                <w:rFonts w:hint="eastAsia" w:asciiTheme="minorEastAsia" w:hAnsiTheme="minorEastAsia" w:eastAsiaTheme="minorEastAsia" w:cstheme="minorEastAsia"/>
                <w:kern w:val="2"/>
                <w:lang w:val="zh-CN"/>
              </w:rPr>
              <w:t>采购预算</w:t>
            </w:r>
          </w:p>
        </w:tc>
        <w:tc>
          <w:tcPr>
            <w:tcW w:w="7067" w:type="dxa"/>
            <w:vAlign w:val="center"/>
          </w:tcPr>
          <w:p w14:paraId="71A54CD7">
            <w:pPr>
              <w:pStyle w:val="33"/>
              <w:jc w:val="both"/>
              <w:rPr>
                <w:rFonts w:hint="eastAsia" w:asciiTheme="minorEastAsia" w:hAnsiTheme="minorEastAsia" w:eastAsiaTheme="minorEastAsia" w:cstheme="minorEastAsia"/>
                <w:b/>
                <w:kern w:val="2"/>
                <w:lang w:val="zh-CN"/>
              </w:rPr>
            </w:pPr>
            <w:r>
              <w:rPr>
                <w:rFonts w:hint="eastAsia" w:asciiTheme="minorEastAsia" w:hAnsiTheme="minorEastAsia" w:eastAsiaTheme="minorEastAsia" w:cstheme="minorEastAsia"/>
                <w:b/>
                <w:kern w:val="2"/>
                <w:lang w:val="zh-CN"/>
              </w:rPr>
              <w:t>人民币</w:t>
            </w:r>
            <w:r>
              <w:rPr>
                <w:rFonts w:hint="eastAsia" w:asciiTheme="minorEastAsia" w:hAnsiTheme="minorEastAsia" w:eastAsiaTheme="minorEastAsia" w:cstheme="minorEastAsia"/>
                <w:b/>
                <w:kern w:val="2"/>
                <w:u w:val="single"/>
              </w:rPr>
              <w:t>150000.00</w:t>
            </w:r>
            <w:r>
              <w:rPr>
                <w:rFonts w:hint="eastAsia" w:asciiTheme="minorEastAsia" w:hAnsiTheme="minorEastAsia" w:eastAsiaTheme="minorEastAsia" w:cstheme="minorEastAsia"/>
                <w:b/>
                <w:kern w:val="2"/>
                <w:lang w:val="zh-CN"/>
              </w:rPr>
              <w:t>元</w:t>
            </w:r>
          </w:p>
          <w:p w14:paraId="3C388181">
            <w:pPr>
              <w:pStyle w:val="33"/>
              <w:jc w:val="both"/>
              <w:rPr>
                <w:rFonts w:hint="eastAsia" w:asciiTheme="minorEastAsia" w:hAnsiTheme="minorEastAsia" w:eastAsiaTheme="minorEastAsia" w:cstheme="minorEastAsia"/>
                <w:b/>
                <w:kern w:val="2"/>
                <w:lang w:val="zh-CN"/>
              </w:rPr>
            </w:pPr>
            <w:r>
              <w:rPr>
                <w:rFonts w:hint="eastAsia" w:asciiTheme="minorEastAsia" w:hAnsiTheme="minorEastAsia" w:eastAsiaTheme="minorEastAsia" w:cstheme="minorEastAsia"/>
                <w:kern w:val="2"/>
                <w:sz w:val="21"/>
                <w:szCs w:val="21"/>
                <w:lang w:val="zh-CN"/>
              </w:rPr>
              <w:t>仅指与本次采购标的直接相关的费用，前期勘察费、设计费等已发生的费用，以及监理费、接口费等为未来预留费用，不应当包含在本项目采购预算内，甲方须向本级财政部门经费业务处室申请办理经费剥离手续。</w:t>
            </w:r>
          </w:p>
        </w:tc>
      </w:tr>
      <w:tr w14:paraId="5DF4F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89" w:type="dxa"/>
            <w:vAlign w:val="center"/>
          </w:tcPr>
          <w:p w14:paraId="2C07E7AF">
            <w:pPr>
              <w:snapToGrid w:val="0"/>
              <w:spacing w:after="200"/>
              <w:jc w:val="center"/>
              <w:rPr>
                <w:rFonts w:hint="eastAsia"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zh-CN"/>
              </w:rPr>
              <w:t>2</w:t>
            </w:r>
          </w:p>
        </w:tc>
        <w:tc>
          <w:tcPr>
            <w:tcW w:w="1556" w:type="dxa"/>
            <w:vAlign w:val="center"/>
          </w:tcPr>
          <w:p w14:paraId="545B050D">
            <w:pPr>
              <w:pStyle w:val="33"/>
              <w:ind w:left="38"/>
              <w:jc w:val="center"/>
              <w:rPr>
                <w:rFonts w:hint="eastAsia" w:asciiTheme="minorEastAsia" w:hAnsiTheme="minorEastAsia" w:eastAsiaTheme="minorEastAsia" w:cstheme="minorEastAsia"/>
                <w:kern w:val="2"/>
                <w:lang w:val="zh-CN"/>
              </w:rPr>
            </w:pPr>
            <w:r>
              <w:rPr>
                <w:rFonts w:hint="eastAsia" w:asciiTheme="minorEastAsia" w:hAnsiTheme="minorEastAsia" w:eastAsiaTheme="minorEastAsia" w:cstheme="minorEastAsia"/>
                <w:kern w:val="2"/>
                <w:lang w:val="zh-CN"/>
              </w:rPr>
              <w:t>最高限价</w:t>
            </w:r>
          </w:p>
        </w:tc>
        <w:tc>
          <w:tcPr>
            <w:tcW w:w="7067" w:type="dxa"/>
            <w:vAlign w:val="center"/>
          </w:tcPr>
          <w:p w14:paraId="09B7F7ED">
            <w:pPr>
              <w:pStyle w:val="33"/>
              <w:jc w:val="both"/>
              <w:rPr>
                <w:rFonts w:hint="eastAsia" w:asciiTheme="minorEastAsia" w:hAnsiTheme="minorEastAsia" w:eastAsiaTheme="minorEastAsia" w:cstheme="minorEastAsia"/>
                <w:b/>
                <w:kern w:val="2"/>
                <w:lang w:val="zh-CN"/>
              </w:rPr>
            </w:pPr>
            <w:r>
              <w:rPr>
                <w:rFonts w:hint="eastAsia" w:asciiTheme="minorEastAsia" w:hAnsiTheme="minorEastAsia" w:eastAsiaTheme="minorEastAsia" w:cstheme="minorEastAsia"/>
                <w:b/>
                <w:kern w:val="2"/>
                <w:lang w:val="zh-CN"/>
              </w:rPr>
              <w:t>人民币</w:t>
            </w:r>
            <w:r>
              <w:rPr>
                <w:rFonts w:hint="eastAsia" w:asciiTheme="minorEastAsia" w:hAnsiTheme="minorEastAsia" w:eastAsiaTheme="minorEastAsia" w:cstheme="minorEastAsia"/>
                <w:b/>
                <w:kern w:val="2"/>
                <w:u w:val="single"/>
              </w:rPr>
              <w:t>150000.00</w:t>
            </w:r>
            <w:r>
              <w:rPr>
                <w:rFonts w:hint="eastAsia" w:asciiTheme="minorEastAsia" w:hAnsiTheme="minorEastAsia" w:eastAsiaTheme="minorEastAsia" w:cstheme="minorEastAsia"/>
                <w:b/>
                <w:kern w:val="2"/>
                <w:lang w:val="zh-CN"/>
              </w:rPr>
              <w:t>元</w:t>
            </w:r>
          </w:p>
          <w:p w14:paraId="4DC73C63">
            <w:pPr>
              <w:pStyle w:val="33"/>
              <w:ind w:left="38"/>
              <w:jc w:val="both"/>
              <w:rPr>
                <w:rFonts w:hint="eastAsia" w:asciiTheme="minorEastAsia" w:hAnsiTheme="minorEastAsia" w:eastAsiaTheme="minorEastAsia" w:cstheme="minorEastAsia"/>
                <w:b/>
                <w:kern w:val="2"/>
                <w:lang w:val="zh-CN"/>
              </w:rPr>
            </w:pPr>
            <w:r>
              <w:rPr>
                <w:rFonts w:hint="eastAsia" w:asciiTheme="minorEastAsia" w:hAnsiTheme="minorEastAsia" w:eastAsiaTheme="minorEastAsia" w:cstheme="minorEastAsia"/>
                <w:kern w:val="2"/>
                <w:sz w:val="21"/>
                <w:szCs w:val="21"/>
                <w:lang w:val="zh-CN"/>
              </w:rPr>
              <w:t>供应商投标报价高于最高限价的则其投标文件将按无效投标文件处理。</w:t>
            </w:r>
          </w:p>
        </w:tc>
      </w:tr>
      <w:tr w14:paraId="13B60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89" w:type="dxa"/>
            <w:vMerge w:val="restart"/>
            <w:vAlign w:val="center"/>
          </w:tcPr>
          <w:p w14:paraId="4C9E8778">
            <w:pPr>
              <w:snapToGrid w:val="0"/>
              <w:spacing w:after="200"/>
              <w:jc w:val="center"/>
              <w:rPr>
                <w:rFonts w:hint="eastAsia"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zh-CN"/>
              </w:rPr>
              <w:t>3</w:t>
            </w:r>
          </w:p>
        </w:tc>
        <w:tc>
          <w:tcPr>
            <w:tcW w:w="1556" w:type="dxa"/>
            <w:vMerge w:val="restart"/>
            <w:vAlign w:val="center"/>
          </w:tcPr>
          <w:p w14:paraId="2EDEA9F0">
            <w:pPr>
              <w:pStyle w:val="33"/>
              <w:ind w:left="38"/>
              <w:jc w:val="center"/>
              <w:rPr>
                <w:rFonts w:hint="eastAsia" w:asciiTheme="minorEastAsia" w:hAnsiTheme="minorEastAsia" w:eastAsiaTheme="minorEastAsia" w:cstheme="minorEastAsia"/>
                <w:kern w:val="2"/>
                <w:lang w:val="zh-CN"/>
              </w:rPr>
            </w:pPr>
            <w:r>
              <w:rPr>
                <w:rFonts w:hint="eastAsia" w:asciiTheme="minorEastAsia" w:hAnsiTheme="minorEastAsia" w:eastAsiaTheme="minorEastAsia" w:cstheme="minorEastAsia"/>
                <w:kern w:val="2"/>
                <w:lang w:val="zh-CN"/>
              </w:rPr>
              <w:t>项目性质</w:t>
            </w:r>
          </w:p>
        </w:tc>
        <w:tc>
          <w:tcPr>
            <w:tcW w:w="7067" w:type="dxa"/>
            <w:vAlign w:val="center"/>
          </w:tcPr>
          <w:p w14:paraId="37847032">
            <w:pPr>
              <w:pStyle w:val="33"/>
              <w:jc w:val="both"/>
              <w:rPr>
                <w:rFonts w:hint="eastAsia" w:asciiTheme="minorEastAsia" w:hAnsiTheme="minorEastAsia" w:eastAsiaTheme="minorEastAsia" w:cstheme="minorEastAsia"/>
                <w:b/>
                <w:kern w:val="2"/>
                <w:lang w:val="zh-CN"/>
              </w:rPr>
            </w:pPr>
            <w:r>
              <w:rPr>
                <w:rFonts w:hint="eastAsia" w:asciiTheme="minorEastAsia" w:hAnsiTheme="minorEastAsia" w:eastAsiaTheme="minorEastAsia" w:cstheme="minorEastAsia"/>
                <w:b/>
                <w:kern w:val="2"/>
                <w:lang w:val="zh-CN"/>
              </w:rPr>
              <w:fldChar w:fldCharType="begin"/>
            </w:r>
            <w:r>
              <w:rPr>
                <w:rFonts w:hint="eastAsia" w:asciiTheme="minorEastAsia" w:hAnsiTheme="minorEastAsia" w:eastAsiaTheme="minorEastAsia" w:cstheme="minorEastAsia"/>
                <w:b/>
                <w:kern w:val="2"/>
                <w:lang w:val="zh-CN"/>
              </w:rPr>
              <w:instrText xml:space="preserve"> eq \o\ac(○,√)</w:instrText>
            </w:r>
            <w:r>
              <w:rPr>
                <w:rFonts w:hint="eastAsia" w:asciiTheme="minorEastAsia" w:hAnsiTheme="minorEastAsia" w:eastAsiaTheme="minorEastAsia" w:cstheme="minorEastAsia"/>
                <w:b/>
                <w:kern w:val="2"/>
                <w:lang w:val="zh-CN"/>
              </w:rPr>
              <w:fldChar w:fldCharType="end"/>
            </w:r>
            <w:r>
              <w:rPr>
                <w:rFonts w:hint="eastAsia" w:asciiTheme="minorEastAsia" w:hAnsiTheme="minorEastAsia" w:eastAsiaTheme="minorEastAsia" w:cstheme="minorEastAsia"/>
                <w:b/>
                <w:kern w:val="2"/>
                <w:lang w:val="zh-CN"/>
              </w:rPr>
              <w:t>专门面向中小企业采购</w:t>
            </w:r>
          </w:p>
          <w:p w14:paraId="50934FBA">
            <w:pPr>
              <w:pStyle w:val="33"/>
              <w:ind w:left="38"/>
              <w:jc w:val="both"/>
              <w:rPr>
                <w:rFonts w:hint="eastAsia" w:asciiTheme="minorEastAsia" w:hAnsiTheme="minorEastAsia" w:eastAsiaTheme="minorEastAsia" w:cstheme="minorEastAsia"/>
                <w:b/>
                <w:kern w:val="2"/>
                <w:lang w:val="zh-CN"/>
              </w:rPr>
            </w:pPr>
            <w:r>
              <w:rPr>
                <w:rFonts w:hint="eastAsia" w:asciiTheme="minorEastAsia" w:hAnsiTheme="minorEastAsia" w:eastAsiaTheme="minorEastAsia" w:cstheme="minorEastAsia"/>
                <w:kern w:val="2"/>
                <w:sz w:val="21"/>
                <w:szCs w:val="21"/>
                <w:lang w:val="zh-CN"/>
              </w:rPr>
              <w:t>仅允许中小企业或小型、微型企业参与投标。</w:t>
            </w:r>
          </w:p>
        </w:tc>
      </w:tr>
      <w:tr w14:paraId="15EEF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89" w:type="dxa"/>
            <w:vMerge w:val="continue"/>
            <w:vAlign w:val="center"/>
          </w:tcPr>
          <w:p w14:paraId="10665347">
            <w:pPr>
              <w:snapToGrid w:val="0"/>
              <w:spacing w:after="200"/>
              <w:ind w:left="142"/>
              <w:jc w:val="center"/>
              <w:rPr>
                <w:rFonts w:hint="eastAsia" w:asciiTheme="minorEastAsia" w:hAnsiTheme="minorEastAsia" w:eastAsiaTheme="minorEastAsia" w:cstheme="minorEastAsia"/>
                <w:b/>
                <w:sz w:val="28"/>
                <w:szCs w:val="28"/>
                <w:lang w:val="zh-CN"/>
              </w:rPr>
            </w:pPr>
          </w:p>
        </w:tc>
        <w:tc>
          <w:tcPr>
            <w:tcW w:w="1556" w:type="dxa"/>
            <w:vMerge w:val="continue"/>
            <w:vAlign w:val="center"/>
          </w:tcPr>
          <w:p w14:paraId="4E4B89B0">
            <w:pPr>
              <w:pStyle w:val="33"/>
              <w:ind w:left="96"/>
              <w:jc w:val="center"/>
              <w:rPr>
                <w:rFonts w:hint="eastAsia" w:asciiTheme="minorEastAsia" w:hAnsiTheme="minorEastAsia" w:eastAsiaTheme="minorEastAsia" w:cstheme="minorEastAsia"/>
                <w:kern w:val="2"/>
                <w:lang w:val="zh-CN"/>
              </w:rPr>
            </w:pPr>
          </w:p>
        </w:tc>
        <w:tc>
          <w:tcPr>
            <w:tcW w:w="7067" w:type="dxa"/>
            <w:vAlign w:val="center"/>
          </w:tcPr>
          <w:p w14:paraId="35257725">
            <w:pPr>
              <w:rPr>
                <w:rFonts w:hint="eastAsia" w:asciiTheme="minorEastAsia" w:hAnsiTheme="minorEastAsia" w:eastAsiaTheme="minorEastAsia" w:cstheme="minorEastAsia"/>
                <w:b/>
                <w:sz w:val="24"/>
                <w:szCs w:val="24"/>
                <w:lang w:val="zh-CN"/>
              </w:rPr>
            </w:pPr>
            <w:r>
              <w:rPr>
                <w:rFonts w:hint="eastAsia" w:asciiTheme="minorEastAsia" w:hAnsiTheme="minorEastAsia" w:eastAsiaTheme="minorEastAsia" w:cstheme="minorEastAsia"/>
                <w:b/>
                <w:sz w:val="24"/>
                <w:szCs w:val="24"/>
                <w:lang w:val="zh-CN"/>
              </w:rPr>
              <w:t>○非专门面向中小企业采购</w:t>
            </w:r>
          </w:p>
          <w:p w14:paraId="12B532BE">
            <w:pPr>
              <w:ind w:right="94" w:rightChars="45"/>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color w:val="000000" w:themeColor="text1"/>
                <w:kern w:val="0"/>
                <w:szCs w:val="21"/>
                <w:lang w:val="zh-CN"/>
              </w:rPr>
              <w:t>对符合《政府采购促进中小企业发展管理办法》（财库〔2020〕46号）规定的小微企业（监狱企业视同小型、微型企业）的报价</w:t>
            </w:r>
            <w:r>
              <w:rPr>
                <w:rFonts w:hint="eastAsia" w:asciiTheme="minorEastAsia" w:hAnsiTheme="minorEastAsia" w:eastAsiaTheme="minorEastAsia" w:cstheme="minorEastAsia"/>
                <w:b/>
                <w:color w:val="000000" w:themeColor="text1"/>
                <w:kern w:val="0"/>
                <w:szCs w:val="21"/>
                <w:lang w:val="zh-CN"/>
              </w:rPr>
              <w:t>给予___%（6%-10%）的扣除</w:t>
            </w:r>
            <w:r>
              <w:rPr>
                <w:rFonts w:hint="eastAsia" w:asciiTheme="minorEastAsia" w:hAnsiTheme="minorEastAsia" w:eastAsiaTheme="minorEastAsia" w:cstheme="minorEastAsia"/>
                <w:color w:val="000000" w:themeColor="text1"/>
                <w:kern w:val="0"/>
                <w:szCs w:val="21"/>
                <w:lang w:val="zh-CN"/>
              </w:rPr>
              <w:t>，用扣除后的价格参加评审。</w:t>
            </w:r>
          </w:p>
        </w:tc>
      </w:tr>
      <w:tr w14:paraId="486CE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89" w:type="dxa"/>
            <w:vAlign w:val="center"/>
          </w:tcPr>
          <w:p w14:paraId="71FFD5C4">
            <w:pPr>
              <w:snapToGrid w:val="0"/>
              <w:spacing w:after="20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4</w:t>
            </w:r>
          </w:p>
        </w:tc>
        <w:tc>
          <w:tcPr>
            <w:tcW w:w="1556" w:type="dxa"/>
            <w:vAlign w:val="center"/>
          </w:tcPr>
          <w:p w14:paraId="343FEBBB">
            <w:pPr>
              <w:pStyle w:val="33"/>
              <w:ind w:left="96"/>
              <w:jc w:val="center"/>
              <w:rPr>
                <w:rFonts w:hint="eastAsia" w:asciiTheme="minorEastAsia" w:hAnsiTheme="minorEastAsia" w:eastAsiaTheme="minorEastAsia" w:cstheme="minorEastAsia"/>
                <w:kern w:val="2"/>
                <w:lang w:val="zh-CN"/>
              </w:rPr>
            </w:pPr>
            <w:r>
              <w:rPr>
                <w:rFonts w:hint="eastAsia" w:asciiTheme="minorEastAsia" w:hAnsiTheme="minorEastAsia" w:eastAsiaTheme="minorEastAsia" w:cstheme="minorEastAsia"/>
                <w:kern w:val="2"/>
                <w:lang w:val="zh-CN"/>
              </w:rPr>
              <w:t>对供应商的</w:t>
            </w:r>
            <w:r>
              <w:rPr>
                <w:rFonts w:hint="eastAsia" w:asciiTheme="minorEastAsia" w:hAnsiTheme="minorEastAsia" w:eastAsiaTheme="minorEastAsia" w:cstheme="minorEastAsia"/>
                <w:kern w:val="2"/>
                <w:lang w:val="zh-CN"/>
              </w:rPr>
              <w:br w:type="textWrapping"/>
            </w:r>
            <w:r>
              <w:rPr>
                <w:rFonts w:hint="eastAsia" w:asciiTheme="minorEastAsia" w:hAnsiTheme="minorEastAsia" w:eastAsiaTheme="minorEastAsia" w:cstheme="minorEastAsia"/>
                <w:kern w:val="2"/>
                <w:lang w:val="zh-CN"/>
              </w:rPr>
              <w:t>资格要求</w:t>
            </w:r>
          </w:p>
        </w:tc>
        <w:tc>
          <w:tcPr>
            <w:tcW w:w="7067" w:type="dxa"/>
            <w:vAlign w:val="center"/>
          </w:tcPr>
          <w:p w14:paraId="4894188F">
            <w:pPr>
              <w:pStyle w:val="33"/>
              <w:jc w:val="both"/>
              <w:rPr>
                <w:rFonts w:hint="eastAsia" w:asciiTheme="minorEastAsia" w:hAnsiTheme="minorEastAsia" w:eastAsiaTheme="minorEastAsia" w:cstheme="minorEastAsia"/>
                <w:kern w:val="2"/>
                <w:lang w:val="zh-CN" w:eastAsia="zh-CN"/>
              </w:rPr>
            </w:pPr>
            <w:r>
              <w:rPr>
                <w:rFonts w:hint="eastAsia" w:asciiTheme="minorEastAsia" w:hAnsiTheme="minorEastAsia" w:eastAsiaTheme="minorEastAsia" w:cstheme="minorEastAsia"/>
                <w:kern w:val="2"/>
                <w:lang w:val="zh-CN"/>
              </w:rPr>
              <w:t>（1）</w:t>
            </w:r>
            <w:r>
              <w:rPr>
                <w:rFonts w:hint="eastAsia" w:asciiTheme="minorEastAsia" w:hAnsiTheme="minorEastAsia" w:eastAsiaTheme="minorEastAsia" w:cstheme="minorEastAsia"/>
                <w:kern w:val="2"/>
                <w:lang w:val="zh-CN" w:eastAsia="zh-CN"/>
              </w:rPr>
              <w:t>供应商为具有独立承担民事责任能力的法人或其他组织或自然人，并提供法人或者其他组织合法有效的营业执照等证明文件，事业单位应提供事业单位法人证书，自然人应提供身份证明文件；</w:t>
            </w:r>
          </w:p>
          <w:p w14:paraId="0C0CBE40">
            <w:pPr>
              <w:pStyle w:val="33"/>
              <w:jc w:val="both"/>
              <w:rPr>
                <w:rFonts w:hint="eastAsia" w:asciiTheme="minorEastAsia" w:hAnsiTheme="minorEastAsia" w:eastAsiaTheme="minorEastAsia" w:cstheme="minorEastAsia"/>
                <w:kern w:val="2"/>
                <w:lang w:val="zh-CN" w:eastAsia="zh-CN"/>
              </w:rPr>
            </w:pPr>
            <w:r>
              <w:rPr>
                <w:rFonts w:hint="eastAsia" w:asciiTheme="minorEastAsia" w:hAnsiTheme="minorEastAsia" w:eastAsiaTheme="minorEastAsia" w:cstheme="minorEastAsia"/>
                <w:kern w:val="2"/>
                <w:lang w:val="zh-CN"/>
              </w:rPr>
              <w:t>（2）法定代表人授权书（附法定代表人、被授权人身份证复印件及被授权人开标前三个月内任意一个月在本单位的社保缴纳证明），法定代表人直接参加磋商</w:t>
            </w:r>
            <w:r>
              <w:rPr>
                <w:rFonts w:hint="eastAsia" w:asciiTheme="minorEastAsia" w:hAnsiTheme="minorEastAsia" w:eastAsiaTheme="minorEastAsia" w:cstheme="minorEastAsia"/>
                <w:kern w:val="2"/>
                <w:lang w:val="zh-CN" w:eastAsia="zh-CN"/>
              </w:rPr>
              <w:t>的</w:t>
            </w:r>
            <w:r>
              <w:rPr>
                <w:rFonts w:hint="eastAsia" w:asciiTheme="minorEastAsia" w:hAnsiTheme="minorEastAsia" w:eastAsiaTheme="minorEastAsia" w:cstheme="minorEastAsia"/>
                <w:kern w:val="2"/>
                <w:lang w:val="zh-CN"/>
              </w:rPr>
              <w:t>，须提供法定代表人身份证明；</w:t>
            </w:r>
          </w:p>
          <w:p w14:paraId="0EE3F4D7">
            <w:pPr>
              <w:pStyle w:val="33"/>
              <w:jc w:val="both"/>
              <w:rPr>
                <w:rFonts w:hint="eastAsia" w:asciiTheme="minorEastAsia" w:hAnsiTheme="minorEastAsia" w:eastAsiaTheme="minorEastAsia" w:cstheme="minorEastAsia"/>
                <w:kern w:val="2"/>
                <w:lang w:val="zh-CN"/>
              </w:rPr>
            </w:pPr>
            <w:r>
              <w:rPr>
                <w:rFonts w:hint="eastAsia" w:asciiTheme="minorEastAsia" w:hAnsiTheme="minorEastAsia" w:eastAsiaTheme="minorEastAsia" w:cstheme="minorEastAsia"/>
                <w:kern w:val="2"/>
                <w:lang w:val="zh-CN"/>
              </w:rPr>
              <w:t>（3）财务会计制度的证明材料：提供2024年度或2025年度的经审计的财务会计报告（成立时间至提交磋商响应文件截止时间不足一年的可提供成立后任意时段的资产负债表），或其基本存款账户开户银行出具的资信证明及基本存款账户开户许可证（基本账户信息表）；（注：根据《陕西省财政厅关于启用会计师事务所审计报告“二维码”赋码查验功能的通知（陕财办会函〔2022〕55号）》，各供应商经审计的财务会计报告需赋加“注册会计师行业统一监管平台”二维码）；</w:t>
            </w:r>
          </w:p>
          <w:p w14:paraId="322BEF32">
            <w:pPr>
              <w:pStyle w:val="33"/>
              <w:jc w:val="both"/>
              <w:rPr>
                <w:rFonts w:hint="eastAsia" w:asciiTheme="minorEastAsia" w:hAnsiTheme="minorEastAsia" w:eastAsiaTheme="minorEastAsia" w:cstheme="minorEastAsia"/>
                <w:kern w:val="2"/>
                <w:lang w:val="zh-CN"/>
              </w:rPr>
            </w:pPr>
            <w:r>
              <w:rPr>
                <w:rFonts w:hint="eastAsia" w:asciiTheme="minorEastAsia" w:hAnsiTheme="minorEastAsia" w:eastAsiaTheme="minorEastAsia" w:cstheme="minorEastAsia"/>
                <w:kern w:val="2"/>
                <w:lang w:val="zh-CN"/>
              </w:rPr>
              <w:t>（4）税收缴纳证明：提供2025年1</w:t>
            </w:r>
            <w:r>
              <w:rPr>
                <w:rFonts w:hint="eastAsia" w:asciiTheme="minorEastAsia" w:hAnsiTheme="minorEastAsia" w:eastAsiaTheme="minorEastAsia" w:cstheme="minorEastAsia"/>
                <w:kern w:val="2"/>
                <w:lang w:val="zh-CN" w:eastAsia="zh-CN"/>
              </w:rPr>
              <w:t>0</w:t>
            </w:r>
            <w:r>
              <w:rPr>
                <w:rFonts w:hint="eastAsia" w:asciiTheme="minorEastAsia" w:hAnsiTheme="minorEastAsia" w:eastAsiaTheme="minorEastAsia" w:cstheme="minorEastAsia"/>
                <w:kern w:val="2"/>
                <w:lang w:val="zh-CN"/>
              </w:rPr>
              <w:t>月至今至少一个月</w:t>
            </w:r>
            <w:r>
              <w:rPr>
                <w:rFonts w:hint="eastAsia" w:asciiTheme="minorEastAsia" w:hAnsiTheme="minorEastAsia" w:eastAsiaTheme="minorEastAsia" w:cstheme="minorEastAsia"/>
                <w:kern w:val="2"/>
                <w:lang w:val="zh-CN" w:eastAsia="zh-CN"/>
              </w:rPr>
              <w:t>的</w:t>
            </w:r>
            <w:r>
              <w:rPr>
                <w:rFonts w:hint="eastAsia" w:asciiTheme="minorEastAsia" w:hAnsiTheme="minorEastAsia" w:eastAsiaTheme="minorEastAsia" w:cstheme="minorEastAsia"/>
                <w:kern w:val="2"/>
                <w:lang w:val="zh-CN"/>
              </w:rPr>
              <w:t>已缴纳完税凭证或税务机关开具的完税证明（任意税种）；依法免税的应提供相关文件证明；</w:t>
            </w:r>
          </w:p>
          <w:p w14:paraId="7B3B53A2">
            <w:pPr>
              <w:pStyle w:val="33"/>
              <w:jc w:val="both"/>
              <w:rPr>
                <w:rFonts w:hint="eastAsia" w:asciiTheme="minorEastAsia" w:hAnsiTheme="minorEastAsia" w:eastAsiaTheme="minorEastAsia" w:cstheme="minorEastAsia"/>
                <w:kern w:val="2"/>
                <w:lang w:val="zh-CN"/>
              </w:rPr>
            </w:pPr>
            <w:r>
              <w:rPr>
                <w:rFonts w:hint="eastAsia" w:asciiTheme="minorEastAsia" w:hAnsiTheme="minorEastAsia" w:eastAsiaTheme="minorEastAsia" w:cstheme="minorEastAsia"/>
                <w:kern w:val="2"/>
                <w:lang w:val="zh-CN"/>
              </w:rPr>
              <w:t>（5）社保缴纳证明：提供202</w:t>
            </w:r>
            <w:r>
              <w:rPr>
                <w:rFonts w:hint="eastAsia" w:asciiTheme="minorEastAsia" w:hAnsiTheme="minorEastAsia" w:eastAsiaTheme="minorEastAsia" w:cstheme="minorEastAsia"/>
                <w:kern w:val="2"/>
                <w:lang w:val="zh-CN" w:eastAsia="zh-CN"/>
              </w:rPr>
              <w:t>5</w:t>
            </w:r>
            <w:r>
              <w:rPr>
                <w:rFonts w:hint="eastAsia" w:asciiTheme="minorEastAsia" w:hAnsiTheme="minorEastAsia" w:eastAsiaTheme="minorEastAsia" w:cstheme="minorEastAsia"/>
                <w:kern w:val="2"/>
                <w:lang w:val="zh-CN"/>
              </w:rPr>
              <w:t>年</w:t>
            </w:r>
            <w:r>
              <w:rPr>
                <w:rFonts w:hint="eastAsia" w:asciiTheme="minorEastAsia" w:hAnsiTheme="minorEastAsia" w:eastAsiaTheme="minorEastAsia" w:cstheme="minorEastAsia"/>
                <w:kern w:val="2"/>
                <w:lang w:val="zh-CN" w:eastAsia="zh-CN"/>
              </w:rPr>
              <w:t>10</w:t>
            </w:r>
            <w:r>
              <w:rPr>
                <w:rFonts w:hint="eastAsia" w:asciiTheme="minorEastAsia" w:hAnsiTheme="minorEastAsia" w:eastAsiaTheme="minorEastAsia" w:cstheme="minorEastAsia"/>
                <w:kern w:val="2"/>
                <w:lang w:val="zh-CN"/>
              </w:rPr>
              <w:t>月至今至少一个月任意时段已缴纳的社会保障资金缴存单据或社保机构开具的社会保险参保缴费情况证明；依法不需要缴纳社会保障资金的应提供相关文件证明；</w:t>
            </w:r>
          </w:p>
          <w:p w14:paraId="4B1DE967">
            <w:pPr>
              <w:pStyle w:val="33"/>
              <w:jc w:val="both"/>
              <w:rPr>
                <w:rFonts w:hint="eastAsia" w:asciiTheme="minorEastAsia" w:hAnsiTheme="minorEastAsia" w:eastAsiaTheme="minorEastAsia" w:cstheme="minorEastAsia"/>
                <w:kern w:val="2"/>
                <w:lang w:val="zh-CN"/>
              </w:rPr>
            </w:pPr>
            <w:r>
              <w:rPr>
                <w:rFonts w:hint="eastAsia" w:asciiTheme="minorEastAsia" w:hAnsiTheme="minorEastAsia" w:eastAsiaTheme="minorEastAsia" w:cstheme="minorEastAsia"/>
                <w:kern w:val="2"/>
                <w:lang w:val="zh-CN"/>
              </w:rPr>
              <w:t>（6）具备履行合同所必需的设备和专业技术能力；</w:t>
            </w:r>
          </w:p>
          <w:p w14:paraId="07C3BC6B">
            <w:pPr>
              <w:pStyle w:val="33"/>
              <w:jc w:val="both"/>
              <w:rPr>
                <w:rFonts w:hint="eastAsia" w:asciiTheme="minorEastAsia" w:hAnsiTheme="minorEastAsia" w:eastAsiaTheme="minorEastAsia" w:cstheme="minorEastAsia"/>
                <w:kern w:val="2"/>
                <w:lang w:val="zh-CN"/>
              </w:rPr>
            </w:pPr>
            <w:r>
              <w:rPr>
                <w:rFonts w:hint="eastAsia" w:asciiTheme="minorEastAsia" w:hAnsiTheme="minorEastAsia" w:eastAsiaTheme="minorEastAsia" w:cstheme="minorEastAsia"/>
                <w:kern w:val="2"/>
                <w:lang w:val="zh-CN"/>
              </w:rPr>
              <w:t>（7）参加政府采购活动前3年内，在经营活动中没有重大违法记录；</w:t>
            </w:r>
          </w:p>
          <w:p w14:paraId="259F2B48">
            <w:pPr>
              <w:pStyle w:val="33"/>
              <w:jc w:val="both"/>
              <w:rPr>
                <w:rFonts w:hint="eastAsia" w:asciiTheme="minorEastAsia" w:hAnsiTheme="minorEastAsia" w:eastAsiaTheme="minorEastAsia" w:cstheme="minorEastAsia"/>
                <w:kern w:val="2"/>
                <w:lang w:val="zh-CN"/>
              </w:rPr>
            </w:pPr>
            <w:r>
              <w:rPr>
                <w:rFonts w:hint="eastAsia" w:asciiTheme="minorEastAsia" w:hAnsiTheme="minorEastAsia" w:eastAsiaTheme="minorEastAsia" w:cstheme="minorEastAsia"/>
                <w:kern w:val="2"/>
                <w:lang w:val="zh-CN"/>
              </w:rPr>
              <w:t>（8）供应商信用：采购人或代理机构根据《关于在政府采购活动中查询及使用信用记录有关问题的通知》（财库〔2016〕125号）的要求，通过“信用中国”网站（www.creditchina.gov.cn）、“中国政府采购网” 网站（www.ccgp.gov.cn）等渠道，查询供应商在响应文件提交截止时间前的信用记录并保存信用记录结果网页截图，拒绝列入失信被执行人名单、重大税收违法失信主体、政府采购严重违法失信行为记录名单中的供应商参加本项目的采购活动。</w:t>
            </w:r>
          </w:p>
          <w:p w14:paraId="50980A4E">
            <w:pPr>
              <w:pStyle w:val="33"/>
              <w:jc w:val="both"/>
              <w:rPr>
                <w:rFonts w:hint="eastAsia" w:asciiTheme="minorEastAsia" w:hAnsiTheme="minorEastAsia" w:eastAsiaTheme="minorEastAsia" w:cstheme="minorEastAsia"/>
                <w:kern w:val="2"/>
                <w:lang w:val="zh-CN"/>
              </w:rPr>
            </w:pPr>
            <w:r>
              <w:rPr>
                <w:rFonts w:hint="eastAsia" w:asciiTheme="minorEastAsia" w:hAnsiTheme="minorEastAsia" w:eastAsiaTheme="minorEastAsia" w:cstheme="minorEastAsia"/>
                <w:kern w:val="2"/>
                <w:lang w:val="zh-CN"/>
              </w:rPr>
              <w:t>（9）本项目不接受联合体投标：供应商应提供《非联合体投标声明》，视为独立投标。</w:t>
            </w:r>
          </w:p>
        </w:tc>
      </w:tr>
      <w:tr w14:paraId="725D1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89" w:type="dxa"/>
            <w:vMerge w:val="restart"/>
            <w:vAlign w:val="center"/>
          </w:tcPr>
          <w:p w14:paraId="5FAE452E">
            <w:pPr>
              <w:snapToGrid w:val="0"/>
              <w:spacing w:after="20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5</w:t>
            </w:r>
          </w:p>
        </w:tc>
        <w:tc>
          <w:tcPr>
            <w:tcW w:w="1556" w:type="dxa"/>
            <w:vMerge w:val="restart"/>
            <w:vAlign w:val="center"/>
          </w:tcPr>
          <w:p w14:paraId="5EC3E763">
            <w:pPr>
              <w:pStyle w:val="33"/>
              <w:ind w:left="96"/>
              <w:jc w:val="center"/>
              <w:rPr>
                <w:rFonts w:hint="eastAsia" w:asciiTheme="minorEastAsia" w:hAnsiTheme="minorEastAsia" w:eastAsiaTheme="minorEastAsia" w:cstheme="minorEastAsia"/>
                <w:kern w:val="2"/>
                <w:lang w:val="zh-CN"/>
              </w:rPr>
            </w:pPr>
            <w:r>
              <w:rPr>
                <w:rFonts w:hint="eastAsia" w:asciiTheme="minorEastAsia" w:hAnsiTheme="minorEastAsia" w:eastAsiaTheme="minorEastAsia" w:cstheme="minorEastAsia"/>
                <w:kern w:val="2"/>
                <w:lang w:val="zh-CN"/>
              </w:rPr>
              <w:t>是否接受</w:t>
            </w:r>
            <w:r>
              <w:rPr>
                <w:rFonts w:hint="eastAsia" w:asciiTheme="minorEastAsia" w:hAnsiTheme="minorEastAsia" w:eastAsiaTheme="minorEastAsia" w:cstheme="minorEastAsia"/>
                <w:kern w:val="2"/>
                <w:lang w:val="zh-CN"/>
              </w:rPr>
              <w:br w:type="textWrapping"/>
            </w:r>
            <w:r>
              <w:rPr>
                <w:rFonts w:hint="eastAsia" w:asciiTheme="minorEastAsia" w:hAnsiTheme="minorEastAsia" w:eastAsiaTheme="minorEastAsia" w:cstheme="minorEastAsia"/>
                <w:kern w:val="2"/>
                <w:lang w:val="zh-CN"/>
              </w:rPr>
              <w:t>联合体投标</w:t>
            </w:r>
          </w:p>
        </w:tc>
        <w:tc>
          <w:tcPr>
            <w:tcW w:w="7067" w:type="dxa"/>
            <w:vAlign w:val="center"/>
          </w:tcPr>
          <w:p w14:paraId="1179EE6D">
            <w:pPr>
              <w:pStyle w:val="33"/>
              <w:jc w:val="both"/>
              <w:rPr>
                <w:rFonts w:hint="eastAsia" w:asciiTheme="minorEastAsia" w:hAnsiTheme="minorEastAsia" w:eastAsiaTheme="minorEastAsia" w:cstheme="minorEastAsia"/>
                <w:b/>
                <w:kern w:val="2"/>
                <w:lang w:val="zh-CN"/>
              </w:rPr>
            </w:pPr>
            <w:r>
              <w:rPr>
                <w:rFonts w:hint="eastAsia" w:asciiTheme="minorEastAsia" w:hAnsiTheme="minorEastAsia" w:eastAsiaTheme="minorEastAsia" w:cstheme="minorEastAsia"/>
                <w:b/>
                <w:kern w:val="2"/>
                <w:lang w:val="zh-CN"/>
              </w:rPr>
              <w:t>○接受</w:t>
            </w:r>
          </w:p>
          <w:p w14:paraId="53AFAD7A">
            <w:pPr>
              <w:pStyle w:val="33"/>
              <w:jc w:val="both"/>
              <w:rPr>
                <w:rFonts w:hint="eastAsia" w:asciiTheme="minorEastAsia" w:hAnsiTheme="minorEastAsia" w:eastAsiaTheme="minorEastAsia" w:cstheme="minorEastAsia"/>
                <w:b/>
                <w:kern w:val="2"/>
                <w:lang w:val="zh-CN"/>
              </w:rPr>
            </w:pPr>
            <w:r>
              <w:rPr>
                <w:rFonts w:hint="eastAsia" w:asciiTheme="minorEastAsia" w:hAnsiTheme="minorEastAsia" w:eastAsiaTheme="minorEastAsia" w:cstheme="minorEastAsia"/>
                <w:kern w:val="2"/>
                <w:sz w:val="21"/>
                <w:szCs w:val="21"/>
                <w:lang w:val="zh-CN"/>
              </w:rPr>
              <w:t>对于联合体协议或者分包意向协议约定小微企业的合同份额占到合同总金额30%以上的，对联合体或者大中型企业的报价</w:t>
            </w:r>
            <w:r>
              <w:rPr>
                <w:rFonts w:hint="eastAsia" w:asciiTheme="minorEastAsia" w:hAnsiTheme="minorEastAsia" w:eastAsiaTheme="minorEastAsia" w:cstheme="minorEastAsia"/>
                <w:b/>
                <w:kern w:val="2"/>
                <w:sz w:val="21"/>
                <w:szCs w:val="21"/>
                <w:lang w:val="zh-CN"/>
              </w:rPr>
              <w:t>给予___%（2%-3%）的扣除</w:t>
            </w:r>
            <w:r>
              <w:rPr>
                <w:rFonts w:hint="eastAsia" w:asciiTheme="minorEastAsia" w:hAnsiTheme="minorEastAsia" w:eastAsiaTheme="minorEastAsia" w:cstheme="minorEastAsia"/>
                <w:kern w:val="2"/>
                <w:sz w:val="21"/>
                <w:szCs w:val="21"/>
                <w:lang w:val="zh-CN"/>
              </w:rPr>
              <w:t>，用扣除后的报价参加评审。</w:t>
            </w:r>
          </w:p>
        </w:tc>
      </w:tr>
      <w:tr w14:paraId="51A44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89" w:type="dxa"/>
            <w:vMerge w:val="continue"/>
            <w:vAlign w:val="center"/>
          </w:tcPr>
          <w:p w14:paraId="4B655232">
            <w:pPr>
              <w:snapToGrid w:val="0"/>
              <w:spacing w:after="200"/>
              <w:ind w:left="142"/>
              <w:jc w:val="center"/>
              <w:rPr>
                <w:rFonts w:hint="eastAsia" w:asciiTheme="minorEastAsia" w:hAnsiTheme="minorEastAsia" w:eastAsiaTheme="minorEastAsia" w:cstheme="minorEastAsia"/>
                <w:sz w:val="24"/>
              </w:rPr>
            </w:pPr>
          </w:p>
        </w:tc>
        <w:tc>
          <w:tcPr>
            <w:tcW w:w="1556" w:type="dxa"/>
            <w:vMerge w:val="continue"/>
            <w:vAlign w:val="center"/>
          </w:tcPr>
          <w:p w14:paraId="0A81B189">
            <w:pPr>
              <w:pStyle w:val="33"/>
              <w:ind w:left="96"/>
              <w:jc w:val="center"/>
              <w:rPr>
                <w:rFonts w:hint="eastAsia" w:asciiTheme="minorEastAsia" w:hAnsiTheme="minorEastAsia" w:eastAsiaTheme="minorEastAsia" w:cstheme="minorEastAsia"/>
                <w:kern w:val="2"/>
                <w:lang w:val="zh-CN"/>
              </w:rPr>
            </w:pPr>
          </w:p>
        </w:tc>
        <w:tc>
          <w:tcPr>
            <w:tcW w:w="7067" w:type="dxa"/>
            <w:vAlign w:val="center"/>
          </w:tcPr>
          <w:p w14:paraId="65AEADE6">
            <w:pPr>
              <w:pStyle w:val="33"/>
              <w:jc w:val="both"/>
              <w:rPr>
                <w:rFonts w:hint="eastAsia" w:asciiTheme="minorEastAsia" w:hAnsiTheme="minorEastAsia" w:eastAsiaTheme="minorEastAsia" w:cstheme="minorEastAsia"/>
                <w:b/>
                <w:kern w:val="2"/>
                <w:lang w:val="zh-CN"/>
              </w:rPr>
            </w:pPr>
            <w:r>
              <w:rPr>
                <w:rFonts w:hint="eastAsia" w:asciiTheme="minorEastAsia" w:hAnsiTheme="minorEastAsia" w:eastAsiaTheme="minorEastAsia" w:cstheme="minorEastAsia"/>
                <w:b/>
                <w:kern w:val="2"/>
                <w:lang w:val="zh-CN"/>
              </w:rPr>
              <w:fldChar w:fldCharType="begin"/>
            </w:r>
            <w:r>
              <w:rPr>
                <w:rFonts w:hint="eastAsia" w:asciiTheme="minorEastAsia" w:hAnsiTheme="minorEastAsia" w:eastAsiaTheme="minorEastAsia" w:cstheme="minorEastAsia"/>
                <w:b/>
                <w:kern w:val="2"/>
                <w:lang w:val="zh-CN"/>
              </w:rPr>
              <w:instrText xml:space="preserve"> eq \o\ac(○,√)</w:instrText>
            </w:r>
            <w:r>
              <w:rPr>
                <w:rFonts w:hint="eastAsia" w:asciiTheme="minorEastAsia" w:hAnsiTheme="minorEastAsia" w:eastAsiaTheme="minorEastAsia" w:cstheme="minorEastAsia"/>
                <w:b/>
                <w:kern w:val="2"/>
                <w:lang w:val="zh-CN"/>
              </w:rPr>
              <w:fldChar w:fldCharType="end"/>
            </w:r>
            <w:r>
              <w:rPr>
                <w:rFonts w:hint="eastAsia" w:asciiTheme="minorEastAsia" w:hAnsiTheme="minorEastAsia" w:eastAsiaTheme="minorEastAsia" w:cstheme="minorEastAsia"/>
                <w:b/>
                <w:kern w:val="2"/>
                <w:lang w:val="zh-CN"/>
              </w:rPr>
              <w:t>不接受</w:t>
            </w:r>
          </w:p>
        </w:tc>
      </w:tr>
      <w:tr w14:paraId="37A49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96" w:hRule="atLeast"/>
          <w:jc w:val="center"/>
        </w:trPr>
        <w:tc>
          <w:tcPr>
            <w:tcW w:w="689" w:type="dxa"/>
            <w:vAlign w:val="center"/>
          </w:tcPr>
          <w:p w14:paraId="5F1D341F">
            <w:pPr>
              <w:snapToGrid w:val="0"/>
              <w:spacing w:after="20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6</w:t>
            </w:r>
          </w:p>
        </w:tc>
        <w:tc>
          <w:tcPr>
            <w:tcW w:w="1556" w:type="dxa"/>
            <w:vAlign w:val="center"/>
          </w:tcPr>
          <w:p w14:paraId="27C96A29">
            <w:pPr>
              <w:pStyle w:val="33"/>
              <w:ind w:left="96"/>
              <w:jc w:val="center"/>
              <w:rPr>
                <w:rFonts w:hint="eastAsia" w:asciiTheme="minorEastAsia" w:hAnsiTheme="minorEastAsia" w:eastAsiaTheme="minorEastAsia" w:cstheme="minorEastAsia"/>
                <w:kern w:val="2"/>
                <w:lang w:val="zh-CN"/>
              </w:rPr>
            </w:pPr>
            <w:r>
              <w:rPr>
                <w:rFonts w:hint="eastAsia" w:asciiTheme="minorEastAsia" w:hAnsiTheme="minorEastAsia" w:eastAsiaTheme="minorEastAsia" w:cstheme="minorEastAsia"/>
                <w:kern w:val="2"/>
                <w:lang w:val="zh-CN"/>
              </w:rPr>
              <w:t>履约保证金</w:t>
            </w:r>
          </w:p>
        </w:tc>
        <w:tc>
          <w:tcPr>
            <w:tcW w:w="7067" w:type="dxa"/>
            <w:vAlign w:val="center"/>
          </w:tcPr>
          <w:p w14:paraId="64F23B39">
            <w:pPr>
              <w:ind w:right="94" w:rightChars="45"/>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sz w:val="24"/>
                <w:szCs w:val="24"/>
              </w:rPr>
              <w:t>本项目不要求</w:t>
            </w:r>
          </w:p>
        </w:tc>
      </w:tr>
      <w:tr w14:paraId="71663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89" w:type="dxa"/>
            <w:vAlign w:val="center"/>
          </w:tcPr>
          <w:p w14:paraId="6DF295CC">
            <w:pPr>
              <w:snapToGrid w:val="0"/>
              <w:spacing w:after="20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7</w:t>
            </w:r>
          </w:p>
        </w:tc>
        <w:tc>
          <w:tcPr>
            <w:tcW w:w="1556" w:type="dxa"/>
            <w:vAlign w:val="center"/>
          </w:tcPr>
          <w:p w14:paraId="535E2716">
            <w:pPr>
              <w:pStyle w:val="33"/>
              <w:ind w:left="96"/>
              <w:jc w:val="center"/>
              <w:rPr>
                <w:rFonts w:hint="eastAsia" w:asciiTheme="minorEastAsia" w:hAnsiTheme="minorEastAsia" w:eastAsiaTheme="minorEastAsia" w:cstheme="minorEastAsia"/>
                <w:kern w:val="2"/>
                <w:lang w:val="zh-CN"/>
              </w:rPr>
            </w:pPr>
            <w:r>
              <w:rPr>
                <w:rFonts w:hint="eastAsia" w:asciiTheme="minorEastAsia" w:hAnsiTheme="minorEastAsia" w:eastAsiaTheme="minorEastAsia" w:cstheme="minorEastAsia"/>
                <w:kern w:val="2"/>
                <w:lang w:val="zh-CN"/>
              </w:rPr>
              <w:t>集中答疑</w:t>
            </w:r>
          </w:p>
        </w:tc>
        <w:tc>
          <w:tcPr>
            <w:tcW w:w="7067" w:type="dxa"/>
            <w:vAlign w:val="center"/>
          </w:tcPr>
          <w:p w14:paraId="63AE9A9D">
            <w:pPr>
              <w:ind w:right="94" w:rightChars="45"/>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○组织，答疑地点为：_______________________</w:t>
            </w:r>
          </w:p>
          <w:p w14:paraId="63BF3E25">
            <w:pPr>
              <w:ind w:right="94" w:rightChars="45"/>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fldChar w:fldCharType="begin"/>
            </w:r>
            <w:r>
              <w:rPr>
                <w:rFonts w:hint="eastAsia" w:asciiTheme="minorEastAsia" w:hAnsiTheme="minorEastAsia" w:eastAsiaTheme="minorEastAsia" w:cstheme="minorEastAsia"/>
                <w:b/>
                <w:sz w:val="24"/>
              </w:rPr>
              <w:instrText xml:space="preserve"> eq \o\ac(○,√)</w:instrText>
            </w:r>
            <w:r>
              <w:rPr>
                <w:rFonts w:hint="eastAsia" w:asciiTheme="minorEastAsia" w:hAnsiTheme="minorEastAsia" w:eastAsiaTheme="minorEastAsia" w:cstheme="minorEastAsia"/>
                <w:b/>
                <w:sz w:val="24"/>
              </w:rPr>
              <w:fldChar w:fldCharType="end"/>
            </w:r>
            <w:r>
              <w:rPr>
                <w:rFonts w:hint="eastAsia" w:asciiTheme="minorEastAsia" w:hAnsiTheme="minorEastAsia" w:eastAsiaTheme="minorEastAsia" w:cstheme="minorEastAsia"/>
                <w:b/>
                <w:sz w:val="24"/>
              </w:rPr>
              <w:t>不组织</w:t>
            </w:r>
          </w:p>
        </w:tc>
      </w:tr>
      <w:tr w14:paraId="66F44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89" w:type="dxa"/>
            <w:vAlign w:val="center"/>
          </w:tcPr>
          <w:p w14:paraId="5C6904B7">
            <w:pPr>
              <w:snapToGrid w:val="0"/>
              <w:spacing w:after="20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8</w:t>
            </w:r>
          </w:p>
        </w:tc>
        <w:tc>
          <w:tcPr>
            <w:tcW w:w="1556" w:type="dxa"/>
            <w:vAlign w:val="center"/>
          </w:tcPr>
          <w:p w14:paraId="5F8EE1A3">
            <w:pPr>
              <w:pStyle w:val="33"/>
              <w:ind w:left="96"/>
              <w:jc w:val="center"/>
              <w:rPr>
                <w:rFonts w:hint="eastAsia" w:asciiTheme="minorEastAsia" w:hAnsiTheme="minorEastAsia" w:eastAsiaTheme="minorEastAsia" w:cstheme="minorEastAsia"/>
                <w:kern w:val="2"/>
                <w:lang w:val="zh-CN"/>
              </w:rPr>
            </w:pPr>
            <w:r>
              <w:rPr>
                <w:rFonts w:hint="eastAsia" w:asciiTheme="minorEastAsia" w:hAnsiTheme="minorEastAsia" w:eastAsiaTheme="minorEastAsia" w:cstheme="minorEastAsia"/>
                <w:kern w:val="2"/>
                <w:lang w:val="zh-CN"/>
              </w:rPr>
              <w:t>价格分比重</w:t>
            </w:r>
          </w:p>
        </w:tc>
        <w:tc>
          <w:tcPr>
            <w:tcW w:w="7067" w:type="dxa"/>
            <w:vAlign w:val="center"/>
          </w:tcPr>
          <w:p w14:paraId="2117998F">
            <w:pPr>
              <w:widowControl/>
              <w:rPr>
                <w:rFonts w:hint="eastAsia" w:asciiTheme="minorEastAsia" w:hAnsiTheme="minorEastAsia" w:eastAsiaTheme="minorEastAsia" w:cstheme="minorEastAsia"/>
                <w:b/>
                <w:kern w:val="0"/>
                <w:sz w:val="24"/>
                <w:szCs w:val="24"/>
                <w:lang w:val="zh-CN"/>
              </w:rPr>
            </w:pPr>
            <w:r>
              <w:rPr>
                <w:rFonts w:hint="eastAsia" w:asciiTheme="minorEastAsia" w:hAnsiTheme="minorEastAsia" w:eastAsiaTheme="minorEastAsia" w:cstheme="minorEastAsia"/>
                <w:b/>
                <w:kern w:val="0"/>
                <w:sz w:val="24"/>
                <w:szCs w:val="24"/>
                <w:lang w:val="zh-CN"/>
              </w:rPr>
              <w:t>占总分值的</w:t>
            </w:r>
            <w:r>
              <w:rPr>
                <w:rFonts w:hint="eastAsia" w:asciiTheme="minorEastAsia" w:hAnsiTheme="minorEastAsia" w:eastAsiaTheme="minorEastAsia" w:cstheme="minorEastAsia"/>
                <w:b/>
                <w:kern w:val="0"/>
                <w:sz w:val="24"/>
                <w:szCs w:val="24"/>
                <w:lang w:val="en-US" w:eastAsia="zh-CN"/>
              </w:rPr>
              <w:t>10</w:t>
            </w:r>
            <w:r>
              <w:rPr>
                <w:rFonts w:hint="eastAsia" w:asciiTheme="minorEastAsia" w:hAnsiTheme="minorEastAsia" w:eastAsiaTheme="minorEastAsia" w:cstheme="minorEastAsia"/>
                <w:b/>
                <w:kern w:val="0"/>
                <w:sz w:val="24"/>
                <w:szCs w:val="24"/>
                <w:lang w:val="zh-CN"/>
              </w:rPr>
              <w:t>%</w:t>
            </w:r>
          </w:p>
          <w:p w14:paraId="75AB3225">
            <w:pPr>
              <w:widowControl/>
              <w:rPr>
                <w:rFonts w:hint="eastAsia" w:asciiTheme="minorEastAsia" w:hAnsiTheme="minorEastAsia" w:eastAsiaTheme="minorEastAsia" w:cstheme="minorEastAsia"/>
                <w:kern w:val="0"/>
                <w:szCs w:val="21"/>
                <w:lang w:val="zh-CN"/>
              </w:rPr>
            </w:pPr>
            <w:r>
              <w:rPr>
                <w:rFonts w:hint="eastAsia" w:asciiTheme="minorEastAsia" w:hAnsiTheme="minorEastAsia" w:eastAsiaTheme="minorEastAsia" w:cstheme="minorEastAsia"/>
                <w:kern w:val="0"/>
                <w:szCs w:val="21"/>
                <w:lang w:val="zh-CN"/>
              </w:rPr>
              <w:t>[磋商]根据《政府采购竞争性磋商采购方式管理暂行办法》（财库〔2014〕214号）的规定，服务项目的价格分值占总分值的比重(即权值)为10%-30%。</w:t>
            </w:r>
          </w:p>
          <w:p w14:paraId="395F2E44">
            <w:pPr>
              <w:widowControl/>
              <w:rPr>
                <w:rFonts w:hint="eastAsia" w:asciiTheme="minorEastAsia" w:hAnsiTheme="minorEastAsia" w:eastAsiaTheme="minorEastAsia" w:cstheme="minorEastAsia"/>
                <w:kern w:val="0"/>
                <w:szCs w:val="21"/>
                <w:lang w:val="zh-CN"/>
              </w:rPr>
            </w:pPr>
            <w:r>
              <w:rPr>
                <w:rFonts w:hint="eastAsia" w:asciiTheme="minorEastAsia" w:hAnsiTheme="minorEastAsia" w:eastAsiaTheme="minorEastAsia" w:cstheme="minorEastAsia"/>
                <w:kern w:val="0"/>
                <w:szCs w:val="21"/>
                <w:lang w:val="zh-CN"/>
              </w:rPr>
              <w:t>[其他采购方式]无须设置。</w:t>
            </w:r>
          </w:p>
        </w:tc>
      </w:tr>
      <w:tr w14:paraId="5012E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89" w:type="dxa"/>
            <w:vAlign w:val="center"/>
          </w:tcPr>
          <w:p w14:paraId="602EB6D1">
            <w:pPr>
              <w:snapToGrid w:val="0"/>
              <w:spacing w:after="20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9</w:t>
            </w:r>
          </w:p>
        </w:tc>
        <w:tc>
          <w:tcPr>
            <w:tcW w:w="1556" w:type="dxa"/>
            <w:vAlign w:val="center"/>
          </w:tcPr>
          <w:p w14:paraId="5A4DB4E4">
            <w:pPr>
              <w:pStyle w:val="33"/>
              <w:ind w:left="96"/>
              <w:jc w:val="center"/>
              <w:rPr>
                <w:rFonts w:hint="eastAsia" w:asciiTheme="minorEastAsia" w:hAnsiTheme="minorEastAsia" w:eastAsiaTheme="minorEastAsia" w:cstheme="minorEastAsia"/>
                <w:kern w:val="2"/>
                <w:lang w:val="zh-CN"/>
              </w:rPr>
            </w:pPr>
            <w:r>
              <w:rPr>
                <w:rFonts w:hint="eastAsia" w:asciiTheme="minorEastAsia" w:hAnsiTheme="minorEastAsia" w:eastAsiaTheme="minorEastAsia" w:cstheme="minorEastAsia"/>
                <w:kern w:val="2"/>
                <w:lang w:val="zh-CN"/>
              </w:rPr>
              <w:t>合同类型</w:t>
            </w:r>
          </w:p>
        </w:tc>
        <w:tc>
          <w:tcPr>
            <w:tcW w:w="7067" w:type="dxa"/>
            <w:vAlign w:val="center"/>
          </w:tcPr>
          <w:p w14:paraId="11F79658">
            <w:pPr>
              <w:rPr>
                <w:rFonts w:hint="eastAsia" w:asciiTheme="minorEastAsia" w:hAnsiTheme="minorEastAsia" w:eastAsiaTheme="minorEastAsia" w:cstheme="minorEastAsia"/>
                <w:b/>
                <w:sz w:val="24"/>
                <w:lang w:val="zh-CN"/>
              </w:rPr>
            </w:pPr>
            <w:r>
              <w:rPr>
                <w:rFonts w:hint="eastAsia" w:asciiTheme="minorEastAsia" w:hAnsiTheme="minorEastAsia" w:eastAsiaTheme="minorEastAsia" w:cstheme="minorEastAsia"/>
                <w:b/>
                <w:sz w:val="24"/>
                <w:lang w:val="zh-CN"/>
              </w:rPr>
              <w:fldChar w:fldCharType="begin"/>
            </w:r>
            <w:r>
              <w:rPr>
                <w:rFonts w:hint="eastAsia" w:asciiTheme="minorEastAsia" w:hAnsiTheme="minorEastAsia" w:eastAsiaTheme="minorEastAsia" w:cstheme="minorEastAsia"/>
                <w:b/>
                <w:sz w:val="24"/>
                <w:lang w:val="zh-CN"/>
              </w:rPr>
              <w:instrText xml:space="preserve"> eq \o\ac(○,√)</w:instrText>
            </w:r>
            <w:r>
              <w:rPr>
                <w:rFonts w:hint="eastAsia" w:asciiTheme="minorEastAsia" w:hAnsiTheme="minorEastAsia" w:eastAsiaTheme="minorEastAsia" w:cstheme="minorEastAsia"/>
                <w:b/>
                <w:sz w:val="24"/>
                <w:lang w:val="zh-CN"/>
              </w:rPr>
              <w:fldChar w:fldCharType="end"/>
            </w:r>
            <w:r>
              <w:rPr>
                <w:rFonts w:hint="eastAsia" w:asciiTheme="minorEastAsia" w:hAnsiTheme="minorEastAsia" w:eastAsiaTheme="minorEastAsia" w:cstheme="minorEastAsia"/>
                <w:b/>
                <w:sz w:val="24"/>
                <w:lang w:val="zh-CN"/>
              </w:rPr>
              <w:t>固定总价</w:t>
            </w:r>
          </w:p>
          <w:p w14:paraId="130264AA">
            <w:pPr>
              <w:rPr>
                <w:rFonts w:hint="eastAsia" w:asciiTheme="minorEastAsia" w:hAnsiTheme="minorEastAsia" w:eastAsiaTheme="minorEastAsia" w:cstheme="minorEastAsia"/>
                <w:b/>
                <w:sz w:val="24"/>
                <w:lang w:val="zh-CN"/>
              </w:rPr>
            </w:pPr>
            <w:r>
              <w:rPr>
                <w:rFonts w:hint="eastAsia" w:asciiTheme="minorEastAsia" w:hAnsiTheme="minorEastAsia" w:eastAsiaTheme="minorEastAsia" w:cstheme="minorEastAsia"/>
                <w:b/>
                <w:sz w:val="24"/>
                <w:lang w:val="zh-CN"/>
              </w:rPr>
              <w:t>○固定单价（适用于采购数量不定的情形）</w:t>
            </w:r>
          </w:p>
          <w:p w14:paraId="5E52279D">
            <w:pPr>
              <w:rPr>
                <w:rFonts w:hint="eastAsia" w:asciiTheme="minorEastAsia" w:hAnsiTheme="minorEastAsia" w:eastAsiaTheme="minorEastAsia" w:cstheme="minorEastAsia"/>
                <w:sz w:val="24"/>
                <w:lang w:val="zh-CN"/>
              </w:rPr>
            </w:pPr>
            <w:r>
              <w:rPr>
                <w:rFonts w:hint="eastAsia" w:asciiTheme="minorEastAsia" w:hAnsiTheme="minorEastAsia" w:eastAsiaTheme="minorEastAsia" w:cstheme="minorEastAsia"/>
                <w:b/>
                <w:sz w:val="24"/>
                <w:lang w:val="zh-CN"/>
              </w:rPr>
              <w:t>○其他：_____________________________</w:t>
            </w:r>
          </w:p>
        </w:tc>
      </w:tr>
      <w:tr w14:paraId="74E6D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89" w:type="dxa"/>
            <w:vAlign w:val="center"/>
          </w:tcPr>
          <w:p w14:paraId="19833578">
            <w:pPr>
              <w:snapToGrid w:val="0"/>
              <w:spacing w:after="20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10</w:t>
            </w:r>
          </w:p>
        </w:tc>
        <w:tc>
          <w:tcPr>
            <w:tcW w:w="1556" w:type="dxa"/>
            <w:vAlign w:val="center"/>
          </w:tcPr>
          <w:p w14:paraId="2EBB6042">
            <w:pPr>
              <w:tabs>
                <w:tab w:val="left" w:pos="7665"/>
              </w:tabs>
              <w:snapToGrid w:val="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争议解决途径</w:t>
            </w:r>
          </w:p>
        </w:tc>
        <w:tc>
          <w:tcPr>
            <w:tcW w:w="7067" w:type="dxa"/>
            <w:vAlign w:val="center"/>
          </w:tcPr>
          <w:p w14:paraId="01EB92BF">
            <w:pPr>
              <w:tabs>
                <w:tab w:val="left" w:pos="7665"/>
              </w:tabs>
              <w:snapToGrid w:val="0"/>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fldChar w:fldCharType="begin"/>
            </w:r>
            <w:r>
              <w:rPr>
                <w:rFonts w:hint="eastAsia" w:asciiTheme="minorEastAsia" w:hAnsiTheme="minorEastAsia" w:eastAsiaTheme="minorEastAsia" w:cstheme="minorEastAsia"/>
                <w:b/>
                <w:sz w:val="24"/>
              </w:rPr>
              <w:instrText xml:space="preserve"> eq \o\ac(○,√)</w:instrText>
            </w:r>
            <w:r>
              <w:rPr>
                <w:rFonts w:hint="eastAsia" w:asciiTheme="minorEastAsia" w:hAnsiTheme="minorEastAsia" w:eastAsiaTheme="minorEastAsia" w:cstheme="minorEastAsia"/>
                <w:b/>
                <w:sz w:val="24"/>
              </w:rPr>
              <w:fldChar w:fldCharType="end"/>
            </w:r>
            <w:r>
              <w:rPr>
                <w:rFonts w:hint="eastAsia" w:asciiTheme="minorEastAsia" w:hAnsiTheme="minorEastAsia" w:eastAsiaTheme="minorEastAsia" w:cstheme="minorEastAsia"/>
                <w:b/>
                <w:sz w:val="24"/>
              </w:rPr>
              <w:t>向有管辖权的人民法院提起诉讼</w:t>
            </w:r>
          </w:p>
          <w:p w14:paraId="47236067">
            <w:pPr>
              <w:tabs>
                <w:tab w:val="left" w:pos="7665"/>
              </w:tabs>
              <w:snapToGrid w:val="0"/>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○向西安仲裁委员会提请仲裁</w:t>
            </w:r>
          </w:p>
          <w:p w14:paraId="4B6F778D">
            <w:pPr>
              <w:tabs>
                <w:tab w:val="left" w:pos="7665"/>
              </w:tabs>
              <w:snapToGrid w:val="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sz w:val="24"/>
              </w:rPr>
              <w:t>○由供应商做出选择</w:t>
            </w:r>
          </w:p>
        </w:tc>
      </w:tr>
      <w:tr w14:paraId="4123E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89" w:type="dxa"/>
            <w:vAlign w:val="center"/>
          </w:tcPr>
          <w:p w14:paraId="575FC82F">
            <w:pPr>
              <w:snapToGrid w:val="0"/>
              <w:spacing w:after="20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11</w:t>
            </w:r>
          </w:p>
        </w:tc>
        <w:tc>
          <w:tcPr>
            <w:tcW w:w="1556" w:type="dxa"/>
            <w:vAlign w:val="center"/>
          </w:tcPr>
          <w:p w14:paraId="5B0741AD">
            <w:pPr>
              <w:snapToGrid w:val="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联系方式</w:t>
            </w:r>
          </w:p>
        </w:tc>
        <w:tc>
          <w:tcPr>
            <w:tcW w:w="7067" w:type="dxa"/>
            <w:vAlign w:val="center"/>
          </w:tcPr>
          <w:p w14:paraId="28C500DD">
            <w:pPr>
              <w:tabs>
                <w:tab w:val="left" w:pos="7665"/>
              </w:tabs>
              <w:snapToGrid w:val="0"/>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项目对接人：</w:t>
            </w:r>
            <w:r>
              <w:rPr>
                <w:rFonts w:hint="eastAsia" w:asciiTheme="minorEastAsia" w:hAnsiTheme="minorEastAsia" w:eastAsiaTheme="minorEastAsia" w:cstheme="minorEastAsia"/>
                <w:b/>
                <w:bCs/>
                <w:sz w:val="24"/>
                <w:u w:val="single"/>
              </w:rPr>
              <w:t xml:space="preserve">       杨生荣      </w:t>
            </w:r>
          </w:p>
          <w:p w14:paraId="2DDDE431">
            <w:pPr>
              <w:tabs>
                <w:tab w:val="left" w:pos="7665"/>
              </w:tabs>
              <w:snapToGrid w:val="0"/>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 xml:space="preserve">联系电话：  </w:t>
            </w:r>
            <w:r>
              <w:rPr>
                <w:rFonts w:hint="eastAsia" w:asciiTheme="minorEastAsia" w:hAnsiTheme="minorEastAsia" w:eastAsiaTheme="minorEastAsia" w:cstheme="minorEastAsia"/>
                <w:b/>
                <w:bCs/>
                <w:sz w:val="24"/>
                <w:u w:val="single"/>
              </w:rPr>
              <w:t xml:space="preserve">    13319250076    </w:t>
            </w:r>
          </w:p>
          <w:p w14:paraId="2970CF58">
            <w:pPr>
              <w:tabs>
                <w:tab w:val="left" w:pos="7665"/>
              </w:tabs>
              <w:snapToGrid w:val="0"/>
              <w:spacing w:line="48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bCs/>
                <w:sz w:val="24"/>
              </w:rPr>
              <w:t xml:space="preserve">电子邮箱：  </w:t>
            </w:r>
            <w:r>
              <w:rPr>
                <w:rFonts w:hint="eastAsia" w:asciiTheme="minorEastAsia" w:hAnsiTheme="minorEastAsia" w:eastAsiaTheme="minorEastAsia" w:cstheme="minorEastAsia"/>
                <w:b/>
                <w:bCs/>
                <w:sz w:val="24"/>
                <w:u w:val="single"/>
              </w:rPr>
              <w:t xml:space="preserve">  </w:t>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"mailto:17667811@qq.com" </w:instrText>
            </w:r>
            <w:r>
              <w:rPr>
                <w:rFonts w:hint="eastAsia" w:asciiTheme="minorEastAsia" w:hAnsiTheme="minorEastAsia" w:eastAsiaTheme="minorEastAsia" w:cstheme="minorEastAsia"/>
              </w:rPr>
              <w:fldChar w:fldCharType="separate"/>
            </w:r>
            <w:r>
              <w:rPr>
                <w:rStyle w:val="11"/>
                <w:rFonts w:hint="eastAsia" w:asciiTheme="minorEastAsia" w:hAnsiTheme="minorEastAsia" w:eastAsiaTheme="minorEastAsia" w:cstheme="minorEastAsia"/>
                <w:b/>
                <w:bCs/>
                <w:sz w:val="24"/>
              </w:rPr>
              <w:t>17667811@qq.com</w:t>
            </w:r>
            <w:r>
              <w:rPr>
                <w:rStyle w:val="11"/>
                <w:rFonts w:hint="eastAsia" w:asciiTheme="minorEastAsia" w:hAnsiTheme="minorEastAsia" w:eastAsiaTheme="minorEastAsia" w:cstheme="minorEastAsia"/>
                <w:b/>
                <w:bCs/>
                <w:sz w:val="24"/>
              </w:rPr>
              <w:fldChar w:fldCharType="end"/>
            </w:r>
            <w:r>
              <w:rPr>
                <w:rFonts w:hint="eastAsia" w:asciiTheme="minorEastAsia" w:hAnsiTheme="minorEastAsia" w:eastAsiaTheme="minorEastAsia" w:cstheme="minorEastAsia"/>
                <w:b/>
                <w:bCs/>
                <w:sz w:val="24"/>
                <w:u w:val="single"/>
              </w:rPr>
              <w:t xml:space="preserve">  </w:t>
            </w:r>
          </w:p>
        </w:tc>
      </w:tr>
    </w:tbl>
    <w:p w14:paraId="6221D762">
      <w:pPr>
        <w:widowControl/>
        <w:jc w:val="center"/>
        <w:rPr>
          <w:rFonts w:hint="eastAsia" w:asciiTheme="minorEastAsia" w:hAnsiTheme="minorEastAsia" w:eastAsiaTheme="minorEastAsia" w:cstheme="minorEastAsia"/>
          <w:b/>
          <w:sz w:val="32"/>
          <w:szCs w:val="32"/>
        </w:rPr>
      </w:pPr>
    </w:p>
    <w:p w14:paraId="37A3B4BE">
      <w:pPr>
        <w:widowControl/>
        <w:jc w:val="left"/>
        <w:rPr>
          <w:rFonts w:hint="eastAsia" w:asciiTheme="minorEastAsia" w:hAnsiTheme="minorEastAsia" w:eastAsiaTheme="minorEastAsia" w:cstheme="minorEastAsia"/>
          <w:b/>
          <w:sz w:val="32"/>
          <w:szCs w:val="32"/>
        </w:rPr>
      </w:pPr>
      <w:r>
        <w:rPr>
          <w:rFonts w:hint="eastAsia" w:asciiTheme="minorEastAsia" w:hAnsiTheme="minorEastAsia" w:eastAsiaTheme="minorEastAsia" w:cstheme="minorEastAsia"/>
          <w:b/>
          <w:sz w:val="32"/>
          <w:szCs w:val="32"/>
        </w:rPr>
        <w:br w:type="page"/>
      </w:r>
    </w:p>
    <w:p w14:paraId="4B2A4B31">
      <w:pPr>
        <w:widowControl/>
        <w:jc w:val="center"/>
        <w:rPr>
          <w:rFonts w:hint="eastAsia" w:asciiTheme="minorEastAsia" w:hAnsiTheme="minorEastAsia" w:eastAsiaTheme="minorEastAsia" w:cstheme="minorEastAsia"/>
          <w:b/>
          <w:sz w:val="32"/>
          <w:szCs w:val="32"/>
        </w:rPr>
      </w:pPr>
      <w:r>
        <w:rPr>
          <w:rFonts w:hint="eastAsia" w:asciiTheme="minorEastAsia" w:hAnsiTheme="minorEastAsia" w:eastAsiaTheme="minorEastAsia" w:cstheme="minorEastAsia"/>
          <w:b/>
          <w:sz w:val="32"/>
          <w:szCs w:val="32"/>
        </w:rPr>
        <w:t>需求框架（服务类）</w:t>
      </w:r>
    </w:p>
    <w:p w14:paraId="26FEE8B3">
      <w:pPr>
        <w:numPr>
          <w:ilvl w:val="0"/>
          <w:numId w:val="1"/>
        </w:numPr>
        <w:pBdr>
          <w:bottom w:val="single" w:color="auto" w:sz="4" w:space="1"/>
        </w:pBdr>
        <w:spacing w:beforeLines="100"/>
        <w:ind w:left="420" w:hanging="420"/>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项目概况</w:t>
      </w:r>
    </w:p>
    <w:p w14:paraId="786009D7">
      <w:pPr>
        <w:ind w:firstLine="560" w:firstLineChars="200"/>
        <w:rPr>
          <w:rFonts w:hint="eastAsia" w:asciiTheme="minorEastAsia" w:hAnsiTheme="minorEastAsia" w:eastAsiaTheme="minorEastAsia" w:cstheme="minorEastAsia"/>
          <w:color w:val="FF0000"/>
          <w:sz w:val="24"/>
          <w:szCs w:val="28"/>
        </w:rPr>
      </w:pPr>
      <w:r>
        <w:rPr>
          <w:rFonts w:hint="eastAsia" w:asciiTheme="minorEastAsia" w:hAnsiTheme="minorEastAsia" w:eastAsiaTheme="minorEastAsia" w:cstheme="minorEastAsia"/>
          <w:sz w:val="28"/>
          <w:szCs w:val="28"/>
        </w:rPr>
        <w:t>为落实西安市基础教育提升三年行动计划，自2020年春季起西安市幼儿园、小学、初中三个学段的教师资格认定工作由各区县负责，每年两次。教师资料认定工作涉及环节较多，人员集中，资料繁杂，对申请人在各个环节提交的各项数据的准确程度要求高，对申请书打印、资格证书打印制作设备要求较高。为了高效完成此项工作，本次采购202</w:t>
      </w:r>
      <w:r>
        <w:rPr>
          <w:rFonts w:hint="eastAsia" w:asciiTheme="minorEastAsia" w:hAnsiTheme="minorEastAsia" w:eastAsiaTheme="minorEastAsia" w:cstheme="minorEastAsia"/>
          <w:sz w:val="28"/>
          <w:szCs w:val="28"/>
          <w:lang w:val="en-US" w:eastAsia="zh-CN"/>
        </w:rPr>
        <w:t>6</w:t>
      </w:r>
      <w:r>
        <w:rPr>
          <w:rFonts w:hint="eastAsia" w:asciiTheme="minorEastAsia" w:hAnsiTheme="minorEastAsia" w:eastAsiaTheme="minorEastAsia" w:cstheme="minorEastAsia"/>
          <w:sz w:val="28"/>
          <w:szCs w:val="28"/>
        </w:rPr>
        <w:t>年度教师资格认定服务工作。</w:t>
      </w:r>
    </w:p>
    <w:p w14:paraId="61CE2C1D">
      <w:pPr>
        <w:pBdr>
          <w:bottom w:val="single" w:color="auto" w:sz="4" w:space="1"/>
        </w:pBdr>
        <w:spacing w:beforeLines="100"/>
        <w:ind w:left="455" w:leftChars="83" w:hanging="281" w:hangingChars="100"/>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lang w:eastAsia="zh-CN"/>
        </w:rPr>
        <w:t>二、</w:t>
      </w:r>
      <w:r>
        <w:rPr>
          <w:rFonts w:hint="eastAsia" w:asciiTheme="minorEastAsia" w:hAnsiTheme="minorEastAsia" w:eastAsiaTheme="minorEastAsia" w:cstheme="minorEastAsia"/>
          <w:b/>
          <w:sz w:val="28"/>
          <w:szCs w:val="28"/>
        </w:rPr>
        <w:t>服务内容</w:t>
      </w:r>
    </w:p>
    <w:p w14:paraId="08E6809C">
      <w:pPr>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xml:space="preserve"> 完成西安市莲湖区2026年全年两次的教师资格认定工作，要求提供预约系统在体检、现场确认、发证阶段进行预约；按照莲湖区2026年教师资格认定安排进行现场确认、制证、发证，并对教师资格档案进行整理扫描归档。</w:t>
      </w:r>
    </w:p>
    <w:p w14:paraId="39D9B731">
      <w:pPr>
        <w:pBdr>
          <w:bottom w:val="single" w:color="auto" w:sz="4" w:space="1"/>
        </w:pBdr>
        <w:spacing w:beforeLines="100"/>
        <w:ind w:left="455" w:leftChars="83" w:hanging="281" w:hangingChars="100"/>
        <w:rPr>
          <w:rFonts w:hint="eastAsia" w:asciiTheme="minorEastAsia" w:hAnsiTheme="minorEastAsia" w:eastAsiaTheme="minorEastAsia" w:cstheme="minorEastAsia"/>
          <w:b/>
          <w:sz w:val="28"/>
          <w:szCs w:val="28"/>
          <w:lang w:eastAsia="zh-CN"/>
        </w:rPr>
      </w:pPr>
      <w:bookmarkStart w:id="0" w:name="_Toc18778"/>
      <w:r>
        <w:rPr>
          <w:rFonts w:hint="eastAsia" w:asciiTheme="minorEastAsia" w:hAnsiTheme="minorEastAsia" w:eastAsiaTheme="minorEastAsia" w:cstheme="minorEastAsia"/>
          <w:b/>
          <w:sz w:val="28"/>
          <w:szCs w:val="28"/>
          <w:lang w:eastAsia="zh-CN"/>
        </w:rPr>
        <w:t>三、</w:t>
      </w:r>
      <w:r>
        <w:rPr>
          <w:rFonts w:hint="eastAsia" w:asciiTheme="minorEastAsia" w:hAnsiTheme="minorEastAsia" w:eastAsiaTheme="minorEastAsia" w:cstheme="minorEastAsia"/>
          <w:b/>
          <w:sz w:val="28"/>
          <w:szCs w:val="28"/>
        </w:rPr>
        <w:t>技术</w:t>
      </w:r>
      <w:r>
        <w:rPr>
          <w:rFonts w:hint="eastAsia" w:asciiTheme="minorEastAsia" w:hAnsiTheme="minorEastAsia" w:eastAsiaTheme="minorEastAsia" w:cstheme="minorEastAsia"/>
          <w:b/>
          <w:sz w:val="28"/>
          <w:szCs w:val="28"/>
          <w:lang w:eastAsia="zh-CN"/>
        </w:rPr>
        <w:t>要求</w:t>
      </w:r>
      <w:bookmarkEnd w:id="0"/>
    </w:p>
    <w:p w14:paraId="37A2AEB2">
      <w:pPr>
        <w:ind w:firstLine="560" w:firstLineChars="200"/>
        <w:rPr>
          <w:rFonts w:hint="eastAsia" w:asciiTheme="minorEastAsia" w:hAnsiTheme="minorEastAsia" w:eastAsiaTheme="minorEastAsia" w:cstheme="minorEastAsia"/>
          <w:b/>
          <w:sz w:val="28"/>
          <w:szCs w:val="28"/>
          <w:lang w:val="en-US" w:eastAsia="zh-CN"/>
        </w:rPr>
      </w:pPr>
      <w:bookmarkStart w:id="1" w:name="_Toc28107"/>
      <w:r>
        <w:rPr>
          <w:rFonts w:hint="eastAsia" w:asciiTheme="minorEastAsia" w:hAnsiTheme="minorEastAsia" w:eastAsiaTheme="minorEastAsia" w:cstheme="minorEastAsia"/>
          <w:sz w:val="28"/>
          <w:szCs w:val="28"/>
          <w:lang w:val="en-US" w:eastAsia="zh-CN"/>
        </w:rPr>
        <w:t>要求提供预约系统用于体检预约、现场确认预约、发证预约。预约系统需对注册登录人员进行识别，未在莲湖区报名申请教师资格认定的人员，不允许注册。在注册时需使用发送短信验证码的方式进行身份验证。在体检预约时可自动显示莲湖区指定医院，并能按医院显示已放号及剩余可预约号。预约成功后显示预约日期及预约医院，并可撤销重新预约。体检完成后可显示体检结果及需复检信息。现场确认预约需限制未体检人员及体检不合格人员进行预约。体检合格人员方可进行现场确认预约。现场确认预约可设置上午、下午、全天，并按设置一次性显示所有可预约号源，可手动设置号源数量并可随时对号源数量进行调整。发证预约可设置上午、下午、全天，并按设置一次性显示所有可预约号源，可手动设置号源数量并可随时对号源数量进行调整。对选择邮寄的申请人可显示邮寄单号，以便申请人查询物流进度。</w:t>
      </w:r>
    </w:p>
    <w:bookmarkEnd w:id="1"/>
    <w:p w14:paraId="4DF97658">
      <w:pPr>
        <w:pBdr>
          <w:bottom w:val="single" w:color="auto" w:sz="4" w:space="1"/>
        </w:pBdr>
        <w:spacing w:beforeLines="100"/>
        <w:ind w:left="454" w:leftChars="216" w:firstLine="0" w:firstLineChars="0"/>
        <w:rPr>
          <w:rFonts w:hint="eastAsia" w:asciiTheme="minorEastAsia" w:hAnsiTheme="minorEastAsia" w:eastAsiaTheme="minorEastAsia" w:cstheme="minorEastAsia"/>
          <w:b/>
          <w:sz w:val="28"/>
          <w:szCs w:val="28"/>
          <w:lang w:val="en-US" w:eastAsia="zh-CN"/>
        </w:rPr>
      </w:pPr>
      <w:bookmarkStart w:id="2" w:name="_Toc25806"/>
      <w:r>
        <w:rPr>
          <w:rFonts w:hint="eastAsia" w:asciiTheme="minorEastAsia" w:hAnsiTheme="minorEastAsia" w:eastAsiaTheme="minorEastAsia" w:cstheme="minorEastAsia"/>
          <w:b/>
          <w:sz w:val="28"/>
          <w:szCs w:val="28"/>
          <w:lang w:val="en-US" w:eastAsia="zh-CN"/>
        </w:rPr>
        <w:t>四、服务要求</w:t>
      </w:r>
    </w:p>
    <w:bookmarkEnd w:id="2"/>
    <w:p w14:paraId="08D6831B">
      <w:pPr>
        <w:ind w:firstLine="560" w:firstLineChars="200"/>
        <w:rPr>
          <w:rFonts w:hint="eastAsia" w:asciiTheme="minorEastAsia" w:hAnsiTheme="minorEastAsia" w:eastAsiaTheme="minorEastAsia" w:cstheme="minorEastAsia"/>
          <w:sz w:val="28"/>
          <w:szCs w:val="28"/>
          <w:lang w:val="en-US" w:eastAsia="zh-CN"/>
        </w:rPr>
      </w:pPr>
      <w:bookmarkStart w:id="3" w:name="_Toc18993"/>
      <w:r>
        <w:rPr>
          <w:rFonts w:hint="eastAsia" w:asciiTheme="minorEastAsia" w:hAnsiTheme="minorEastAsia" w:eastAsiaTheme="minorEastAsia" w:cstheme="minorEastAsia"/>
          <w:sz w:val="28"/>
          <w:szCs w:val="28"/>
          <w:lang w:val="en-US" w:eastAsia="zh-CN"/>
        </w:rPr>
        <w:t>按照现场认定工作安排和要求，对申请人现场提交的学历证书、普通话证书等进行核验、分类、整理，并将受理结果提交至中国教师资格网；将医院返回的所有体检报告进行分类，首先区分合格与不合格人员的体检报告，再把所有体检报告按照学段、学科进行分类、核对，按学段、学科把所有的体检报告数量进行清点；核查所有体检报告上的医生签字是否齐全，结论是否正确，是否盖有医院体检章；将所有申请人在认定现场提交的申请材料按学段、学科进行分类，并按学段、学科顺序进行整理；将申请资料、教师资格网认定数据状态进行逐一核对，打印申请人的申请表格；打印教师资格证书；在教师资格证书和申请表上粘贴照片并加盖认定机构公章、钢印；将需邮寄人员证书及档案分类取出，并将剩余证书按学段、学科进行分类，以便现场进行发放。</w:t>
      </w:r>
    </w:p>
    <w:bookmarkEnd w:id="3"/>
    <w:p w14:paraId="2F5A85B7">
      <w:pPr>
        <w:ind w:firstLine="560" w:firstLineChars="200"/>
        <w:rPr>
          <w:rFonts w:hint="eastAsia" w:asciiTheme="minorEastAsia" w:hAnsiTheme="minorEastAsia" w:eastAsiaTheme="minorEastAsia" w:cstheme="minorEastAsia"/>
          <w:sz w:val="28"/>
          <w:szCs w:val="28"/>
          <w:lang w:val="en-US" w:eastAsia="zh-CN"/>
        </w:rPr>
      </w:pPr>
      <w:bookmarkStart w:id="4" w:name="_Toc5239"/>
      <w:r>
        <w:rPr>
          <w:rFonts w:hint="eastAsia" w:asciiTheme="minorEastAsia" w:hAnsiTheme="minorEastAsia" w:eastAsiaTheme="minorEastAsia" w:cstheme="minorEastAsia"/>
          <w:sz w:val="28"/>
          <w:szCs w:val="28"/>
          <w:lang w:val="en-US" w:eastAsia="zh-CN"/>
        </w:rPr>
        <w:t>按照现场发证工作安排和要求，逐一核对领证人员身份信息，将申请表和教师资格证书准确的发放，并将未能现场发放的证书运送至乙方指定地点。</w:t>
      </w:r>
    </w:p>
    <w:bookmarkEnd w:id="4"/>
    <w:p w14:paraId="6A5874DD">
      <w:pPr>
        <w:ind w:firstLine="560" w:firstLineChars="200"/>
        <w:rPr>
          <w:rFonts w:hint="eastAsia" w:asciiTheme="minorEastAsia" w:hAnsiTheme="minorEastAsia" w:eastAsiaTheme="minorEastAsia" w:cstheme="minorEastAsia"/>
          <w:sz w:val="28"/>
          <w:szCs w:val="28"/>
          <w:lang w:val="en-US" w:eastAsia="zh-CN"/>
        </w:rPr>
      </w:pPr>
      <w:bookmarkStart w:id="5" w:name="_Toc31046"/>
      <w:r>
        <w:rPr>
          <w:rFonts w:hint="eastAsia" w:asciiTheme="minorEastAsia" w:hAnsiTheme="minorEastAsia" w:eastAsiaTheme="minorEastAsia" w:cstheme="minorEastAsia"/>
          <w:sz w:val="28"/>
          <w:szCs w:val="28"/>
          <w:lang w:val="en-US" w:eastAsia="zh-CN"/>
        </w:rPr>
        <w:t>完成教师资格认定资料的整理排架工作，按照甲方要求将在整个认定中申请人提交的材料、打印后的申请书、医院返回的体检表、领证时提交的材料进行全部组卷，并对每卷材料按学段、学科进行分类、排列、修整、归档、装订、装盒、排架、编目；完成教师资格证档案的电子化扫描工作，包含对整理过的纸质档案进行档案前处理、扫描、规范目录、录入、图像处理、数据质量检验等。</w:t>
      </w:r>
      <w:bookmarkEnd w:id="5"/>
    </w:p>
    <w:p w14:paraId="486E7B80">
      <w:pPr>
        <w:ind w:firstLine="562" w:firstLineChars="200"/>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五、商务要求（如服务期限、款项结算等）</w:t>
      </w:r>
    </w:p>
    <w:p w14:paraId="234B8CF4">
      <w:pPr>
        <w:spacing w:line="40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（一）服务期限</w:t>
      </w:r>
    </w:p>
    <w:p w14:paraId="3DC8FE5C">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服务期限：自合同</w:t>
      </w:r>
      <w:r>
        <w:rPr>
          <w:rFonts w:hint="eastAsia" w:asciiTheme="minorEastAsia" w:hAnsiTheme="minorEastAsia" w:eastAsiaTheme="minorEastAsia" w:cstheme="minorEastAsia"/>
          <w:sz w:val="28"/>
          <w:szCs w:val="28"/>
          <w:lang w:eastAsia="zh-CN"/>
        </w:rPr>
        <w:t>签定</w:t>
      </w:r>
      <w:bookmarkStart w:id="6" w:name="_GoBack"/>
      <w:bookmarkEnd w:id="6"/>
      <w:r>
        <w:rPr>
          <w:rFonts w:hint="eastAsia" w:asciiTheme="minorEastAsia" w:hAnsiTheme="minorEastAsia" w:eastAsiaTheme="minorEastAsia" w:cstheme="minorEastAsia"/>
          <w:sz w:val="28"/>
          <w:szCs w:val="28"/>
        </w:rPr>
        <w:t>之日起至项目结束。</w:t>
      </w:r>
    </w:p>
    <w:p w14:paraId="7E35EB0B">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（二）款项结算</w:t>
      </w:r>
    </w:p>
    <w:p w14:paraId="4F4E0C25">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在全年认定结束并验收合格后，支付合同总价</w:t>
      </w:r>
      <w:r>
        <w:rPr>
          <w:rFonts w:hint="eastAsia" w:asciiTheme="minorEastAsia" w:hAnsiTheme="minorEastAsia" w:eastAsiaTheme="minorEastAsia" w:cstheme="minorEastAsia"/>
          <w:sz w:val="28"/>
          <w:szCs w:val="28"/>
          <w:lang w:val="en-US" w:eastAsia="zh-CN"/>
        </w:rPr>
        <w:t>全额</w:t>
      </w:r>
      <w:r>
        <w:rPr>
          <w:rFonts w:hint="eastAsia" w:asciiTheme="minorEastAsia" w:hAnsiTheme="minorEastAsia" w:eastAsiaTheme="minorEastAsia" w:cstheme="minorEastAsia"/>
          <w:sz w:val="28"/>
          <w:szCs w:val="28"/>
        </w:rPr>
        <w:t>。</w:t>
      </w:r>
    </w:p>
    <w:p w14:paraId="553337E8">
      <w:pPr>
        <w:pBdr>
          <w:bottom w:val="single" w:color="auto" w:sz="4" w:space="1"/>
        </w:pBdr>
        <w:spacing w:beforeLines="100"/>
        <w:ind w:firstLine="562" w:firstLineChars="200"/>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六、其他（如有要求，请写明）</w:t>
      </w:r>
    </w:p>
    <w:sectPr>
      <w:headerReference r:id="rId3" w:type="default"/>
      <w:footerReference r:id="rId4" w:type="default"/>
      <w:pgSz w:w="11906" w:h="16838"/>
      <w:pgMar w:top="1440" w:right="1800" w:bottom="1135"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文中宋">
    <w:panose1 w:val="02010600040101010101"/>
    <w:charset w:val="86"/>
    <w:family w:val="auto"/>
    <w:pitch w:val="default"/>
    <w:sig w:usb0="00000287" w:usb1="080F0000" w:usb2="00000000" w:usb3="00000000" w:csb0="0004009F" w:csb1="DFD70000"/>
  </w:font>
  <w:font w:name="Calibri Light">
    <w:altName w:val="Calibri"/>
    <w:panose1 w:val="020F0302020204030204"/>
    <w:charset w:val="00"/>
    <w:family w:val="swiss"/>
    <w:pitch w:val="default"/>
    <w:sig w:usb0="00000000" w:usb1="00000000" w:usb2="00000000" w:usb3="00000000" w:csb0="2000019F" w:csb1="00000000"/>
  </w:font>
  <w:font w:name="华文仿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69C715">
    <w:pPr>
      <w:pStyle w:val="6"/>
    </w:pPr>
    <w:r>
      <w:rPr>
        <w:sz w:val="18"/>
      </w:rPr>
      <w:pict>
        <v:shape id="文本框 16" o:spid="_x0000_s4097"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path/>
          <v:fill on="f" focussize="0,0"/>
          <v:stroke on="f" weight="0.5pt"/>
          <v:imagedata o:title=""/>
          <o:lock v:ext="edit" aspectratio="f"/>
          <v:textbox inset="0mm,0mm,0mm,0mm" style="mso-fit-shape-to-text:t;">
            <w:txbxContent>
              <w:p w14:paraId="1D9A3DCB">
                <w:pPr>
                  <w:pStyle w:val="6"/>
                </w:pPr>
                <w:r>
                  <w:fldChar w:fldCharType="begin"/>
                </w:r>
                <w:r>
                  <w:instrText xml:space="preserve"> PAGE  \* MERGEFORMAT </w:instrText>
                </w:r>
                <w:r>
                  <w:fldChar w:fldCharType="separate"/>
                </w:r>
                <w:r>
                  <w:t>20</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0C2FA7">
    <w:pPr>
      <w:spacing w:line="193" w:lineRule="auto"/>
      <w:rPr>
        <w:rFonts w:ascii="楷体" w:hAnsi="楷体" w:eastAsia="楷体" w:cs="楷体"/>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BF9306"/>
    <w:multiLevelType w:val="singleLevel"/>
    <w:tmpl w:val="ABBF930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c4NzJiZWZkN2YzMjQ0NmVjNzdmZmNkZTRiMTJjNjcifQ=="/>
  </w:docVars>
  <w:rsids>
    <w:rsidRoot w:val="0022387C"/>
    <w:rsid w:val="0000159C"/>
    <w:rsid w:val="000019FA"/>
    <w:rsid w:val="00002BB3"/>
    <w:rsid w:val="00003F53"/>
    <w:rsid w:val="00004F9A"/>
    <w:rsid w:val="00006A52"/>
    <w:rsid w:val="00012137"/>
    <w:rsid w:val="00012844"/>
    <w:rsid w:val="00012F9B"/>
    <w:rsid w:val="00013929"/>
    <w:rsid w:val="00014DAF"/>
    <w:rsid w:val="00015802"/>
    <w:rsid w:val="00016042"/>
    <w:rsid w:val="00022F41"/>
    <w:rsid w:val="00023261"/>
    <w:rsid w:val="000234CF"/>
    <w:rsid w:val="000235C8"/>
    <w:rsid w:val="00027E6B"/>
    <w:rsid w:val="0003251F"/>
    <w:rsid w:val="00032BB4"/>
    <w:rsid w:val="00033377"/>
    <w:rsid w:val="00033B5A"/>
    <w:rsid w:val="00037F2F"/>
    <w:rsid w:val="00037FD3"/>
    <w:rsid w:val="000403A2"/>
    <w:rsid w:val="00040799"/>
    <w:rsid w:val="00040973"/>
    <w:rsid w:val="00043830"/>
    <w:rsid w:val="000440AF"/>
    <w:rsid w:val="00044F32"/>
    <w:rsid w:val="00051EF3"/>
    <w:rsid w:val="000543B4"/>
    <w:rsid w:val="00054879"/>
    <w:rsid w:val="000556F1"/>
    <w:rsid w:val="0005692F"/>
    <w:rsid w:val="00061A13"/>
    <w:rsid w:val="00063EEF"/>
    <w:rsid w:val="00064071"/>
    <w:rsid w:val="00064386"/>
    <w:rsid w:val="00067A39"/>
    <w:rsid w:val="00067D44"/>
    <w:rsid w:val="0007053B"/>
    <w:rsid w:val="00070AA6"/>
    <w:rsid w:val="0007534F"/>
    <w:rsid w:val="0007567A"/>
    <w:rsid w:val="000770B7"/>
    <w:rsid w:val="00077B80"/>
    <w:rsid w:val="000857F2"/>
    <w:rsid w:val="00090002"/>
    <w:rsid w:val="000906B5"/>
    <w:rsid w:val="000911CC"/>
    <w:rsid w:val="000951C6"/>
    <w:rsid w:val="00095A8D"/>
    <w:rsid w:val="00095D4F"/>
    <w:rsid w:val="00096428"/>
    <w:rsid w:val="00097CDB"/>
    <w:rsid w:val="000A0237"/>
    <w:rsid w:val="000A2583"/>
    <w:rsid w:val="000B5ACF"/>
    <w:rsid w:val="000B6858"/>
    <w:rsid w:val="000C048C"/>
    <w:rsid w:val="000C078B"/>
    <w:rsid w:val="000C1146"/>
    <w:rsid w:val="000C21A4"/>
    <w:rsid w:val="000C538D"/>
    <w:rsid w:val="000C59A5"/>
    <w:rsid w:val="000D0AF3"/>
    <w:rsid w:val="000D0DE1"/>
    <w:rsid w:val="000D1277"/>
    <w:rsid w:val="000D4097"/>
    <w:rsid w:val="000E3FB5"/>
    <w:rsid w:val="000E6AE7"/>
    <w:rsid w:val="000F0C8A"/>
    <w:rsid w:val="000F1A9A"/>
    <w:rsid w:val="000F27AD"/>
    <w:rsid w:val="000F2BEC"/>
    <w:rsid w:val="000F35AB"/>
    <w:rsid w:val="000F3645"/>
    <w:rsid w:val="000F4ECB"/>
    <w:rsid w:val="000F66FE"/>
    <w:rsid w:val="000F6831"/>
    <w:rsid w:val="000F6A10"/>
    <w:rsid w:val="000F735B"/>
    <w:rsid w:val="000F7DA6"/>
    <w:rsid w:val="00100C1B"/>
    <w:rsid w:val="00103379"/>
    <w:rsid w:val="00106530"/>
    <w:rsid w:val="00107B8A"/>
    <w:rsid w:val="001101BD"/>
    <w:rsid w:val="00111F0F"/>
    <w:rsid w:val="001131D6"/>
    <w:rsid w:val="00113B9B"/>
    <w:rsid w:val="00121FC0"/>
    <w:rsid w:val="00122D76"/>
    <w:rsid w:val="001257D4"/>
    <w:rsid w:val="0013015E"/>
    <w:rsid w:val="00131904"/>
    <w:rsid w:val="0013342E"/>
    <w:rsid w:val="001338D9"/>
    <w:rsid w:val="00133ADB"/>
    <w:rsid w:val="00134EE2"/>
    <w:rsid w:val="001351E3"/>
    <w:rsid w:val="00135AA2"/>
    <w:rsid w:val="00135F34"/>
    <w:rsid w:val="00136D4A"/>
    <w:rsid w:val="00137E7B"/>
    <w:rsid w:val="00142244"/>
    <w:rsid w:val="001454AD"/>
    <w:rsid w:val="001455F6"/>
    <w:rsid w:val="001456C7"/>
    <w:rsid w:val="0015361E"/>
    <w:rsid w:val="00156ED5"/>
    <w:rsid w:val="001630D0"/>
    <w:rsid w:val="00164101"/>
    <w:rsid w:val="00164EE1"/>
    <w:rsid w:val="00166FD9"/>
    <w:rsid w:val="00167ECE"/>
    <w:rsid w:val="0017054A"/>
    <w:rsid w:val="00171A61"/>
    <w:rsid w:val="00173749"/>
    <w:rsid w:val="00173A35"/>
    <w:rsid w:val="0017410F"/>
    <w:rsid w:val="00174285"/>
    <w:rsid w:val="00175756"/>
    <w:rsid w:val="00176F0E"/>
    <w:rsid w:val="00184F72"/>
    <w:rsid w:val="00187846"/>
    <w:rsid w:val="00191A7E"/>
    <w:rsid w:val="00193B5F"/>
    <w:rsid w:val="001947E8"/>
    <w:rsid w:val="00194890"/>
    <w:rsid w:val="00196A1C"/>
    <w:rsid w:val="001A2103"/>
    <w:rsid w:val="001A5309"/>
    <w:rsid w:val="001A5764"/>
    <w:rsid w:val="001B0699"/>
    <w:rsid w:val="001B2019"/>
    <w:rsid w:val="001B49FD"/>
    <w:rsid w:val="001C0BA3"/>
    <w:rsid w:val="001C0BBD"/>
    <w:rsid w:val="001C25ED"/>
    <w:rsid w:val="001D1BCB"/>
    <w:rsid w:val="001D22C0"/>
    <w:rsid w:val="001D4171"/>
    <w:rsid w:val="001D576E"/>
    <w:rsid w:val="001D70BC"/>
    <w:rsid w:val="001E2BB9"/>
    <w:rsid w:val="001E6A70"/>
    <w:rsid w:val="001F2059"/>
    <w:rsid w:val="001F49A1"/>
    <w:rsid w:val="001F4ACC"/>
    <w:rsid w:val="001F7532"/>
    <w:rsid w:val="00201795"/>
    <w:rsid w:val="0020498C"/>
    <w:rsid w:val="00207790"/>
    <w:rsid w:val="00210CFC"/>
    <w:rsid w:val="00210FBE"/>
    <w:rsid w:val="002125C8"/>
    <w:rsid w:val="00213205"/>
    <w:rsid w:val="002137AF"/>
    <w:rsid w:val="002174B0"/>
    <w:rsid w:val="00220787"/>
    <w:rsid w:val="0022387C"/>
    <w:rsid w:val="00230C6A"/>
    <w:rsid w:val="00233D53"/>
    <w:rsid w:val="002345B9"/>
    <w:rsid w:val="00237A3F"/>
    <w:rsid w:val="00237C8C"/>
    <w:rsid w:val="0024210D"/>
    <w:rsid w:val="00244C29"/>
    <w:rsid w:val="00247B11"/>
    <w:rsid w:val="00250468"/>
    <w:rsid w:val="00250A0D"/>
    <w:rsid w:val="00250B6E"/>
    <w:rsid w:val="00252050"/>
    <w:rsid w:val="00253B74"/>
    <w:rsid w:val="002547E0"/>
    <w:rsid w:val="00255DBC"/>
    <w:rsid w:val="0025777A"/>
    <w:rsid w:val="00260306"/>
    <w:rsid w:val="00261898"/>
    <w:rsid w:val="00264014"/>
    <w:rsid w:val="0026501F"/>
    <w:rsid w:val="00266611"/>
    <w:rsid w:val="00267AE5"/>
    <w:rsid w:val="00267C8A"/>
    <w:rsid w:val="00271136"/>
    <w:rsid w:val="00273219"/>
    <w:rsid w:val="002742EA"/>
    <w:rsid w:val="0027449B"/>
    <w:rsid w:val="00276641"/>
    <w:rsid w:val="0028033D"/>
    <w:rsid w:val="00282837"/>
    <w:rsid w:val="00291777"/>
    <w:rsid w:val="0029384E"/>
    <w:rsid w:val="002938B0"/>
    <w:rsid w:val="002961E2"/>
    <w:rsid w:val="00296372"/>
    <w:rsid w:val="00297703"/>
    <w:rsid w:val="00297866"/>
    <w:rsid w:val="002A3B25"/>
    <w:rsid w:val="002A6815"/>
    <w:rsid w:val="002B35C4"/>
    <w:rsid w:val="002B36C2"/>
    <w:rsid w:val="002B59BE"/>
    <w:rsid w:val="002B65AB"/>
    <w:rsid w:val="002B696D"/>
    <w:rsid w:val="002C4511"/>
    <w:rsid w:val="002D2B5F"/>
    <w:rsid w:val="002D327B"/>
    <w:rsid w:val="002D41DD"/>
    <w:rsid w:val="002D7418"/>
    <w:rsid w:val="002E1660"/>
    <w:rsid w:val="002E43F6"/>
    <w:rsid w:val="002E7C3E"/>
    <w:rsid w:val="002F1C19"/>
    <w:rsid w:val="002F1C7D"/>
    <w:rsid w:val="002F1EC9"/>
    <w:rsid w:val="002F25EC"/>
    <w:rsid w:val="002F2EAB"/>
    <w:rsid w:val="002F30DD"/>
    <w:rsid w:val="002F3224"/>
    <w:rsid w:val="002F7D7D"/>
    <w:rsid w:val="00300067"/>
    <w:rsid w:val="00300B27"/>
    <w:rsid w:val="0030123B"/>
    <w:rsid w:val="00301FAE"/>
    <w:rsid w:val="003024CF"/>
    <w:rsid w:val="00305BAD"/>
    <w:rsid w:val="00306470"/>
    <w:rsid w:val="00311862"/>
    <w:rsid w:val="00316D60"/>
    <w:rsid w:val="003172BB"/>
    <w:rsid w:val="00322208"/>
    <w:rsid w:val="003245F8"/>
    <w:rsid w:val="00325D47"/>
    <w:rsid w:val="00325EF1"/>
    <w:rsid w:val="00332A7C"/>
    <w:rsid w:val="00337CFC"/>
    <w:rsid w:val="003406B1"/>
    <w:rsid w:val="00343305"/>
    <w:rsid w:val="003443D3"/>
    <w:rsid w:val="003450CD"/>
    <w:rsid w:val="00345F35"/>
    <w:rsid w:val="00351734"/>
    <w:rsid w:val="00354FCF"/>
    <w:rsid w:val="00360830"/>
    <w:rsid w:val="00364896"/>
    <w:rsid w:val="00366A2C"/>
    <w:rsid w:val="00372CF8"/>
    <w:rsid w:val="00373AE9"/>
    <w:rsid w:val="00374506"/>
    <w:rsid w:val="0037495D"/>
    <w:rsid w:val="00375819"/>
    <w:rsid w:val="00375C89"/>
    <w:rsid w:val="00376DAF"/>
    <w:rsid w:val="003833FB"/>
    <w:rsid w:val="00383F8F"/>
    <w:rsid w:val="00384AC1"/>
    <w:rsid w:val="003872CB"/>
    <w:rsid w:val="00387AFC"/>
    <w:rsid w:val="00390290"/>
    <w:rsid w:val="0039216D"/>
    <w:rsid w:val="00392EBD"/>
    <w:rsid w:val="00393459"/>
    <w:rsid w:val="003943D1"/>
    <w:rsid w:val="0039449C"/>
    <w:rsid w:val="00395695"/>
    <w:rsid w:val="003A0002"/>
    <w:rsid w:val="003A0295"/>
    <w:rsid w:val="003A0D83"/>
    <w:rsid w:val="003B0D75"/>
    <w:rsid w:val="003B3207"/>
    <w:rsid w:val="003C3325"/>
    <w:rsid w:val="003D2606"/>
    <w:rsid w:val="003D39C7"/>
    <w:rsid w:val="003D45F5"/>
    <w:rsid w:val="003D6B60"/>
    <w:rsid w:val="003E010E"/>
    <w:rsid w:val="003E1D81"/>
    <w:rsid w:val="003E7874"/>
    <w:rsid w:val="003F60A3"/>
    <w:rsid w:val="004001BE"/>
    <w:rsid w:val="0040124D"/>
    <w:rsid w:val="004017C8"/>
    <w:rsid w:val="0040181A"/>
    <w:rsid w:val="004024C2"/>
    <w:rsid w:val="004068A7"/>
    <w:rsid w:val="00406C11"/>
    <w:rsid w:val="004106B2"/>
    <w:rsid w:val="00412CBC"/>
    <w:rsid w:val="004156E2"/>
    <w:rsid w:val="0042388D"/>
    <w:rsid w:val="00427ABD"/>
    <w:rsid w:val="004317AB"/>
    <w:rsid w:val="00431DBF"/>
    <w:rsid w:val="00433512"/>
    <w:rsid w:val="0043432D"/>
    <w:rsid w:val="00441D7B"/>
    <w:rsid w:val="00444250"/>
    <w:rsid w:val="00444298"/>
    <w:rsid w:val="004456C5"/>
    <w:rsid w:val="00454666"/>
    <w:rsid w:val="004574A4"/>
    <w:rsid w:val="00463236"/>
    <w:rsid w:val="004657D3"/>
    <w:rsid w:val="0046690A"/>
    <w:rsid w:val="0046782F"/>
    <w:rsid w:val="00471E1E"/>
    <w:rsid w:val="0047278F"/>
    <w:rsid w:val="0047590B"/>
    <w:rsid w:val="00490F98"/>
    <w:rsid w:val="00491349"/>
    <w:rsid w:val="00493684"/>
    <w:rsid w:val="00493E48"/>
    <w:rsid w:val="00496ACE"/>
    <w:rsid w:val="00497530"/>
    <w:rsid w:val="004A00FD"/>
    <w:rsid w:val="004A5CFF"/>
    <w:rsid w:val="004A61D7"/>
    <w:rsid w:val="004A6B5A"/>
    <w:rsid w:val="004B1026"/>
    <w:rsid w:val="004B5992"/>
    <w:rsid w:val="004C093C"/>
    <w:rsid w:val="004C0B7A"/>
    <w:rsid w:val="004C0CA0"/>
    <w:rsid w:val="004C2A01"/>
    <w:rsid w:val="004C5B48"/>
    <w:rsid w:val="004C6493"/>
    <w:rsid w:val="004C70CC"/>
    <w:rsid w:val="004D2D8E"/>
    <w:rsid w:val="004D4879"/>
    <w:rsid w:val="004D7C23"/>
    <w:rsid w:val="004D7F2C"/>
    <w:rsid w:val="004E07B6"/>
    <w:rsid w:val="004E0B6D"/>
    <w:rsid w:val="004E63AF"/>
    <w:rsid w:val="004F411F"/>
    <w:rsid w:val="004F60D3"/>
    <w:rsid w:val="004F7D8F"/>
    <w:rsid w:val="0050182A"/>
    <w:rsid w:val="00502DB5"/>
    <w:rsid w:val="005053C1"/>
    <w:rsid w:val="00506ECC"/>
    <w:rsid w:val="00510D3F"/>
    <w:rsid w:val="00511E18"/>
    <w:rsid w:val="00512B77"/>
    <w:rsid w:val="00515ADE"/>
    <w:rsid w:val="00515E63"/>
    <w:rsid w:val="005176F4"/>
    <w:rsid w:val="005203BA"/>
    <w:rsid w:val="005220F8"/>
    <w:rsid w:val="00522932"/>
    <w:rsid w:val="0052539A"/>
    <w:rsid w:val="00526109"/>
    <w:rsid w:val="005309DD"/>
    <w:rsid w:val="0053320F"/>
    <w:rsid w:val="005406CD"/>
    <w:rsid w:val="00542C65"/>
    <w:rsid w:val="00544037"/>
    <w:rsid w:val="0054537C"/>
    <w:rsid w:val="00545C66"/>
    <w:rsid w:val="00547AD0"/>
    <w:rsid w:val="005509F0"/>
    <w:rsid w:val="00553778"/>
    <w:rsid w:val="00553AC5"/>
    <w:rsid w:val="00554646"/>
    <w:rsid w:val="005555A0"/>
    <w:rsid w:val="0056216F"/>
    <w:rsid w:val="005627E9"/>
    <w:rsid w:val="005648DD"/>
    <w:rsid w:val="00572506"/>
    <w:rsid w:val="00573AC9"/>
    <w:rsid w:val="00580B77"/>
    <w:rsid w:val="00581DBA"/>
    <w:rsid w:val="00581F60"/>
    <w:rsid w:val="005829C2"/>
    <w:rsid w:val="00582A46"/>
    <w:rsid w:val="0058322B"/>
    <w:rsid w:val="00583A5C"/>
    <w:rsid w:val="00584182"/>
    <w:rsid w:val="0058471F"/>
    <w:rsid w:val="0058487A"/>
    <w:rsid w:val="00592CFD"/>
    <w:rsid w:val="00593C8A"/>
    <w:rsid w:val="005960B9"/>
    <w:rsid w:val="00597F18"/>
    <w:rsid w:val="005A3DFC"/>
    <w:rsid w:val="005A5B0F"/>
    <w:rsid w:val="005A69F8"/>
    <w:rsid w:val="005A6B45"/>
    <w:rsid w:val="005A7B9D"/>
    <w:rsid w:val="005B0579"/>
    <w:rsid w:val="005B27CD"/>
    <w:rsid w:val="005B314D"/>
    <w:rsid w:val="005B353B"/>
    <w:rsid w:val="005B547C"/>
    <w:rsid w:val="005B65A5"/>
    <w:rsid w:val="005B67BE"/>
    <w:rsid w:val="005B7116"/>
    <w:rsid w:val="005C6C4F"/>
    <w:rsid w:val="005D000E"/>
    <w:rsid w:val="005D62E5"/>
    <w:rsid w:val="005D7216"/>
    <w:rsid w:val="005E12F7"/>
    <w:rsid w:val="005E548A"/>
    <w:rsid w:val="005E5BCC"/>
    <w:rsid w:val="005E5CCE"/>
    <w:rsid w:val="005E6CCC"/>
    <w:rsid w:val="005F19BB"/>
    <w:rsid w:val="005F3B5B"/>
    <w:rsid w:val="006022C0"/>
    <w:rsid w:val="00602E42"/>
    <w:rsid w:val="00603657"/>
    <w:rsid w:val="0060479B"/>
    <w:rsid w:val="00606A55"/>
    <w:rsid w:val="00611AC2"/>
    <w:rsid w:val="00613BB6"/>
    <w:rsid w:val="0061777B"/>
    <w:rsid w:val="00624066"/>
    <w:rsid w:val="00624620"/>
    <w:rsid w:val="00624946"/>
    <w:rsid w:val="00625173"/>
    <w:rsid w:val="00630CCB"/>
    <w:rsid w:val="00631E71"/>
    <w:rsid w:val="0063350A"/>
    <w:rsid w:val="006340A0"/>
    <w:rsid w:val="0063581A"/>
    <w:rsid w:val="00636BF4"/>
    <w:rsid w:val="00642CB1"/>
    <w:rsid w:val="006431A9"/>
    <w:rsid w:val="006466DF"/>
    <w:rsid w:val="006518D0"/>
    <w:rsid w:val="00652393"/>
    <w:rsid w:val="00656003"/>
    <w:rsid w:val="006571DD"/>
    <w:rsid w:val="0065774D"/>
    <w:rsid w:val="0065792C"/>
    <w:rsid w:val="0066668A"/>
    <w:rsid w:val="00675065"/>
    <w:rsid w:val="00675563"/>
    <w:rsid w:val="00675632"/>
    <w:rsid w:val="00685346"/>
    <w:rsid w:val="00685B24"/>
    <w:rsid w:val="006870E8"/>
    <w:rsid w:val="00690BC5"/>
    <w:rsid w:val="00690C8E"/>
    <w:rsid w:val="006933DD"/>
    <w:rsid w:val="0069471D"/>
    <w:rsid w:val="00695670"/>
    <w:rsid w:val="00695E20"/>
    <w:rsid w:val="006A3BA0"/>
    <w:rsid w:val="006A4EC6"/>
    <w:rsid w:val="006A6DF3"/>
    <w:rsid w:val="006B20D5"/>
    <w:rsid w:val="006B34F6"/>
    <w:rsid w:val="006B4952"/>
    <w:rsid w:val="006B5EA1"/>
    <w:rsid w:val="006B7F10"/>
    <w:rsid w:val="006C042B"/>
    <w:rsid w:val="006C2543"/>
    <w:rsid w:val="006C7C59"/>
    <w:rsid w:val="006D0312"/>
    <w:rsid w:val="006D214E"/>
    <w:rsid w:val="006D2DEA"/>
    <w:rsid w:val="006D2E9C"/>
    <w:rsid w:val="006D30BC"/>
    <w:rsid w:val="006E1A0E"/>
    <w:rsid w:val="006E49C8"/>
    <w:rsid w:val="006E6E8B"/>
    <w:rsid w:val="006E7C76"/>
    <w:rsid w:val="006F04CD"/>
    <w:rsid w:val="006F07C9"/>
    <w:rsid w:val="006F0A6B"/>
    <w:rsid w:val="006F0F75"/>
    <w:rsid w:val="006F5AC8"/>
    <w:rsid w:val="006F5F50"/>
    <w:rsid w:val="006F721C"/>
    <w:rsid w:val="00704218"/>
    <w:rsid w:val="00706102"/>
    <w:rsid w:val="00711356"/>
    <w:rsid w:val="00716375"/>
    <w:rsid w:val="00724763"/>
    <w:rsid w:val="007326D4"/>
    <w:rsid w:val="007331C5"/>
    <w:rsid w:val="00733D26"/>
    <w:rsid w:val="00733E96"/>
    <w:rsid w:val="00734BE2"/>
    <w:rsid w:val="00734DBA"/>
    <w:rsid w:val="007405AB"/>
    <w:rsid w:val="0074169B"/>
    <w:rsid w:val="007416A5"/>
    <w:rsid w:val="00742326"/>
    <w:rsid w:val="00743F8B"/>
    <w:rsid w:val="007552A7"/>
    <w:rsid w:val="00757FC1"/>
    <w:rsid w:val="00760265"/>
    <w:rsid w:val="00763522"/>
    <w:rsid w:val="00770D89"/>
    <w:rsid w:val="00771FBD"/>
    <w:rsid w:val="00772751"/>
    <w:rsid w:val="00772BFA"/>
    <w:rsid w:val="007732E5"/>
    <w:rsid w:val="00773A1F"/>
    <w:rsid w:val="007750D4"/>
    <w:rsid w:val="00775725"/>
    <w:rsid w:val="00781A2A"/>
    <w:rsid w:val="0079003B"/>
    <w:rsid w:val="00797959"/>
    <w:rsid w:val="007A0298"/>
    <w:rsid w:val="007A0EED"/>
    <w:rsid w:val="007A1F61"/>
    <w:rsid w:val="007A2D00"/>
    <w:rsid w:val="007A3433"/>
    <w:rsid w:val="007A5B38"/>
    <w:rsid w:val="007A7AC5"/>
    <w:rsid w:val="007B1707"/>
    <w:rsid w:val="007B1F48"/>
    <w:rsid w:val="007B4190"/>
    <w:rsid w:val="007B5A22"/>
    <w:rsid w:val="007B7795"/>
    <w:rsid w:val="007C1E2E"/>
    <w:rsid w:val="007C32E6"/>
    <w:rsid w:val="007C6103"/>
    <w:rsid w:val="007C7079"/>
    <w:rsid w:val="007C745E"/>
    <w:rsid w:val="007C7E4A"/>
    <w:rsid w:val="007D249E"/>
    <w:rsid w:val="007D2EE8"/>
    <w:rsid w:val="007D4745"/>
    <w:rsid w:val="007D596E"/>
    <w:rsid w:val="007D61F2"/>
    <w:rsid w:val="007D6288"/>
    <w:rsid w:val="007D7D00"/>
    <w:rsid w:val="007E1576"/>
    <w:rsid w:val="007E2BD2"/>
    <w:rsid w:val="007E5F41"/>
    <w:rsid w:val="007E6CF2"/>
    <w:rsid w:val="007F1EB4"/>
    <w:rsid w:val="007F5493"/>
    <w:rsid w:val="007F5B53"/>
    <w:rsid w:val="007F6DC7"/>
    <w:rsid w:val="0080075E"/>
    <w:rsid w:val="00802AAC"/>
    <w:rsid w:val="00806FED"/>
    <w:rsid w:val="00811115"/>
    <w:rsid w:val="008134C7"/>
    <w:rsid w:val="008139EB"/>
    <w:rsid w:val="008150A6"/>
    <w:rsid w:val="008151E2"/>
    <w:rsid w:val="00816091"/>
    <w:rsid w:val="00816182"/>
    <w:rsid w:val="00821BA2"/>
    <w:rsid w:val="00822824"/>
    <w:rsid w:val="008228B9"/>
    <w:rsid w:val="00824639"/>
    <w:rsid w:val="00826C95"/>
    <w:rsid w:val="00832985"/>
    <w:rsid w:val="008332CE"/>
    <w:rsid w:val="008345B9"/>
    <w:rsid w:val="008354ED"/>
    <w:rsid w:val="00835DAD"/>
    <w:rsid w:val="008376EF"/>
    <w:rsid w:val="00837760"/>
    <w:rsid w:val="00837F02"/>
    <w:rsid w:val="00840EF2"/>
    <w:rsid w:val="00843C41"/>
    <w:rsid w:val="0084500E"/>
    <w:rsid w:val="008455FB"/>
    <w:rsid w:val="0084584F"/>
    <w:rsid w:val="00850BC8"/>
    <w:rsid w:val="00850E33"/>
    <w:rsid w:val="00856715"/>
    <w:rsid w:val="00856DC0"/>
    <w:rsid w:val="00861CE7"/>
    <w:rsid w:val="00864D01"/>
    <w:rsid w:val="00865BFC"/>
    <w:rsid w:val="008669F7"/>
    <w:rsid w:val="0087394A"/>
    <w:rsid w:val="00874D32"/>
    <w:rsid w:val="00881B84"/>
    <w:rsid w:val="008876A3"/>
    <w:rsid w:val="00887DFB"/>
    <w:rsid w:val="0089283A"/>
    <w:rsid w:val="00892ADC"/>
    <w:rsid w:val="00893813"/>
    <w:rsid w:val="0089658C"/>
    <w:rsid w:val="00896F74"/>
    <w:rsid w:val="00897000"/>
    <w:rsid w:val="008A2458"/>
    <w:rsid w:val="008A66B8"/>
    <w:rsid w:val="008A7EED"/>
    <w:rsid w:val="008B2B1D"/>
    <w:rsid w:val="008B5009"/>
    <w:rsid w:val="008B7E45"/>
    <w:rsid w:val="008C1237"/>
    <w:rsid w:val="008C64FB"/>
    <w:rsid w:val="008C771B"/>
    <w:rsid w:val="008C77A4"/>
    <w:rsid w:val="008D0DB7"/>
    <w:rsid w:val="008D2DAF"/>
    <w:rsid w:val="008D4EEC"/>
    <w:rsid w:val="008E1C91"/>
    <w:rsid w:val="008E2EFF"/>
    <w:rsid w:val="008E3B9E"/>
    <w:rsid w:val="008E4E0F"/>
    <w:rsid w:val="008E738E"/>
    <w:rsid w:val="008F0A84"/>
    <w:rsid w:val="008F0CC3"/>
    <w:rsid w:val="008F44C7"/>
    <w:rsid w:val="008F5035"/>
    <w:rsid w:val="008F5056"/>
    <w:rsid w:val="008F722D"/>
    <w:rsid w:val="0090408F"/>
    <w:rsid w:val="00906F8A"/>
    <w:rsid w:val="00915570"/>
    <w:rsid w:val="0091611D"/>
    <w:rsid w:val="00916267"/>
    <w:rsid w:val="00921082"/>
    <w:rsid w:val="00922EFB"/>
    <w:rsid w:val="00923A6C"/>
    <w:rsid w:val="009249C8"/>
    <w:rsid w:val="00933F00"/>
    <w:rsid w:val="00935401"/>
    <w:rsid w:val="0094003A"/>
    <w:rsid w:val="0094004A"/>
    <w:rsid w:val="00946A82"/>
    <w:rsid w:val="00951071"/>
    <w:rsid w:val="0095333C"/>
    <w:rsid w:val="00955186"/>
    <w:rsid w:val="00956EE8"/>
    <w:rsid w:val="009643C2"/>
    <w:rsid w:val="00966B6A"/>
    <w:rsid w:val="0097057C"/>
    <w:rsid w:val="009715C5"/>
    <w:rsid w:val="00971AF2"/>
    <w:rsid w:val="009723B8"/>
    <w:rsid w:val="00974455"/>
    <w:rsid w:val="009805E9"/>
    <w:rsid w:val="0098281C"/>
    <w:rsid w:val="0098423D"/>
    <w:rsid w:val="009850E9"/>
    <w:rsid w:val="00985DFA"/>
    <w:rsid w:val="00986315"/>
    <w:rsid w:val="009911E3"/>
    <w:rsid w:val="00994E42"/>
    <w:rsid w:val="00995178"/>
    <w:rsid w:val="009A1C33"/>
    <w:rsid w:val="009A2439"/>
    <w:rsid w:val="009A2BFF"/>
    <w:rsid w:val="009A6D30"/>
    <w:rsid w:val="009B206F"/>
    <w:rsid w:val="009B5F6F"/>
    <w:rsid w:val="009B7A7F"/>
    <w:rsid w:val="009B7A90"/>
    <w:rsid w:val="009B7BA4"/>
    <w:rsid w:val="009C1007"/>
    <w:rsid w:val="009C1F6E"/>
    <w:rsid w:val="009C2514"/>
    <w:rsid w:val="009C3C03"/>
    <w:rsid w:val="009C3EBA"/>
    <w:rsid w:val="009C4C61"/>
    <w:rsid w:val="009C5377"/>
    <w:rsid w:val="009C7BA0"/>
    <w:rsid w:val="009D1B51"/>
    <w:rsid w:val="009D52BF"/>
    <w:rsid w:val="009D6DD3"/>
    <w:rsid w:val="009E3F57"/>
    <w:rsid w:val="009E4F8A"/>
    <w:rsid w:val="009E6771"/>
    <w:rsid w:val="009E67E4"/>
    <w:rsid w:val="009F0511"/>
    <w:rsid w:val="009F1DBD"/>
    <w:rsid w:val="009F22FE"/>
    <w:rsid w:val="009F750B"/>
    <w:rsid w:val="00A00435"/>
    <w:rsid w:val="00A03071"/>
    <w:rsid w:val="00A05B11"/>
    <w:rsid w:val="00A06B7F"/>
    <w:rsid w:val="00A07D9C"/>
    <w:rsid w:val="00A109CC"/>
    <w:rsid w:val="00A13EDB"/>
    <w:rsid w:val="00A14C4D"/>
    <w:rsid w:val="00A15845"/>
    <w:rsid w:val="00A17B52"/>
    <w:rsid w:val="00A2141C"/>
    <w:rsid w:val="00A21B16"/>
    <w:rsid w:val="00A22D76"/>
    <w:rsid w:val="00A24D47"/>
    <w:rsid w:val="00A30370"/>
    <w:rsid w:val="00A32017"/>
    <w:rsid w:val="00A3527C"/>
    <w:rsid w:val="00A37E7E"/>
    <w:rsid w:val="00A4098F"/>
    <w:rsid w:val="00A4193A"/>
    <w:rsid w:val="00A45C6F"/>
    <w:rsid w:val="00A46DCC"/>
    <w:rsid w:val="00A5014E"/>
    <w:rsid w:val="00A562E3"/>
    <w:rsid w:val="00A569D3"/>
    <w:rsid w:val="00A6062B"/>
    <w:rsid w:val="00A62089"/>
    <w:rsid w:val="00A654EF"/>
    <w:rsid w:val="00A658F2"/>
    <w:rsid w:val="00A65AFD"/>
    <w:rsid w:val="00A66B78"/>
    <w:rsid w:val="00A6769B"/>
    <w:rsid w:val="00A677C6"/>
    <w:rsid w:val="00A67E25"/>
    <w:rsid w:val="00A72C38"/>
    <w:rsid w:val="00A72FD2"/>
    <w:rsid w:val="00A7420A"/>
    <w:rsid w:val="00A74D3C"/>
    <w:rsid w:val="00A75DB1"/>
    <w:rsid w:val="00A761C2"/>
    <w:rsid w:val="00A76D29"/>
    <w:rsid w:val="00A86960"/>
    <w:rsid w:val="00A91A54"/>
    <w:rsid w:val="00A91B7E"/>
    <w:rsid w:val="00A96F13"/>
    <w:rsid w:val="00AA1080"/>
    <w:rsid w:val="00AA16D3"/>
    <w:rsid w:val="00AA18CA"/>
    <w:rsid w:val="00AA3BFA"/>
    <w:rsid w:val="00AA5A0A"/>
    <w:rsid w:val="00AA5E84"/>
    <w:rsid w:val="00AA725C"/>
    <w:rsid w:val="00AB1DBE"/>
    <w:rsid w:val="00AB3274"/>
    <w:rsid w:val="00AB7A0E"/>
    <w:rsid w:val="00AC0409"/>
    <w:rsid w:val="00AC0C60"/>
    <w:rsid w:val="00AC2E63"/>
    <w:rsid w:val="00AC2EA5"/>
    <w:rsid w:val="00AC3A70"/>
    <w:rsid w:val="00AC63F8"/>
    <w:rsid w:val="00AC7144"/>
    <w:rsid w:val="00AC75AF"/>
    <w:rsid w:val="00AD340C"/>
    <w:rsid w:val="00AD3849"/>
    <w:rsid w:val="00AD3D18"/>
    <w:rsid w:val="00AD4D41"/>
    <w:rsid w:val="00AD4DD2"/>
    <w:rsid w:val="00AD6114"/>
    <w:rsid w:val="00AD74EC"/>
    <w:rsid w:val="00AE01B3"/>
    <w:rsid w:val="00AE0CFD"/>
    <w:rsid w:val="00AE1DA8"/>
    <w:rsid w:val="00AE4D94"/>
    <w:rsid w:val="00AE5612"/>
    <w:rsid w:val="00AE6664"/>
    <w:rsid w:val="00AE6EED"/>
    <w:rsid w:val="00AE74AC"/>
    <w:rsid w:val="00B02758"/>
    <w:rsid w:val="00B02B5A"/>
    <w:rsid w:val="00B036CF"/>
    <w:rsid w:val="00B04B8A"/>
    <w:rsid w:val="00B04BFB"/>
    <w:rsid w:val="00B104AA"/>
    <w:rsid w:val="00B11872"/>
    <w:rsid w:val="00B13979"/>
    <w:rsid w:val="00B15E4F"/>
    <w:rsid w:val="00B2012B"/>
    <w:rsid w:val="00B20B29"/>
    <w:rsid w:val="00B20CB9"/>
    <w:rsid w:val="00B20D52"/>
    <w:rsid w:val="00B2167C"/>
    <w:rsid w:val="00B246D3"/>
    <w:rsid w:val="00B262C9"/>
    <w:rsid w:val="00B26A2C"/>
    <w:rsid w:val="00B30526"/>
    <w:rsid w:val="00B32FCD"/>
    <w:rsid w:val="00B34577"/>
    <w:rsid w:val="00B34E07"/>
    <w:rsid w:val="00B42D00"/>
    <w:rsid w:val="00B43464"/>
    <w:rsid w:val="00B45223"/>
    <w:rsid w:val="00B45C7D"/>
    <w:rsid w:val="00B461F3"/>
    <w:rsid w:val="00B50C36"/>
    <w:rsid w:val="00B51C5E"/>
    <w:rsid w:val="00B52083"/>
    <w:rsid w:val="00B52525"/>
    <w:rsid w:val="00B52B44"/>
    <w:rsid w:val="00B52D72"/>
    <w:rsid w:val="00B56BAC"/>
    <w:rsid w:val="00B571F4"/>
    <w:rsid w:val="00B64780"/>
    <w:rsid w:val="00B6494B"/>
    <w:rsid w:val="00B65E8E"/>
    <w:rsid w:val="00B67926"/>
    <w:rsid w:val="00B679FA"/>
    <w:rsid w:val="00B72B4C"/>
    <w:rsid w:val="00B75DE1"/>
    <w:rsid w:val="00B76EAC"/>
    <w:rsid w:val="00B81ECA"/>
    <w:rsid w:val="00B838D7"/>
    <w:rsid w:val="00B86A3E"/>
    <w:rsid w:val="00B9113C"/>
    <w:rsid w:val="00B91DE8"/>
    <w:rsid w:val="00B96111"/>
    <w:rsid w:val="00B975ED"/>
    <w:rsid w:val="00B979E2"/>
    <w:rsid w:val="00B97D1F"/>
    <w:rsid w:val="00B97E9D"/>
    <w:rsid w:val="00BA38E0"/>
    <w:rsid w:val="00BA619F"/>
    <w:rsid w:val="00BA7D43"/>
    <w:rsid w:val="00BB02EB"/>
    <w:rsid w:val="00BB0A6C"/>
    <w:rsid w:val="00BB2DBC"/>
    <w:rsid w:val="00BB4AC7"/>
    <w:rsid w:val="00BB4CD0"/>
    <w:rsid w:val="00BB61C1"/>
    <w:rsid w:val="00BB6B4A"/>
    <w:rsid w:val="00BB7E90"/>
    <w:rsid w:val="00BC03CC"/>
    <w:rsid w:val="00BC11D7"/>
    <w:rsid w:val="00BC1B9C"/>
    <w:rsid w:val="00BC2C14"/>
    <w:rsid w:val="00BC31EE"/>
    <w:rsid w:val="00BC3C19"/>
    <w:rsid w:val="00BC4B27"/>
    <w:rsid w:val="00BC5C23"/>
    <w:rsid w:val="00BD15BE"/>
    <w:rsid w:val="00BD3BF3"/>
    <w:rsid w:val="00BD5316"/>
    <w:rsid w:val="00BD6613"/>
    <w:rsid w:val="00BD7E81"/>
    <w:rsid w:val="00BE41BE"/>
    <w:rsid w:val="00BE6F8C"/>
    <w:rsid w:val="00BE735F"/>
    <w:rsid w:val="00BF0B0F"/>
    <w:rsid w:val="00BF150A"/>
    <w:rsid w:val="00BF30A5"/>
    <w:rsid w:val="00BF3210"/>
    <w:rsid w:val="00BF3B09"/>
    <w:rsid w:val="00C03270"/>
    <w:rsid w:val="00C048FB"/>
    <w:rsid w:val="00C04CFA"/>
    <w:rsid w:val="00C076EF"/>
    <w:rsid w:val="00C16C84"/>
    <w:rsid w:val="00C21DB4"/>
    <w:rsid w:val="00C224CD"/>
    <w:rsid w:val="00C25539"/>
    <w:rsid w:val="00C25C2B"/>
    <w:rsid w:val="00C34D95"/>
    <w:rsid w:val="00C357EB"/>
    <w:rsid w:val="00C37015"/>
    <w:rsid w:val="00C40072"/>
    <w:rsid w:val="00C4213E"/>
    <w:rsid w:val="00C438D5"/>
    <w:rsid w:val="00C45741"/>
    <w:rsid w:val="00C472A3"/>
    <w:rsid w:val="00C50C4A"/>
    <w:rsid w:val="00C524B1"/>
    <w:rsid w:val="00C56B9D"/>
    <w:rsid w:val="00C60706"/>
    <w:rsid w:val="00C6464D"/>
    <w:rsid w:val="00C64FE6"/>
    <w:rsid w:val="00C72DBC"/>
    <w:rsid w:val="00C76B39"/>
    <w:rsid w:val="00C8194B"/>
    <w:rsid w:val="00C8510F"/>
    <w:rsid w:val="00C856C4"/>
    <w:rsid w:val="00C8634C"/>
    <w:rsid w:val="00C86F92"/>
    <w:rsid w:val="00C90072"/>
    <w:rsid w:val="00C9533B"/>
    <w:rsid w:val="00C973BA"/>
    <w:rsid w:val="00CB0748"/>
    <w:rsid w:val="00CB18BD"/>
    <w:rsid w:val="00CB232C"/>
    <w:rsid w:val="00CB2D79"/>
    <w:rsid w:val="00CB2E90"/>
    <w:rsid w:val="00CB4405"/>
    <w:rsid w:val="00CB4EF4"/>
    <w:rsid w:val="00CB5BD0"/>
    <w:rsid w:val="00CB63F6"/>
    <w:rsid w:val="00CC042F"/>
    <w:rsid w:val="00CC11D6"/>
    <w:rsid w:val="00CD2668"/>
    <w:rsid w:val="00CD2FAC"/>
    <w:rsid w:val="00CD495B"/>
    <w:rsid w:val="00CD7C0B"/>
    <w:rsid w:val="00CD7C6C"/>
    <w:rsid w:val="00CE3BDB"/>
    <w:rsid w:val="00CE4305"/>
    <w:rsid w:val="00CE44AB"/>
    <w:rsid w:val="00CE4BC6"/>
    <w:rsid w:val="00CE52BF"/>
    <w:rsid w:val="00CE70DB"/>
    <w:rsid w:val="00CF001E"/>
    <w:rsid w:val="00CF50D5"/>
    <w:rsid w:val="00CF5C9B"/>
    <w:rsid w:val="00CF6662"/>
    <w:rsid w:val="00D01058"/>
    <w:rsid w:val="00D01136"/>
    <w:rsid w:val="00D02EBD"/>
    <w:rsid w:val="00D03474"/>
    <w:rsid w:val="00D03476"/>
    <w:rsid w:val="00D03C0F"/>
    <w:rsid w:val="00D06B71"/>
    <w:rsid w:val="00D105D9"/>
    <w:rsid w:val="00D11FB0"/>
    <w:rsid w:val="00D129B0"/>
    <w:rsid w:val="00D1756F"/>
    <w:rsid w:val="00D21893"/>
    <w:rsid w:val="00D23DB6"/>
    <w:rsid w:val="00D242FC"/>
    <w:rsid w:val="00D26400"/>
    <w:rsid w:val="00D264F9"/>
    <w:rsid w:val="00D35E6A"/>
    <w:rsid w:val="00D361F7"/>
    <w:rsid w:val="00D37A4D"/>
    <w:rsid w:val="00D37BDA"/>
    <w:rsid w:val="00D409F8"/>
    <w:rsid w:val="00D41D8D"/>
    <w:rsid w:val="00D51C08"/>
    <w:rsid w:val="00D51F3E"/>
    <w:rsid w:val="00D55D74"/>
    <w:rsid w:val="00D568D6"/>
    <w:rsid w:val="00D613B2"/>
    <w:rsid w:val="00D61D4F"/>
    <w:rsid w:val="00D62526"/>
    <w:rsid w:val="00D65B3B"/>
    <w:rsid w:val="00D6655A"/>
    <w:rsid w:val="00D7158D"/>
    <w:rsid w:val="00D73BEF"/>
    <w:rsid w:val="00D75DD7"/>
    <w:rsid w:val="00D8461E"/>
    <w:rsid w:val="00D848AF"/>
    <w:rsid w:val="00D84D41"/>
    <w:rsid w:val="00D85867"/>
    <w:rsid w:val="00D90438"/>
    <w:rsid w:val="00D90F7C"/>
    <w:rsid w:val="00D93BBB"/>
    <w:rsid w:val="00D9483F"/>
    <w:rsid w:val="00D9612C"/>
    <w:rsid w:val="00DA0DFD"/>
    <w:rsid w:val="00DA26D1"/>
    <w:rsid w:val="00DB18FC"/>
    <w:rsid w:val="00DB2769"/>
    <w:rsid w:val="00DB4762"/>
    <w:rsid w:val="00DB630A"/>
    <w:rsid w:val="00DB6473"/>
    <w:rsid w:val="00DC4AE1"/>
    <w:rsid w:val="00DC6B38"/>
    <w:rsid w:val="00DC767D"/>
    <w:rsid w:val="00DC7A15"/>
    <w:rsid w:val="00DD0CDD"/>
    <w:rsid w:val="00DD26EA"/>
    <w:rsid w:val="00DD35BB"/>
    <w:rsid w:val="00DD7198"/>
    <w:rsid w:val="00DE3B48"/>
    <w:rsid w:val="00DF0FF1"/>
    <w:rsid w:val="00DF1557"/>
    <w:rsid w:val="00DF7223"/>
    <w:rsid w:val="00DF749E"/>
    <w:rsid w:val="00DF7988"/>
    <w:rsid w:val="00E0112E"/>
    <w:rsid w:val="00E02056"/>
    <w:rsid w:val="00E037D5"/>
    <w:rsid w:val="00E07EB9"/>
    <w:rsid w:val="00E10A87"/>
    <w:rsid w:val="00E114BC"/>
    <w:rsid w:val="00E11D50"/>
    <w:rsid w:val="00E13609"/>
    <w:rsid w:val="00E14B3C"/>
    <w:rsid w:val="00E16067"/>
    <w:rsid w:val="00E212E3"/>
    <w:rsid w:val="00E227F4"/>
    <w:rsid w:val="00E23903"/>
    <w:rsid w:val="00E2575E"/>
    <w:rsid w:val="00E27DAA"/>
    <w:rsid w:val="00E27FDC"/>
    <w:rsid w:val="00E30E7D"/>
    <w:rsid w:val="00E31BA9"/>
    <w:rsid w:val="00E40872"/>
    <w:rsid w:val="00E41594"/>
    <w:rsid w:val="00E46A08"/>
    <w:rsid w:val="00E56FE8"/>
    <w:rsid w:val="00E57C5E"/>
    <w:rsid w:val="00E6057C"/>
    <w:rsid w:val="00E607A7"/>
    <w:rsid w:val="00E63BD1"/>
    <w:rsid w:val="00E6467D"/>
    <w:rsid w:val="00E66BCF"/>
    <w:rsid w:val="00E71342"/>
    <w:rsid w:val="00E728E4"/>
    <w:rsid w:val="00E75741"/>
    <w:rsid w:val="00E83DB2"/>
    <w:rsid w:val="00E85DAF"/>
    <w:rsid w:val="00E87864"/>
    <w:rsid w:val="00E9170D"/>
    <w:rsid w:val="00E9198A"/>
    <w:rsid w:val="00E923A6"/>
    <w:rsid w:val="00E931C1"/>
    <w:rsid w:val="00E93D73"/>
    <w:rsid w:val="00E94BFD"/>
    <w:rsid w:val="00E94E0E"/>
    <w:rsid w:val="00E97186"/>
    <w:rsid w:val="00E97F6C"/>
    <w:rsid w:val="00EA04D2"/>
    <w:rsid w:val="00EA68DB"/>
    <w:rsid w:val="00EB1A62"/>
    <w:rsid w:val="00EB7A4C"/>
    <w:rsid w:val="00EC2A66"/>
    <w:rsid w:val="00EC3672"/>
    <w:rsid w:val="00ED0960"/>
    <w:rsid w:val="00ED3782"/>
    <w:rsid w:val="00ED56C1"/>
    <w:rsid w:val="00EE1F49"/>
    <w:rsid w:val="00EE1F87"/>
    <w:rsid w:val="00EE3720"/>
    <w:rsid w:val="00EE3F92"/>
    <w:rsid w:val="00EE7634"/>
    <w:rsid w:val="00EF1FCF"/>
    <w:rsid w:val="00EF271D"/>
    <w:rsid w:val="00EF4228"/>
    <w:rsid w:val="00EF4DC8"/>
    <w:rsid w:val="00EF659E"/>
    <w:rsid w:val="00EF6A13"/>
    <w:rsid w:val="00F01751"/>
    <w:rsid w:val="00F02CF2"/>
    <w:rsid w:val="00F0385A"/>
    <w:rsid w:val="00F1070F"/>
    <w:rsid w:val="00F14992"/>
    <w:rsid w:val="00F14DE0"/>
    <w:rsid w:val="00F21D20"/>
    <w:rsid w:val="00F22674"/>
    <w:rsid w:val="00F22B78"/>
    <w:rsid w:val="00F244F9"/>
    <w:rsid w:val="00F25220"/>
    <w:rsid w:val="00F25320"/>
    <w:rsid w:val="00F26FA6"/>
    <w:rsid w:val="00F306D7"/>
    <w:rsid w:val="00F308B7"/>
    <w:rsid w:val="00F31CAB"/>
    <w:rsid w:val="00F32A46"/>
    <w:rsid w:val="00F37170"/>
    <w:rsid w:val="00F43040"/>
    <w:rsid w:val="00F44E00"/>
    <w:rsid w:val="00F44EC3"/>
    <w:rsid w:val="00F459DC"/>
    <w:rsid w:val="00F46B72"/>
    <w:rsid w:val="00F474AB"/>
    <w:rsid w:val="00F476F6"/>
    <w:rsid w:val="00F47A28"/>
    <w:rsid w:val="00F5050C"/>
    <w:rsid w:val="00F5134E"/>
    <w:rsid w:val="00F528DD"/>
    <w:rsid w:val="00F52A18"/>
    <w:rsid w:val="00F52C68"/>
    <w:rsid w:val="00F53CC6"/>
    <w:rsid w:val="00F564CD"/>
    <w:rsid w:val="00F61702"/>
    <w:rsid w:val="00F62E71"/>
    <w:rsid w:val="00F630C8"/>
    <w:rsid w:val="00F64C12"/>
    <w:rsid w:val="00F6552D"/>
    <w:rsid w:val="00F67278"/>
    <w:rsid w:val="00F710E9"/>
    <w:rsid w:val="00F733F0"/>
    <w:rsid w:val="00F76A72"/>
    <w:rsid w:val="00F77340"/>
    <w:rsid w:val="00F8042D"/>
    <w:rsid w:val="00F85256"/>
    <w:rsid w:val="00F87572"/>
    <w:rsid w:val="00F87CA2"/>
    <w:rsid w:val="00F91976"/>
    <w:rsid w:val="00F92C8D"/>
    <w:rsid w:val="00F931AD"/>
    <w:rsid w:val="00F9741A"/>
    <w:rsid w:val="00FA1F53"/>
    <w:rsid w:val="00FA2095"/>
    <w:rsid w:val="00FA244D"/>
    <w:rsid w:val="00FB1215"/>
    <w:rsid w:val="00FB4CB0"/>
    <w:rsid w:val="00FB6392"/>
    <w:rsid w:val="00FC39BA"/>
    <w:rsid w:val="00FC3DAC"/>
    <w:rsid w:val="00FD1428"/>
    <w:rsid w:val="00FD20C5"/>
    <w:rsid w:val="00FD2761"/>
    <w:rsid w:val="00FD37B5"/>
    <w:rsid w:val="00FD4568"/>
    <w:rsid w:val="00FD5B5E"/>
    <w:rsid w:val="00FD613E"/>
    <w:rsid w:val="00FD6F4D"/>
    <w:rsid w:val="00FE05A0"/>
    <w:rsid w:val="00FE3FCF"/>
    <w:rsid w:val="00FF2E19"/>
    <w:rsid w:val="00FF756F"/>
    <w:rsid w:val="08CE0793"/>
    <w:rsid w:val="14066616"/>
    <w:rsid w:val="16BC7617"/>
    <w:rsid w:val="1B7E70EC"/>
    <w:rsid w:val="21BC158B"/>
    <w:rsid w:val="301A6F1D"/>
    <w:rsid w:val="3D5C1616"/>
    <w:rsid w:val="3F5C0F04"/>
    <w:rsid w:val="5681771D"/>
    <w:rsid w:val="63E217FF"/>
    <w:rsid w:val="75E018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42"/>
    <w:qFormat/>
    <w:uiPriority w:val="0"/>
    <w:pPr>
      <w:keepNext/>
      <w:keepLines/>
      <w:spacing w:before="10" w:after="10"/>
      <w:jc w:val="center"/>
      <w:outlineLvl w:val="0"/>
    </w:pPr>
    <w:rPr>
      <w:b/>
      <w:bCs/>
      <w:kern w:val="44"/>
      <w:sz w:val="32"/>
      <w:szCs w:val="44"/>
    </w:rPr>
  </w:style>
  <w:style w:type="paragraph" w:styleId="3">
    <w:name w:val="heading 3"/>
    <w:basedOn w:val="1"/>
    <w:next w:val="1"/>
    <w:qFormat/>
    <w:uiPriority w:val="0"/>
    <w:pPr>
      <w:keepNext/>
      <w:keepLines/>
      <w:spacing w:line="360" w:lineRule="auto"/>
      <w:outlineLvl w:val="2"/>
    </w:pPr>
    <w:rPr>
      <w:b/>
      <w:bCs/>
      <w:sz w:val="24"/>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37"/>
    <w:semiHidden/>
    <w:unhideWhenUsed/>
    <w:qFormat/>
    <w:uiPriority w:val="99"/>
    <w:pPr>
      <w:jc w:val="left"/>
    </w:pPr>
  </w:style>
  <w:style w:type="paragraph" w:styleId="5">
    <w:name w:val="Balloon Text"/>
    <w:basedOn w:val="1"/>
    <w:link w:val="39"/>
    <w:semiHidden/>
    <w:unhideWhenUsed/>
    <w:qFormat/>
    <w:uiPriority w:val="99"/>
    <w:rPr>
      <w:sz w:val="18"/>
      <w:szCs w:val="18"/>
    </w:rPr>
  </w:style>
  <w:style w:type="paragraph" w:styleId="6">
    <w:name w:val="footer"/>
    <w:basedOn w:val="1"/>
    <w:link w:val="36"/>
    <w:unhideWhenUsed/>
    <w:qFormat/>
    <w:uiPriority w:val="99"/>
    <w:pPr>
      <w:tabs>
        <w:tab w:val="center" w:pos="4153"/>
        <w:tab w:val="right" w:pos="8306"/>
      </w:tabs>
      <w:snapToGrid w:val="0"/>
      <w:jc w:val="left"/>
    </w:pPr>
    <w:rPr>
      <w:sz w:val="18"/>
      <w:szCs w:val="18"/>
    </w:rPr>
  </w:style>
  <w:style w:type="paragraph" w:styleId="7">
    <w:name w:val="header"/>
    <w:basedOn w:val="1"/>
    <w:link w:val="35"/>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annotation subject"/>
    <w:basedOn w:val="4"/>
    <w:next w:val="4"/>
    <w:link w:val="38"/>
    <w:semiHidden/>
    <w:unhideWhenUsed/>
    <w:qFormat/>
    <w:uiPriority w:val="99"/>
    <w:rPr>
      <w:b/>
      <w:bCs/>
    </w:rPr>
  </w:style>
  <w:style w:type="character" w:styleId="11">
    <w:name w:val="Hyperlink"/>
    <w:basedOn w:val="10"/>
    <w:unhideWhenUsed/>
    <w:qFormat/>
    <w:uiPriority w:val="99"/>
    <w:rPr>
      <w:color w:val="0563C1" w:themeColor="hyperlink"/>
      <w:u w:val="single"/>
    </w:rPr>
  </w:style>
  <w:style w:type="character" w:styleId="12">
    <w:name w:val="annotation reference"/>
    <w:basedOn w:val="10"/>
    <w:semiHidden/>
    <w:unhideWhenUsed/>
    <w:qFormat/>
    <w:uiPriority w:val="99"/>
    <w:rPr>
      <w:sz w:val="21"/>
      <w:szCs w:val="21"/>
    </w:rPr>
  </w:style>
  <w:style w:type="paragraph" w:customStyle="1" w:styleId="13">
    <w:name w:val="※封面大标题"/>
    <w:basedOn w:val="1"/>
    <w:next w:val="1"/>
    <w:qFormat/>
    <w:uiPriority w:val="0"/>
    <w:pPr>
      <w:widowControl/>
      <w:jc w:val="center"/>
    </w:pPr>
    <w:rPr>
      <w:rFonts w:ascii="华文中宋" w:hAnsi="华文中宋" w:eastAsia="华文中宋"/>
      <w:sz w:val="96"/>
      <w:szCs w:val="96"/>
    </w:rPr>
  </w:style>
  <w:style w:type="paragraph" w:customStyle="1" w:styleId="14">
    <w:name w:val="※封面题颌"/>
    <w:basedOn w:val="1"/>
    <w:next w:val="1"/>
    <w:qFormat/>
    <w:uiPriority w:val="0"/>
    <w:pPr>
      <w:widowControl/>
      <w:jc w:val="center"/>
    </w:pPr>
    <w:rPr>
      <w:rFonts w:ascii="Calibri Light" w:hAnsi="Calibri Light" w:eastAsia="华文仿宋"/>
      <w:sz w:val="36"/>
      <w:szCs w:val="36"/>
    </w:rPr>
  </w:style>
  <w:style w:type="paragraph" w:customStyle="1" w:styleId="15">
    <w:name w:val="※封面题眉"/>
    <w:basedOn w:val="1"/>
    <w:next w:val="13"/>
    <w:qFormat/>
    <w:uiPriority w:val="0"/>
    <w:pPr>
      <w:widowControl/>
      <w:jc w:val="center"/>
    </w:pPr>
    <w:rPr>
      <w:rFonts w:ascii="华文仿宋" w:hAnsi="华文仿宋" w:eastAsia="华文仿宋"/>
      <w:sz w:val="52"/>
      <w:szCs w:val="28"/>
    </w:rPr>
  </w:style>
  <w:style w:type="paragraph" w:customStyle="1" w:styleId="16">
    <w:name w:val="※封面题须"/>
    <w:basedOn w:val="1"/>
    <w:qFormat/>
    <w:uiPriority w:val="0"/>
    <w:pPr>
      <w:widowControl/>
      <w:ind w:left="850" w:leftChars="350" w:right="250" w:rightChars="250" w:hanging="500" w:hangingChars="500"/>
      <w:jc w:val="left"/>
    </w:pPr>
    <w:rPr>
      <w:rFonts w:ascii="Calibri Light" w:hAnsi="Calibri Light" w:eastAsia="华文仿宋"/>
      <w:sz w:val="36"/>
      <w:szCs w:val="36"/>
    </w:rPr>
  </w:style>
  <w:style w:type="paragraph" w:customStyle="1" w:styleId="17">
    <w:name w:val="※目录（次）"/>
    <w:basedOn w:val="1"/>
    <w:qFormat/>
    <w:uiPriority w:val="0"/>
    <w:pPr>
      <w:widowControl/>
      <w:tabs>
        <w:tab w:val="right" w:leader="hyphen" w:pos="8400"/>
      </w:tabs>
      <w:wordWrap w:val="0"/>
      <w:ind w:left="700" w:leftChars="200" w:right="300" w:rightChars="300" w:hanging="500" w:hangingChars="500"/>
      <w:jc w:val="left"/>
    </w:pPr>
    <w:rPr>
      <w:rFonts w:ascii="Calibri Light" w:hAnsi="Calibri Light" w:eastAsia="华文仿宋"/>
      <w:sz w:val="36"/>
      <w:szCs w:val="28"/>
    </w:rPr>
  </w:style>
  <w:style w:type="paragraph" w:customStyle="1" w:styleId="18">
    <w:name w:val="※目录（主）"/>
    <w:basedOn w:val="1"/>
    <w:qFormat/>
    <w:uiPriority w:val="0"/>
    <w:pPr>
      <w:widowControl/>
      <w:tabs>
        <w:tab w:val="right" w:leader="hyphen" w:pos="8400"/>
      </w:tabs>
      <w:spacing w:afterLines="100" w:line="400" w:lineRule="exact"/>
      <w:ind w:left="200" w:leftChars="200" w:right="200" w:rightChars="200" w:hanging="499" w:hangingChars="400"/>
      <w:jc w:val="left"/>
    </w:pPr>
    <w:rPr>
      <w:rFonts w:ascii="Calibri Light" w:hAnsi="Calibri Light" w:eastAsia="华文仿宋"/>
      <w:sz w:val="36"/>
      <w:szCs w:val="36"/>
    </w:rPr>
  </w:style>
  <w:style w:type="paragraph" w:customStyle="1" w:styleId="19">
    <w:name w:val="※小标题 1"/>
    <w:basedOn w:val="1"/>
    <w:next w:val="1"/>
    <w:qFormat/>
    <w:uiPriority w:val="0"/>
    <w:pPr>
      <w:widowControl/>
      <w:wordWrap w:val="0"/>
      <w:spacing w:before="20" w:after="20" w:line="400" w:lineRule="exact"/>
      <w:ind w:firstLine="200" w:firstLineChars="200"/>
      <w:jc w:val="left"/>
      <w:outlineLvl w:val="4"/>
    </w:pPr>
    <w:rPr>
      <w:rFonts w:ascii="Calibri Light" w:hAnsi="Calibri Light" w:eastAsia="华文仿宋"/>
      <w:b/>
      <w:sz w:val="28"/>
      <w:szCs w:val="28"/>
    </w:rPr>
  </w:style>
  <w:style w:type="paragraph" w:customStyle="1" w:styleId="20">
    <w:name w:val="※正文"/>
    <w:basedOn w:val="1"/>
    <w:next w:val="1"/>
    <w:qFormat/>
    <w:uiPriority w:val="0"/>
    <w:pPr>
      <w:widowControl/>
      <w:wordWrap w:val="0"/>
      <w:spacing w:line="400" w:lineRule="exact"/>
    </w:pPr>
    <w:rPr>
      <w:rFonts w:ascii="Calibri Light" w:hAnsi="Calibri Light" w:eastAsia="华文仿宋"/>
      <w:sz w:val="28"/>
      <w:szCs w:val="28"/>
    </w:rPr>
  </w:style>
  <w:style w:type="paragraph" w:customStyle="1" w:styleId="21">
    <w:name w:val="※小标题 一"/>
    <w:basedOn w:val="20"/>
    <w:next w:val="20"/>
    <w:qFormat/>
    <w:uiPriority w:val="0"/>
    <w:pPr>
      <w:spacing w:before="120" w:line="240" w:lineRule="auto"/>
      <w:outlineLvl w:val="2"/>
    </w:pPr>
    <w:rPr>
      <w:b/>
      <w:color w:val="1F3864" w:themeColor="accent5" w:themeShade="80"/>
      <w:sz w:val="32"/>
    </w:rPr>
  </w:style>
  <w:style w:type="paragraph" w:customStyle="1" w:styleId="22">
    <w:name w:val="※小标题（1）"/>
    <w:basedOn w:val="1"/>
    <w:next w:val="20"/>
    <w:qFormat/>
    <w:uiPriority w:val="0"/>
    <w:pPr>
      <w:widowControl/>
      <w:wordWrap w:val="0"/>
      <w:spacing w:line="400" w:lineRule="exact"/>
      <w:ind w:firstLine="200" w:firstLineChars="200"/>
      <w:outlineLvl w:val="5"/>
    </w:pPr>
    <w:rPr>
      <w:rFonts w:ascii="Calibri Light" w:hAnsi="Calibri Light" w:eastAsia="华文仿宋"/>
      <w:b/>
      <w:sz w:val="28"/>
      <w:szCs w:val="28"/>
    </w:rPr>
  </w:style>
  <w:style w:type="paragraph" w:customStyle="1" w:styleId="23">
    <w:name w:val="※小标题（一）"/>
    <w:basedOn w:val="1"/>
    <w:next w:val="20"/>
    <w:qFormat/>
    <w:uiPriority w:val="0"/>
    <w:pPr>
      <w:widowControl/>
      <w:wordWrap w:val="0"/>
      <w:spacing w:before="60" w:after="60" w:line="400" w:lineRule="exact"/>
      <w:ind w:firstLine="200" w:firstLineChars="200"/>
      <w:outlineLvl w:val="3"/>
    </w:pPr>
    <w:rPr>
      <w:rFonts w:ascii="Calibri Light" w:hAnsi="Calibri Light" w:eastAsia="华文仿宋"/>
      <w:b/>
      <w:sz w:val="28"/>
      <w:szCs w:val="28"/>
    </w:rPr>
  </w:style>
  <w:style w:type="paragraph" w:customStyle="1" w:styleId="24">
    <w:name w:val="※页脚（横屏）"/>
    <w:basedOn w:val="1"/>
    <w:qFormat/>
    <w:uiPriority w:val="0"/>
    <w:pPr>
      <w:widowControl/>
      <w:tabs>
        <w:tab w:val="center" w:pos="7000"/>
      </w:tabs>
      <w:wordWrap w:val="0"/>
      <w:spacing w:line="240" w:lineRule="atLeast"/>
      <w:jc w:val="left"/>
    </w:pPr>
    <w:rPr>
      <w:rFonts w:ascii="宋体" w:hAnsi="宋体"/>
      <w:sz w:val="18"/>
      <w:szCs w:val="18"/>
    </w:rPr>
  </w:style>
  <w:style w:type="paragraph" w:customStyle="1" w:styleId="25">
    <w:name w:val="※页脚（竖屏）"/>
    <w:basedOn w:val="1"/>
    <w:qFormat/>
    <w:uiPriority w:val="0"/>
    <w:pPr>
      <w:widowControl/>
      <w:tabs>
        <w:tab w:val="center" w:pos="4536"/>
      </w:tabs>
      <w:wordWrap w:val="0"/>
      <w:spacing w:line="240" w:lineRule="atLeast"/>
      <w:jc w:val="left"/>
    </w:pPr>
    <w:rPr>
      <w:rFonts w:ascii="宋体" w:hAnsi="宋体"/>
      <w:sz w:val="18"/>
      <w:szCs w:val="18"/>
    </w:rPr>
  </w:style>
  <w:style w:type="paragraph" w:customStyle="1" w:styleId="26">
    <w:name w:val="※页眉"/>
    <w:basedOn w:val="20"/>
    <w:qFormat/>
    <w:uiPriority w:val="0"/>
    <w:pPr>
      <w:pBdr>
        <w:bottom w:val="single" w:color="auto" w:sz="4" w:space="1"/>
      </w:pBdr>
      <w:spacing w:line="240" w:lineRule="atLeast"/>
      <w:jc w:val="right"/>
    </w:pPr>
    <w:rPr>
      <w:rFonts w:ascii="宋体" w:hAnsi="宋体" w:eastAsia="宋体"/>
      <w:sz w:val="18"/>
    </w:rPr>
  </w:style>
  <w:style w:type="paragraph" w:customStyle="1" w:styleId="27">
    <w:name w:val="※章节标题（第X章）"/>
    <w:basedOn w:val="1"/>
    <w:qFormat/>
    <w:uiPriority w:val="0"/>
    <w:pPr>
      <w:widowControl/>
      <w:jc w:val="center"/>
      <w:outlineLvl w:val="0"/>
    </w:pPr>
    <w:rPr>
      <w:rFonts w:ascii="Calibri Light" w:hAnsi="Calibri Light" w:eastAsia="黑体"/>
      <w:sz w:val="36"/>
      <w:szCs w:val="28"/>
    </w:rPr>
  </w:style>
  <w:style w:type="paragraph" w:customStyle="1" w:styleId="28">
    <w:name w:val="※章节标题（第Y部分）"/>
    <w:basedOn w:val="1"/>
    <w:next w:val="1"/>
    <w:qFormat/>
    <w:uiPriority w:val="0"/>
    <w:pPr>
      <w:widowControl/>
      <w:jc w:val="center"/>
      <w:outlineLvl w:val="1"/>
    </w:pPr>
    <w:rPr>
      <w:rFonts w:ascii="Calibri Light" w:hAnsi="Calibri Light" w:eastAsia="黑体"/>
      <w:color w:val="1F4E79" w:themeColor="accent1" w:themeShade="80"/>
      <w:sz w:val="32"/>
      <w:szCs w:val="36"/>
    </w:rPr>
  </w:style>
  <w:style w:type="paragraph" w:customStyle="1" w:styleId="29">
    <w:name w:val="※章节标题（第Z部分分项）"/>
    <w:basedOn w:val="28"/>
    <w:qFormat/>
    <w:uiPriority w:val="0"/>
    <w:pPr>
      <w:outlineLvl w:val="2"/>
    </w:pPr>
  </w:style>
  <w:style w:type="paragraph" w:customStyle="1" w:styleId="30">
    <w:name w:val="※正文（落款）"/>
    <w:basedOn w:val="1"/>
    <w:qFormat/>
    <w:uiPriority w:val="0"/>
    <w:pPr>
      <w:widowControl/>
      <w:tabs>
        <w:tab w:val="center" w:pos="6663"/>
      </w:tabs>
      <w:wordWrap w:val="0"/>
      <w:spacing w:line="240" w:lineRule="atLeast"/>
      <w:jc w:val="left"/>
    </w:pPr>
    <w:rPr>
      <w:rFonts w:ascii="Calibri Light" w:hAnsi="Calibri Light" w:eastAsia="华文仿宋"/>
      <w:sz w:val="28"/>
      <w:szCs w:val="28"/>
    </w:rPr>
  </w:style>
  <w:style w:type="paragraph" w:customStyle="1" w:styleId="31">
    <w:name w:val="※正文（缩进2）"/>
    <w:basedOn w:val="20"/>
    <w:qFormat/>
    <w:uiPriority w:val="0"/>
    <w:pPr>
      <w:ind w:firstLine="200" w:firstLineChars="200"/>
    </w:pPr>
  </w:style>
  <w:style w:type="paragraph" w:customStyle="1" w:styleId="32">
    <w:name w:val="※正文（缩进4）"/>
    <w:basedOn w:val="20"/>
    <w:qFormat/>
    <w:uiPriority w:val="0"/>
    <w:pPr>
      <w:ind w:firstLine="400" w:firstLineChars="400"/>
    </w:pPr>
  </w:style>
  <w:style w:type="paragraph" w:customStyle="1" w:styleId="33">
    <w:name w:val="样式"/>
    <w:link w:val="34"/>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34">
    <w:name w:val="样式 Char Char"/>
    <w:link w:val="33"/>
    <w:qFormat/>
    <w:locked/>
    <w:uiPriority w:val="0"/>
    <w:rPr>
      <w:rFonts w:ascii="宋体" w:hAnsi="宋体" w:eastAsia="宋体" w:cs="宋体"/>
      <w:kern w:val="0"/>
      <w:sz w:val="24"/>
      <w:szCs w:val="24"/>
    </w:rPr>
  </w:style>
  <w:style w:type="character" w:customStyle="1" w:styleId="35">
    <w:name w:val="页眉 Char"/>
    <w:basedOn w:val="10"/>
    <w:link w:val="7"/>
    <w:qFormat/>
    <w:uiPriority w:val="99"/>
    <w:rPr>
      <w:rFonts w:ascii="Calibri" w:hAnsi="Calibri" w:eastAsia="宋体" w:cs="Times New Roman"/>
      <w:sz w:val="18"/>
      <w:szCs w:val="18"/>
    </w:rPr>
  </w:style>
  <w:style w:type="character" w:customStyle="1" w:styleId="36">
    <w:name w:val="页脚 Char"/>
    <w:basedOn w:val="10"/>
    <w:link w:val="6"/>
    <w:qFormat/>
    <w:uiPriority w:val="99"/>
    <w:rPr>
      <w:rFonts w:ascii="Calibri" w:hAnsi="Calibri" w:eastAsia="宋体" w:cs="Times New Roman"/>
      <w:sz w:val="18"/>
      <w:szCs w:val="18"/>
    </w:rPr>
  </w:style>
  <w:style w:type="character" w:customStyle="1" w:styleId="37">
    <w:name w:val="批注文字 Char"/>
    <w:basedOn w:val="10"/>
    <w:link w:val="4"/>
    <w:semiHidden/>
    <w:qFormat/>
    <w:uiPriority w:val="99"/>
    <w:rPr>
      <w:rFonts w:ascii="Calibri" w:hAnsi="Calibri" w:eastAsia="宋体" w:cs="Times New Roman"/>
    </w:rPr>
  </w:style>
  <w:style w:type="character" w:customStyle="1" w:styleId="38">
    <w:name w:val="批注主题 Char"/>
    <w:basedOn w:val="37"/>
    <w:link w:val="8"/>
    <w:semiHidden/>
    <w:qFormat/>
    <w:uiPriority w:val="99"/>
    <w:rPr>
      <w:rFonts w:ascii="Calibri" w:hAnsi="Calibri" w:eastAsia="宋体" w:cs="Times New Roman"/>
      <w:b/>
      <w:bCs/>
    </w:rPr>
  </w:style>
  <w:style w:type="character" w:customStyle="1" w:styleId="39">
    <w:name w:val="批注框文本 Char"/>
    <w:basedOn w:val="10"/>
    <w:link w:val="5"/>
    <w:semiHidden/>
    <w:qFormat/>
    <w:uiPriority w:val="99"/>
    <w:rPr>
      <w:rFonts w:ascii="Calibri" w:hAnsi="Calibri" w:eastAsia="宋体" w:cs="Times New Roman"/>
      <w:sz w:val="18"/>
      <w:szCs w:val="18"/>
    </w:rPr>
  </w:style>
  <w:style w:type="paragraph" w:styleId="40">
    <w:name w:val="List Paragraph"/>
    <w:basedOn w:val="1"/>
    <w:qFormat/>
    <w:uiPriority w:val="34"/>
    <w:pPr>
      <w:ind w:firstLine="420" w:firstLineChars="200"/>
    </w:pPr>
  </w:style>
  <w:style w:type="character" w:customStyle="1" w:styleId="41">
    <w:name w:val="Unresolved Mention"/>
    <w:basedOn w:val="10"/>
    <w:semiHidden/>
    <w:unhideWhenUsed/>
    <w:qFormat/>
    <w:uiPriority w:val="99"/>
    <w:rPr>
      <w:color w:val="605E5C"/>
      <w:shd w:val="clear" w:color="auto" w:fill="E1DFDD"/>
    </w:rPr>
  </w:style>
  <w:style w:type="character" w:customStyle="1" w:styleId="42">
    <w:name w:val="标题 1 字符"/>
    <w:basedOn w:val="10"/>
    <w:link w:val="2"/>
    <w:qFormat/>
    <w:uiPriority w:val="0"/>
    <w:rPr>
      <w:b/>
      <w:bCs/>
      <w:kern w:val="44"/>
      <w:sz w:val="32"/>
      <w:szCs w:val="4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5</Pages>
  <Words>2738</Words>
  <Characters>2934</Characters>
  <Lines>19</Lines>
  <Paragraphs>5</Paragraphs>
  <TotalTime>6</TotalTime>
  <ScaleCrop>false</ScaleCrop>
  <LinksUpToDate>false</LinksUpToDate>
  <CharactersWithSpaces>2965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2021-03-19T04:39:00Z</dcterms:created>
  <dc:creator>lenovo</dc:creator>
  <cp:lastModifiedBy>邓钧</cp:lastModifiedBy>
  <cp:lastPrinted>2025-04-23T01:15:00Z</cp:lastPrinted>
  <dcterms:modified xsi:type="dcterms:W3CDTF">2026-05-07T09:15:24Z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B0E6629B2D684380B0DA0211102D7099_12</vt:lpwstr>
  </property>
  <property fmtid="{D5CDD505-2E9C-101B-9397-08002B2CF9AE}" pid="4" name="KSOTemplateDocerSaveRecord">
    <vt:lpwstr>eyJoZGlkIjoiMjM2ODI3NmFhMDQ3Njk5OWRjNWYwZjUwNDAwNmM1NzQiLCJ1c2VySWQiOiIzMjExNzY1MTIifQ==</vt:lpwstr>
  </property>
</Properties>
</file>