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B3013">
      <w:pPr>
        <w:spacing w:line="560" w:lineRule="exact"/>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一、项目概况</w:t>
      </w:r>
    </w:p>
    <w:p w14:paraId="5BD0E806">
      <w:pPr>
        <w:spacing w:line="560" w:lineRule="exact"/>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本次委托运营范围为1座污水处理站、2座提升泵站、31.2公里配套污水收集管网及其他附属设施。为确保高新区农村污水处理设施正常稳定运行，充分发挥设施环境效益和社会效益，需将场站设备、配套管网及其他附属设施委托具有专业技术及运营管理能力的运营商进行运维。</w:t>
      </w:r>
    </w:p>
    <w:p w14:paraId="7F7CDE1F">
      <w:pPr>
        <w:spacing w:line="560" w:lineRule="exact"/>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二、服务内容</w:t>
      </w:r>
    </w:p>
    <w:p w14:paraId="5601E8F9">
      <w:pPr>
        <w:spacing w:line="560" w:lineRule="exact"/>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（一）负责场站预处理系统、生化处理系统、配电系统、深度处理系统以及污泥处理系统的运营管理，并对各场站的安保、站内卫生、绿化养护进行管理；定期检测出水水质，并不断改善各场站的运行效果。</w:t>
      </w:r>
    </w:p>
    <w:p w14:paraId="6ED54E3A">
      <w:pPr>
        <w:spacing w:line="560" w:lineRule="exact"/>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（二）负责检查泵站设备的运行情况，定期清洁润滑设备，定期检查电气系统，定期检修泵站设备，定期清理泵体内垃圾，保证设备的正常运行。</w:t>
      </w:r>
    </w:p>
    <w:p w14:paraId="7FCDF279">
      <w:pPr>
        <w:pStyle w:val="2"/>
        <w:spacing w:line="560" w:lineRule="exact"/>
        <w:ind w:left="0"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三）负责管网收集系统的巡查和一般损坏处置。定期对污水收集管网系统及其相关构筑物进行巡视检查，对管网中出现的一般的漏、坏、堵、溢、露等异常现象，尽快处理和修复；对出现的较严重的影响排水系统正常运行的问题，应及时向所在地街道办事处和主管部门报告，尽快修复设施。</w:t>
      </w:r>
    </w:p>
    <w:p w14:paraId="61D9A5CC">
      <w:pPr>
        <w:pStyle w:val="2"/>
        <w:spacing w:line="560" w:lineRule="exact"/>
        <w:ind w:left="0"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（四）负责调蓄池淤泥清理、转运、处置，保证调蓄池具备调蓄能力；</w:t>
      </w:r>
    </w:p>
    <w:p w14:paraId="624992BF">
      <w:pPr>
        <w:pStyle w:val="2"/>
        <w:spacing w:line="560" w:lineRule="exact"/>
        <w:ind w:left="0"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（五）负责依据国家和当地政府的相关法规标准的规定，对产生的污泥及其他固体废物、危险废物等废弃物进行规范收集、贮存、转移、处置；</w:t>
      </w:r>
    </w:p>
    <w:p w14:paraId="7C918231">
      <w:pPr>
        <w:pStyle w:val="2"/>
        <w:spacing w:line="560" w:lineRule="exact"/>
        <w:ind w:left="0"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（六）负责运行记录、设备检修记录、水质检测记录、废物处置记录等各类资料的填写、收集、归档、保管工作；</w:t>
      </w:r>
    </w:p>
    <w:p w14:paraId="7AAAB46A">
      <w:pPr>
        <w:spacing w:line="560" w:lineRule="exact"/>
        <w:ind w:firstLine="400" w:firstLineChars="200"/>
        <w:rPr>
          <w:rFonts w:hint="eastAsia" w:asciiTheme="minorHAnsi" w:hAnsiTheme="minorHAnsi" w:eastAsiaTheme="minorEastAsia" w:cstheme="minorBidi"/>
          <w:kern w:val="0"/>
          <w:sz w:val="20"/>
          <w:szCs w:val="20"/>
          <w:highlight w:val="none"/>
          <w:lang w:val="zh-CN" w:eastAsia="zh-Hans"/>
        </w:rPr>
      </w:pPr>
      <w:r>
        <w:rPr>
          <w:rFonts w:hint="eastAsia" w:asciiTheme="minorHAnsi" w:hAnsiTheme="minorHAnsi" w:eastAsiaTheme="minorEastAsia" w:cstheme="minorBidi"/>
          <w:kern w:val="0"/>
          <w:sz w:val="20"/>
          <w:szCs w:val="20"/>
          <w:highlight w:val="none"/>
          <w:lang w:val="zh-CN" w:eastAsia="zh-Hans"/>
        </w:rPr>
        <w:t>（七）负责农村生活污水应急处置。</w:t>
      </w:r>
    </w:p>
    <w:p w14:paraId="272FFFB6">
      <w:pPr>
        <w:spacing w:line="560" w:lineRule="exact"/>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三、运维要求</w:t>
      </w:r>
    </w:p>
    <w:p w14:paraId="299E3111">
      <w:pPr>
        <w:spacing w:line="560" w:lineRule="exact"/>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要求供应商制定并严格执行相关农村生活污水治理设施运行维护规程等技术与管理文件，明确项目组织管理机制、员工培训制度、运行维护管理、档案管理、安全管理、环境管理、运维考核等内容与要求，建立运维台账，确保运维对象的运行稳定、有效，出水水质达标。制定应急预案，不发生安全事故，无环境污染事件。</w:t>
      </w:r>
    </w:p>
    <w:p w14:paraId="1CEDD56F">
      <w:pPr>
        <w:spacing w:line="560" w:lineRule="exact"/>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（一）服务要求</w:t>
      </w:r>
    </w:p>
    <w:p w14:paraId="6677BE35">
      <w:pPr>
        <w:pStyle w:val="2"/>
        <w:adjustRightInd w:val="0"/>
        <w:snapToGrid w:val="0"/>
        <w:spacing w:line="560" w:lineRule="exact"/>
        <w:ind w:left="0"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1.污水处理站运维要求。秦南村污水站，运维期间，实际日处理量满足要求，出水水质达标，污水处理设施处理后出水水质达到《农村生活污水处理设施水污染物排放标准》（DB61/1227-2018）</w:t>
      </w:r>
    </w:p>
    <w:p w14:paraId="307C393D">
      <w:pPr>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污水处理站统计表</w:t>
      </w:r>
    </w:p>
    <w:tbl>
      <w:tblPr>
        <w:tblStyle w:val="3"/>
        <w:tblW w:w="7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
        <w:gridCol w:w="2315"/>
        <w:gridCol w:w="3159"/>
        <w:gridCol w:w="1234"/>
      </w:tblGrid>
      <w:tr w14:paraId="0508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10" w:type="dxa"/>
            <w:shd w:val="clear" w:color="auto" w:fill="auto"/>
            <w:noWrap/>
            <w:vAlign w:val="center"/>
          </w:tcPr>
          <w:p w14:paraId="4273E152">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序号</w:t>
            </w:r>
          </w:p>
        </w:tc>
        <w:tc>
          <w:tcPr>
            <w:tcW w:w="2315" w:type="dxa"/>
            <w:shd w:val="clear" w:color="auto" w:fill="auto"/>
            <w:noWrap/>
            <w:vAlign w:val="center"/>
          </w:tcPr>
          <w:p w14:paraId="1C362762">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名称</w:t>
            </w:r>
          </w:p>
        </w:tc>
        <w:tc>
          <w:tcPr>
            <w:tcW w:w="3159" w:type="dxa"/>
            <w:shd w:val="clear" w:color="auto" w:fill="auto"/>
            <w:noWrap/>
            <w:vAlign w:val="center"/>
          </w:tcPr>
          <w:p w14:paraId="634A1B0B">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设计规模</w:t>
            </w:r>
          </w:p>
        </w:tc>
        <w:tc>
          <w:tcPr>
            <w:tcW w:w="1234" w:type="dxa"/>
            <w:vAlign w:val="center"/>
          </w:tcPr>
          <w:p w14:paraId="230FC19C">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排放标准</w:t>
            </w:r>
          </w:p>
        </w:tc>
      </w:tr>
      <w:tr w14:paraId="78B8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10" w:type="dxa"/>
            <w:shd w:val="clear" w:color="auto" w:fill="auto"/>
            <w:noWrap/>
          </w:tcPr>
          <w:p w14:paraId="3173530A">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1</w:t>
            </w:r>
          </w:p>
        </w:tc>
        <w:tc>
          <w:tcPr>
            <w:tcW w:w="2315" w:type="dxa"/>
            <w:shd w:val="clear" w:color="auto" w:fill="auto"/>
            <w:noWrap/>
            <w:vAlign w:val="center"/>
          </w:tcPr>
          <w:p w14:paraId="0FEC8DC3">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秦南村污水处理站</w:t>
            </w:r>
          </w:p>
        </w:tc>
        <w:tc>
          <w:tcPr>
            <w:tcW w:w="3159" w:type="dxa"/>
            <w:shd w:val="clear" w:color="auto" w:fill="auto"/>
            <w:noWrap/>
            <w:vAlign w:val="center"/>
          </w:tcPr>
          <w:p w14:paraId="36DF48FB">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500立方米/日</w:t>
            </w:r>
          </w:p>
        </w:tc>
        <w:tc>
          <w:tcPr>
            <w:tcW w:w="1234" w:type="dxa"/>
            <w:shd w:val="clear" w:color="auto" w:fill="auto"/>
            <w:vAlign w:val="center"/>
          </w:tcPr>
          <w:p w14:paraId="51A509AB">
            <w:pPr>
              <w:widowControl/>
              <w:ind w:firstLine="200" w:firstLineChars="1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一级标准</w:t>
            </w:r>
          </w:p>
        </w:tc>
      </w:tr>
    </w:tbl>
    <w:p w14:paraId="7CF06DA3">
      <w:pPr>
        <w:pStyle w:val="2"/>
        <w:adjustRightInd w:val="0"/>
        <w:snapToGrid w:val="0"/>
        <w:spacing w:line="560" w:lineRule="exact"/>
        <w:ind w:left="0"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2.污水收集系统和其他附属设施运维要求。</w:t>
      </w:r>
    </w:p>
    <w:p w14:paraId="7B13079B">
      <w:pPr>
        <w:pStyle w:val="2"/>
        <w:adjustRightInd w:val="0"/>
        <w:snapToGrid w:val="0"/>
        <w:spacing w:line="560" w:lineRule="exact"/>
        <w:ind w:left="0"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2.1提升泵站运维要求。负责2座污水提升泵站日常巡查和维护维修，主要包括格栅池残渣清除，泵体、水泵和其他配件维护保养、通风换气、电气系统检查、设备维修、垃圾等废弃物转运和处置、压力管线维修疏通、填写巡检和维修记录等，保证各泵站设备稳定运行。</w:t>
      </w:r>
    </w:p>
    <w:p w14:paraId="433FD32D">
      <w:pPr>
        <w:rPr>
          <w:rFonts w:hint="eastAsia" w:asciiTheme="minorHAnsi" w:hAnsiTheme="minorHAnsi" w:eastAsiaTheme="minorEastAsia" w:cstheme="minorBidi"/>
          <w:kern w:val="0"/>
          <w:sz w:val="20"/>
          <w:szCs w:val="20"/>
          <w:highlight w:val="none"/>
          <w:lang w:val="en-US" w:eastAsia="zh-Hans"/>
        </w:rPr>
      </w:pPr>
    </w:p>
    <w:p w14:paraId="5A842791">
      <w:pPr>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表2.1污水提升泵站统计表</w:t>
      </w:r>
    </w:p>
    <w:tbl>
      <w:tblPr>
        <w:tblStyle w:val="3"/>
        <w:tblW w:w="7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537"/>
        <w:gridCol w:w="3287"/>
        <w:gridCol w:w="1791"/>
      </w:tblGrid>
      <w:tr w14:paraId="6EF7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64" w:type="dxa"/>
            <w:shd w:val="clear" w:color="auto" w:fill="auto"/>
            <w:noWrap/>
            <w:vAlign w:val="center"/>
          </w:tcPr>
          <w:p w14:paraId="600CCE4A">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序号</w:t>
            </w:r>
          </w:p>
        </w:tc>
        <w:tc>
          <w:tcPr>
            <w:tcW w:w="1537" w:type="dxa"/>
            <w:shd w:val="clear" w:color="auto" w:fill="auto"/>
            <w:noWrap/>
            <w:vAlign w:val="center"/>
          </w:tcPr>
          <w:p w14:paraId="1D989B1F">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名称</w:t>
            </w:r>
          </w:p>
        </w:tc>
        <w:tc>
          <w:tcPr>
            <w:tcW w:w="3287" w:type="dxa"/>
            <w:vAlign w:val="center"/>
          </w:tcPr>
          <w:p w14:paraId="08DBF049">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设计规模</w:t>
            </w:r>
          </w:p>
        </w:tc>
        <w:tc>
          <w:tcPr>
            <w:tcW w:w="1791" w:type="dxa"/>
            <w:shd w:val="clear" w:color="auto" w:fill="auto"/>
            <w:noWrap/>
            <w:vAlign w:val="center"/>
          </w:tcPr>
          <w:p w14:paraId="5BDA7B1C">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数量</w:t>
            </w:r>
          </w:p>
        </w:tc>
      </w:tr>
      <w:tr w14:paraId="70DA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64" w:type="dxa"/>
            <w:shd w:val="clear" w:color="auto" w:fill="auto"/>
            <w:noWrap/>
            <w:vAlign w:val="center"/>
          </w:tcPr>
          <w:p w14:paraId="37DB3CE9">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1</w:t>
            </w:r>
          </w:p>
        </w:tc>
        <w:tc>
          <w:tcPr>
            <w:tcW w:w="1537" w:type="dxa"/>
            <w:shd w:val="clear" w:color="auto" w:fill="auto"/>
            <w:noWrap/>
            <w:vAlign w:val="center"/>
          </w:tcPr>
          <w:p w14:paraId="61FE1DCD">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一体化提升泵站</w:t>
            </w:r>
          </w:p>
        </w:tc>
        <w:tc>
          <w:tcPr>
            <w:tcW w:w="3287" w:type="dxa"/>
            <w:vAlign w:val="center"/>
          </w:tcPr>
          <w:p w14:paraId="30510051">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总规模72m³/h</w:t>
            </w:r>
          </w:p>
        </w:tc>
        <w:tc>
          <w:tcPr>
            <w:tcW w:w="1791" w:type="dxa"/>
            <w:shd w:val="clear" w:color="auto" w:fill="auto"/>
            <w:noWrap/>
            <w:vAlign w:val="center"/>
          </w:tcPr>
          <w:p w14:paraId="4B51E4D6">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2座</w:t>
            </w:r>
          </w:p>
        </w:tc>
      </w:tr>
    </w:tbl>
    <w:p w14:paraId="0F7DDC79">
      <w:pPr>
        <w:pStyle w:val="2"/>
        <w:adjustRightInd w:val="0"/>
        <w:snapToGrid w:val="0"/>
        <w:spacing w:line="560" w:lineRule="exact"/>
        <w:ind w:left="0" w:firstLine="400" w:firstLineChars="200"/>
        <w:rPr>
          <w:rFonts w:hint="eastAsia" w:asciiTheme="minorHAnsi" w:hAnsiTheme="minorHAnsi" w:eastAsiaTheme="minorEastAsia" w:cstheme="minorBidi"/>
          <w:kern w:val="0"/>
          <w:sz w:val="20"/>
          <w:szCs w:val="20"/>
          <w:highlight w:val="none"/>
          <w:lang w:val="en-US" w:eastAsia="zh-Hans"/>
        </w:rPr>
      </w:pPr>
    </w:p>
    <w:p w14:paraId="3B6912F6">
      <w:pPr>
        <w:pStyle w:val="2"/>
        <w:adjustRightInd w:val="0"/>
        <w:snapToGrid w:val="0"/>
        <w:spacing w:line="560" w:lineRule="exact"/>
        <w:ind w:left="0"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2.2污水收集管网运维要求。负责重力流污水收水管网日常巡查和维护维修，主要包括污水收集管网日常巡检、疏通、管道破损维修、其他安全设施检查等，保证污水收集管网畅通，无堵塞、漏水现象。</w:t>
      </w:r>
    </w:p>
    <w:p w14:paraId="74280F1D">
      <w:pPr>
        <w:pStyle w:val="2"/>
        <w:adjustRightInd w:val="0"/>
        <w:snapToGrid w:val="0"/>
        <w:spacing w:line="560" w:lineRule="exact"/>
        <w:ind w:left="0"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2.3其他附属配套设施运维要求。负责检查井井盖、隔油井井盖、防坠网等易损件维修更换，因管道问题造成的管道附近路面塌陷维修及其他其他附属配套设施维护维修，保证井盖及管道附近路面平整、稳固、其他附属设施正常运行；定期清理调蓄池内淤泥，保证调蓄池通畅蓄水，具备调蓄能力。</w:t>
      </w:r>
    </w:p>
    <w:p w14:paraId="207866D8">
      <w:pPr>
        <w:jc w:val="center"/>
        <w:rPr>
          <w:rFonts w:hint="eastAsia" w:asciiTheme="minorHAnsi" w:hAnsiTheme="minorHAnsi" w:eastAsiaTheme="minorEastAsia" w:cstheme="minorBidi"/>
          <w:kern w:val="0"/>
          <w:sz w:val="20"/>
          <w:szCs w:val="20"/>
          <w:highlight w:val="none"/>
          <w:lang w:val="en-US" w:eastAsia="zh-Hans"/>
        </w:rPr>
      </w:pPr>
    </w:p>
    <w:p w14:paraId="4598B896">
      <w:pPr>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表2.2 收水管网统及其他附属设施统计表</w:t>
      </w:r>
    </w:p>
    <w:tbl>
      <w:tblPr>
        <w:tblStyle w:val="3"/>
        <w:tblW w:w="7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532"/>
        <w:gridCol w:w="3278"/>
        <w:gridCol w:w="1786"/>
      </w:tblGrid>
      <w:tr w14:paraId="1334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2" w:type="dxa"/>
            <w:shd w:val="clear" w:color="auto" w:fill="auto"/>
            <w:noWrap/>
            <w:vAlign w:val="center"/>
          </w:tcPr>
          <w:p w14:paraId="6F945965">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序号</w:t>
            </w:r>
          </w:p>
        </w:tc>
        <w:tc>
          <w:tcPr>
            <w:tcW w:w="1532" w:type="dxa"/>
            <w:shd w:val="clear" w:color="auto" w:fill="auto"/>
            <w:noWrap/>
            <w:vAlign w:val="center"/>
          </w:tcPr>
          <w:p w14:paraId="24B6DAA6">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名称</w:t>
            </w:r>
          </w:p>
        </w:tc>
        <w:tc>
          <w:tcPr>
            <w:tcW w:w="3278" w:type="dxa"/>
            <w:vAlign w:val="center"/>
          </w:tcPr>
          <w:p w14:paraId="6FFC52ED">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设计规模</w:t>
            </w:r>
          </w:p>
        </w:tc>
        <w:tc>
          <w:tcPr>
            <w:tcW w:w="1786" w:type="dxa"/>
            <w:shd w:val="clear" w:color="auto" w:fill="auto"/>
            <w:noWrap/>
            <w:vAlign w:val="center"/>
          </w:tcPr>
          <w:p w14:paraId="2AC78AF8">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数量</w:t>
            </w:r>
          </w:p>
        </w:tc>
      </w:tr>
      <w:tr w14:paraId="306D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62" w:type="dxa"/>
            <w:shd w:val="clear" w:color="auto" w:fill="auto"/>
            <w:noWrap/>
            <w:vAlign w:val="center"/>
          </w:tcPr>
          <w:p w14:paraId="0A133B96">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1</w:t>
            </w:r>
          </w:p>
        </w:tc>
        <w:tc>
          <w:tcPr>
            <w:tcW w:w="1532" w:type="dxa"/>
            <w:shd w:val="clear" w:color="auto" w:fill="auto"/>
            <w:vAlign w:val="center"/>
          </w:tcPr>
          <w:p w14:paraId="16906BE3">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收水管网</w:t>
            </w:r>
          </w:p>
        </w:tc>
        <w:tc>
          <w:tcPr>
            <w:tcW w:w="3278" w:type="dxa"/>
            <w:vAlign w:val="center"/>
          </w:tcPr>
          <w:p w14:paraId="1709DC49">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管径DN1000、DN500、DN300、DN200</w:t>
            </w:r>
          </w:p>
        </w:tc>
        <w:tc>
          <w:tcPr>
            <w:tcW w:w="1786" w:type="dxa"/>
            <w:shd w:val="clear" w:color="auto" w:fill="auto"/>
            <w:noWrap/>
            <w:vAlign w:val="center"/>
          </w:tcPr>
          <w:p w14:paraId="61D84434">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31.2公里</w:t>
            </w:r>
          </w:p>
        </w:tc>
      </w:tr>
      <w:tr w14:paraId="5E2F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62" w:type="dxa"/>
            <w:shd w:val="clear" w:color="auto" w:fill="auto"/>
            <w:noWrap/>
            <w:vAlign w:val="center"/>
          </w:tcPr>
          <w:p w14:paraId="2F152918">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2</w:t>
            </w:r>
          </w:p>
        </w:tc>
        <w:tc>
          <w:tcPr>
            <w:tcW w:w="1532" w:type="dxa"/>
            <w:shd w:val="clear" w:color="auto" w:fill="auto"/>
            <w:vAlign w:val="center"/>
          </w:tcPr>
          <w:p w14:paraId="45BC86AF">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其他附属设施</w:t>
            </w:r>
          </w:p>
        </w:tc>
        <w:tc>
          <w:tcPr>
            <w:tcW w:w="3278" w:type="dxa"/>
            <w:vAlign w:val="center"/>
          </w:tcPr>
          <w:p w14:paraId="55A82845">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检查井、隔油井等</w:t>
            </w:r>
          </w:p>
        </w:tc>
        <w:tc>
          <w:tcPr>
            <w:tcW w:w="1786" w:type="dxa"/>
            <w:shd w:val="clear" w:color="auto" w:fill="auto"/>
            <w:noWrap/>
            <w:vAlign w:val="center"/>
          </w:tcPr>
          <w:p w14:paraId="4C00409E">
            <w:pPr>
              <w:widowControl/>
              <w:jc w:val="center"/>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1560个</w:t>
            </w:r>
          </w:p>
        </w:tc>
      </w:tr>
    </w:tbl>
    <w:p w14:paraId="1A1AC2E8">
      <w:pPr>
        <w:spacing w:line="560" w:lineRule="exact"/>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（二）管理要求</w:t>
      </w:r>
    </w:p>
    <w:p w14:paraId="08E2AEB1">
      <w:pPr>
        <w:pStyle w:val="2"/>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1.人员配置</w:t>
      </w:r>
    </w:p>
    <w:p w14:paraId="469503D8">
      <w:pPr>
        <w:pStyle w:val="2"/>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至少配备</w:t>
      </w:r>
      <w:r>
        <w:rPr>
          <w:rFonts w:hint="eastAsia" w:asciiTheme="minorHAnsi" w:hAnsiTheme="minorHAnsi" w:cstheme="minorBidi"/>
          <w:kern w:val="0"/>
          <w:sz w:val="20"/>
          <w:szCs w:val="20"/>
          <w:highlight w:val="none"/>
          <w:lang w:val="en-US" w:eastAsia="zh-CN"/>
        </w:rPr>
        <w:t>6</w:t>
      </w:r>
      <w:r>
        <w:rPr>
          <w:rFonts w:hint="eastAsia" w:asciiTheme="minorHAnsi" w:hAnsiTheme="minorHAnsi" w:eastAsiaTheme="minorEastAsia" w:cstheme="minorBidi"/>
          <w:kern w:val="0"/>
          <w:sz w:val="20"/>
          <w:szCs w:val="20"/>
          <w:highlight w:val="none"/>
          <w:lang w:val="en-US" w:eastAsia="zh-Hans"/>
        </w:rPr>
        <w:t>名专职运维人员。提供年度培训计划，包括安全操作、应急处理等内容。</w:t>
      </w:r>
    </w:p>
    <w:p w14:paraId="5B6D8C2D">
      <w:pPr>
        <w:pStyle w:val="2"/>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2.安全管理</w:t>
      </w:r>
    </w:p>
    <w:p w14:paraId="35E02995">
      <w:pPr>
        <w:pStyle w:val="2"/>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制定有限空间作业、防硫化氢中毒、防爆等安全规程。配备安全防护装备（气体检测仪、正压式呼吸器等）。</w:t>
      </w:r>
    </w:p>
    <w:p w14:paraId="1B29512A">
      <w:pPr>
        <w:pStyle w:val="2"/>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3.档案管理</w:t>
      </w:r>
    </w:p>
    <w:p w14:paraId="21DC21C0">
      <w:pPr>
        <w:pStyle w:val="2"/>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建立电子化运维台账，包括巡检记录、维修记录</w:t>
      </w:r>
      <w:bookmarkStart w:id="0" w:name="_GoBack"/>
      <w:bookmarkEnd w:id="0"/>
      <w:r>
        <w:rPr>
          <w:rFonts w:hint="eastAsia" w:asciiTheme="minorHAnsi" w:hAnsiTheme="minorHAnsi" w:eastAsiaTheme="minorEastAsia" w:cstheme="minorBidi"/>
          <w:kern w:val="0"/>
          <w:sz w:val="20"/>
          <w:szCs w:val="20"/>
          <w:highlight w:val="none"/>
          <w:lang w:val="en-US" w:eastAsia="zh-Hans"/>
        </w:rPr>
        <w:t>、水质报告等，保存期不少于3年。</w:t>
      </w:r>
    </w:p>
    <w:p w14:paraId="727423DD">
      <w:pPr>
        <w:pStyle w:val="2"/>
        <w:ind w:firstLine="400" w:firstLineChars="200"/>
        <w:rPr>
          <w:rFonts w:hint="eastAsia" w:asciiTheme="minorHAnsi" w:hAnsiTheme="minorHAnsi" w:eastAsiaTheme="minorEastAsia" w:cstheme="minorBidi"/>
          <w:kern w:val="0"/>
          <w:sz w:val="20"/>
          <w:szCs w:val="20"/>
          <w:highlight w:val="none"/>
          <w:lang w:val="en-US" w:eastAsia="zh-Hans"/>
        </w:rPr>
      </w:pPr>
      <w:r>
        <w:rPr>
          <w:rFonts w:hint="eastAsia" w:asciiTheme="minorHAnsi" w:hAnsiTheme="minorHAnsi" w:eastAsiaTheme="minorEastAsia" w:cstheme="minorBidi"/>
          <w:kern w:val="0"/>
          <w:sz w:val="20"/>
          <w:szCs w:val="20"/>
          <w:highlight w:val="none"/>
          <w:lang w:val="en-US" w:eastAsia="zh-Hans"/>
        </w:rPr>
        <w:t>4.应急管理</w:t>
      </w:r>
    </w:p>
    <w:p w14:paraId="6F47293A">
      <w:pPr>
        <w:ind w:firstLine="400" w:firstLineChars="200"/>
      </w:pPr>
      <w:r>
        <w:rPr>
          <w:rFonts w:hint="eastAsia" w:asciiTheme="minorHAnsi" w:hAnsiTheme="minorHAnsi" w:eastAsiaTheme="minorEastAsia" w:cstheme="minorBidi"/>
          <w:kern w:val="0"/>
          <w:sz w:val="20"/>
          <w:szCs w:val="20"/>
          <w:highlight w:val="none"/>
          <w:lang w:val="en-US" w:eastAsia="zh-Hans"/>
        </w:rPr>
        <w:t>编制防汛、停电、设备故障等应急预案，每年至少组织1次演练。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60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79" w:lineRule="exact"/>
      <w:ind w:firstLine="800" w:firstLineChars="200"/>
    </w:pPr>
    <w:rPr>
      <w:rFonts w:ascii="Times New Roman" w:hAnsi="Times New Roman"/>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2026-05-08T03:55:32Z</dcterms:created>
  <dc:creator>Administrator</dc:creator>
  <cp:lastModifiedBy>┏ ☞岗か子™</cp:lastModifiedBy>
  <dcterms:modified xsi:type="dcterms:W3CDTF">2026-05-08T03:55:40Z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eyJoZGlkIjoiNjIxMDI2NjM3MzgyYzQ0NTJmZDVhODRjOWE1OTQyYWMiLCJ1c2VySWQiOiIyMzMyNDUzMjgifQ==</vt:lpwstr>
  </property>
  <property fmtid="{D5CDD505-2E9C-101B-9397-08002B2CF9AE}" pid="4" name="ICV">
    <vt:lpwstr>8FD8F6DEF2EC477AB428CA84370E8FEF_12</vt:lpwstr>
  </property>
</Properties>
</file>