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51008">
      <w:pPr>
        <w:pStyle w:val="4"/>
        <w:jc w:val="both"/>
        <w:outlineLvl w:val="1"/>
        <w:rPr>
          <w:rFonts w:hint="default"/>
          <w:highlight w:val="none"/>
        </w:rPr>
      </w:pPr>
      <w:r>
        <w:rPr>
          <w:rFonts w:ascii="方正仿宋_GB2312" w:hAnsi="方正仿宋_GB2312" w:eastAsia="方正仿宋_GB2312" w:cs="方正仿宋_GB2312"/>
          <w:b/>
          <w:sz w:val="36"/>
          <w:highlight w:val="none"/>
        </w:rPr>
        <w:t>第三章 磋商项目技术、服务、商务及其他要求</w:t>
      </w:r>
    </w:p>
    <w:p w14:paraId="33D4CE5C">
      <w:pPr>
        <w:pStyle w:val="4"/>
        <w:ind w:firstLine="480"/>
        <w:jc w:val="both"/>
        <w:rPr>
          <w:rFonts w:hint="default"/>
          <w:highlight w:val="none"/>
        </w:rPr>
      </w:pPr>
      <w:r>
        <w:rPr>
          <w:rFonts w:ascii="方正仿宋_GB2312" w:hAnsi="方正仿宋_GB2312" w:eastAsia="方正仿宋_GB2312" w:cs="方正仿宋_GB2312"/>
          <w:highlight w:val="none"/>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05FD75E5">
      <w:pPr>
        <w:pStyle w:val="4"/>
        <w:jc w:val="both"/>
        <w:outlineLvl w:val="2"/>
        <w:rPr>
          <w:rFonts w:hint="default"/>
          <w:highlight w:val="none"/>
        </w:rPr>
      </w:pPr>
      <w:r>
        <w:rPr>
          <w:rFonts w:ascii="方正仿宋_GB2312" w:hAnsi="方正仿宋_GB2312" w:eastAsia="方正仿宋_GB2312" w:cs="方正仿宋_GB2312"/>
          <w:b/>
          <w:sz w:val="28"/>
          <w:highlight w:val="none"/>
        </w:rPr>
        <w:t>3.1技术、服务标准和要求</w:t>
      </w:r>
    </w:p>
    <w:p w14:paraId="67A076D4">
      <w:pPr>
        <w:pStyle w:val="4"/>
        <w:jc w:val="both"/>
        <w:rPr>
          <w:rFonts w:hint="default"/>
          <w:highlight w:val="none"/>
        </w:rPr>
      </w:pPr>
      <w:r>
        <w:rPr>
          <w:rFonts w:ascii="方正仿宋_GB2312" w:hAnsi="方正仿宋_GB2312" w:eastAsia="方正仿宋_GB2312" w:cs="方正仿宋_GB2312"/>
          <w:highlight w:val="none"/>
        </w:rPr>
        <w:t>采购包1：</w:t>
      </w:r>
    </w:p>
    <w:p w14:paraId="11FB9C67">
      <w:pPr>
        <w:pStyle w:val="4"/>
        <w:jc w:val="both"/>
        <w:rPr>
          <w:rFonts w:hint="default"/>
          <w:highlight w:val="none"/>
        </w:rPr>
      </w:pPr>
      <w:r>
        <w:rPr>
          <w:rFonts w:ascii="方正仿宋_GB2312" w:hAnsi="方正仿宋_GB2312" w:eastAsia="方正仿宋_GB2312" w:cs="方正仿宋_GB2312"/>
          <w:highlight w:val="none"/>
        </w:rPr>
        <w:t>采购包预算金额（元）: 2,538,177.97</w:t>
      </w:r>
    </w:p>
    <w:p w14:paraId="7CABD8C8">
      <w:pPr>
        <w:pStyle w:val="4"/>
        <w:jc w:val="both"/>
        <w:rPr>
          <w:rFonts w:hint="default"/>
          <w:highlight w:val="none"/>
        </w:rPr>
      </w:pPr>
      <w:r>
        <w:rPr>
          <w:rFonts w:ascii="方正仿宋_GB2312" w:hAnsi="方正仿宋_GB2312" w:eastAsia="方正仿宋_GB2312" w:cs="方正仿宋_GB2312"/>
          <w:highlight w:val="none"/>
        </w:rPr>
        <w:t>采购包最高限价（元）: 2,538,177.97</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B88E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7A867CA">
            <w:pPr>
              <w:pStyle w:val="4"/>
              <w:jc w:val="both"/>
              <w:rPr>
                <w:rFonts w:hint="default"/>
                <w:highlight w:val="none"/>
              </w:rPr>
            </w:pPr>
            <w:r>
              <w:rPr>
                <w:rFonts w:ascii="方正仿宋_GB2312" w:hAnsi="方正仿宋_GB2312" w:eastAsia="方正仿宋_GB2312" w:cs="方正仿宋_GB2312"/>
                <w:highlight w:val="none"/>
              </w:rPr>
              <w:t>序号</w:t>
            </w:r>
          </w:p>
        </w:tc>
        <w:tc>
          <w:tcPr>
            <w:tcW w:w="1384" w:type="dxa"/>
          </w:tcPr>
          <w:p w14:paraId="42A2A964">
            <w:pPr>
              <w:pStyle w:val="4"/>
              <w:jc w:val="both"/>
              <w:rPr>
                <w:rFonts w:hint="default"/>
                <w:highlight w:val="none"/>
              </w:rPr>
            </w:pPr>
            <w:r>
              <w:rPr>
                <w:rFonts w:ascii="方正仿宋_GB2312" w:hAnsi="方正仿宋_GB2312" w:eastAsia="方正仿宋_GB2312" w:cs="方正仿宋_GB2312"/>
                <w:highlight w:val="none"/>
              </w:rPr>
              <w:t>标的名称</w:t>
            </w:r>
          </w:p>
        </w:tc>
        <w:tc>
          <w:tcPr>
            <w:tcW w:w="1384" w:type="dxa"/>
          </w:tcPr>
          <w:p w14:paraId="75494894">
            <w:pPr>
              <w:pStyle w:val="4"/>
              <w:jc w:val="both"/>
              <w:rPr>
                <w:rFonts w:hint="default"/>
                <w:highlight w:val="none"/>
              </w:rPr>
            </w:pPr>
            <w:r>
              <w:rPr>
                <w:rFonts w:ascii="方正仿宋_GB2312" w:hAnsi="方正仿宋_GB2312" w:eastAsia="方正仿宋_GB2312" w:cs="方正仿宋_GB2312"/>
                <w:highlight w:val="none"/>
              </w:rPr>
              <w:t>数量</w:t>
            </w:r>
          </w:p>
        </w:tc>
        <w:tc>
          <w:tcPr>
            <w:tcW w:w="1384" w:type="dxa"/>
          </w:tcPr>
          <w:p w14:paraId="17723B25">
            <w:pPr>
              <w:pStyle w:val="4"/>
              <w:jc w:val="both"/>
              <w:rPr>
                <w:rFonts w:hint="default"/>
                <w:highlight w:val="none"/>
              </w:rPr>
            </w:pPr>
            <w:r>
              <w:rPr>
                <w:rFonts w:ascii="方正仿宋_GB2312" w:hAnsi="方正仿宋_GB2312" w:eastAsia="方正仿宋_GB2312" w:cs="方正仿宋_GB2312"/>
                <w:highlight w:val="none"/>
              </w:rPr>
              <w:t>标的金额 （元）</w:t>
            </w:r>
          </w:p>
        </w:tc>
        <w:tc>
          <w:tcPr>
            <w:tcW w:w="1384" w:type="dxa"/>
          </w:tcPr>
          <w:p w14:paraId="1453CB24">
            <w:pPr>
              <w:pStyle w:val="4"/>
              <w:jc w:val="both"/>
              <w:rPr>
                <w:rFonts w:hint="default"/>
                <w:highlight w:val="none"/>
              </w:rPr>
            </w:pPr>
            <w:r>
              <w:rPr>
                <w:rFonts w:ascii="方正仿宋_GB2312" w:hAnsi="方正仿宋_GB2312" w:eastAsia="方正仿宋_GB2312" w:cs="方正仿宋_GB2312"/>
                <w:highlight w:val="none"/>
              </w:rPr>
              <w:t>计量单位</w:t>
            </w:r>
          </w:p>
        </w:tc>
        <w:tc>
          <w:tcPr>
            <w:tcW w:w="1384" w:type="dxa"/>
          </w:tcPr>
          <w:p w14:paraId="6DA4EF9A">
            <w:pPr>
              <w:pStyle w:val="4"/>
              <w:jc w:val="both"/>
              <w:rPr>
                <w:rFonts w:hint="default"/>
                <w:highlight w:val="none"/>
              </w:rPr>
            </w:pPr>
            <w:r>
              <w:rPr>
                <w:rFonts w:ascii="方正仿宋_GB2312" w:hAnsi="方正仿宋_GB2312" w:eastAsia="方正仿宋_GB2312" w:cs="方正仿宋_GB2312"/>
                <w:highlight w:val="none"/>
              </w:rPr>
              <w:t>所属行业</w:t>
            </w:r>
          </w:p>
        </w:tc>
      </w:tr>
      <w:tr w14:paraId="718C2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EA26857">
            <w:pPr>
              <w:pStyle w:val="4"/>
              <w:jc w:val="both"/>
              <w:rPr>
                <w:rFonts w:hint="default"/>
                <w:highlight w:val="none"/>
              </w:rPr>
            </w:pPr>
            <w:r>
              <w:rPr>
                <w:rFonts w:ascii="方正仿宋_GB2312" w:hAnsi="方正仿宋_GB2312" w:eastAsia="方正仿宋_GB2312" w:cs="方正仿宋_GB2312"/>
                <w:highlight w:val="none"/>
              </w:rPr>
              <w:t>1</w:t>
            </w:r>
          </w:p>
        </w:tc>
        <w:tc>
          <w:tcPr>
            <w:tcW w:w="1384" w:type="dxa"/>
          </w:tcPr>
          <w:p w14:paraId="3789D268">
            <w:pPr>
              <w:pStyle w:val="4"/>
              <w:jc w:val="both"/>
              <w:rPr>
                <w:rFonts w:hint="default"/>
                <w:highlight w:val="none"/>
              </w:rPr>
            </w:pPr>
            <w:r>
              <w:rPr>
                <w:rFonts w:ascii="方正仿宋_GB2312" w:hAnsi="方正仿宋_GB2312" w:eastAsia="方正仿宋_GB2312" w:cs="方正仿宋_GB2312"/>
                <w:highlight w:val="none"/>
              </w:rPr>
              <w:t>航天城院区消防管道改造</w:t>
            </w:r>
          </w:p>
        </w:tc>
        <w:tc>
          <w:tcPr>
            <w:tcW w:w="1384" w:type="dxa"/>
          </w:tcPr>
          <w:p w14:paraId="3D59C2E9">
            <w:pPr>
              <w:pStyle w:val="4"/>
              <w:jc w:val="both"/>
              <w:rPr>
                <w:rFonts w:hint="default"/>
                <w:highlight w:val="none"/>
              </w:rPr>
            </w:pPr>
            <w:r>
              <w:rPr>
                <w:rFonts w:ascii="方正仿宋_GB2312" w:hAnsi="方正仿宋_GB2312" w:eastAsia="方正仿宋_GB2312" w:cs="方正仿宋_GB2312"/>
                <w:highlight w:val="none"/>
              </w:rPr>
              <w:t>1.00</w:t>
            </w:r>
          </w:p>
        </w:tc>
        <w:tc>
          <w:tcPr>
            <w:tcW w:w="1384" w:type="dxa"/>
          </w:tcPr>
          <w:p w14:paraId="37974A66">
            <w:pPr>
              <w:pStyle w:val="4"/>
              <w:jc w:val="both"/>
              <w:rPr>
                <w:rFonts w:hint="default"/>
                <w:highlight w:val="none"/>
              </w:rPr>
            </w:pPr>
            <w:r>
              <w:rPr>
                <w:rFonts w:ascii="方正仿宋_GB2312" w:hAnsi="方正仿宋_GB2312" w:eastAsia="方正仿宋_GB2312" w:cs="方正仿宋_GB2312"/>
                <w:highlight w:val="none"/>
              </w:rPr>
              <w:t>2,538,177.97</w:t>
            </w:r>
          </w:p>
        </w:tc>
        <w:tc>
          <w:tcPr>
            <w:tcW w:w="1384" w:type="dxa"/>
          </w:tcPr>
          <w:p w14:paraId="420DF828">
            <w:pPr>
              <w:pStyle w:val="4"/>
              <w:jc w:val="both"/>
              <w:rPr>
                <w:rFonts w:hint="default"/>
                <w:highlight w:val="none"/>
              </w:rPr>
            </w:pPr>
            <w:r>
              <w:rPr>
                <w:rFonts w:ascii="方正仿宋_GB2312" w:hAnsi="方正仿宋_GB2312" w:eastAsia="方正仿宋_GB2312" w:cs="方正仿宋_GB2312"/>
                <w:highlight w:val="none"/>
              </w:rPr>
              <w:t>项</w:t>
            </w:r>
          </w:p>
        </w:tc>
        <w:tc>
          <w:tcPr>
            <w:tcW w:w="1384" w:type="dxa"/>
          </w:tcPr>
          <w:p w14:paraId="2CF5ECDA">
            <w:pPr>
              <w:pStyle w:val="4"/>
              <w:jc w:val="both"/>
              <w:rPr>
                <w:rFonts w:hint="default"/>
                <w:highlight w:val="none"/>
              </w:rPr>
            </w:pPr>
            <w:r>
              <w:rPr>
                <w:rFonts w:ascii="方正仿宋_GB2312" w:hAnsi="方正仿宋_GB2312" w:eastAsia="方正仿宋_GB2312" w:cs="方正仿宋_GB2312"/>
                <w:highlight w:val="none"/>
              </w:rPr>
              <w:t>建筑业</w:t>
            </w:r>
          </w:p>
        </w:tc>
      </w:tr>
    </w:tbl>
    <w:p w14:paraId="2857F99B">
      <w:pPr>
        <w:pStyle w:val="4"/>
        <w:ind w:firstLine="480"/>
        <w:jc w:val="both"/>
        <w:rPr>
          <w:rFonts w:hint="default"/>
          <w:highlight w:val="none"/>
        </w:rPr>
      </w:pPr>
      <w:r>
        <w:rPr>
          <w:rFonts w:ascii="方正仿宋_GB2312" w:hAnsi="方正仿宋_GB2312" w:eastAsia="方正仿宋_GB2312" w:cs="方正仿宋_GB2312"/>
          <w:highlight w:val="none"/>
        </w:rPr>
        <w:t>一、技术、服务标准和要求：</w:t>
      </w:r>
    </w:p>
    <w:p w14:paraId="520F6C13">
      <w:pPr>
        <w:pStyle w:val="4"/>
        <w:jc w:val="both"/>
        <w:rPr>
          <w:rFonts w:hint="default"/>
          <w:highlight w:val="none"/>
        </w:rPr>
      </w:pPr>
      <w:r>
        <w:rPr>
          <w:rFonts w:ascii="方正仿宋_GB2312" w:hAnsi="方正仿宋_GB2312" w:eastAsia="方正仿宋_GB2312" w:cs="方正仿宋_GB2312"/>
          <w:highlight w:val="none"/>
        </w:rPr>
        <w:t>采购包1：</w:t>
      </w:r>
    </w:p>
    <w:p w14:paraId="34B1FAA8">
      <w:pPr>
        <w:pStyle w:val="4"/>
        <w:jc w:val="both"/>
        <w:rPr>
          <w:rFonts w:hint="default"/>
          <w:highlight w:val="none"/>
        </w:rPr>
      </w:pPr>
      <w:r>
        <w:rPr>
          <w:rFonts w:ascii="方正仿宋_GB2312" w:hAnsi="方正仿宋_GB2312" w:eastAsia="方正仿宋_GB2312" w:cs="方正仿宋_GB2312"/>
          <w:highlight w:val="none"/>
        </w:rPr>
        <w:t>标的名称：航天城院区消防管道改造</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4"/>
        <w:gridCol w:w="1379"/>
        <w:gridCol w:w="5534"/>
      </w:tblGrid>
      <w:tr w14:paraId="614C6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2AE9CC22">
            <w:pPr>
              <w:pStyle w:val="4"/>
              <w:jc w:val="both"/>
              <w:rPr>
                <w:rFonts w:hint="default"/>
                <w:highlight w:val="none"/>
              </w:rPr>
            </w:pPr>
            <w:r>
              <w:rPr>
                <w:rFonts w:ascii="方正仿宋_GB2312" w:hAnsi="方正仿宋_GB2312" w:eastAsia="方正仿宋_GB2312" w:cs="方正仿宋_GB2312"/>
                <w:highlight w:val="none"/>
              </w:rPr>
              <w:t>序号</w:t>
            </w:r>
          </w:p>
        </w:tc>
        <w:tc>
          <w:tcPr>
            <w:tcW w:w="1379" w:type="dxa"/>
          </w:tcPr>
          <w:p w14:paraId="66490AAB">
            <w:pPr>
              <w:pStyle w:val="4"/>
              <w:jc w:val="both"/>
              <w:rPr>
                <w:rFonts w:hint="default"/>
                <w:highlight w:val="none"/>
              </w:rPr>
            </w:pPr>
            <w:r>
              <w:rPr>
                <w:rFonts w:ascii="方正仿宋_GB2312" w:hAnsi="方正仿宋_GB2312" w:eastAsia="方正仿宋_GB2312" w:cs="方正仿宋_GB2312"/>
                <w:highlight w:val="none"/>
              </w:rPr>
              <w:t xml:space="preserve"> 参数性质</w:t>
            </w:r>
          </w:p>
        </w:tc>
        <w:tc>
          <w:tcPr>
            <w:tcW w:w="5534" w:type="dxa"/>
          </w:tcPr>
          <w:p w14:paraId="1B2B258E">
            <w:pPr>
              <w:pStyle w:val="4"/>
              <w:jc w:val="both"/>
              <w:rPr>
                <w:rFonts w:hint="default"/>
                <w:highlight w:val="none"/>
              </w:rPr>
            </w:pPr>
            <w:r>
              <w:rPr>
                <w:rFonts w:ascii="方正仿宋_GB2312" w:hAnsi="方正仿宋_GB2312" w:eastAsia="方正仿宋_GB2312" w:cs="方正仿宋_GB2312"/>
                <w:highlight w:val="none"/>
              </w:rPr>
              <w:t xml:space="preserve"> 技术参数与性能指标</w:t>
            </w:r>
          </w:p>
        </w:tc>
      </w:tr>
      <w:tr w14:paraId="5722F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4C111107">
            <w:pPr>
              <w:pStyle w:val="4"/>
              <w:jc w:val="both"/>
              <w:rPr>
                <w:rFonts w:hint="default"/>
                <w:highlight w:val="none"/>
              </w:rPr>
            </w:pPr>
            <w:r>
              <w:rPr>
                <w:rFonts w:ascii="方正仿宋_GB2312" w:hAnsi="方正仿宋_GB2312" w:eastAsia="方正仿宋_GB2312" w:cs="方正仿宋_GB2312"/>
                <w:highlight w:val="none"/>
              </w:rPr>
              <w:t>1</w:t>
            </w:r>
          </w:p>
        </w:tc>
        <w:tc>
          <w:tcPr>
            <w:tcW w:w="1379" w:type="dxa"/>
          </w:tcPr>
          <w:p w14:paraId="45C7115C">
            <w:pPr>
              <w:jc w:val="both"/>
              <w:rPr>
                <w:highlight w:val="none"/>
              </w:rPr>
            </w:pPr>
          </w:p>
        </w:tc>
        <w:tc>
          <w:tcPr>
            <w:tcW w:w="5534" w:type="dxa"/>
          </w:tcPr>
          <w:p w14:paraId="00F1CBC5">
            <w:pPr>
              <w:pStyle w:val="4"/>
              <w:jc w:val="both"/>
              <w:rPr>
                <w:rFonts w:hint="default"/>
                <w:highlight w:val="none"/>
              </w:rPr>
            </w:pPr>
            <w:r>
              <w:rPr>
                <w:rFonts w:ascii="方正仿宋_GB2312" w:hAnsi="方正仿宋_GB2312" w:eastAsia="方正仿宋_GB2312" w:cs="方正仿宋_GB2312"/>
                <w:highlight w:val="none"/>
              </w:rPr>
              <w:t>一、项目名称:航天城院区消防管道改造</w:t>
            </w:r>
          </w:p>
        </w:tc>
      </w:tr>
      <w:tr w14:paraId="52D57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72EEB70A">
            <w:pPr>
              <w:pStyle w:val="4"/>
              <w:jc w:val="both"/>
              <w:rPr>
                <w:rFonts w:hint="default"/>
                <w:highlight w:val="none"/>
              </w:rPr>
            </w:pPr>
            <w:r>
              <w:rPr>
                <w:rFonts w:ascii="方正仿宋_GB2312" w:hAnsi="方正仿宋_GB2312" w:eastAsia="方正仿宋_GB2312" w:cs="方正仿宋_GB2312"/>
                <w:highlight w:val="none"/>
              </w:rPr>
              <w:t>2</w:t>
            </w:r>
          </w:p>
        </w:tc>
        <w:tc>
          <w:tcPr>
            <w:tcW w:w="1379" w:type="dxa"/>
          </w:tcPr>
          <w:p w14:paraId="4AF0E435">
            <w:pPr>
              <w:jc w:val="both"/>
              <w:rPr>
                <w:highlight w:val="none"/>
              </w:rPr>
            </w:pPr>
          </w:p>
        </w:tc>
        <w:tc>
          <w:tcPr>
            <w:tcW w:w="5534" w:type="dxa"/>
          </w:tcPr>
          <w:p w14:paraId="166F9C8C">
            <w:pPr>
              <w:pStyle w:val="4"/>
              <w:jc w:val="both"/>
              <w:rPr>
                <w:rFonts w:hint="default"/>
                <w:highlight w:val="none"/>
              </w:rPr>
            </w:pPr>
            <w:r>
              <w:rPr>
                <w:rFonts w:ascii="方正仿宋_GB2312" w:hAnsi="方正仿宋_GB2312" w:eastAsia="方正仿宋_GB2312" w:cs="方正仿宋_GB2312"/>
                <w:highlight w:val="none"/>
              </w:rPr>
              <w:t>二、设计图纸及工程量清单</w:t>
            </w:r>
          </w:p>
        </w:tc>
      </w:tr>
      <w:tr w14:paraId="3842F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617B1E6F">
            <w:pPr>
              <w:pStyle w:val="4"/>
              <w:jc w:val="both"/>
              <w:rPr>
                <w:rFonts w:hint="default"/>
                <w:highlight w:val="none"/>
              </w:rPr>
            </w:pPr>
            <w:r>
              <w:rPr>
                <w:rFonts w:ascii="方正仿宋_GB2312" w:hAnsi="方正仿宋_GB2312" w:eastAsia="方正仿宋_GB2312" w:cs="方正仿宋_GB2312"/>
                <w:highlight w:val="none"/>
              </w:rPr>
              <w:t>3</w:t>
            </w:r>
          </w:p>
        </w:tc>
        <w:tc>
          <w:tcPr>
            <w:tcW w:w="1379" w:type="dxa"/>
          </w:tcPr>
          <w:p w14:paraId="4B4B702D">
            <w:pPr>
              <w:jc w:val="both"/>
              <w:rPr>
                <w:highlight w:val="none"/>
              </w:rPr>
            </w:pPr>
          </w:p>
        </w:tc>
        <w:tc>
          <w:tcPr>
            <w:tcW w:w="5534" w:type="dxa"/>
          </w:tcPr>
          <w:p w14:paraId="281B3EBF">
            <w:pPr>
              <w:pStyle w:val="4"/>
              <w:jc w:val="both"/>
              <w:rPr>
                <w:rFonts w:hint="default"/>
                <w:highlight w:val="none"/>
              </w:rPr>
            </w:pPr>
            <w:r>
              <w:rPr>
                <w:rFonts w:ascii="方正仿宋_GB2312" w:hAnsi="方正仿宋_GB2312" w:eastAsia="方正仿宋_GB2312" w:cs="方正仿宋_GB2312"/>
                <w:highlight w:val="none"/>
              </w:rPr>
              <w:t>1、设计公司设计图纸（图纸与工程量清单不一致时以图纸为准。）</w:t>
            </w:r>
          </w:p>
        </w:tc>
      </w:tr>
      <w:tr w14:paraId="25F1D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7CB38C56">
            <w:pPr>
              <w:pStyle w:val="4"/>
              <w:jc w:val="both"/>
              <w:rPr>
                <w:rFonts w:hint="default"/>
                <w:highlight w:val="none"/>
              </w:rPr>
            </w:pPr>
            <w:r>
              <w:rPr>
                <w:rFonts w:ascii="方正仿宋_GB2312" w:hAnsi="方正仿宋_GB2312" w:eastAsia="方正仿宋_GB2312" w:cs="方正仿宋_GB2312"/>
                <w:highlight w:val="none"/>
              </w:rPr>
              <w:t>4</w:t>
            </w:r>
          </w:p>
        </w:tc>
        <w:tc>
          <w:tcPr>
            <w:tcW w:w="1379" w:type="dxa"/>
          </w:tcPr>
          <w:p w14:paraId="0F1BAAFE">
            <w:pPr>
              <w:jc w:val="both"/>
              <w:rPr>
                <w:highlight w:val="none"/>
              </w:rPr>
            </w:pPr>
          </w:p>
        </w:tc>
        <w:tc>
          <w:tcPr>
            <w:tcW w:w="5534" w:type="dxa"/>
          </w:tcPr>
          <w:p w14:paraId="337B8D8B">
            <w:pPr>
              <w:pStyle w:val="4"/>
              <w:jc w:val="both"/>
              <w:rPr>
                <w:rFonts w:hint="default"/>
                <w:highlight w:val="none"/>
              </w:rPr>
            </w:pPr>
            <w:r>
              <w:rPr>
                <w:rFonts w:ascii="方正仿宋_GB2312" w:hAnsi="方正仿宋_GB2312" w:eastAsia="方正仿宋_GB2312" w:cs="方正仿宋_GB2312"/>
                <w:highlight w:val="none"/>
              </w:rPr>
              <w:t>1.1、航天城院区室外消防管网改造项目室外总图-给排水专业施工图</w:t>
            </w:r>
          </w:p>
        </w:tc>
      </w:tr>
      <w:tr w14:paraId="4EFAF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4A6A5541">
            <w:pPr>
              <w:pStyle w:val="4"/>
              <w:jc w:val="both"/>
              <w:rPr>
                <w:rFonts w:hint="default"/>
                <w:highlight w:val="none"/>
              </w:rPr>
            </w:pPr>
            <w:r>
              <w:rPr>
                <w:rFonts w:ascii="方正仿宋_GB2312" w:hAnsi="方正仿宋_GB2312" w:eastAsia="方正仿宋_GB2312" w:cs="方正仿宋_GB2312"/>
                <w:highlight w:val="none"/>
              </w:rPr>
              <w:t>5</w:t>
            </w:r>
          </w:p>
        </w:tc>
        <w:tc>
          <w:tcPr>
            <w:tcW w:w="1379" w:type="dxa"/>
          </w:tcPr>
          <w:p w14:paraId="6C556D6F">
            <w:pPr>
              <w:jc w:val="both"/>
              <w:rPr>
                <w:highlight w:val="none"/>
              </w:rPr>
            </w:pPr>
          </w:p>
        </w:tc>
        <w:tc>
          <w:tcPr>
            <w:tcW w:w="5534" w:type="dxa"/>
          </w:tcPr>
          <w:p w14:paraId="24543ED3">
            <w:pPr>
              <w:pStyle w:val="4"/>
              <w:jc w:val="both"/>
              <w:rPr>
                <w:rFonts w:hint="default"/>
                <w:highlight w:val="none"/>
              </w:rPr>
            </w:pPr>
            <w:r>
              <w:rPr>
                <w:rFonts w:ascii="方正仿宋_GB2312" w:hAnsi="方正仿宋_GB2312" w:eastAsia="方正仿宋_GB2312" w:cs="方正仿宋_GB2312"/>
                <w:highlight w:val="none"/>
              </w:rPr>
              <w:t>2、造价公司工程量清单 （图纸与工程量清单不一致时以图纸为准。）</w:t>
            </w:r>
          </w:p>
        </w:tc>
      </w:tr>
      <w:tr w14:paraId="10048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0CC007EF">
            <w:pPr>
              <w:pStyle w:val="4"/>
              <w:jc w:val="both"/>
              <w:rPr>
                <w:rFonts w:hint="default"/>
                <w:highlight w:val="none"/>
              </w:rPr>
            </w:pPr>
            <w:r>
              <w:rPr>
                <w:rFonts w:ascii="方正仿宋_GB2312" w:hAnsi="方正仿宋_GB2312" w:eastAsia="方正仿宋_GB2312" w:cs="方正仿宋_GB2312"/>
                <w:highlight w:val="none"/>
              </w:rPr>
              <w:t>6</w:t>
            </w:r>
          </w:p>
        </w:tc>
        <w:tc>
          <w:tcPr>
            <w:tcW w:w="1379" w:type="dxa"/>
          </w:tcPr>
          <w:p w14:paraId="3DFD100D">
            <w:pPr>
              <w:jc w:val="both"/>
              <w:rPr>
                <w:highlight w:val="none"/>
              </w:rPr>
            </w:pPr>
          </w:p>
        </w:tc>
        <w:tc>
          <w:tcPr>
            <w:tcW w:w="5534" w:type="dxa"/>
          </w:tcPr>
          <w:p w14:paraId="305D8D5A">
            <w:pPr>
              <w:pStyle w:val="4"/>
              <w:jc w:val="both"/>
              <w:rPr>
                <w:rFonts w:hint="default"/>
                <w:highlight w:val="none"/>
              </w:rPr>
            </w:pPr>
            <w:r>
              <w:rPr>
                <w:rFonts w:ascii="方正仿宋_GB2312" w:hAnsi="方正仿宋_GB2312" w:eastAsia="方正仿宋_GB2312" w:cs="方正仿宋_GB2312"/>
                <w:highlight w:val="none"/>
              </w:rPr>
              <w:t>2.1、航天城院区消防管道改造-工程量清单</w:t>
            </w:r>
          </w:p>
        </w:tc>
      </w:tr>
      <w:tr w14:paraId="73C89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1984D222">
            <w:pPr>
              <w:pStyle w:val="4"/>
              <w:jc w:val="both"/>
              <w:rPr>
                <w:rFonts w:hint="default"/>
                <w:highlight w:val="none"/>
              </w:rPr>
            </w:pPr>
            <w:r>
              <w:rPr>
                <w:rFonts w:ascii="方正仿宋_GB2312" w:hAnsi="方正仿宋_GB2312" w:eastAsia="方正仿宋_GB2312" w:cs="方正仿宋_GB2312"/>
                <w:highlight w:val="none"/>
              </w:rPr>
              <w:t>7</w:t>
            </w:r>
          </w:p>
        </w:tc>
        <w:tc>
          <w:tcPr>
            <w:tcW w:w="1379" w:type="dxa"/>
          </w:tcPr>
          <w:p w14:paraId="177E3141">
            <w:pPr>
              <w:jc w:val="both"/>
              <w:rPr>
                <w:highlight w:val="none"/>
              </w:rPr>
            </w:pPr>
          </w:p>
        </w:tc>
        <w:tc>
          <w:tcPr>
            <w:tcW w:w="5534" w:type="dxa"/>
          </w:tcPr>
          <w:p w14:paraId="5F34485A">
            <w:pPr>
              <w:pStyle w:val="4"/>
              <w:jc w:val="both"/>
              <w:rPr>
                <w:rFonts w:hint="default"/>
                <w:highlight w:val="none"/>
              </w:rPr>
            </w:pPr>
            <w:r>
              <w:rPr>
                <w:rFonts w:ascii="方正仿宋_GB2312" w:hAnsi="方正仿宋_GB2312" w:eastAsia="方正仿宋_GB2312" w:cs="方正仿宋_GB2312"/>
                <w:highlight w:val="none"/>
              </w:rPr>
              <w:t>三、施工要求</w:t>
            </w:r>
          </w:p>
        </w:tc>
      </w:tr>
      <w:tr w14:paraId="043DD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7187F2F3">
            <w:pPr>
              <w:pStyle w:val="4"/>
              <w:jc w:val="both"/>
              <w:rPr>
                <w:rFonts w:hint="default"/>
                <w:highlight w:val="none"/>
              </w:rPr>
            </w:pPr>
            <w:r>
              <w:rPr>
                <w:rFonts w:ascii="方正仿宋_GB2312" w:hAnsi="方正仿宋_GB2312" w:eastAsia="方正仿宋_GB2312" w:cs="方正仿宋_GB2312"/>
                <w:highlight w:val="none"/>
              </w:rPr>
              <w:t>8</w:t>
            </w:r>
          </w:p>
        </w:tc>
        <w:tc>
          <w:tcPr>
            <w:tcW w:w="1379" w:type="dxa"/>
          </w:tcPr>
          <w:p w14:paraId="078055FB">
            <w:pPr>
              <w:jc w:val="both"/>
              <w:rPr>
                <w:highlight w:val="none"/>
              </w:rPr>
            </w:pPr>
          </w:p>
        </w:tc>
        <w:tc>
          <w:tcPr>
            <w:tcW w:w="5534" w:type="dxa"/>
          </w:tcPr>
          <w:p w14:paraId="616F41D8">
            <w:pPr>
              <w:pStyle w:val="4"/>
              <w:jc w:val="both"/>
              <w:rPr>
                <w:rFonts w:hint="default"/>
                <w:highlight w:val="none"/>
              </w:rPr>
            </w:pPr>
            <w:r>
              <w:rPr>
                <w:rFonts w:ascii="方正仿宋_GB2312" w:hAnsi="方正仿宋_GB2312" w:eastAsia="方正仿宋_GB2312" w:cs="方正仿宋_GB2312"/>
                <w:highlight w:val="none"/>
              </w:rPr>
              <w:t>（一）总体原则：完善配套设施，功能与设施符合规范设计。 项目范围内的施工工艺、技术及材料的选择应具有先进性、高可靠性、实用性、经济性与合理性，满足现代化医院消防的使用要求。全部技术指标，包括材料、包装、运输、安装、调试等各项目技术参数，必须符合国家规范的相关要求。</w:t>
            </w:r>
          </w:p>
        </w:tc>
      </w:tr>
      <w:tr w14:paraId="79EB7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534CA7F3">
            <w:pPr>
              <w:pStyle w:val="4"/>
              <w:jc w:val="both"/>
              <w:rPr>
                <w:rFonts w:hint="default"/>
                <w:highlight w:val="none"/>
              </w:rPr>
            </w:pPr>
            <w:r>
              <w:rPr>
                <w:rFonts w:ascii="方正仿宋_GB2312" w:hAnsi="方正仿宋_GB2312" w:eastAsia="方正仿宋_GB2312" w:cs="方正仿宋_GB2312"/>
                <w:highlight w:val="none"/>
              </w:rPr>
              <w:t>9</w:t>
            </w:r>
          </w:p>
        </w:tc>
        <w:tc>
          <w:tcPr>
            <w:tcW w:w="1379" w:type="dxa"/>
          </w:tcPr>
          <w:p w14:paraId="3ED3E7B3">
            <w:pPr>
              <w:jc w:val="both"/>
              <w:rPr>
                <w:highlight w:val="none"/>
              </w:rPr>
            </w:pPr>
          </w:p>
        </w:tc>
        <w:tc>
          <w:tcPr>
            <w:tcW w:w="5534" w:type="dxa"/>
          </w:tcPr>
          <w:p w14:paraId="626C905F">
            <w:pPr>
              <w:pStyle w:val="4"/>
              <w:jc w:val="both"/>
              <w:rPr>
                <w:rFonts w:hint="default"/>
                <w:highlight w:val="none"/>
              </w:rPr>
            </w:pPr>
            <w:r>
              <w:rPr>
                <w:rFonts w:ascii="方正仿宋_GB2312" w:hAnsi="方正仿宋_GB2312" w:eastAsia="方正仿宋_GB2312" w:cs="方正仿宋_GB2312"/>
                <w:highlight w:val="none"/>
              </w:rPr>
              <w:t>1、最终价格依照审计结果进行支付。</w:t>
            </w:r>
          </w:p>
        </w:tc>
      </w:tr>
      <w:tr w14:paraId="78A3D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5A57531C">
            <w:pPr>
              <w:pStyle w:val="4"/>
              <w:jc w:val="both"/>
              <w:rPr>
                <w:rFonts w:hint="default"/>
                <w:highlight w:val="none"/>
              </w:rPr>
            </w:pPr>
            <w:r>
              <w:rPr>
                <w:rFonts w:ascii="方正仿宋_GB2312" w:hAnsi="方正仿宋_GB2312" w:eastAsia="方正仿宋_GB2312" w:cs="方正仿宋_GB2312"/>
                <w:highlight w:val="none"/>
              </w:rPr>
              <w:t>10</w:t>
            </w:r>
          </w:p>
        </w:tc>
        <w:tc>
          <w:tcPr>
            <w:tcW w:w="1379" w:type="dxa"/>
          </w:tcPr>
          <w:p w14:paraId="631C4EBC">
            <w:pPr>
              <w:jc w:val="both"/>
              <w:rPr>
                <w:highlight w:val="none"/>
              </w:rPr>
            </w:pPr>
          </w:p>
        </w:tc>
        <w:tc>
          <w:tcPr>
            <w:tcW w:w="5534" w:type="dxa"/>
          </w:tcPr>
          <w:p w14:paraId="50055BE9">
            <w:pPr>
              <w:pStyle w:val="4"/>
              <w:jc w:val="both"/>
              <w:rPr>
                <w:rFonts w:hint="default"/>
                <w:highlight w:val="none"/>
              </w:rPr>
            </w:pPr>
            <w:r>
              <w:rPr>
                <w:rFonts w:ascii="方正仿宋_GB2312" w:hAnsi="方正仿宋_GB2312" w:eastAsia="方正仿宋_GB2312" w:cs="方正仿宋_GB2312"/>
                <w:highlight w:val="none"/>
              </w:rPr>
              <w:t>2、协助配合采购人做好消防改造工程的解决办法、施工方案等工作，不计费用。</w:t>
            </w:r>
          </w:p>
        </w:tc>
      </w:tr>
      <w:tr w14:paraId="68200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41597DAF">
            <w:pPr>
              <w:pStyle w:val="4"/>
              <w:jc w:val="both"/>
              <w:rPr>
                <w:rFonts w:hint="default"/>
                <w:highlight w:val="none"/>
              </w:rPr>
            </w:pPr>
            <w:r>
              <w:rPr>
                <w:rFonts w:ascii="方正仿宋_GB2312" w:hAnsi="方正仿宋_GB2312" w:eastAsia="方正仿宋_GB2312" w:cs="方正仿宋_GB2312"/>
                <w:highlight w:val="none"/>
              </w:rPr>
              <w:t>11</w:t>
            </w:r>
          </w:p>
        </w:tc>
        <w:tc>
          <w:tcPr>
            <w:tcW w:w="1379" w:type="dxa"/>
          </w:tcPr>
          <w:p w14:paraId="21376FD4">
            <w:pPr>
              <w:jc w:val="both"/>
              <w:rPr>
                <w:highlight w:val="none"/>
              </w:rPr>
            </w:pPr>
          </w:p>
        </w:tc>
        <w:tc>
          <w:tcPr>
            <w:tcW w:w="5534" w:type="dxa"/>
          </w:tcPr>
          <w:p w14:paraId="66C9D5E8">
            <w:pPr>
              <w:pStyle w:val="4"/>
              <w:jc w:val="both"/>
              <w:rPr>
                <w:rFonts w:hint="default"/>
                <w:highlight w:val="none"/>
              </w:rPr>
            </w:pPr>
            <w:r>
              <w:rPr>
                <w:rFonts w:ascii="方正仿宋_GB2312" w:hAnsi="方正仿宋_GB2312" w:eastAsia="方正仿宋_GB2312" w:cs="方正仿宋_GB2312"/>
                <w:highlight w:val="none"/>
              </w:rPr>
              <w:t>3、严格按照采购人的指令要求进行施工，做好施工前、施工过程和施工后的照片记录，按要求做好验收、工程量签证，提交工程量清单，及时编制并提交工程结算。</w:t>
            </w:r>
          </w:p>
        </w:tc>
      </w:tr>
      <w:tr w14:paraId="54C83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2EBED79B">
            <w:pPr>
              <w:pStyle w:val="4"/>
              <w:jc w:val="both"/>
              <w:rPr>
                <w:rFonts w:hint="default"/>
                <w:highlight w:val="none"/>
              </w:rPr>
            </w:pPr>
            <w:r>
              <w:rPr>
                <w:rFonts w:ascii="方正仿宋_GB2312" w:hAnsi="方正仿宋_GB2312" w:eastAsia="方正仿宋_GB2312" w:cs="方正仿宋_GB2312"/>
                <w:highlight w:val="none"/>
              </w:rPr>
              <w:t>12</w:t>
            </w:r>
          </w:p>
        </w:tc>
        <w:tc>
          <w:tcPr>
            <w:tcW w:w="1379" w:type="dxa"/>
          </w:tcPr>
          <w:p w14:paraId="6A62313E">
            <w:pPr>
              <w:jc w:val="both"/>
              <w:rPr>
                <w:highlight w:val="none"/>
              </w:rPr>
            </w:pPr>
          </w:p>
        </w:tc>
        <w:tc>
          <w:tcPr>
            <w:tcW w:w="5534" w:type="dxa"/>
          </w:tcPr>
          <w:p w14:paraId="540812DB">
            <w:pPr>
              <w:pStyle w:val="4"/>
              <w:jc w:val="both"/>
              <w:rPr>
                <w:rFonts w:hint="default"/>
                <w:highlight w:val="none"/>
              </w:rPr>
            </w:pPr>
            <w:r>
              <w:rPr>
                <w:rFonts w:ascii="方正仿宋_GB2312" w:hAnsi="方正仿宋_GB2312" w:eastAsia="方正仿宋_GB2312" w:cs="方正仿宋_GB2312"/>
                <w:highlight w:val="none"/>
              </w:rPr>
              <w:t>4、承包方应为现场施工人员购买保险，相关用工风险、法律责任等由中标单位自行承担，施工过程要做好工程范围的安全防护措施，发生一切安全事故均由施工单位负责，采购人不承担任何责任。</w:t>
            </w:r>
          </w:p>
        </w:tc>
      </w:tr>
      <w:tr w14:paraId="12BB8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1F989D06">
            <w:pPr>
              <w:pStyle w:val="4"/>
              <w:jc w:val="both"/>
              <w:rPr>
                <w:rFonts w:hint="default"/>
                <w:highlight w:val="none"/>
              </w:rPr>
            </w:pPr>
            <w:r>
              <w:rPr>
                <w:rFonts w:ascii="方正仿宋_GB2312" w:hAnsi="方正仿宋_GB2312" w:eastAsia="方正仿宋_GB2312" w:cs="方正仿宋_GB2312"/>
                <w:highlight w:val="none"/>
              </w:rPr>
              <w:t>13</w:t>
            </w:r>
          </w:p>
        </w:tc>
        <w:tc>
          <w:tcPr>
            <w:tcW w:w="1379" w:type="dxa"/>
          </w:tcPr>
          <w:p w14:paraId="3CCCA50E">
            <w:pPr>
              <w:jc w:val="both"/>
              <w:rPr>
                <w:highlight w:val="none"/>
              </w:rPr>
            </w:pPr>
          </w:p>
        </w:tc>
        <w:tc>
          <w:tcPr>
            <w:tcW w:w="5534" w:type="dxa"/>
          </w:tcPr>
          <w:p w14:paraId="11E4D491">
            <w:pPr>
              <w:pStyle w:val="4"/>
              <w:jc w:val="both"/>
              <w:rPr>
                <w:rFonts w:hint="default"/>
                <w:highlight w:val="none"/>
              </w:rPr>
            </w:pPr>
            <w:r>
              <w:rPr>
                <w:rFonts w:ascii="方正仿宋_GB2312" w:hAnsi="方正仿宋_GB2312" w:eastAsia="方正仿宋_GB2312" w:cs="方正仿宋_GB2312"/>
                <w:highlight w:val="none"/>
              </w:rPr>
              <w:t>5、该工程中所用材料必须符合国家、行业标准，承包方在投标文件须注明品牌并随附相关产品检测报告。</w:t>
            </w:r>
          </w:p>
        </w:tc>
      </w:tr>
      <w:tr w14:paraId="23D76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3F41AF5F">
            <w:pPr>
              <w:pStyle w:val="4"/>
              <w:jc w:val="both"/>
              <w:rPr>
                <w:rFonts w:hint="default"/>
                <w:highlight w:val="none"/>
              </w:rPr>
            </w:pPr>
            <w:r>
              <w:rPr>
                <w:rFonts w:ascii="方正仿宋_GB2312" w:hAnsi="方正仿宋_GB2312" w:eastAsia="方正仿宋_GB2312" w:cs="方正仿宋_GB2312"/>
                <w:highlight w:val="none"/>
              </w:rPr>
              <w:t>14</w:t>
            </w:r>
          </w:p>
        </w:tc>
        <w:tc>
          <w:tcPr>
            <w:tcW w:w="1379" w:type="dxa"/>
          </w:tcPr>
          <w:p w14:paraId="55F19DA9">
            <w:pPr>
              <w:jc w:val="both"/>
              <w:rPr>
                <w:highlight w:val="none"/>
              </w:rPr>
            </w:pPr>
          </w:p>
        </w:tc>
        <w:tc>
          <w:tcPr>
            <w:tcW w:w="5534" w:type="dxa"/>
          </w:tcPr>
          <w:p w14:paraId="313A478B">
            <w:pPr>
              <w:pStyle w:val="4"/>
              <w:jc w:val="both"/>
              <w:rPr>
                <w:rFonts w:hint="default"/>
                <w:highlight w:val="none"/>
              </w:rPr>
            </w:pPr>
            <w:r>
              <w:rPr>
                <w:rFonts w:ascii="方正仿宋_GB2312" w:hAnsi="方正仿宋_GB2312" w:eastAsia="方正仿宋_GB2312" w:cs="方正仿宋_GB2312"/>
                <w:highlight w:val="none"/>
              </w:rPr>
              <w:t>（二）相关行业规范（包含但不限于以下行业规范） 现行的国家及陕西省有关建筑及建筑装饰工程设计相关专业规程、规范和规定。 《建筑给水排水与节水通用规范》 (GB55020-2021); 《建筑节能与可再生能源利用通用规范》 (GB55015-2021); 《建筑与市政工程抗震通用规范》 (GB55002-2021); 《建筑与市政工程无障碍通用规范》 (GB55019-2021); 《城市给水工程项目规范》GB55026-2022 《室外给水设计标准》(GB 50013-2018); 《城乡排水工程项目规范》GB55027-2022 《室外排水设计标准》(GB 50014-2021); 《消防给水及消火栓系统技术规范》(GB 50794-2014); 《建筑设计防火规范》(GB 50016-20</w:t>
            </w:r>
            <w:r>
              <w:rPr>
                <w:rFonts w:hint="eastAsia" w:ascii="方正仿宋_GB2312" w:hAnsi="方正仿宋_GB2312" w:eastAsia="方正仿宋_GB2312" w:cs="方正仿宋_GB2312"/>
                <w:highlight w:val="none"/>
                <w:lang w:val="en-US" w:eastAsia="zh-CN"/>
              </w:rPr>
              <w:t>22</w:t>
            </w:r>
            <w:r>
              <w:rPr>
                <w:rFonts w:ascii="方正仿宋_GB2312" w:hAnsi="方正仿宋_GB2312" w:eastAsia="方正仿宋_GB2312" w:cs="方正仿宋_GB2312"/>
                <w:highlight w:val="none"/>
              </w:rPr>
              <w:t>)</w:t>
            </w:r>
            <w:r>
              <w:rPr>
                <w:rFonts w:hint="eastAsia" w:ascii="方正仿宋_GB2312" w:hAnsi="方正仿宋_GB2312" w:eastAsia="方正仿宋_GB2312" w:cs="方正仿宋_GB2312"/>
                <w:highlight w:val="none"/>
                <w:lang w:eastAsia="zh-CN"/>
              </w:rPr>
              <w:t>；</w:t>
            </w:r>
            <w:r>
              <w:rPr>
                <w:rFonts w:ascii="方正仿宋_GB2312" w:hAnsi="方正仿宋_GB2312" w:eastAsia="方正仿宋_GB2312" w:cs="方正仿宋_GB2312"/>
                <w:highlight w:val="none"/>
              </w:rPr>
              <w:t>《建筑给水排水设计标准》(GB 50015-2019)</w:t>
            </w:r>
            <w:r>
              <w:rPr>
                <w:rFonts w:hint="eastAsia" w:ascii="方正仿宋_GB2312" w:hAnsi="方正仿宋_GB2312" w:eastAsia="方正仿宋_GB2312" w:cs="方正仿宋_GB2312"/>
                <w:highlight w:val="none"/>
                <w:lang w:eastAsia="zh-CN"/>
              </w:rPr>
              <w:t>；</w:t>
            </w:r>
            <w:r>
              <w:rPr>
                <w:rFonts w:ascii="方正仿宋_GB2312" w:hAnsi="方正仿宋_GB2312" w:eastAsia="方正仿宋_GB2312" w:cs="方正仿宋_GB2312"/>
                <w:highlight w:val="none"/>
              </w:rPr>
              <w:t>《污水综合排放标准》(GB 8978-1996);《消防设施通用规范》(GB55036-2022); 《建筑与小区雨水控制及利用工程技术规范》(GB50400-2016); 《室外给水排水和燃气热力工程抗震设计规范》(GB50032-2003); 《建筑给水排水及采暖工程施工质量验收规范》(GB 50242-2002); 注:若图纸中出现跟上述技术标准与规范不同之处，须以国家颁布最新规范为准。</w:t>
            </w:r>
          </w:p>
        </w:tc>
      </w:tr>
      <w:tr w14:paraId="1D229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1AE0FABB">
            <w:pPr>
              <w:pStyle w:val="4"/>
              <w:jc w:val="both"/>
              <w:rPr>
                <w:rFonts w:hint="default"/>
                <w:highlight w:val="none"/>
              </w:rPr>
            </w:pPr>
            <w:r>
              <w:rPr>
                <w:rFonts w:ascii="方正仿宋_GB2312" w:hAnsi="方正仿宋_GB2312" w:eastAsia="方正仿宋_GB2312" w:cs="方正仿宋_GB2312"/>
                <w:highlight w:val="none"/>
              </w:rPr>
              <w:t>15</w:t>
            </w:r>
          </w:p>
        </w:tc>
        <w:tc>
          <w:tcPr>
            <w:tcW w:w="1379" w:type="dxa"/>
          </w:tcPr>
          <w:p w14:paraId="43FF899C">
            <w:pPr>
              <w:jc w:val="both"/>
              <w:rPr>
                <w:highlight w:val="none"/>
              </w:rPr>
            </w:pPr>
          </w:p>
        </w:tc>
        <w:tc>
          <w:tcPr>
            <w:tcW w:w="5534" w:type="dxa"/>
          </w:tcPr>
          <w:p w14:paraId="3D4F0FEC">
            <w:pPr>
              <w:pStyle w:val="4"/>
              <w:jc w:val="both"/>
              <w:rPr>
                <w:rFonts w:hint="default"/>
                <w:highlight w:val="none"/>
              </w:rPr>
            </w:pPr>
            <w:r>
              <w:rPr>
                <w:rFonts w:ascii="方正仿宋_GB2312" w:hAnsi="方正仿宋_GB2312" w:eastAsia="方正仿宋_GB2312" w:cs="方正仿宋_GB2312"/>
                <w:highlight w:val="none"/>
              </w:rPr>
              <w:t>（三）施工方配合采购人消防验收，确保本项目通过消防验收；本项目因验收出现的问题，施工方须无条件配合采购人进行整改。</w:t>
            </w:r>
          </w:p>
        </w:tc>
      </w:tr>
      <w:tr w14:paraId="00A7F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537877C9">
            <w:pPr>
              <w:pStyle w:val="4"/>
              <w:jc w:val="both"/>
              <w:rPr>
                <w:rFonts w:hint="default"/>
                <w:highlight w:val="none"/>
              </w:rPr>
            </w:pPr>
            <w:r>
              <w:rPr>
                <w:rFonts w:ascii="方正仿宋_GB2312" w:hAnsi="方正仿宋_GB2312" w:eastAsia="方正仿宋_GB2312" w:cs="方正仿宋_GB2312"/>
                <w:highlight w:val="none"/>
              </w:rPr>
              <w:t>16</w:t>
            </w:r>
          </w:p>
        </w:tc>
        <w:tc>
          <w:tcPr>
            <w:tcW w:w="1379" w:type="dxa"/>
          </w:tcPr>
          <w:p w14:paraId="4F982D90">
            <w:pPr>
              <w:jc w:val="both"/>
              <w:rPr>
                <w:highlight w:val="none"/>
              </w:rPr>
            </w:pPr>
          </w:p>
        </w:tc>
        <w:tc>
          <w:tcPr>
            <w:tcW w:w="5534" w:type="dxa"/>
          </w:tcPr>
          <w:p w14:paraId="1C18DB76">
            <w:pPr>
              <w:pStyle w:val="4"/>
              <w:jc w:val="both"/>
              <w:rPr>
                <w:rFonts w:hint="default"/>
                <w:highlight w:val="none"/>
              </w:rPr>
            </w:pPr>
            <w:r>
              <w:rPr>
                <w:rFonts w:ascii="方正仿宋_GB2312" w:hAnsi="方正仿宋_GB2312" w:eastAsia="方正仿宋_GB2312" w:cs="方正仿宋_GB2312"/>
                <w:highlight w:val="none"/>
              </w:rPr>
              <w:t>（四）建筑垃圾处置 本项目产生的建筑垃圾由承包方自行清运并合规处理，工完场清。此类垃圾不包含拆除的固定资产，固定资产须按采购人要求存放。</w:t>
            </w:r>
          </w:p>
        </w:tc>
      </w:tr>
      <w:tr w14:paraId="7C079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45F3CDDD">
            <w:pPr>
              <w:pStyle w:val="4"/>
              <w:jc w:val="both"/>
              <w:rPr>
                <w:rFonts w:hint="default"/>
                <w:highlight w:val="none"/>
              </w:rPr>
            </w:pPr>
            <w:r>
              <w:rPr>
                <w:rFonts w:ascii="方正仿宋_GB2312" w:hAnsi="方正仿宋_GB2312" w:eastAsia="方正仿宋_GB2312" w:cs="方正仿宋_GB2312"/>
                <w:highlight w:val="none"/>
              </w:rPr>
              <w:t>17</w:t>
            </w:r>
          </w:p>
        </w:tc>
        <w:tc>
          <w:tcPr>
            <w:tcW w:w="1379" w:type="dxa"/>
          </w:tcPr>
          <w:p w14:paraId="352D7E50">
            <w:pPr>
              <w:jc w:val="both"/>
              <w:rPr>
                <w:highlight w:val="none"/>
              </w:rPr>
            </w:pPr>
          </w:p>
        </w:tc>
        <w:tc>
          <w:tcPr>
            <w:tcW w:w="5534" w:type="dxa"/>
          </w:tcPr>
          <w:p w14:paraId="2D539F00">
            <w:pPr>
              <w:pStyle w:val="4"/>
              <w:jc w:val="both"/>
              <w:rPr>
                <w:rFonts w:hint="default"/>
                <w:highlight w:val="none"/>
              </w:rPr>
            </w:pPr>
            <w:r>
              <w:rPr>
                <w:rFonts w:ascii="方正仿宋_GB2312" w:hAnsi="方正仿宋_GB2312" w:eastAsia="方正仿宋_GB2312" w:cs="方正仿宋_GB2312"/>
                <w:highlight w:val="none"/>
              </w:rPr>
              <w:t>四、其他要求</w:t>
            </w:r>
          </w:p>
        </w:tc>
      </w:tr>
      <w:tr w14:paraId="60759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4" w:type="dxa"/>
          </w:tcPr>
          <w:p w14:paraId="4A5DDE2F">
            <w:pPr>
              <w:pStyle w:val="4"/>
              <w:jc w:val="both"/>
              <w:rPr>
                <w:rFonts w:hint="default"/>
                <w:highlight w:val="none"/>
              </w:rPr>
            </w:pPr>
            <w:r>
              <w:rPr>
                <w:rFonts w:ascii="方正仿宋_GB2312" w:hAnsi="方正仿宋_GB2312" w:eastAsia="方正仿宋_GB2312" w:cs="方正仿宋_GB2312"/>
                <w:highlight w:val="none"/>
              </w:rPr>
              <w:t>18</w:t>
            </w:r>
          </w:p>
        </w:tc>
        <w:tc>
          <w:tcPr>
            <w:tcW w:w="1379" w:type="dxa"/>
          </w:tcPr>
          <w:p w14:paraId="0E2189DE">
            <w:pPr>
              <w:jc w:val="both"/>
              <w:rPr>
                <w:highlight w:val="none"/>
              </w:rPr>
            </w:pPr>
          </w:p>
        </w:tc>
        <w:tc>
          <w:tcPr>
            <w:tcW w:w="5534" w:type="dxa"/>
          </w:tcPr>
          <w:p w14:paraId="37B2C67E">
            <w:pPr>
              <w:pStyle w:val="4"/>
              <w:jc w:val="both"/>
              <w:rPr>
                <w:rFonts w:hint="default"/>
                <w:highlight w:val="none"/>
              </w:rPr>
            </w:pPr>
            <w:r>
              <w:rPr>
                <w:rFonts w:ascii="方正仿宋_GB2312" w:hAnsi="方正仿宋_GB2312" w:eastAsia="方正仿宋_GB2312" w:cs="方正仿宋_GB2312"/>
                <w:highlight w:val="none"/>
              </w:rPr>
              <w:t>1、凡需要列入固定资产的，须开具货物类发票（税务系统清单式发票），否则无法付款，造成的法律与经济责任由乙方负责。（注：固定资产是指使用年限超过1年(不含1年)、单位价值在1000元及以上(其中：专业设备单位价值在1500元及以上),并在使用过程中基本保持原有物质形态的资产，包括房屋和构筑物、设备、图书和档案、家具和用具等。单位价值虽未达到规定标准，但是使用年限超过1年(不含1年)的大批同类物资，如图书、家具、用具、装具等，应当确认为固定资产。）</w:t>
            </w:r>
          </w:p>
        </w:tc>
      </w:tr>
    </w:tbl>
    <w:p w14:paraId="1A0D5F56">
      <w:pPr>
        <w:pStyle w:val="4"/>
        <w:ind w:firstLine="480"/>
        <w:jc w:val="both"/>
        <w:rPr>
          <w:rFonts w:hint="default"/>
          <w:highlight w:val="none"/>
        </w:rPr>
      </w:pPr>
      <w:r>
        <w:rPr>
          <w:rFonts w:ascii="方正仿宋_GB2312" w:hAnsi="方正仿宋_GB2312" w:eastAsia="方正仿宋_GB2312" w:cs="方正仿宋_GB2312"/>
          <w:highlight w:val="none"/>
        </w:rPr>
        <w:t>二、供应商针对本项目的施工，必须达到国家及行业现行技术规范标准，符合国家及行业验收合格标准：</w:t>
      </w:r>
    </w:p>
    <w:p w14:paraId="0E0F1693">
      <w:pPr>
        <w:pStyle w:val="4"/>
        <w:jc w:val="both"/>
        <w:rPr>
          <w:rFonts w:hint="default"/>
          <w:highlight w:val="none"/>
        </w:rPr>
      </w:pPr>
      <w:r>
        <w:rPr>
          <w:rFonts w:ascii="方正仿宋_GB2312" w:hAnsi="方正仿宋_GB2312" w:eastAsia="方正仿宋_GB2312" w:cs="方正仿宋_GB2312"/>
          <w:highlight w:val="none"/>
        </w:rPr>
        <w:t>采购包1：</w:t>
      </w:r>
    </w:p>
    <w:p w14:paraId="73E1BEF2">
      <w:pPr>
        <w:pStyle w:val="4"/>
        <w:jc w:val="both"/>
        <w:rPr>
          <w:rFonts w:hint="default"/>
          <w:highlight w:val="none"/>
        </w:rPr>
      </w:pPr>
      <w:r>
        <w:rPr>
          <w:rFonts w:ascii="方正仿宋_GB2312" w:hAnsi="方正仿宋_GB2312" w:eastAsia="方正仿宋_GB2312" w:cs="方正仿宋_GB2312"/>
          <w:highlight w:val="none"/>
        </w:rPr>
        <w:t>达到国家及行业现行技术规范标准，符合国家及行业验收合格标准。</w:t>
      </w:r>
    </w:p>
    <w:p w14:paraId="366736F0">
      <w:pPr>
        <w:pStyle w:val="4"/>
        <w:ind w:firstLine="480"/>
        <w:jc w:val="both"/>
        <w:rPr>
          <w:rFonts w:hint="default"/>
          <w:highlight w:val="none"/>
        </w:rPr>
      </w:pPr>
      <w:r>
        <w:rPr>
          <w:rFonts w:ascii="方正仿宋_GB2312" w:hAnsi="方正仿宋_GB2312" w:eastAsia="方正仿宋_GB2312" w:cs="方正仿宋_GB2312"/>
          <w:highlight w:val="none"/>
        </w:rPr>
        <w:t>三、针对本项目的其他技术服务要求：</w:t>
      </w:r>
    </w:p>
    <w:p w14:paraId="30B353C1">
      <w:pPr>
        <w:pStyle w:val="4"/>
        <w:jc w:val="both"/>
        <w:rPr>
          <w:rFonts w:hint="default"/>
          <w:highlight w:val="none"/>
        </w:rPr>
      </w:pPr>
      <w:r>
        <w:rPr>
          <w:rFonts w:ascii="方正仿宋_GB2312" w:hAnsi="方正仿宋_GB2312" w:eastAsia="方正仿宋_GB2312" w:cs="方正仿宋_GB2312"/>
          <w:highlight w:val="none"/>
        </w:rPr>
        <w:t>详见清单编制说明。</w:t>
      </w:r>
    </w:p>
    <w:p w14:paraId="6AA0E04A">
      <w:pPr>
        <w:pStyle w:val="4"/>
        <w:ind w:firstLine="480"/>
        <w:jc w:val="both"/>
        <w:rPr>
          <w:rFonts w:hint="default"/>
          <w:highlight w:val="none"/>
        </w:rPr>
      </w:pPr>
      <w:r>
        <w:rPr>
          <w:rFonts w:ascii="方正仿宋_GB2312" w:hAnsi="方正仿宋_GB2312" w:eastAsia="方正仿宋_GB2312" w:cs="方正仿宋_GB2312"/>
          <w:highlight w:val="none"/>
        </w:rPr>
        <w:t>四、工程量清单（详见附件）</w:t>
      </w:r>
    </w:p>
    <w:p w14:paraId="38C9542B">
      <w:pPr>
        <w:pStyle w:val="4"/>
        <w:ind w:firstLine="480"/>
        <w:jc w:val="both"/>
        <w:rPr>
          <w:rFonts w:hint="default"/>
          <w:highlight w:val="none"/>
        </w:rPr>
      </w:pPr>
      <w:r>
        <w:rPr>
          <w:rFonts w:ascii="方正仿宋_GB2312" w:hAnsi="方正仿宋_GB2312" w:eastAsia="方正仿宋_GB2312" w:cs="方正仿宋_GB2312"/>
          <w:highlight w:val="none"/>
        </w:rPr>
        <w:t xml:space="preserve"> （说明：工程量清单应当结合《政府采购需求管理办法》（财库〔2021〕22号）第六条第二款规定，明确相关性能、材料、结构、外观、安全、标准等。）</w:t>
      </w:r>
    </w:p>
    <w:p w14:paraId="1EAED4EF">
      <w:pPr>
        <w:pStyle w:val="4"/>
        <w:jc w:val="both"/>
        <w:outlineLvl w:val="2"/>
        <w:rPr>
          <w:rFonts w:hint="default"/>
          <w:highlight w:val="none"/>
        </w:rPr>
      </w:pPr>
      <w:r>
        <w:rPr>
          <w:rFonts w:ascii="方正仿宋_GB2312" w:hAnsi="方正仿宋_GB2312" w:eastAsia="方正仿宋_GB2312" w:cs="方正仿宋_GB2312"/>
          <w:b/>
          <w:sz w:val="28"/>
          <w:highlight w:val="none"/>
        </w:rPr>
        <w:t>3.2商务要求（说明：由采购人依据项目具体需求制定）</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20219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42B8A19">
            <w:pPr>
              <w:pStyle w:val="4"/>
              <w:jc w:val="both"/>
              <w:rPr>
                <w:rFonts w:hint="default"/>
                <w:highlight w:val="none"/>
              </w:rPr>
            </w:pPr>
            <w:r>
              <w:rPr>
                <w:rFonts w:ascii="方正仿宋_GB2312" w:hAnsi="方正仿宋_GB2312" w:eastAsia="方正仿宋_GB2312" w:cs="方正仿宋_GB2312"/>
                <w:highlight w:val="none"/>
              </w:rPr>
              <w:t>序号</w:t>
            </w:r>
          </w:p>
        </w:tc>
        <w:tc>
          <w:tcPr>
            <w:tcW w:w="2769" w:type="dxa"/>
          </w:tcPr>
          <w:p w14:paraId="055DC08B">
            <w:pPr>
              <w:pStyle w:val="4"/>
              <w:jc w:val="both"/>
              <w:rPr>
                <w:rFonts w:hint="default"/>
                <w:highlight w:val="none"/>
              </w:rPr>
            </w:pPr>
            <w:r>
              <w:rPr>
                <w:rFonts w:ascii="方正仿宋_GB2312" w:hAnsi="方正仿宋_GB2312" w:eastAsia="方正仿宋_GB2312" w:cs="方正仿宋_GB2312"/>
                <w:highlight w:val="none"/>
              </w:rPr>
              <w:t>项目</w:t>
            </w:r>
          </w:p>
        </w:tc>
        <w:tc>
          <w:tcPr>
            <w:tcW w:w="2769" w:type="dxa"/>
          </w:tcPr>
          <w:p w14:paraId="78B057B4">
            <w:pPr>
              <w:pStyle w:val="4"/>
              <w:jc w:val="both"/>
              <w:rPr>
                <w:rFonts w:hint="default"/>
                <w:highlight w:val="none"/>
              </w:rPr>
            </w:pPr>
            <w:r>
              <w:rPr>
                <w:rFonts w:ascii="方正仿宋_GB2312" w:hAnsi="方正仿宋_GB2312" w:eastAsia="方正仿宋_GB2312" w:cs="方正仿宋_GB2312"/>
                <w:highlight w:val="none"/>
              </w:rPr>
              <w:t>要求</w:t>
            </w:r>
          </w:p>
        </w:tc>
      </w:tr>
      <w:tr w14:paraId="158A5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E9C16B">
            <w:pPr>
              <w:pStyle w:val="4"/>
              <w:jc w:val="both"/>
              <w:rPr>
                <w:rFonts w:hint="default"/>
                <w:highlight w:val="none"/>
              </w:rPr>
            </w:pPr>
            <w:r>
              <w:rPr>
                <w:rFonts w:ascii="方正仿宋_GB2312" w:hAnsi="方正仿宋_GB2312" w:eastAsia="方正仿宋_GB2312" w:cs="方正仿宋_GB2312"/>
                <w:highlight w:val="none"/>
              </w:rPr>
              <w:t>1</w:t>
            </w:r>
          </w:p>
        </w:tc>
        <w:tc>
          <w:tcPr>
            <w:tcW w:w="2769" w:type="dxa"/>
          </w:tcPr>
          <w:p w14:paraId="1CADF60C">
            <w:pPr>
              <w:pStyle w:val="4"/>
              <w:jc w:val="both"/>
              <w:rPr>
                <w:rFonts w:hint="default"/>
                <w:highlight w:val="none"/>
              </w:rPr>
            </w:pPr>
            <w:r>
              <w:rPr>
                <w:rFonts w:ascii="方正仿宋_GB2312" w:hAnsi="方正仿宋_GB2312" w:eastAsia="方正仿宋_GB2312" w:cs="方正仿宋_GB2312"/>
                <w:highlight w:val="none"/>
              </w:rPr>
              <w:t>项目负责人（项目经理）</w:t>
            </w:r>
          </w:p>
        </w:tc>
        <w:tc>
          <w:tcPr>
            <w:tcW w:w="2769" w:type="dxa"/>
          </w:tcPr>
          <w:p w14:paraId="58C4EB79">
            <w:pPr>
              <w:pStyle w:val="4"/>
              <w:jc w:val="both"/>
              <w:rPr>
                <w:rFonts w:hint="default"/>
                <w:highlight w:val="none"/>
              </w:rPr>
            </w:pPr>
            <w:r>
              <w:rPr>
                <w:rFonts w:ascii="方正仿宋_GB2312" w:hAnsi="方正仿宋_GB2312" w:eastAsia="方正仿宋_GB2312" w:cs="方正仿宋_GB2312"/>
                <w:highlight w:val="none"/>
              </w:rPr>
              <w:t>具体要求详见资格审查条款</w:t>
            </w:r>
          </w:p>
        </w:tc>
      </w:tr>
    </w:tbl>
    <w:p w14:paraId="76E6FFFF">
      <w:pPr>
        <w:bidi w:val="0"/>
        <w:jc w:val="both"/>
        <w:rPr>
          <w:rFonts w:hint="default"/>
          <w:highlight w:val="none"/>
        </w:rPr>
      </w:pPr>
      <w:r>
        <w:rPr>
          <w:b/>
          <w:bCs/>
          <w:highlight w:val="none"/>
        </w:rPr>
        <w:t>说明：</w:t>
      </w:r>
    </w:p>
    <w:p w14:paraId="16F7C5B0">
      <w:pPr>
        <w:pStyle w:val="4"/>
        <w:ind w:firstLine="480"/>
        <w:jc w:val="both"/>
        <w:rPr>
          <w:rFonts w:hint="default"/>
          <w:highlight w:val="none"/>
        </w:rPr>
      </w:pPr>
      <w:r>
        <w:rPr>
          <w:rFonts w:ascii="方正仿宋_GB2312" w:hAnsi="方正仿宋_GB2312" w:eastAsia="方正仿宋_GB2312" w:cs="方正仿宋_GB2312"/>
          <w:highlight w:val="none"/>
        </w:rPr>
        <w:t>1.对于不允许偏离的实质性要求和条件，采购人或者代理机构应当在磋商文件中规定，并以醒目的方式标明。</w:t>
      </w:r>
    </w:p>
    <w:p w14:paraId="3A67A1B7">
      <w:pPr>
        <w:pStyle w:val="4"/>
        <w:ind w:firstLine="480"/>
        <w:jc w:val="both"/>
        <w:rPr>
          <w:rFonts w:hint="default"/>
          <w:highlight w:val="none"/>
        </w:rPr>
      </w:pPr>
      <w:r>
        <w:rPr>
          <w:rFonts w:ascii="方正仿宋_GB2312" w:hAnsi="方正仿宋_GB2312" w:eastAsia="方正仿宋_GB2312" w:cs="方正仿宋_GB2312"/>
          <w:highlight w:val="none"/>
        </w:rPr>
        <w:t xml:space="preserve"> 2.除相关法律或行政法规或规章要求供应商在响应或磋商阶段提供检测报告的，不得要求供应商在响应、磋商阶段提供检测报告，如确实需要检测报告，可要求供应商承诺在签订合同阶段或项目实施阶段提供。</w:t>
      </w:r>
    </w:p>
    <w:p w14:paraId="34B3CCD6">
      <w:pPr>
        <w:pStyle w:val="4"/>
        <w:ind w:firstLine="480"/>
        <w:jc w:val="both"/>
        <w:rPr>
          <w:rFonts w:hint="default"/>
          <w:highlight w:val="none"/>
        </w:rPr>
      </w:pPr>
      <w:r>
        <w:rPr>
          <w:rFonts w:ascii="方正仿宋_GB2312" w:hAnsi="方正仿宋_GB2312" w:eastAsia="方正仿宋_GB2312" w:cs="方正仿宋_GB2312"/>
          <w:highlight w:val="none"/>
        </w:rPr>
        <w:t xml:space="preserve"> 3.若要求供应商提供相关人员的职业资格的，不得要求提供除现行《国家职业资格目录》以外的职业资格，不得以不合理条件对供应商实行差别待遇或者歧视性待遇。</w:t>
      </w:r>
    </w:p>
    <w:p w14:paraId="70C60209">
      <w:pPr>
        <w:pStyle w:val="4"/>
        <w:jc w:val="both"/>
        <w:outlineLvl w:val="2"/>
        <w:rPr>
          <w:rFonts w:hint="default"/>
          <w:highlight w:val="none"/>
        </w:rPr>
      </w:pPr>
      <w:r>
        <w:rPr>
          <w:rFonts w:ascii="方正仿宋_GB2312" w:hAnsi="方正仿宋_GB2312" w:eastAsia="方正仿宋_GB2312" w:cs="方正仿宋_GB2312"/>
          <w:b/>
          <w:sz w:val="28"/>
          <w:highlight w:val="none"/>
        </w:rPr>
        <w:t>3.3其他要求</w:t>
      </w:r>
    </w:p>
    <w:p w14:paraId="53388A83">
      <w:r>
        <w:rPr>
          <w:rFonts w:ascii="方正仿宋_GB2312" w:hAnsi="方正仿宋_GB2312" w:eastAsia="方正仿宋_GB2312" w:cs="方正仿宋_GB2312"/>
          <w:highlight w:val="none"/>
        </w:rPr>
        <w:t>本项目预算金额为253.817797万元（含暂列金20.71万元），暂列金为不可竞争费，包含在总价内，不得变动，否则按无效标处理。 1.进入相关部门“黑名单”的供应商以及有行贿、串标等违法违规行为并经查实的供应商不能参与本院采购项目的投标活动。对“黑名单”中供应商采取“一票否决”及“随时叫停”机制，在报名、资格审核、评审、公示、合同签订等各环节一旦发现并查实有行贿等违法违规行为的，立即取消其相关资格且终止合同签订。 2.根据西安市财政局《关于促进政府采购公平竞争优化营商环境的通知》（市财函[2021]431号）文中“第16条规定 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失信行为”。 3.供应商必须填写“陕西省政府采购供货商拒绝政府采购领域商业贿赂承诺书”（详见采购文件附件其他材料）、“政府采购活动行为自律承诺书（一）”（详见采购文件附件其他材料）和“</w:t>
      </w:r>
      <w:bookmarkStart w:id="0" w:name="_GoBack"/>
      <w:bookmarkEnd w:id="0"/>
      <w:r>
        <w:rPr>
          <w:rFonts w:ascii="方正仿宋_GB2312" w:hAnsi="方正仿宋_GB2312" w:eastAsia="方正仿宋_GB2312" w:cs="方正仿宋_GB2312"/>
          <w:highlight w:val="none"/>
        </w:rPr>
        <w:t>政府采购活动行为自律承诺书（二）”（详见采购文件附件其他材料），未填写的将按按无效标处理。 4.合同履行期限：施工工期：以监理工程师签发的《工程开工令》起≤60个日历日，无论工程大小难易以及节假日与夜间施工，要求承包方积极组织施工力量正常施工，服从采购人工作安排，完成全部项目装修工程并交付采购人验收合格使用，不得延期。工程如逢元旦、春节、端午、五一、中秋、国庆及周末等节假日，不能停工（除采购人因特殊事件要求停工外），每停工一天，扣合同总价的1％。 5.合同履约地点：采购人指定地点。 6.合同支付约定：详见采购文件第八章合同内容。 7.验收交付标准和方法：详见采购文件第八章合同内容。 8.质量保修范围和保修期： 自竣工验收合格之日起：本项目消防改造工程整体（管道、消火栓、水泵、阀门、管件等）质保期≥5 年。质保期内，因施工质量、材料、安装工艺造成的渗漏、开裂、系统故障等，由承包方4小时应急响应、24 小时内免费维修更换，并承担由此造成的相关损失。质保期内，凡因乙方施工质量、材料质量、安装工艺问题导致的以下故障，均属免费保修范围：①消防管道接口渗漏、开裂、脱丝、松动；②管道支吊架松动、脱落、变形；③阀门渗漏、关闭不严、启闭失灵；④系统试压不合格、水压不足、流量不达标；⑤管道堵塞、水锤损坏、安装不合理导致的系统故障；⑥因施工原因造成的墙面、地面渗水、返潮等次生问题。 9.知识产权归属和处理方式：详见采购文件第八章合同内容。 10.成本补偿和风险分担约定：详见采购文件第八章合同内容。 11.违约责任与解决争议的方法：合同执行中发生争议的，当事人双方应协商解决，无法协商或协商达不成一致时，双方均有权向装修工程所在地人民法院提请诉讼。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B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2026-05-08T05:01:53Z</dcterms:created>
  <dc:creator>DELL</dc:creator>
  <cp:lastModifiedBy>黑黑黑黑黑</cp:lastModifiedBy>
  <dcterms:modified xsi:type="dcterms:W3CDTF">2026-05-08T05:08:35Z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eyJoZGlkIjoiYzMwYTkyM2M4NjVkYzkyNmZkZDA0NzcyNzdjMzUyNjUiLCJ1c2VySWQiOiI0MzEwNzY5MTQifQ==</vt:lpwstr>
  </property>
  <property fmtid="{D5CDD505-2E9C-101B-9397-08002B2CF9AE}" pid="4" name="ICV">
    <vt:lpwstr>F73B9F2AF7994EF79718153ED0701394_12</vt:lpwstr>
  </property>
</Properties>
</file>