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E5AB1">
      <w:pPr>
        <w:pStyle w:val="4"/>
        <w:jc w:val="center"/>
        <w:outlineLvl w:val="2"/>
        <w:rPr>
          <w:rFonts w:hint="eastAsia" w:ascii="仿宋_GB2312" w:hAnsi="仿宋_GB2312" w:eastAsia="仿宋_GB2312" w:cs="仿宋_GB2312"/>
          <w:b/>
          <w:sz w:val="36"/>
          <w:lang w:val="en-US" w:eastAsia="zh-CN"/>
        </w:rPr>
      </w:pPr>
      <w:r>
        <w:rPr>
          <w:rFonts w:hint="eastAsia" w:ascii="仿宋_GB2312" w:hAnsi="仿宋_GB2312" w:eastAsia="仿宋_GB2312" w:cs="仿宋_GB2312"/>
          <w:b/>
          <w:sz w:val="36"/>
          <w:lang w:val="en-US" w:eastAsia="zh-CN"/>
        </w:rPr>
        <w:t>采购需求</w:t>
      </w:r>
    </w:p>
    <w:p w14:paraId="6ECF024E">
      <w:pPr>
        <w:pStyle w:val="4"/>
        <w:outlineLvl w:val="2"/>
      </w:pPr>
      <w:r>
        <w:rPr>
          <w:rFonts w:ascii="仿宋_GB2312" w:hAnsi="仿宋_GB2312" w:eastAsia="仿宋_GB2312" w:cs="仿宋_GB2312"/>
          <w:b/>
          <w:sz w:val="28"/>
        </w:rPr>
        <w:t>1</w:t>
      </w:r>
      <w:r>
        <w:rPr>
          <w:rFonts w:hint="eastAsia" w:ascii="仿宋_GB2312" w:hAnsi="仿宋_GB2312" w:eastAsia="仿宋_GB2312" w:cs="仿宋_GB2312"/>
          <w:b/>
          <w:sz w:val="28"/>
          <w:lang w:val="en-US" w:eastAsia="zh-CN"/>
        </w:rPr>
        <w:t>.</w:t>
      </w:r>
      <w:r>
        <w:rPr>
          <w:rFonts w:ascii="仿宋_GB2312" w:hAnsi="仿宋_GB2312" w:eastAsia="仿宋_GB2312" w:cs="仿宋_GB2312"/>
          <w:b/>
          <w:sz w:val="28"/>
        </w:rPr>
        <w:t>采购项目概况</w:t>
      </w:r>
    </w:p>
    <w:p w14:paraId="582AAC33">
      <w:pPr>
        <w:pStyle w:val="4"/>
        <w:ind w:firstLine="480"/>
      </w:pPr>
      <w:r>
        <w:rPr>
          <w:rFonts w:ascii="仿宋_GB2312" w:hAnsi="仿宋_GB2312" w:eastAsia="仿宋_GB2312" w:cs="仿宋_GB2312"/>
        </w:rPr>
        <w:t>通过互联网、云计算等技术，更新形成华阴市年度国土调查数据库</w:t>
      </w:r>
    </w:p>
    <w:p w14:paraId="0CAD86C5">
      <w:pPr>
        <w:pStyle w:val="4"/>
        <w:outlineLvl w:val="2"/>
      </w:pPr>
      <w:r>
        <w:rPr>
          <w:rFonts w:ascii="仿宋_GB2312" w:hAnsi="仿宋_GB2312" w:eastAsia="仿宋_GB2312" w:cs="仿宋_GB2312"/>
          <w:b/>
          <w:sz w:val="28"/>
        </w:rPr>
        <w:t>2</w:t>
      </w:r>
      <w:r>
        <w:rPr>
          <w:rFonts w:hint="eastAsia" w:ascii="仿宋_GB2312" w:hAnsi="仿宋_GB2312" w:eastAsia="仿宋_GB2312" w:cs="仿宋_GB2312"/>
          <w:b/>
          <w:sz w:val="28"/>
          <w:lang w:val="en-US" w:eastAsia="zh-CN"/>
        </w:rPr>
        <w:t>.</w:t>
      </w:r>
      <w:r>
        <w:rPr>
          <w:rFonts w:ascii="仿宋_GB2312" w:hAnsi="仿宋_GB2312" w:eastAsia="仿宋_GB2312" w:cs="仿宋_GB2312"/>
          <w:b/>
          <w:sz w:val="28"/>
        </w:rPr>
        <w:t>服务内容及服务要求</w:t>
      </w:r>
    </w:p>
    <w:p w14:paraId="766374E7">
      <w:pPr>
        <w:pStyle w:val="4"/>
        <w:outlineLvl w:val="3"/>
      </w:pPr>
      <w:r>
        <w:rPr>
          <w:rFonts w:ascii="仿宋_GB2312" w:hAnsi="仿宋_GB2312" w:eastAsia="仿宋_GB2312" w:cs="仿宋_GB2312"/>
          <w:b/>
          <w:sz w:val="24"/>
        </w:rPr>
        <w:t>2.1服务内容</w:t>
      </w:r>
    </w:p>
    <w:p w14:paraId="7456EB03">
      <w:pPr>
        <w:pStyle w:val="4"/>
      </w:pPr>
      <w:r>
        <w:rPr>
          <w:rFonts w:ascii="仿宋_GB2312" w:hAnsi="仿宋_GB2312" w:eastAsia="仿宋_GB2312" w:cs="仿宋_GB2312"/>
        </w:rPr>
        <w:t>采购包1：</w:t>
      </w:r>
    </w:p>
    <w:p w14:paraId="168A4686">
      <w:pPr>
        <w:pStyle w:val="4"/>
      </w:pPr>
      <w:r>
        <w:rPr>
          <w:rFonts w:ascii="仿宋_GB2312" w:hAnsi="仿宋_GB2312" w:eastAsia="仿宋_GB2312" w:cs="仿宋_GB2312"/>
        </w:rPr>
        <w:t>采购包预算金额（元）: 955,476.00</w:t>
      </w:r>
    </w:p>
    <w:p w14:paraId="514EC2CE">
      <w:pPr>
        <w:pStyle w:val="4"/>
      </w:pPr>
      <w:r>
        <w:rPr>
          <w:rFonts w:ascii="仿宋_GB2312" w:hAnsi="仿宋_GB2312" w:eastAsia="仿宋_GB2312" w:cs="仿宋_GB2312"/>
        </w:rPr>
        <w:t>采购包最高限价（元）: 955,476.00</w:t>
      </w:r>
    </w:p>
    <w:p w14:paraId="190C687F">
      <w:pPr>
        <w:pStyle w:val="4"/>
      </w:pPr>
      <w:r>
        <w:rPr>
          <w:rFonts w:ascii="仿宋_GB2312" w:hAnsi="仿宋_GB2312" w:eastAsia="仿宋_GB2312" w:cs="仿宋_GB2312"/>
        </w:rPr>
        <w:t>供应商报价不允许超过标的金额</w:t>
      </w:r>
    </w:p>
    <w:p w14:paraId="172BA57F">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16767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BCF0C7">
            <w:pPr>
              <w:pStyle w:val="4"/>
            </w:pPr>
            <w:r>
              <w:rPr>
                <w:rFonts w:ascii="仿宋_GB2312" w:hAnsi="仿宋_GB2312" w:eastAsia="仿宋_GB2312" w:cs="仿宋_GB2312"/>
              </w:rPr>
              <w:t>序号</w:t>
            </w:r>
          </w:p>
        </w:tc>
        <w:tc>
          <w:tcPr>
            <w:tcW w:w="831" w:type="dxa"/>
          </w:tcPr>
          <w:p w14:paraId="0162FF7F">
            <w:pPr>
              <w:pStyle w:val="4"/>
            </w:pPr>
            <w:r>
              <w:rPr>
                <w:rFonts w:ascii="仿宋_GB2312" w:hAnsi="仿宋_GB2312" w:eastAsia="仿宋_GB2312" w:cs="仿宋_GB2312"/>
              </w:rPr>
              <w:t>标的名称</w:t>
            </w:r>
          </w:p>
        </w:tc>
        <w:tc>
          <w:tcPr>
            <w:tcW w:w="831" w:type="dxa"/>
          </w:tcPr>
          <w:p w14:paraId="55A259E8">
            <w:pPr>
              <w:pStyle w:val="4"/>
            </w:pPr>
            <w:r>
              <w:rPr>
                <w:rFonts w:ascii="仿宋_GB2312" w:hAnsi="仿宋_GB2312" w:eastAsia="仿宋_GB2312" w:cs="仿宋_GB2312"/>
              </w:rPr>
              <w:t>数量</w:t>
            </w:r>
          </w:p>
        </w:tc>
        <w:tc>
          <w:tcPr>
            <w:tcW w:w="831" w:type="dxa"/>
          </w:tcPr>
          <w:p w14:paraId="22824B63">
            <w:pPr>
              <w:pStyle w:val="4"/>
            </w:pPr>
            <w:r>
              <w:rPr>
                <w:rFonts w:ascii="仿宋_GB2312" w:hAnsi="仿宋_GB2312" w:eastAsia="仿宋_GB2312" w:cs="仿宋_GB2312"/>
              </w:rPr>
              <w:t>标的金额 （元）</w:t>
            </w:r>
          </w:p>
        </w:tc>
        <w:tc>
          <w:tcPr>
            <w:tcW w:w="831" w:type="dxa"/>
          </w:tcPr>
          <w:p w14:paraId="69A6B803">
            <w:pPr>
              <w:pStyle w:val="4"/>
            </w:pPr>
            <w:r>
              <w:rPr>
                <w:rFonts w:ascii="仿宋_GB2312" w:hAnsi="仿宋_GB2312" w:eastAsia="仿宋_GB2312" w:cs="仿宋_GB2312"/>
              </w:rPr>
              <w:t>计量单位</w:t>
            </w:r>
          </w:p>
        </w:tc>
        <w:tc>
          <w:tcPr>
            <w:tcW w:w="831" w:type="dxa"/>
          </w:tcPr>
          <w:p w14:paraId="1223CC8D">
            <w:pPr>
              <w:pStyle w:val="4"/>
            </w:pPr>
            <w:r>
              <w:rPr>
                <w:rFonts w:ascii="仿宋_GB2312" w:hAnsi="仿宋_GB2312" w:eastAsia="仿宋_GB2312" w:cs="仿宋_GB2312"/>
              </w:rPr>
              <w:t>所属行业</w:t>
            </w:r>
          </w:p>
        </w:tc>
        <w:tc>
          <w:tcPr>
            <w:tcW w:w="831" w:type="dxa"/>
          </w:tcPr>
          <w:p w14:paraId="6F752A62">
            <w:pPr>
              <w:pStyle w:val="4"/>
            </w:pPr>
            <w:r>
              <w:rPr>
                <w:rFonts w:ascii="仿宋_GB2312" w:hAnsi="仿宋_GB2312" w:eastAsia="仿宋_GB2312" w:cs="仿宋_GB2312"/>
              </w:rPr>
              <w:t>是否核心产品</w:t>
            </w:r>
          </w:p>
        </w:tc>
        <w:tc>
          <w:tcPr>
            <w:tcW w:w="831" w:type="dxa"/>
          </w:tcPr>
          <w:p w14:paraId="27C770A9">
            <w:pPr>
              <w:pStyle w:val="4"/>
            </w:pPr>
            <w:r>
              <w:rPr>
                <w:rFonts w:ascii="仿宋_GB2312" w:hAnsi="仿宋_GB2312" w:eastAsia="仿宋_GB2312" w:cs="仿宋_GB2312"/>
              </w:rPr>
              <w:t>是否允许进口产品</w:t>
            </w:r>
          </w:p>
        </w:tc>
        <w:tc>
          <w:tcPr>
            <w:tcW w:w="831" w:type="dxa"/>
          </w:tcPr>
          <w:p w14:paraId="3400EEDE">
            <w:pPr>
              <w:pStyle w:val="4"/>
            </w:pPr>
            <w:r>
              <w:rPr>
                <w:rFonts w:ascii="仿宋_GB2312" w:hAnsi="仿宋_GB2312" w:eastAsia="仿宋_GB2312" w:cs="仿宋_GB2312"/>
              </w:rPr>
              <w:t>是否属于节能产品</w:t>
            </w:r>
          </w:p>
        </w:tc>
        <w:tc>
          <w:tcPr>
            <w:tcW w:w="831" w:type="dxa"/>
          </w:tcPr>
          <w:p w14:paraId="04CF3077">
            <w:pPr>
              <w:pStyle w:val="4"/>
            </w:pPr>
            <w:r>
              <w:rPr>
                <w:rFonts w:ascii="仿宋_GB2312" w:hAnsi="仿宋_GB2312" w:eastAsia="仿宋_GB2312" w:cs="仿宋_GB2312"/>
              </w:rPr>
              <w:t>是否属于环境标志产品</w:t>
            </w:r>
          </w:p>
        </w:tc>
      </w:tr>
      <w:tr w14:paraId="0E13A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96D580">
            <w:pPr>
              <w:pStyle w:val="4"/>
            </w:pPr>
            <w:r>
              <w:rPr>
                <w:rFonts w:ascii="仿宋_GB2312" w:hAnsi="仿宋_GB2312" w:eastAsia="仿宋_GB2312" w:cs="仿宋_GB2312"/>
              </w:rPr>
              <w:t>1</w:t>
            </w:r>
          </w:p>
        </w:tc>
        <w:tc>
          <w:tcPr>
            <w:tcW w:w="831" w:type="dxa"/>
          </w:tcPr>
          <w:p w14:paraId="1C91D327">
            <w:pPr>
              <w:pStyle w:val="4"/>
            </w:pPr>
            <w:r>
              <w:rPr>
                <w:rFonts w:ascii="仿宋_GB2312" w:hAnsi="仿宋_GB2312" w:eastAsia="仿宋_GB2312" w:cs="仿宋_GB2312"/>
              </w:rPr>
              <w:t>年度国土变更调查项目</w:t>
            </w:r>
          </w:p>
        </w:tc>
        <w:tc>
          <w:tcPr>
            <w:tcW w:w="831" w:type="dxa"/>
          </w:tcPr>
          <w:p w14:paraId="15BCEF40">
            <w:pPr>
              <w:pStyle w:val="4"/>
              <w:jc w:val="right"/>
            </w:pPr>
            <w:r>
              <w:rPr>
                <w:rFonts w:ascii="仿宋_GB2312" w:hAnsi="仿宋_GB2312" w:eastAsia="仿宋_GB2312" w:cs="仿宋_GB2312"/>
              </w:rPr>
              <w:t>1.00</w:t>
            </w:r>
          </w:p>
        </w:tc>
        <w:tc>
          <w:tcPr>
            <w:tcW w:w="831" w:type="dxa"/>
          </w:tcPr>
          <w:p w14:paraId="0F4C633A">
            <w:pPr>
              <w:pStyle w:val="4"/>
              <w:jc w:val="right"/>
            </w:pPr>
            <w:r>
              <w:rPr>
                <w:rFonts w:ascii="仿宋_GB2312" w:hAnsi="仿宋_GB2312" w:eastAsia="仿宋_GB2312" w:cs="仿宋_GB2312"/>
              </w:rPr>
              <w:t>955,476.00</w:t>
            </w:r>
          </w:p>
        </w:tc>
        <w:tc>
          <w:tcPr>
            <w:tcW w:w="831" w:type="dxa"/>
          </w:tcPr>
          <w:p w14:paraId="4A3DA756">
            <w:pPr>
              <w:pStyle w:val="4"/>
            </w:pPr>
            <w:r>
              <w:rPr>
                <w:rFonts w:ascii="仿宋_GB2312" w:hAnsi="仿宋_GB2312" w:eastAsia="仿宋_GB2312" w:cs="仿宋_GB2312"/>
              </w:rPr>
              <w:t>项</w:t>
            </w:r>
          </w:p>
        </w:tc>
        <w:tc>
          <w:tcPr>
            <w:tcW w:w="831" w:type="dxa"/>
          </w:tcPr>
          <w:p w14:paraId="28EEDB18">
            <w:pPr>
              <w:pStyle w:val="4"/>
            </w:pPr>
            <w:r>
              <w:rPr>
                <w:rFonts w:ascii="仿宋_GB2312" w:hAnsi="仿宋_GB2312" w:eastAsia="仿宋_GB2312" w:cs="仿宋_GB2312"/>
              </w:rPr>
              <w:t>其他未列明行业</w:t>
            </w:r>
          </w:p>
        </w:tc>
        <w:tc>
          <w:tcPr>
            <w:tcW w:w="831" w:type="dxa"/>
          </w:tcPr>
          <w:p w14:paraId="1EF9067B">
            <w:pPr>
              <w:pStyle w:val="4"/>
            </w:pPr>
            <w:r>
              <w:rPr>
                <w:rFonts w:ascii="仿宋_GB2312" w:hAnsi="仿宋_GB2312" w:eastAsia="仿宋_GB2312" w:cs="仿宋_GB2312"/>
              </w:rPr>
              <w:t>否</w:t>
            </w:r>
          </w:p>
        </w:tc>
        <w:tc>
          <w:tcPr>
            <w:tcW w:w="831" w:type="dxa"/>
          </w:tcPr>
          <w:p w14:paraId="7BA3EAC3">
            <w:pPr>
              <w:pStyle w:val="4"/>
            </w:pPr>
            <w:r>
              <w:rPr>
                <w:rFonts w:ascii="仿宋_GB2312" w:hAnsi="仿宋_GB2312" w:eastAsia="仿宋_GB2312" w:cs="仿宋_GB2312"/>
              </w:rPr>
              <w:t>否</w:t>
            </w:r>
          </w:p>
        </w:tc>
        <w:tc>
          <w:tcPr>
            <w:tcW w:w="831" w:type="dxa"/>
          </w:tcPr>
          <w:p w14:paraId="52838575">
            <w:pPr>
              <w:pStyle w:val="4"/>
            </w:pPr>
            <w:r>
              <w:rPr>
                <w:rFonts w:ascii="仿宋_GB2312" w:hAnsi="仿宋_GB2312" w:eastAsia="仿宋_GB2312" w:cs="仿宋_GB2312"/>
              </w:rPr>
              <w:t>否</w:t>
            </w:r>
          </w:p>
        </w:tc>
        <w:tc>
          <w:tcPr>
            <w:tcW w:w="831" w:type="dxa"/>
          </w:tcPr>
          <w:p w14:paraId="0E6883DA">
            <w:pPr>
              <w:pStyle w:val="4"/>
            </w:pPr>
            <w:r>
              <w:rPr>
                <w:rFonts w:ascii="仿宋_GB2312" w:hAnsi="仿宋_GB2312" w:eastAsia="仿宋_GB2312" w:cs="仿宋_GB2312"/>
              </w:rPr>
              <w:t>否</w:t>
            </w:r>
          </w:p>
        </w:tc>
      </w:tr>
    </w:tbl>
    <w:p w14:paraId="0B66A410">
      <w:pPr>
        <w:pStyle w:val="4"/>
        <w:outlineLvl w:val="2"/>
      </w:pPr>
      <w:r>
        <w:rPr>
          <w:rFonts w:ascii="仿宋_GB2312" w:hAnsi="仿宋_GB2312" w:eastAsia="仿宋_GB2312" w:cs="仿宋_GB2312"/>
          <w:b/>
          <w:sz w:val="28"/>
        </w:rPr>
        <w:t>2.2服务要求</w:t>
      </w:r>
    </w:p>
    <w:p w14:paraId="1525BDF7">
      <w:pPr>
        <w:pStyle w:val="4"/>
      </w:pPr>
      <w:r>
        <w:rPr>
          <w:rFonts w:ascii="仿宋_GB2312" w:hAnsi="仿宋_GB2312" w:eastAsia="仿宋_GB2312" w:cs="仿宋_GB2312"/>
        </w:rPr>
        <w:t>采购包1：</w:t>
      </w:r>
    </w:p>
    <w:p w14:paraId="2C1467C8">
      <w:pPr>
        <w:pStyle w:val="4"/>
      </w:pPr>
      <w:r>
        <w:rPr>
          <w:rFonts w:ascii="仿宋_GB2312" w:hAnsi="仿宋_GB2312" w:eastAsia="仿宋_GB2312" w:cs="仿宋_GB2312"/>
        </w:rPr>
        <w:t>标的名称：年度国土变更调查项目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729A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749E21">
            <w:pPr>
              <w:pStyle w:val="4"/>
            </w:pPr>
            <w:r>
              <w:rPr>
                <w:rFonts w:ascii="仿宋_GB2312" w:hAnsi="仿宋_GB2312" w:eastAsia="仿宋_GB2312" w:cs="仿宋_GB2312"/>
              </w:rPr>
              <w:t xml:space="preserve"> 序号</w:t>
            </w:r>
          </w:p>
        </w:tc>
        <w:tc>
          <w:tcPr>
            <w:tcW w:w="2769" w:type="dxa"/>
          </w:tcPr>
          <w:p w14:paraId="50AD8980">
            <w:pPr>
              <w:pStyle w:val="4"/>
            </w:pPr>
            <w:r>
              <w:rPr>
                <w:rFonts w:ascii="仿宋_GB2312" w:hAnsi="仿宋_GB2312" w:eastAsia="仿宋_GB2312" w:cs="仿宋_GB2312"/>
              </w:rPr>
              <w:t xml:space="preserve"> 参数性质</w:t>
            </w:r>
          </w:p>
        </w:tc>
        <w:tc>
          <w:tcPr>
            <w:tcW w:w="2769" w:type="dxa"/>
          </w:tcPr>
          <w:p w14:paraId="2037B988">
            <w:pPr>
              <w:pStyle w:val="4"/>
            </w:pPr>
            <w:r>
              <w:rPr>
                <w:rFonts w:ascii="仿宋_GB2312" w:hAnsi="仿宋_GB2312" w:eastAsia="仿宋_GB2312" w:cs="仿宋_GB2312"/>
              </w:rPr>
              <w:t xml:space="preserve"> 技术参数与性能指标</w:t>
            </w:r>
          </w:p>
        </w:tc>
      </w:tr>
      <w:tr w14:paraId="4AE4E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5642F8">
            <w:pPr>
              <w:pStyle w:val="4"/>
            </w:pPr>
            <w:r>
              <w:rPr>
                <w:rFonts w:ascii="仿宋_GB2312" w:hAnsi="仿宋_GB2312" w:eastAsia="仿宋_GB2312" w:cs="仿宋_GB2312"/>
              </w:rPr>
              <w:t>1</w:t>
            </w:r>
          </w:p>
        </w:tc>
        <w:tc>
          <w:tcPr>
            <w:tcW w:w="2769" w:type="dxa"/>
          </w:tcPr>
          <w:p w14:paraId="4A05767E"/>
        </w:tc>
        <w:tc>
          <w:tcPr>
            <w:tcW w:w="2769" w:type="dxa"/>
          </w:tcPr>
          <w:p w14:paraId="13A51476">
            <w:pPr>
              <w:pStyle w:val="4"/>
              <w:ind w:firstLine="562"/>
              <w:jc w:val="both"/>
            </w:pPr>
            <w:r>
              <w:rPr>
                <w:rFonts w:ascii="仿宋_GB2312" w:hAnsi="仿宋_GB2312" w:eastAsia="仿宋_GB2312" w:cs="仿宋_GB2312"/>
                <w:b/>
              </w:rPr>
              <w:t>（一）项目情况</w:t>
            </w:r>
          </w:p>
          <w:p w14:paraId="4D37FE20">
            <w:pPr>
              <w:pStyle w:val="4"/>
              <w:ind w:firstLine="560"/>
              <w:jc w:val="both"/>
            </w:pPr>
            <w:r>
              <w:rPr>
                <w:rFonts w:ascii="仿宋_GB2312" w:hAnsi="仿宋_GB2312" w:eastAsia="仿宋_GB2312" w:cs="仿宋_GB2312"/>
              </w:rPr>
              <w:t>为维护更新第三次全国国土调查（下称“三调”)成果，保持国土调查成果现势性，全面掌握华阴市年度的地类、面积、属性及相关图层属性信息的变化情况，以耕地变化为重点，更新华阴市国土调查数据库，形成变更增量包，逐级上报市、省、国家检查确认。完成华阴市年度变更调查工作。</w:t>
            </w:r>
          </w:p>
          <w:p w14:paraId="429FC707">
            <w:pPr>
              <w:pStyle w:val="4"/>
              <w:ind w:firstLine="562"/>
              <w:jc w:val="both"/>
            </w:pPr>
            <w:r>
              <w:rPr>
                <w:rFonts w:ascii="仿宋_GB2312" w:hAnsi="仿宋_GB2312" w:eastAsia="仿宋_GB2312" w:cs="仿宋_GB2312"/>
                <w:b/>
              </w:rPr>
              <w:t>（二）主要任务</w:t>
            </w:r>
          </w:p>
          <w:p w14:paraId="6C54EADD">
            <w:pPr>
              <w:pStyle w:val="4"/>
              <w:jc w:val="both"/>
            </w:pPr>
            <w:r>
              <w:rPr>
                <w:rFonts w:ascii="仿宋_GB2312" w:hAnsi="仿宋_GB2312" w:eastAsia="仿宋_GB2312" w:cs="仿宋_GB2312"/>
              </w:rPr>
              <w:t>　　按照国家统一标准，通过互联网、云计算等技术，对照上年度国土变更调查结果，提取国土利用变化信息，制作外业调查底图，并开展实地调查举证，全面掌握土地利用现状的地类、面积、属性及相关图层属性信息的变化情况，更新县级国土调查数据库，形成年度变更增量包，逐级报省级和国家级核查后，更新形成华阴市国土调查数据库。通过调查、统计和分析，掌握永久基本农田变化，建设占用农用地、耕地非粮化、耕地非农化状况，设施农用地变化，25度和15度以上坡耕地变化，耕地资源质量分类变化情况，农村建房、临时用地、批而未用土地、退耕还林、光伏用地和农业结构调整以及难以或不宜长期稳定利用的耕地等变化状况，各类自然保护区及生态保护红线范围内的土地利用变化状况，土地整治、高标准农田、增减挂钩等项目的实施状况，空间规划的实施状况等有关情况。</w:t>
            </w:r>
          </w:p>
          <w:p w14:paraId="331E8E32">
            <w:pPr>
              <w:pStyle w:val="4"/>
              <w:ind w:firstLine="562"/>
              <w:jc w:val="both"/>
            </w:pPr>
            <w:r>
              <w:rPr>
                <w:rFonts w:ascii="仿宋_GB2312" w:hAnsi="仿宋_GB2312" w:eastAsia="仿宋_GB2312" w:cs="仿宋_GB2312"/>
                <w:b/>
              </w:rPr>
              <w:t>（三）主要成果</w:t>
            </w:r>
          </w:p>
          <w:p w14:paraId="33594091">
            <w:pPr>
              <w:pStyle w:val="4"/>
              <w:keepNext w:val="0"/>
              <w:keepLines w:val="0"/>
              <w:pageBreakBefore w:val="0"/>
              <w:widowControl/>
              <w:kinsoku/>
              <w:wordWrap/>
              <w:overflowPunct/>
              <w:topLinePunct w:val="0"/>
              <w:autoSpaceDE/>
              <w:autoSpaceDN/>
              <w:bidi w:val="0"/>
              <w:adjustRightInd/>
              <w:snapToGrid/>
              <w:ind w:firstLine="561"/>
              <w:jc w:val="both"/>
              <w:textAlignment w:val="auto"/>
            </w:pPr>
            <w:r>
              <w:rPr>
                <w:rFonts w:ascii="仿宋_GB2312" w:hAnsi="仿宋_GB2312" w:eastAsia="仿宋_GB2312" w:cs="仿宋_GB2312"/>
              </w:rPr>
              <w:t>华阴市自然资源局年度国土变更调查成果内容</w:t>
            </w:r>
          </w:p>
          <w:p w14:paraId="35804E19">
            <w:pPr>
              <w:pStyle w:val="4"/>
              <w:jc w:val="both"/>
            </w:pPr>
            <w:r>
              <w:rPr>
                <w:rFonts w:ascii="仿宋_GB2312" w:hAnsi="仿宋_GB2312" w:eastAsia="仿宋_GB2312" w:cs="仿宋_GB2312"/>
              </w:rPr>
              <w:t>1、年度外业图斑举证数据包（DB格式）；</w:t>
            </w:r>
          </w:p>
          <w:p w14:paraId="2CB4E4E3">
            <w:pPr>
              <w:pStyle w:val="4"/>
              <w:jc w:val="both"/>
            </w:pPr>
            <w:r>
              <w:rPr>
                <w:rFonts w:ascii="仿宋_GB2312" w:hAnsi="仿宋_GB2312" w:eastAsia="仿宋_GB2312" w:cs="仿宋_GB2312"/>
              </w:rPr>
              <w:t>2、年度更新数据库成果、“变更调查”增量包及各类统计面积汇总表；</w:t>
            </w:r>
          </w:p>
          <w:p w14:paraId="3FC02245">
            <w:pPr>
              <w:pStyle w:val="4"/>
              <w:jc w:val="both"/>
            </w:pPr>
            <w:r>
              <w:rPr>
                <w:rFonts w:ascii="仿宋_GB2312" w:hAnsi="仿宋_GB2312" w:eastAsia="仿宋_GB2312" w:cs="仿宋_GB2312"/>
              </w:rPr>
              <w:t>3、举证图斑信息表（MDB格式）；</w:t>
            </w:r>
          </w:p>
          <w:p w14:paraId="271FC7D5">
            <w:pPr>
              <w:pStyle w:val="4"/>
              <w:jc w:val="both"/>
            </w:pPr>
            <w:r>
              <w:rPr>
                <w:rFonts w:ascii="仿宋_GB2312" w:hAnsi="仿宋_GB2312" w:eastAsia="仿宋_GB2312" w:cs="仿宋_GB2312"/>
              </w:rPr>
              <w:t>4、图斑信息核</w:t>
            </w:r>
            <w:bookmarkStart w:id="0" w:name="_GoBack"/>
            <w:bookmarkEnd w:id="0"/>
            <w:r>
              <w:rPr>
                <w:rFonts w:ascii="仿宋_GB2312" w:hAnsi="仿宋_GB2312" w:eastAsia="仿宋_GB2312" w:cs="仿宋_GB2312"/>
              </w:rPr>
              <w:t>实记录表；</w:t>
            </w:r>
          </w:p>
          <w:p w14:paraId="604126D5">
            <w:pPr>
              <w:pStyle w:val="4"/>
              <w:jc w:val="both"/>
            </w:pPr>
            <w:r>
              <w:rPr>
                <w:rFonts w:ascii="仿宋_GB2312" w:hAnsi="仿宋_GB2312" w:eastAsia="仿宋_GB2312" w:cs="仿宋_GB2312"/>
              </w:rPr>
              <w:t>5、土地利用变化情况分析报告以及其他专题报告；</w:t>
            </w:r>
          </w:p>
          <w:p w14:paraId="6F22472C">
            <w:pPr>
              <w:pStyle w:val="4"/>
              <w:ind w:firstLine="562"/>
              <w:jc w:val="both"/>
            </w:pPr>
            <w:r>
              <w:rPr>
                <w:rFonts w:ascii="仿宋_GB2312" w:hAnsi="仿宋_GB2312" w:eastAsia="仿宋_GB2312" w:cs="仿宋_GB2312"/>
                <w:b/>
              </w:rPr>
              <w:t>（四）质量标准</w:t>
            </w:r>
          </w:p>
          <w:p w14:paraId="144D46DD">
            <w:pPr>
              <w:pStyle w:val="4"/>
              <w:ind w:firstLine="560"/>
              <w:jc w:val="both"/>
            </w:pPr>
            <w:r>
              <w:rPr>
                <w:rFonts w:ascii="仿宋_GB2312" w:hAnsi="仿宋_GB2312" w:eastAsia="仿宋_GB2312" w:cs="仿宋_GB2312"/>
              </w:rPr>
              <w:t>符合国家标准、行业标准以及有关技术规范要求。所交付成果应严格按照国家最新发布的规范标准执行。</w:t>
            </w:r>
          </w:p>
        </w:tc>
      </w:tr>
    </w:tbl>
    <w:p w14:paraId="7E6AD8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CE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2026-05-08T07:15:25Z</dcterms:created>
  <dc:creator>pc</dc:creator>
  <cp:lastModifiedBy>WPS_1645153976</cp:lastModifiedBy>
  <dcterms:modified xsi:type="dcterms:W3CDTF">2026-05-08T07:16:16Z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eyJoZGlkIjoiNTIxYmI5YzY1Y2VkMTAwOWMxM2Y3NDVkZjc1ZWZjYWYiLCJ1c2VySWQiOiIxMzMyMDk4MTg2In0=</vt:lpwstr>
  </property>
  <property fmtid="{D5CDD505-2E9C-101B-9397-08002B2CF9AE}" pid="4" name="ICV">
    <vt:lpwstr>F7AEA3C3DD2841B684C3C22BEF399E10_12</vt:lpwstr>
  </property>
</Properties>
</file>