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8A76" w14:textId="77777777" w:rsidR="00247CF5" w:rsidRDefault="00247CF5" w:rsidP="00247CF5">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231DA504" w14:textId="77777777" w:rsidR="00247CF5" w:rsidRDefault="00247CF5" w:rsidP="00247CF5">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3503D41" w14:textId="77777777" w:rsidR="00247CF5" w:rsidRDefault="00247CF5" w:rsidP="00247CF5">
      <w:pPr>
        <w:pStyle w:val="null3"/>
        <w:outlineLvl w:val="2"/>
        <w:rPr>
          <w:rFonts w:hint="default"/>
        </w:rPr>
      </w:pPr>
      <w:r>
        <w:rPr>
          <w:rFonts w:ascii="仿宋_GB2312" w:eastAsia="仿宋_GB2312" w:hAnsi="仿宋_GB2312" w:cs="仿宋_GB2312"/>
          <w:b/>
          <w:sz w:val="28"/>
        </w:rPr>
        <w:t>3.1技术、服务标准和要求</w:t>
      </w:r>
    </w:p>
    <w:p w14:paraId="784AC64B" w14:textId="77777777" w:rsidR="00247CF5" w:rsidRDefault="00247CF5" w:rsidP="00247CF5">
      <w:pPr>
        <w:pStyle w:val="null3"/>
        <w:rPr>
          <w:rFonts w:hint="default"/>
        </w:rPr>
      </w:pPr>
      <w:r>
        <w:rPr>
          <w:rFonts w:ascii="仿宋_GB2312" w:eastAsia="仿宋_GB2312" w:hAnsi="仿宋_GB2312" w:cs="仿宋_GB2312"/>
        </w:rPr>
        <w:t>采购包1：</w:t>
      </w:r>
    </w:p>
    <w:p w14:paraId="67A629B9" w14:textId="77777777" w:rsidR="00247CF5" w:rsidRDefault="00247CF5" w:rsidP="00247CF5">
      <w:pPr>
        <w:pStyle w:val="null3"/>
        <w:rPr>
          <w:rFonts w:hint="default"/>
        </w:rPr>
      </w:pPr>
      <w:r>
        <w:rPr>
          <w:rFonts w:ascii="仿宋_GB2312" w:eastAsia="仿宋_GB2312" w:hAnsi="仿宋_GB2312" w:cs="仿宋_GB2312"/>
        </w:rPr>
        <w:t>采购包预算金额（元）: 1,476,509.86</w:t>
      </w:r>
    </w:p>
    <w:p w14:paraId="6C9B8F6C" w14:textId="77777777" w:rsidR="00247CF5" w:rsidRDefault="00247CF5" w:rsidP="00247CF5">
      <w:pPr>
        <w:pStyle w:val="null3"/>
        <w:rPr>
          <w:rFonts w:hint="default"/>
        </w:rPr>
      </w:pPr>
      <w:r>
        <w:rPr>
          <w:rFonts w:ascii="仿宋_GB2312" w:eastAsia="仿宋_GB2312" w:hAnsi="仿宋_GB2312" w:cs="仿宋_GB2312"/>
        </w:rPr>
        <w:t>采购包最高限价（元）: 1,476,509.86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7"/>
        <w:gridCol w:w="1378"/>
        <w:gridCol w:w="1379"/>
        <w:gridCol w:w="1416"/>
        <w:gridCol w:w="1378"/>
        <w:gridCol w:w="1378"/>
      </w:tblGrid>
      <w:tr w:rsidR="00247CF5" w14:paraId="28ED4A0D" w14:textId="77777777" w:rsidTr="00625304">
        <w:tc>
          <w:tcPr>
            <w:tcW w:w="1384" w:type="dxa"/>
          </w:tcPr>
          <w:p w14:paraId="26DA0DAF" w14:textId="77777777" w:rsidR="00247CF5" w:rsidRDefault="00247CF5" w:rsidP="00625304">
            <w:pPr>
              <w:pStyle w:val="null3"/>
              <w:rPr>
                <w:rFonts w:hint="default"/>
              </w:rPr>
            </w:pPr>
            <w:r>
              <w:rPr>
                <w:rFonts w:ascii="仿宋_GB2312" w:eastAsia="仿宋_GB2312" w:hAnsi="仿宋_GB2312" w:cs="仿宋_GB2312"/>
              </w:rPr>
              <w:t>序号</w:t>
            </w:r>
          </w:p>
        </w:tc>
        <w:tc>
          <w:tcPr>
            <w:tcW w:w="1384" w:type="dxa"/>
          </w:tcPr>
          <w:p w14:paraId="164BB856" w14:textId="77777777" w:rsidR="00247CF5" w:rsidRDefault="00247CF5" w:rsidP="00625304">
            <w:pPr>
              <w:pStyle w:val="null3"/>
              <w:rPr>
                <w:rFonts w:hint="default"/>
              </w:rPr>
            </w:pPr>
            <w:r>
              <w:rPr>
                <w:rFonts w:ascii="仿宋_GB2312" w:eastAsia="仿宋_GB2312" w:hAnsi="仿宋_GB2312" w:cs="仿宋_GB2312"/>
              </w:rPr>
              <w:t>标的名称</w:t>
            </w:r>
          </w:p>
        </w:tc>
        <w:tc>
          <w:tcPr>
            <w:tcW w:w="1384" w:type="dxa"/>
          </w:tcPr>
          <w:p w14:paraId="71EB72D6" w14:textId="77777777" w:rsidR="00247CF5" w:rsidRDefault="00247CF5" w:rsidP="00625304">
            <w:pPr>
              <w:pStyle w:val="null3"/>
              <w:rPr>
                <w:rFonts w:hint="default"/>
              </w:rPr>
            </w:pPr>
            <w:r>
              <w:rPr>
                <w:rFonts w:ascii="仿宋_GB2312" w:eastAsia="仿宋_GB2312" w:hAnsi="仿宋_GB2312" w:cs="仿宋_GB2312"/>
              </w:rPr>
              <w:t>数量</w:t>
            </w:r>
          </w:p>
        </w:tc>
        <w:tc>
          <w:tcPr>
            <w:tcW w:w="1384" w:type="dxa"/>
          </w:tcPr>
          <w:p w14:paraId="70A17366" w14:textId="77777777" w:rsidR="00247CF5" w:rsidRDefault="00247CF5" w:rsidP="00625304">
            <w:pPr>
              <w:pStyle w:val="null3"/>
              <w:rPr>
                <w:rFonts w:hint="default"/>
              </w:rPr>
            </w:pPr>
            <w:r>
              <w:rPr>
                <w:rFonts w:ascii="仿宋_GB2312" w:eastAsia="仿宋_GB2312" w:hAnsi="仿宋_GB2312" w:cs="仿宋_GB2312"/>
              </w:rPr>
              <w:t>标的金额 （元）</w:t>
            </w:r>
          </w:p>
        </w:tc>
        <w:tc>
          <w:tcPr>
            <w:tcW w:w="1384" w:type="dxa"/>
          </w:tcPr>
          <w:p w14:paraId="7CD51367" w14:textId="77777777" w:rsidR="00247CF5" w:rsidRDefault="00247CF5" w:rsidP="00625304">
            <w:pPr>
              <w:pStyle w:val="null3"/>
              <w:rPr>
                <w:rFonts w:hint="default"/>
              </w:rPr>
            </w:pPr>
            <w:r>
              <w:rPr>
                <w:rFonts w:ascii="仿宋_GB2312" w:eastAsia="仿宋_GB2312" w:hAnsi="仿宋_GB2312" w:cs="仿宋_GB2312"/>
              </w:rPr>
              <w:t>计量单位</w:t>
            </w:r>
          </w:p>
        </w:tc>
        <w:tc>
          <w:tcPr>
            <w:tcW w:w="1384" w:type="dxa"/>
          </w:tcPr>
          <w:p w14:paraId="1556404B" w14:textId="77777777" w:rsidR="00247CF5" w:rsidRDefault="00247CF5" w:rsidP="00625304">
            <w:pPr>
              <w:pStyle w:val="null3"/>
              <w:rPr>
                <w:rFonts w:hint="default"/>
              </w:rPr>
            </w:pPr>
            <w:r>
              <w:rPr>
                <w:rFonts w:ascii="仿宋_GB2312" w:eastAsia="仿宋_GB2312" w:hAnsi="仿宋_GB2312" w:cs="仿宋_GB2312"/>
              </w:rPr>
              <w:t>所属行业</w:t>
            </w:r>
          </w:p>
        </w:tc>
      </w:tr>
      <w:tr w:rsidR="00247CF5" w14:paraId="7FA09396" w14:textId="77777777" w:rsidTr="00625304">
        <w:tc>
          <w:tcPr>
            <w:tcW w:w="1384" w:type="dxa"/>
          </w:tcPr>
          <w:p w14:paraId="323E8F2B" w14:textId="77777777" w:rsidR="00247CF5" w:rsidRDefault="00247CF5" w:rsidP="00625304">
            <w:pPr>
              <w:pStyle w:val="null3"/>
              <w:rPr>
                <w:rFonts w:hint="default"/>
              </w:rPr>
            </w:pPr>
            <w:r>
              <w:rPr>
                <w:rFonts w:ascii="仿宋_GB2312" w:eastAsia="仿宋_GB2312" w:hAnsi="仿宋_GB2312" w:cs="仿宋_GB2312"/>
              </w:rPr>
              <w:t>1</w:t>
            </w:r>
          </w:p>
        </w:tc>
        <w:tc>
          <w:tcPr>
            <w:tcW w:w="1384" w:type="dxa"/>
          </w:tcPr>
          <w:p w14:paraId="2507322D" w14:textId="77777777" w:rsidR="00247CF5" w:rsidRDefault="00247CF5" w:rsidP="00625304">
            <w:pPr>
              <w:pStyle w:val="null3"/>
              <w:rPr>
                <w:rFonts w:hint="default"/>
              </w:rPr>
            </w:pPr>
            <w:r>
              <w:rPr>
                <w:rFonts w:ascii="仿宋_GB2312" w:eastAsia="仿宋_GB2312" w:hAnsi="仿宋_GB2312" w:cs="仿宋_GB2312"/>
              </w:rPr>
              <w:t>校园文化提升</w:t>
            </w:r>
          </w:p>
        </w:tc>
        <w:tc>
          <w:tcPr>
            <w:tcW w:w="1384" w:type="dxa"/>
          </w:tcPr>
          <w:p w14:paraId="201C9BC0" w14:textId="77777777" w:rsidR="00247CF5" w:rsidRDefault="00247CF5" w:rsidP="00625304">
            <w:pPr>
              <w:pStyle w:val="null3"/>
              <w:jc w:val="right"/>
              <w:rPr>
                <w:rFonts w:hint="default"/>
              </w:rPr>
            </w:pPr>
            <w:r>
              <w:rPr>
                <w:rFonts w:ascii="仿宋_GB2312" w:eastAsia="仿宋_GB2312" w:hAnsi="仿宋_GB2312" w:cs="仿宋_GB2312"/>
              </w:rPr>
              <w:t>1.00</w:t>
            </w:r>
          </w:p>
        </w:tc>
        <w:tc>
          <w:tcPr>
            <w:tcW w:w="1384" w:type="dxa"/>
          </w:tcPr>
          <w:p w14:paraId="048FDF75" w14:textId="77777777" w:rsidR="00247CF5" w:rsidRDefault="00247CF5" w:rsidP="00625304">
            <w:pPr>
              <w:pStyle w:val="null3"/>
              <w:jc w:val="right"/>
              <w:rPr>
                <w:rFonts w:hint="default"/>
              </w:rPr>
            </w:pPr>
            <w:r>
              <w:rPr>
                <w:rFonts w:ascii="仿宋_GB2312" w:eastAsia="仿宋_GB2312" w:hAnsi="仿宋_GB2312" w:cs="仿宋_GB2312"/>
              </w:rPr>
              <w:t>1,476,509.86</w:t>
            </w:r>
          </w:p>
        </w:tc>
        <w:tc>
          <w:tcPr>
            <w:tcW w:w="1384" w:type="dxa"/>
          </w:tcPr>
          <w:p w14:paraId="1E7C42A7" w14:textId="77777777" w:rsidR="00247CF5" w:rsidRDefault="00247CF5" w:rsidP="00625304">
            <w:pPr>
              <w:pStyle w:val="null3"/>
              <w:rPr>
                <w:rFonts w:hint="default"/>
              </w:rPr>
            </w:pPr>
            <w:r>
              <w:rPr>
                <w:rFonts w:ascii="仿宋_GB2312" w:eastAsia="仿宋_GB2312" w:hAnsi="仿宋_GB2312" w:cs="仿宋_GB2312"/>
              </w:rPr>
              <w:t>项</w:t>
            </w:r>
          </w:p>
        </w:tc>
        <w:tc>
          <w:tcPr>
            <w:tcW w:w="1384" w:type="dxa"/>
          </w:tcPr>
          <w:p w14:paraId="2015CE85" w14:textId="77777777" w:rsidR="00247CF5" w:rsidRDefault="00247CF5" w:rsidP="00625304">
            <w:pPr>
              <w:pStyle w:val="null3"/>
              <w:rPr>
                <w:rFonts w:hint="default"/>
              </w:rPr>
            </w:pPr>
            <w:r>
              <w:rPr>
                <w:rFonts w:ascii="仿宋_GB2312" w:eastAsia="仿宋_GB2312" w:hAnsi="仿宋_GB2312" w:cs="仿宋_GB2312"/>
              </w:rPr>
              <w:t>建筑业</w:t>
            </w:r>
          </w:p>
        </w:tc>
      </w:tr>
    </w:tbl>
    <w:p w14:paraId="4E4AE870" w14:textId="77777777" w:rsidR="00247CF5" w:rsidRDefault="00247CF5" w:rsidP="00247CF5">
      <w:pPr>
        <w:pStyle w:val="null3"/>
        <w:ind w:firstLine="480"/>
        <w:rPr>
          <w:rFonts w:hint="default"/>
        </w:rPr>
      </w:pPr>
      <w:r>
        <w:rPr>
          <w:rFonts w:ascii="仿宋_GB2312" w:eastAsia="仿宋_GB2312" w:hAnsi="仿宋_GB2312" w:cs="仿宋_GB2312"/>
        </w:rPr>
        <w:t>一、技术、服务标准和要求：</w:t>
      </w:r>
    </w:p>
    <w:p w14:paraId="2AC3EFC6" w14:textId="77777777" w:rsidR="00247CF5" w:rsidRDefault="00247CF5" w:rsidP="00247CF5">
      <w:pPr>
        <w:pStyle w:val="null3"/>
        <w:rPr>
          <w:rFonts w:hint="default"/>
        </w:rPr>
      </w:pPr>
      <w:r>
        <w:rPr>
          <w:rFonts w:ascii="仿宋_GB2312" w:eastAsia="仿宋_GB2312" w:hAnsi="仿宋_GB2312" w:cs="仿宋_GB2312"/>
        </w:rPr>
        <w:t>采购包1：</w:t>
      </w:r>
    </w:p>
    <w:p w14:paraId="39D245AA" w14:textId="77777777" w:rsidR="00247CF5" w:rsidRDefault="00247CF5" w:rsidP="00247CF5">
      <w:pPr>
        <w:pStyle w:val="null3"/>
        <w:rPr>
          <w:rFonts w:hint="default"/>
        </w:rPr>
      </w:pPr>
      <w:r>
        <w:rPr>
          <w:rFonts w:ascii="仿宋_GB2312" w:eastAsia="仿宋_GB2312" w:hAnsi="仿宋_GB2312" w:cs="仿宋_GB2312"/>
        </w:rPr>
        <w:t>标的名称：校园文化提升</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1134"/>
        <w:gridCol w:w="6213"/>
      </w:tblGrid>
      <w:tr w:rsidR="00247CF5" w14:paraId="4FAF836F" w14:textId="77777777" w:rsidTr="00625304">
        <w:tc>
          <w:tcPr>
            <w:tcW w:w="959" w:type="dxa"/>
          </w:tcPr>
          <w:p w14:paraId="52C75037" w14:textId="77777777" w:rsidR="00247CF5" w:rsidRDefault="00247CF5" w:rsidP="00625304">
            <w:pPr>
              <w:pStyle w:val="null3"/>
              <w:rPr>
                <w:rFonts w:hint="default"/>
              </w:rPr>
            </w:pPr>
            <w:r>
              <w:rPr>
                <w:rFonts w:ascii="仿宋_GB2312" w:eastAsia="仿宋_GB2312" w:hAnsi="仿宋_GB2312" w:cs="仿宋_GB2312"/>
              </w:rPr>
              <w:t xml:space="preserve"> 序号</w:t>
            </w:r>
          </w:p>
        </w:tc>
        <w:tc>
          <w:tcPr>
            <w:tcW w:w="1134" w:type="dxa"/>
          </w:tcPr>
          <w:p w14:paraId="435D366E" w14:textId="77777777" w:rsidR="00247CF5" w:rsidRDefault="00247CF5" w:rsidP="00625304">
            <w:pPr>
              <w:pStyle w:val="null3"/>
              <w:rPr>
                <w:rFonts w:hint="default"/>
              </w:rPr>
            </w:pPr>
            <w:r>
              <w:rPr>
                <w:rFonts w:ascii="仿宋_GB2312" w:eastAsia="仿宋_GB2312" w:hAnsi="仿宋_GB2312" w:cs="仿宋_GB2312"/>
              </w:rPr>
              <w:t xml:space="preserve"> 参数性质</w:t>
            </w:r>
          </w:p>
        </w:tc>
        <w:tc>
          <w:tcPr>
            <w:tcW w:w="6214" w:type="dxa"/>
          </w:tcPr>
          <w:p w14:paraId="69FDFBBD" w14:textId="77777777" w:rsidR="00247CF5" w:rsidRDefault="00247CF5" w:rsidP="00625304">
            <w:pPr>
              <w:pStyle w:val="null3"/>
              <w:rPr>
                <w:rFonts w:hint="default"/>
              </w:rPr>
            </w:pPr>
            <w:r>
              <w:rPr>
                <w:rFonts w:ascii="仿宋_GB2312" w:eastAsia="仿宋_GB2312" w:hAnsi="仿宋_GB2312" w:cs="仿宋_GB2312"/>
              </w:rPr>
              <w:t xml:space="preserve"> 技术参数与性能指标</w:t>
            </w:r>
          </w:p>
        </w:tc>
      </w:tr>
      <w:tr w:rsidR="00247CF5" w14:paraId="392EE9E0" w14:textId="77777777" w:rsidTr="00625304">
        <w:tc>
          <w:tcPr>
            <w:tcW w:w="959" w:type="dxa"/>
          </w:tcPr>
          <w:p w14:paraId="1B522A3E" w14:textId="77777777" w:rsidR="00247CF5" w:rsidRDefault="00247CF5" w:rsidP="00625304">
            <w:pPr>
              <w:pStyle w:val="null3"/>
              <w:rPr>
                <w:rFonts w:hint="default"/>
              </w:rPr>
            </w:pPr>
            <w:r>
              <w:rPr>
                <w:rFonts w:ascii="仿宋_GB2312" w:eastAsia="仿宋_GB2312" w:hAnsi="仿宋_GB2312" w:cs="仿宋_GB2312"/>
              </w:rPr>
              <w:t>1</w:t>
            </w:r>
          </w:p>
        </w:tc>
        <w:tc>
          <w:tcPr>
            <w:tcW w:w="1134" w:type="dxa"/>
          </w:tcPr>
          <w:p w14:paraId="3A2B5C19" w14:textId="77777777" w:rsidR="00247CF5" w:rsidRDefault="00247CF5" w:rsidP="00625304"/>
        </w:tc>
        <w:tc>
          <w:tcPr>
            <w:tcW w:w="6214" w:type="dxa"/>
          </w:tcPr>
          <w:p w14:paraId="2C79012D" w14:textId="77777777" w:rsidR="00247CF5" w:rsidRDefault="00247CF5" w:rsidP="00625304">
            <w:pPr>
              <w:pStyle w:val="null3"/>
              <w:rPr>
                <w:rFonts w:hint="default"/>
              </w:rPr>
            </w:pPr>
            <w:r>
              <w:rPr>
                <w:rFonts w:ascii="仿宋_GB2312" w:eastAsia="仿宋_GB2312" w:hAnsi="仿宋_GB2312" w:cs="仿宋_GB2312"/>
                <w:sz w:val="21"/>
              </w:rPr>
              <w:t>本项目主要实施内容为：学校南大门、臻晖楼一楼文化主题展厅及雨棚、体育馆前主题广场修缮工程，（主要包含墙、柱面装饰与隔断、幕墙工程、装饰雨篷面层、绿化种植等校园文化建设）具体内容详见工程量清单。</w:t>
            </w:r>
          </w:p>
        </w:tc>
      </w:tr>
      <w:tr w:rsidR="00247CF5" w14:paraId="4C44DE04" w14:textId="77777777" w:rsidTr="00625304">
        <w:tc>
          <w:tcPr>
            <w:tcW w:w="959" w:type="dxa"/>
          </w:tcPr>
          <w:p w14:paraId="57CEF7A3" w14:textId="77777777" w:rsidR="00247CF5" w:rsidRDefault="00247CF5" w:rsidP="00625304">
            <w:pPr>
              <w:pStyle w:val="null3"/>
              <w:rPr>
                <w:rFonts w:hint="default"/>
              </w:rPr>
            </w:pPr>
            <w:r>
              <w:rPr>
                <w:rFonts w:ascii="仿宋_GB2312" w:eastAsia="仿宋_GB2312" w:hAnsi="仿宋_GB2312" w:cs="仿宋_GB2312"/>
              </w:rPr>
              <w:t>2</w:t>
            </w:r>
          </w:p>
        </w:tc>
        <w:tc>
          <w:tcPr>
            <w:tcW w:w="1134" w:type="dxa"/>
          </w:tcPr>
          <w:p w14:paraId="39FF0A12" w14:textId="77777777" w:rsidR="00247CF5" w:rsidRDefault="00247CF5" w:rsidP="00625304"/>
        </w:tc>
        <w:tc>
          <w:tcPr>
            <w:tcW w:w="6214" w:type="dxa"/>
          </w:tcPr>
          <w:p w14:paraId="083236EC" w14:textId="77777777" w:rsidR="00247CF5" w:rsidRDefault="00247CF5" w:rsidP="00625304">
            <w:pPr>
              <w:pStyle w:val="null3"/>
              <w:jc w:val="center"/>
              <w:rPr>
                <w:rFonts w:hint="default"/>
              </w:rPr>
            </w:pPr>
            <w:r>
              <w:rPr>
                <w:rFonts w:ascii="仿宋_GB2312" w:eastAsia="仿宋_GB2312" w:hAnsi="仿宋_GB2312" w:cs="仿宋_GB2312"/>
                <w:b/>
                <w:sz w:val="18"/>
              </w:rPr>
              <w:t>工程量清单编制说明</w:t>
            </w:r>
          </w:p>
          <w:p w14:paraId="0971C22C" w14:textId="77777777" w:rsidR="00247CF5" w:rsidRDefault="00247CF5" w:rsidP="00625304">
            <w:pPr>
              <w:pStyle w:val="null3"/>
              <w:rPr>
                <w:rFonts w:hint="default"/>
              </w:rPr>
            </w:pPr>
            <w:r>
              <w:rPr>
                <w:rFonts w:ascii="仿宋_GB2312" w:eastAsia="仿宋_GB2312" w:hAnsi="仿宋_GB2312" w:cs="仿宋_GB2312"/>
              </w:rPr>
              <w:t>一、工程概况</w:t>
            </w:r>
          </w:p>
          <w:p w14:paraId="6C32BB91" w14:textId="77777777" w:rsidR="00247CF5" w:rsidRDefault="00247CF5" w:rsidP="00625304">
            <w:pPr>
              <w:pStyle w:val="null3"/>
              <w:rPr>
                <w:rFonts w:hint="default"/>
              </w:rPr>
            </w:pPr>
            <w:r>
              <w:rPr>
                <w:rFonts w:ascii="仿宋_GB2312" w:eastAsia="仿宋_GB2312" w:hAnsi="仿宋_GB2312" w:cs="仿宋_GB2312"/>
              </w:rPr>
              <w:t>1、项目名称：西安经开第四小学校园文化提升项目</w:t>
            </w:r>
          </w:p>
          <w:p w14:paraId="7152A29B" w14:textId="77777777" w:rsidR="00247CF5" w:rsidRDefault="00247CF5" w:rsidP="00625304">
            <w:pPr>
              <w:pStyle w:val="null3"/>
              <w:rPr>
                <w:rFonts w:hint="default"/>
              </w:rPr>
            </w:pPr>
            <w:r>
              <w:rPr>
                <w:rFonts w:ascii="仿宋_GB2312" w:eastAsia="仿宋_GB2312" w:hAnsi="仿宋_GB2312" w:cs="仿宋_GB2312"/>
              </w:rPr>
              <w:t>2、主要包括：臻晖楼大厅及雨棚改造、体育馆及体育馆前广场改造、学校大门及门房改造等。</w:t>
            </w:r>
          </w:p>
          <w:p w14:paraId="0A351B1C" w14:textId="77777777" w:rsidR="00247CF5" w:rsidRDefault="00247CF5" w:rsidP="00625304">
            <w:pPr>
              <w:pStyle w:val="null3"/>
              <w:rPr>
                <w:rFonts w:hint="default"/>
              </w:rPr>
            </w:pPr>
            <w:r>
              <w:rPr>
                <w:rFonts w:ascii="仿宋_GB2312" w:eastAsia="仿宋_GB2312" w:hAnsi="仿宋_GB2312" w:cs="仿宋_GB2312"/>
              </w:rPr>
              <w:t>二、编制依据</w:t>
            </w:r>
          </w:p>
          <w:p w14:paraId="325DABF5" w14:textId="77777777" w:rsidR="00247CF5" w:rsidRDefault="00247CF5" w:rsidP="00625304">
            <w:pPr>
              <w:pStyle w:val="null3"/>
              <w:rPr>
                <w:rFonts w:hint="default"/>
              </w:rPr>
            </w:pPr>
            <w:r>
              <w:rPr>
                <w:rFonts w:ascii="仿宋_GB2312" w:eastAsia="仿宋_GB2312" w:hAnsi="仿宋_GB2312" w:cs="仿宋_GB2312"/>
              </w:rPr>
              <w:t>1、陕西省建设工程工程量清单计价计算标准(2025)；</w:t>
            </w:r>
          </w:p>
          <w:p w14:paraId="4E9AA4FA" w14:textId="77777777" w:rsidR="00247CF5" w:rsidRDefault="00247CF5" w:rsidP="00625304">
            <w:pPr>
              <w:pStyle w:val="null3"/>
              <w:rPr>
                <w:rFonts w:hint="default"/>
              </w:rPr>
            </w:pPr>
            <w:r>
              <w:rPr>
                <w:rFonts w:ascii="仿宋_GB2312" w:eastAsia="仿宋_GB2312" w:hAnsi="仿宋_GB2312" w:cs="仿宋_GB2312"/>
              </w:rPr>
              <w:t>2、施工图、常规方案等。</w:t>
            </w:r>
          </w:p>
          <w:p w14:paraId="1DB7F5E5" w14:textId="77777777" w:rsidR="00247CF5" w:rsidRDefault="00247CF5" w:rsidP="00625304">
            <w:pPr>
              <w:pStyle w:val="null3"/>
              <w:rPr>
                <w:rFonts w:hint="default"/>
              </w:rPr>
            </w:pPr>
            <w:r>
              <w:rPr>
                <w:rFonts w:ascii="仿宋_GB2312" w:eastAsia="仿宋_GB2312" w:hAnsi="仿宋_GB2312" w:cs="仿宋_GB2312"/>
              </w:rPr>
              <w:t>三、计价依据</w:t>
            </w:r>
          </w:p>
          <w:p w14:paraId="35611B53" w14:textId="77777777" w:rsidR="00247CF5" w:rsidRDefault="00247CF5" w:rsidP="00625304">
            <w:pPr>
              <w:pStyle w:val="null3"/>
              <w:rPr>
                <w:rFonts w:hint="default"/>
              </w:rPr>
            </w:pPr>
            <w:r>
              <w:rPr>
                <w:rFonts w:ascii="仿宋_GB2312" w:eastAsia="仿宋_GB2312" w:hAnsi="仿宋_GB2312" w:cs="仿宋_GB2312"/>
              </w:rPr>
              <w:t>1、执行陕建发[2025]10号文；</w:t>
            </w:r>
          </w:p>
          <w:p w14:paraId="6961FD6A" w14:textId="77777777" w:rsidR="00247CF5" w:rsidRDefault="00247CF5" w:rsidP="00625304">
            <w:pPr>
              <w:pStyle w:val="null3"/>
              <w:rPr>
                <w:rFonts w:hint="default"/>
              </w:rPr>
            </w:pPr>
            <w:r>
              <w:rPr>
                <w:rFonts w:ascii="仿宋_GB2312" w:eastAsia="仿宋_GB2312" w:hAnsi="仿宋_GB2312" w:cs="仿宋_GB2312"/>
              </w:rPr>
              <w:t>2、税金按照《关于调整我省建设工程计价依据的通知》（陕建发[2019]45号）计入；</w:t>
            </w:r>
          </w:p>
          <w:p w14:paraId="6F43C989" w14:textId="77777777" w:rsidR="00247CF5" w:rsidRDefault="00247CF5" w:rsidP="00625304">
            <w:pPr>
              <w:pStyle w:val="null3"/>
              <w:rPr>
                <w:rFonts w:hint="default"/>
              </w:rPr>
            </w:pPr>
            <w:r>
              <w:rPr>
                <w:rFonts w:ascii="仿宋_GB2312" w:eastAsia="仿宋_GB2312" w:hAnsi="仿宋_GB2312" w:cs="仿宋_GB2312"/>
              </w:rPr>
              <w:t>3、编制软件为广联达云计价平台7.0-陕西-64位，版本号: 7.5000.23.2；</w:t>
            </w:r>
          </w:p>
          <w:p w14:paraId="16977A8B" w14:textId="77777777" w:rsidR="00247CF5" w:rsidRDefault="00247CF5" w:rsidP="00625304">
            <w:pPr>
              <w:pStyle w:val="null3"/>
              <w:spacing w:before="180" w:after="180"/>
              <w:rPr>
                <w:rFonts w:hint="default"/>
              </w:rPr>
            </w:pPr>
          </w:p>
        </w:tc>
      </w:tr>
      <w:tr w:rsidR="00247CF5" w14:paraId="5594FD37" w14:textId="77777777" w:rsidTr="00625304">
        <w:tc>
          <w:tcPr>
            <w:tcW w:w="959" w:type="dxa"/>
          </w:tcPr>
          <w:p w14:paraId="09063026" w14:textId="77777777" w:rsidR="00247CF5" w:rsidRDefault="00247CF5" w:rsidP="00625304">
            <w:pPr>
              <w:pStyle w:val="null3"/>
              <w:rPr>
                <w:rFonts w:hint="default"/>
              </w:rPr>
            </w:pPr>
            <w:r>
              <w:rPr>
                <w:rFonts w:ascii="仿宋_GB2312" w:eastAsia="仿宋_GB2312" w:hAnsi="仿宋_GB2312" w:cs="仿宋_GB2312"/>
              </w:rPr>
              <w:t>3</w:t>
            </w:r>
          </w:p>
        </w:tc>
        <w:tc>
          <w:tcPr>
            <w:tcW w:w="1134" w:type="dxa"/>
          </w:tcPr>
          <w:p w14:paraId="4D71DC79" w14:textId="77777777" w:rsidR="00247CF5" w:rsidRDefault="00247CF5" w:rsidP="00625304"/>
        </w:tc>
        <w:tc>
          <w:tcPr>
            <w:tcW w:w="6214" w:type="dxa"/>
          </w:tcPr>
          <w:p w14:paraId="2423F06A" w14:textId="77777777" w:rsidR="00247CF5" w:rsidRDefault="00247CF5" w:rsidP="00625304">
            <w:pPr>
              <w:pStyle w:val="null3"/>
              <w:jc w:val="both"/>
              <w:rPr>
                <w:rFonts w:hint="default"/>
              </w:rPr>
            </w:pPr>
            <w:r>
              <w:rPr>
                <w:rFonts w:ascii="仿宋_GB2312" w:eastAsia="仿宋_GB2312" w:hAnsi="仿宋_GB2312" w:cs="仿宋_GB2312"/>
                <w:b/>
                <w:sz w:val="18"/>
              </w:rPr>
              <w:t>一、其他说明</w:t>
            </w:r>
          </w:p>
          <w:p w14:paraId="11CADFE9" w14:textId="77777777" w:rsidR="00247CF5" w:rsidRDefault="00247CF5" w:rsidP="00625304">
            <w:pPr>
              <w:pStyle w:val="null3"/>
              <w:jc w:val="both"/>
              <w:rPr>
                <w:rFonts w:hint="default"/>
              </w:rPr>
            </w:pPr>
            <w:r>
              <w:rPr>
                <w:rFonts w:ascii="仿宋_GB2312" w:eastAsia="仿宋_GB2312" w:hAnsi="仿宋_GB2312" w:cs="仿宋_GB2312"/>
                <w:sz w:val="18"/>
              </w:rPr>
              <w:t>1、本工程量清单所提供工程项目特征仅表达了主要工程做法，组价时应依据方案、相关图集，结合磋商文件，合同条款，技术规范、答疑纪要等进行组价。</w:t>
            </w:r>
          </w:p>
          <w:p w14:paraId="2EFCB979" w14:textId="77777777" w:rsidR="00247CF5" w:rsidRDefault="00247CF5" w:rsidP="00625304">
            <w:pPr>
              <w:pStyle w:val="null3"/>
              <w:jc w:val="both"/>
              <w:rPr>
                <w:rFonts w:hint="default"/>
              </w:rPr>
            </w:pPr>
            <w:r>
              <w:rPr>
                <w:rFonts w:ascii="仿宋_GB2312" w:eastAsia="仿宋_GB2312" w:hAnsi="仿宋_GB2312" w:cs="仿宋_GB2312"/>
                <w:sz w:val="18"/>
              </w:rPr>
              <w:t>2、供应商需根据现场现有情况和相关要求计价，清单未列明且可能发生或工程量的变化所产生的费用，需在报价中进行综合考虑，包含解决施工用水水源费用、解决施工用电电源费用及完成本工程所需要的全部费用。</w:t>
            </w:r>
          </w:p>
          <w:p w14:paraId="306429E7" w14:textId="77777777" w:rsidR="00247CF5" w:rsidRDefault="00247CF5" w:rsidP="00625304">
            <w:pPr>
              <w:pStyle w:val="null3"/>
              <w:jc w:val="both"/>
              <w:rPr>
                <w:rFonts w:hint="default"/>
              </w:rPr>
            </w:pPr>
            <w:r>
              <w:rPr>
                <w:rFonts w:ascii="仿宋_GB2312" w:eastAsia="仿宋_GB2312" w:hAnsi="仿宋_GB2312" w:cs="仿宋_GB2312"/>
                <w:b/>
                <w:sz w:val="18"/>
              </w:rPr>
              <w:lastRenderedPageBreak/>
              <w:t>二、商务条款</w:t>
            </w:r>
          </w:p>
          <w:p w14:paraId="0DA85FAF" w14:textId="77777777" w:rsidR="00247CF5" w:rsidRDefault="00247CF5" w:rsidP="00625304">
            <w:pPr>
              <w:pStyle w:val="null3"/>
              <w:jc w:val="both"/>
              <w:rPr>
                <w:rFonts w:hint="default"/>
              </w:rPr>
            </w:pPr>
            <w:r>
              <w:rPr>
                <w:rFonts w:ascii="仿宋_GB2312" w:eastAsia="仿宋_GB2312" w:hAnsi="仿宋_GB2312" w:cs="仿宋_GB2312"/>
                <w:sz w:val="18"/>
              </w:rPr>
              <w:t>1、工期：60日历天</w:t>
            </w:r>
          </w:p>
          <w:p w14:paraId="0F6B6B1C" w14:textId="77777777" w:rsidR="00247CF5" w:rsidRDefault="00247CF5" w:rsidP="00625304">
            <w:pPr>
              <w:pStyle w:val="null3"/>
              <w:jc w:val="both"/>
              <w:rPr>
                <w:rFonts w:hint="default"/>
              </w:rPr>
            </w:pPr>
            <w:r>
              <w:rPr>
                <w:rFonts w:ascii="仿宋_GB2312" w:eastAsia="仿宋_GB2312" w:hAnsi="仿宋_GB2312" w:cs="仿宋_GB2312"/>
                <w:sz w:val="18"/>
              </w:rPr>
              <w:t>2、质量要求：符合工程质量验收标准规定，验收合格。</w:t>
            </w:r>
          </w:p>
          <w:p w14:paraId="26F8BCEF" w14:textId="77777777" w:rsidR="00247CF5" w:rsidRDefault="00247CF5" w:rsidP="00625304">
            <w:pPr>
              <w:pStyle w:val="null3"/>
              <w:jc w:val="both"/>
              <w:rPr>
                <w:rFonts w:hint="default"/>
              </w:rPr>
            </w:pPr>
            <w:r>
              <w:rPr>
                <w:rFonts w:ascii="仿宋_GB2312" w:eastAsia="仿宋_GB2312" w:hAnsi="仿宋_GB2312" w:cs="仿宋_GB2312"/>
                <w:sz w:val="18"/>
              </w:rPr>
              <w:t>3、保修期：1年</w:t>
            </w:r>
          </w:p>
          <w:p w14:paraId="2F74D34C" w14:textId="77777777" w:rsidR="00247CF5" w:rsidRDefault="00247CF5" w:rsidP="00625304">
            <w:pPr>
              <w:pStyle w:val="null3"/>
              <w:rPr>
                <w:rFonts w:hint="default"/>
              </w:rPr>
            </w:pPr>
            <w:r>
              <w:rPr>
                <w:rFonts w:ascii="仿宋_GB2312" w:eastAsia="仿宋_GB2312" w:hAnsi="仿宋_GB2312" w:cs="仿宋_GB2312"/>
                <w:sz w:val="18"/>
              </w:rPr>
              <w:t>4、付款方式：</w:t>
            </w:r>
          </w:p>
          <w:p w14:paraId="2FDAE679" w14:textId="77777777" w:rsidR="00247CF5" w:rsidRDefault="00247CF5" w:rsidP="00625304">
            <w:pPr>
              <w:pStyle w:val="null3"/>
              <w:rPr>
                <w:rFonts w:hint="default"/>
              </w:rPr>
            </w:pPr>
            <w:r>
              <w:rPr>
                <w:rFonts w:ascii="仿宋_GB2312" w:eastAsia="仿宋_GB2312" w:hAnsi="仿宋_GB2312" w:cs="仿宋_GB2312"/>
                <w:sz w:val="18"/>
              </w:rPr>
              <w:t>①工程竣工完成并经采购人验收合格后 ，达到付款条件起 15 日内，支付合同总金额的 97.00%</w:t>
            </w:r>
          </w:p>
          <w:p w14:paraId="7BC87DF4" w14:textId="77777777" w:rsidR="00247CF5" w:rsidRDefault="00247CF5" w:rsidP="00625304">
            <w:pPr>
              <w:pStyle w:val="null3"/>
              <w:jc w:val="both"/>
              <w:rPr>
                <w:rFonts w:hint="default"/>
              </w:rPr>
            </w:pPr>
            <w:r>
              <w:rPr>
                <w:rFonts w:ascii="仿宋_GB2312" w:eastAsia="仿宋_GB2312" w:hAnsi="仿宋_GB2312" w:cs="仿宋_GB2312"/>
                <w:sz w:val="18"/>
              </w:rPr>
              <w:t>②待工程保修期结束后 ，达到付款条件起 15 日内，支付合同总金额的 3.00%</w:t>
            </w:r>
          </w:p>
        </w:tc>
      </w:tr>
    </w:tbl>
    <w:p w14:paraId="4FC2FF52" w14:textId="77777777" w:rsidR="00247CF5" w:rsidRDefault="00247CF5" w:rsidP="00247CF5">
      <w:pPr>
        <w:pStyle w:val="null3"/>
        <w:ind w:firstLine="480"/>
        <w:rPr>
          <w:rFonts w:hint="default"/>
        </w:rPr>
      </w:pPr>
      <w:r>
        <w:rPr>
          <w:rFonts w:ascii="仿宋_GB2312" w:eastAsia="仿宋_GB2312" w:hAnsi="仿宋_GB2312" w:cs="仿宋_GB2312"/>
        </w:rPr>
        <w:lastRenderedPageBreak/>
        <w:t>二、供应商针对本项目的施工，必须达到国家及行业现行技术规范标准，符合国家及行业验收合格标准：</w:t>
      </w:r>
    </w:p>
    <w:p w14:paraId="06C9CC8D" w14:textId="77777777" w:rsidR="00247CF5" w:rsidRDefault="00247CF5" w:rsidP="00247CF5">
      <w:pPr>
        <w:pStyle w:val="null3"/>
        <w:rPr>
          <w:rFonts w:hint="default"/>
        </w:rPr>
      </w:pPr>
      <w:r>
        <w:rPr>
          <w:rFonts w:ascii="仿宋_GB2312" w:eastAsia="仿宋_GB2312" w:hAnsi="仿宋_GB2312" w:cs="仿宋_GB2312"/>
        </w:rPr>
        <w:t>采购包1：</w:t>
      </w:r>
    </w:p>
    <w:p w14:paraId="06B8F5F2" w14:textId="77777777" w:rsidR="00247CF5" w:rsidRDefault="00247CF5" w:rsidP="00247CF5">
      <w:pPr>
        <w:pStyle w:val="null3"/>
        <w:rPr>
          <w:rFonts w:hint="default"/>
        </w:rPr>
      </w:pPr>
      <w:r>
        <w:rPr>
          <w:rFonts w:ascii="仿宋_GB2312" w:eastAsia="仿宋_GB2312" w:hAnsi="仿宋_GB2312" w:cs="仿宋_GB2312"/>
        </w:rPr>
        <w:t>符合国家现行有关施工质量验收规范“合格”要求。</w:t>
      </w:r>
    </w:p>
    <w:p w14:paraId="00C00BA7" w14:textId="77777777" w:rsidR="00247CF5" w:rsidRDefault="00247CF5" w:rsidP="00247CF5">
      <w:pPr>
        <w:pStyle w:val="null3"/>
        <w:ind w:firstLine="480"/>
        <w:rPr>
          <w:rFonts w:hint="default"/>
        </w:rPr>
      </w:pPr>
      <w:r>
        <w:rPr>
          <w:rFonts w:ascii="仿宋_GB2312" w:eastAsia="仿宋_GB2312" w:hAnsi="仿宋_GB2312" w:cs="仿宋_GB2312"/>
        </w:rPr>
        <w:t>三、针对本项目的其他技术服务要求：</w:t>
      </w:r>
    </w:p>
    <w:p w14:paraId="628BA4C3" w14:textId="77777777" w:rsidR="00247CF5" w:rsidRDefault="00247CF5" w:rsidP="00247CF5">
      <w:pPr>
        <w:pStyle w:val="null3"/>
        <w:rPr>
          <w:rFonts w:hint="default"/>
        </w:rPr>
      </w:pPr>
      <w:r>
        <w:rPr>
          <w:rFonts w:ascii="仿宋_GB2312" w:eastAsia="仿宋_GB2312" w:hAnsi="仿宋_GB2312" w:cs="仿宋_GB2312"/>
        </w:rPr>
        <w:t>满足采购人要求。</w:t>
      </w:r>
    </w:p>
    <w:p w14:paraId="223CB54B" w14:textId="77777777" w:rsidR="00247CF5" w:rsidRDefault="00247CF5" w:rsidP="00247CF5">
      <w:pPr>
        <w:pStyle w:val="null3"/>
        <w:ind w:firstLine="480"/>
        <w:rPr>
          <w:rFonts w:hint="default"/>
        </w:rPr>
      </w:pPr>
      <w:r>
        <w:rPr>
          <w:rFonts w:ascii="仿宋_GB2312" w:eastAsia="仿宋_GB2312" w:hAnsi="仿宋_GB2312" w:cs="仿宋_GB2312"/>
        </w:rPr>
        <w:t>四、工程量清单（详见附件）</w:t>
      </w:r>
    </w:p>
    <w:p w14:paraId="0E03C522" w14:textId="77777777" w:rsidR="00247CF5" w:rsidRDefault="00247CF5" w:rsidP="00247CF5">
      <w:pPr>
        <w:pStyle w:val="null3"/>
        <w:ind w:firstLine="480"/>
        <w:rPr>
          <w:rFonts w:hint="default"/>
        </w:rPr>
      </w:pPr>
      <w:r>
        <w:rPr>
          <w:rFonts w:ascii="仿宋_GB2312" w:eastAsia="仿宋_GB2312" w:hAnsi="仿宋_GB2312" w:cs="仿宋_GB2312"/>
        </w:rPr>
        <w:t xml:space="preserve"> （说明：工程量清单应当结合《政府采购需求管理办法》（财库〔2021〕22号）第六条第二款规定，明确相关性能、材料、结构、外观、安全、标准等。）</w:t>
      </w:r>
    </w:p>
    <w:p w14:paraId="41AE5662" w14:textId="77777777" w:rsidR="00247CF5" w:rsidRDefault="00247CF5" w:rsidP="00247CF5">
      <w:pPr>
        <w:pStyle w:val="null3"/>
        <w:outlineLvl w:val="2"/>
        <w:rPr>
          <w:rFonts w:hint="default"/>
        </w:rPr>
      </w:pPr>
      <w:r>
        <w:rPr>
          <w:rFonts w:ascii="仿宋_GB2312" w:eastAsia="仿宋_GB2312" w:hAnsi="仿宋_GB2312" w:cs="仿宋_GB2312"/>
          <w:b/>
          <w:sz w:val="28"/>
        </w:rPr>
        <w:t>3.2商务要求（说明：由采购人依据项目具体需求制定）</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8"/>
        <w:gridCol w:w="2769"/>
        <w:gridCol w:w="2769"/>
      </w:tblGrid>
      <w:tr w:rsidR="00247CF5" w14:paraId="117F0A32" w14:textId="77777777" w:rsidTr="00625304">
        <w:tc>
          <w:tcPr>
            <w:tcW w:w="2769" w:type="dxa"/>
          </w:tcPr>
          <w:p w14:paraId="5834CDCF" w14:textId="77777777" w:rsidR="00247CF5" w:rsidRDefault="00247CF5" w:rsidP="00625304">
            <w:pPr>
              <w:pStyle w:val="null3"/>
              <w:rPr>
                <w:rFonts w:hint="default"/>
              </w:rPr>
            </w:pPr>
            <w:r>
              <w:rPr>
                <w:rFonts w:ascii="仿宋_GB2312" w:eastAsia="仿宋_GB2312" w:hAnsi="仿宋_GB2312" w:cs="仿宋_GB2312"/>
              </w:rPr>
              <w:t>序号</w:t>
            </w:r>
          </w:p>
        </w:tc>
        <w:tc>
          <w:tcPr>
            <w:tcW w:w="2769" w:type="dxa"/>
          </w:tcPr>
          <w:p w14:paraId="7CC860BA" w14:textId="77777777" w:rsidR="00247CF5" w:rsidRDefault="00247CF5" w:rsidP="00625304">
            <w:pPr>
              <w:pStyle w:val="null3"/>
              <w:rPr>
                <w:rFonts w:hint="default"/>
              </w:rPr>
            </w:pPr>
            <w:r>
              <w:rPr>
                <w:rFonts w:ascii="仿宋_GB2312" w:eastAsia="仿宋_GB2312" w:hAnsi="仿宋_GB2312" w:cs="仿宋_GB2312"/>
              </w:rPr>
              <w:t>项目</w:t>
            </w:r>
          </w:p>
        </w:tc>
        <w:tc>
          <w:tcPr>
            <w:tcW w:w="2769" w:type="dxa"/>
          </w:tcPr>
          <w:p w14:paraId="2E33BA4E" w14:textId="77777777" w:rsidR="00247CF5" w:rsidRDefault="00247CF5" w:rsidP="00625304">
            <w:pPr>
              <w:pStyle w:val="null3"/>
              <w:rPr>
                <w:rFonts w:hint="default"/>
              </w:rPr>
            </w:pPr>
            <w:r>
              <w:rPr>
                <w:rFonts w:ascii="仿宋_GB2312" w:eastAsia="仿宋_GB2312" w:hAnsi="仿宋_GB2312" w:cs="仿宋_GB2312"/>
              </w:rPr>
              <w:t>要求</w:t>
            </w:r>
          </w:p>
        </w:tc>
      </w:tr>
      <w:tr w:rsidR="00247CF5" w14:paraId="2AC681E1" w14:textId="77777777" w:rsidTr="00625304">
        <w:tc>
          <w:tcPr>
            <w:tcW w:w="2769" w:type="dxa"/>
          </w:tcPr>
          <w:p w14:paraId="51B6DB0F" w14:textId="77777777" w:rsidR="00247CF5" w:rsidRDefault="00247CF5" w:rsidP="00625304">
            <w:pPr>
              <w:pStyle w:val="null3"/>
              <w:rPr>
                <w:rFonts w:hint="default"/>
              </w:rPr>
            </w:pPr>
            <w:r>
              <w:rPr>
                <w:rFonts w:ascii="仿宋_GB2312" w:eastAsia="仿宋_GB2312" w:hAnsi="仿宋_GB2312" w:cs="仿宋_GB2312"/>
              </w:rPr>
              <w:t>1</w:t>
            </w:r>
          </w:p>
        </w:tc>
        <w:tc>
          <w:tcPr>
            <w:tcW w:w="2769" w:type="dxa"/>
          </w:tcPr>
          <w:p w14:paraId="6EFE9F72" w14:textId="77777777" w:rsidR="00247CF5" w:rsidRDefault="00247CF5" w:rsidP="00625304">
            <w:pPr>
              <w:pStyle w:val="null3"/>
              <w:rPr>
                <w:rFonts w:hint="default"/>
              </w:rPr>
            </w:pPr>
            <w:r>
              <w:rPr>
                <w:rFonts w:ascii="仿宋_GB2312" w:eastAsia="仿宋_GB2312" w:hAnsi="仿宋_GB2312" w:cs="仿宋_GB2312"/>
              </w:rPr>
              <w:t>项目负责人（项目经理）</w:t>
            </w:r>
          </w:p>
        </w:tc>
        <w:tc>
          <w:tcPr>
            <w:tcW w:w="2769" w:type="dxa"/>
          </w:tcPr>
          <w:p w14:paraId="3937BFD1" w14:textId="77777777" w:rsidR="00247CF5" w:rsidRDefault="00247CF5" w:rsidP="00625304">
            <w:pPr>
              <w:pStyle w:val="null3"/>
              <w:rPr>
                <w:rFonts w:hint="default"/>
              </w:rPr>
            </w:pPr>
            <w:r>
              <w:rPr>
                <w:rFonts w:ascii="仿宋_GB2312" w:eastAsia="仿宋_GB2312" w:hAnsi="仿宋_GB2312" w:cs="仿宋_GB2312"/>
              </w:rPr>
              <w:t>具体要求详见资格审查条款</w:t>
            </w:r>
          </w:p>
        </w:tc>
      </w:tr>
    </w:tbl>
    <w:p w14:paraId="1C715D1F" w14:textId="77777777" w:rsidR="00247CF5" w:rsidRDefault="00247CF5" w:rsidP="00247CF5">
      <w:pPr>
        <w:pStyle w:val="null3"/>
        <w:outlineLvl w:val="3"/>
        <w:rPr>
          <w:rFonts w:hint="default"/>
        </w:rPr>
      </w:pPr>
      <w:r>
        <w:rPr>
          <w:rFonts w:ascii="仿宋_GB2312" w:eastAsia="仿宋_GB2312" w:hAnsi="仿宋_GB2312" w:cs="仿宋_GB2312"/>
          <w:b/>
          <w:sz w:val="24"/>
        </w:rPr>
        <w:t>说明：</w:t>
      </w:r>
    </w:p>
    <w:p w14:paraId="440E3392" w14:textId="77777777" w:rsidR="00247CF5" w:rsidRDefault="00247CF5" w:rsidP="00247CF5">
      <w:pPr>
        <w:pStyle w:val="null3"/>
        <w:ind w:firstLine="480"/>
        <w:rPr>
          <w:rFonts w:hint="default"/>
        </w:rPr>
      </w:pPr>
      <w:r>
        <w:rPr>
          <w:rFonts w:ascii="仿宋_GB2312" w:eastAsia="仿宋_GB2312" w:hAnsi="仿宋_GB2312" w:cs="仿宋_GB2312"/>
        </w:rPr>
        <w:t>1.对于不允许偏离的实质性要求和条件，采购人或者代理机构应当在磋商文件中规定，并以醒目的方式标明。</w:t>
      </w:r>
    </w:p>
    <w:p w14:paraId="6FDD428D" w14:textId="77777777" w:rsidR="00247CF5" w:rsidRDefault="00247CF5" w:rsidP="00247CF5">
      <w:pPr>
        <w:pStyle w:val="null3"/>
        <w:ind w:firstLine="480"/>
        <w:rPr>
          <w:rFonts w:hint="default"/>
        </w:rPr>
      </w:pPr>
      <w:r>
        <w:rPr>
          <w:rFonts w:ascii="仿宋_GB2312" w:eastAsia="仿宋_GB2312" w:hAnsi="仿宋_GB2312" w:cs="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164F0540" w14:textId="77777777" w:rsidR="00247CF5" w:rsidRDefault="00247CF5" w:rsidP="00247CF5">
      <w:pPr>
        <w:pStyle w:val="null3"/>
        <w:ind w:firstLine="480"/>
        <w:rPr>
          <w:rFonts w:hint="default"/>
        </w:rPr>
      </w:pPr>
      <w:r>
        <w:rPr>
          <w:rFonts w:ascii="仿宋_GB2312" w:eastAsia="仿宋_GB2312" w:hAnsi="仿宋_GB2312" w:cs="仿宋_GB2312"/>
        </w:rPr>
        <w:t xml:space="preserve"> 3.若要求供应商提供相关人员的职业资格的，不得要求提供除现行《国家职业资格目录》以外的职业资格，不得以不合理条件对供应商实行差别待遇或者歧视性待遇。</w:t>
      </w:r>
    </w:p>
    <w:p w14:paraId="70891C9F" w14:textId="77777777" w:rsidR="00247CF5" w:rsidRDefault="00247CF5" w:rsidP="00247CF5">
      <w:pPr>
        <w:pStyle w:val="null3"/>
        <w:outlineLvl w:val="2"/>
        <w:rPr>
          <w:rFonts w:hint="default"/>
        </w:rPr>
      </w:pPr>
      <w:r>
        <w:rPr>
          <w:rFonts w:ascii="仿宋_GB2312" w:eastAsia="仿宋_GB2312" w:hAnsi="仿宋_GB2312" w:cs="仿宋_GB2312"/>
          <w:b/>
          <w:sz w:val="28"/>
        </w:rPr>
        <w:t>3.3其他要求</w:t>
      </w:r>
    </w:p>
    <w:p w14:paraId="571BFEB0" w14:textId="77777777" w:rsidR="00247CF5" w:rsidRDefault="00247CF5" w:rsidP="00247CF5">
      <w:pPr>
        <w:pStyle w:val="null3"/>
        <w:rPr>
          <w:rFonts w:hint="default"/>
        </w:rPr>
      </w:pPr>
      <w:r>
        <w:rPr>
          <w:rFonts w:ascii="仿宋_GB2312" w:eastAsia="仿宋_GB2312" w:hAnsi="仿宋_GB2312" w:cs="仿宋_GB2312"/>
        </w:rPr>
        <w:t>3.3.1合格供应商少于3家的处理 3.3.1.1评审过程中，若出现合格供应商只有2家时，符合《政府采购竞争性磋商采购方式管理暂行办法》第3条第4项情形的，或者本项目为政府购买服务指导性目录中的，可以继续进行；只有1家时，采购人应依法重新组织采购活动。 3.3.1.2评审过程中，除符合第3.3.1.1条条款规定情形外，若出现合格供应商少于3家时，采购人应依法重新组织采购活动。 3.3.2本项目需要落实的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中国残疾人联合会关于促进残疾人就业政府采购政策的通知-财库〔2017〕141号；（5）关于调整优化节能产品、环境标志产品政府采购执行机制的通知-财库〔2019〕9号；（6）财政部生态 环境部关于印发环境标志产品政府采购品目清单的通知-财库〔2019〕18号；（7）财政 部发展改革委关于印发节能产品政府采购品目清单的通知-财库〔2019〕19号；（8）财政</w:t>
      </w:r>
      <w:r>
        <w:rPr>
          <w:rFonts w:ascii="仿宋_GB2312" w:eastAsia="仿宋_GB2312" w:hAnsi="仿宋_GB2312" w:cs="仿宋_GB2312"/>
        </w:rPr>
        <w:lastRenderedPageBreak/>
        <w:t>部 农业农村部 国家乡村振兴局关于运用政府采购政策支持乡村产业振兴的通知-财库〔2021〕19 号；（9）财政部、农业农村部、国家乡村振兴局、中华全国供销合作总社关于印发《关于深入开展政府采购脱贫地区农副产品工作推进乡村产业振兴的实施意见》的通知-财库〔2021〕20号；（10）陕西省财政厅关于落实政府采购支持中小企业政策有关事项的通知-陕财办采函〔2022〕10 号；（11）陕西省财政厅关于进一步加强政府绿色采购有关问题的通知-陕财办采〔2021〕29号；（12）陕西省财政厅关于印发《陕西省中小企业政府采购信用融资办法》-陕财办采〔2018〕23号（13）陕西省财政厅关于加快推进我省中小企业政府采购信用融资工作的通知-陕财办采〔2020〕15号；（14）陕西省财政厅 中国人民银行西安分行关于深入推进政府采购信用融资业务的通知-陕财办采〔2023〕5号。（15）国务院办公厅关于在政府采购中实施本国产品标准及相关政策的通知国办发〔2025〕34号；（16）如有最新颁布的政府采购政策，按最新的文件执行。 3.3.3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3.3.4异常低价处理：（一）政府采购评审中出现下列情形之一的，磋商小组应当启动异常低价响应审查程序：1.响应报价低于全部通过符合性审查供应商响应报价平均值50%的，即响应报价&lt;全部通过符合性审查供应商响应报价平均值×50%；2.响应报价低于通过符合性审查的次低报价供应商响应报价50%的，即响应报价&lt;通过符合性审查的次低报价供应商响应报价×50%；3.响应报价低于采购项目最高限价45%的，即响应报价&lt;采购项目最高限价×45%；4.磋商小组基于专业判断，认为供应商报价过低，有可能影响产品质量或者不能诚信履约的其他情形。 （二）磋商小组启动异常低价响应审查后，相关供应商在评审现场合理的时间内对响应价格作出解释，提供项目具体成本测算等与报价合理性相关的书面说明及必要的证明材料，包括但不限于原材料成本、人工成本、制造费用等。 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C6BA7BC" w14:textId="7B2159F8" w:rsidR="00A447BB" w:rsidRPr="00247CF5" w:rsidRDefault="00A447BB">
      <w:pPr>
        <w:rPr>
          <w:rFonts w:hint="eastAsia"/>
        </w:rPr>
      </w:pPr>
    </w:p>
    <w:sectPr w:rsidR="00A447BB" w:rsidRPr="00247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603F" w14:textId="77777777" w:rsidR="00364F4D" w:rsidRDefault="00364F4D" w:rsidP="00247CF5">
      <w:pPr>
        <w:rPr>
          <w:rFonts w:hint="eastAsia"/>
        </w:rPr>
      </w:pPr>
      <w:r>
        <w:separator/>
      </w:r>
    </w:p>
  </w:endnote>
  <w:endnote w:type="continuationSeparator" w:id="0">
    <w:p w14:paraId="3A9BA377" w14:textId="77777777" w:rsidR="00364F4D" w:rsidRDefault="00364F4D" w:rsidP="00247C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8031" w14:textId="77777777" w:rsidR="00364F4D" w:rsidRDefault="00364F4D" w:rsidP="00247CF5">
      <w:pPr>
        <w:rPr>
          <w:rFonts w:hint="eastAsia"/>
        </w:rPr>
      </w:pPr>
      <w:r>
        <w:separator/>
      </w:r>
    </w:p>
  </w:footnote>
  <w:footnote w:type="continuationSeparator" w:id="0">
    <w:p w14:paraId="56848CD6" w14:textId="77777777" w:rsidR="00364F4D" w:rsidRDefault="00364F4D" w:rsidP="00247CF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F0"/>
    <w:rsid w:val="000E10F0"/>
    <w:rsid w:val="00247CF5"/>
    <w:rsid w:val="00364F4D"/>
    <w:rsid w:val="006A5373"/>
    <w:rsid w:val="00A447BB"/>
    <w:rsid w:val="00D6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CEBC"/>
  <w15:chartTrackingRefBased/>
  <w15:docId w15:val="{E39A0465-AFCF-4E2C-857C-209ADA59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CF5"/>
    <w:pPr>
      <w:widowControl w:val="0"/>
      <w:jc w:val="both"/>
    </w:pPr>
    <w:rPr>
      <w:szCs w:val="24"/>
    </w:rPr>
  </w:style>
  <w:style w:type="paragraph" w:styleId="1">
    <w:name w:val="heading 1"/>
    <w:basedOn w:val="a"/>
    <w:next w:val="a"/>
    <w:link w:val="10"/>
    <w:uiPriority w:val="9"/>
    <w:qFormat/>
    <w:rsid w:val="000E10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10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10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10F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E10F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E10F0"/>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0E10F0"/>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0E10F0"/>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0E10F0"/>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0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E10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10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10F0"/>
    <w:rPr>
      <w:rFonts w:cstheme="majorBidi"/>
      <w:color w:val="0F4761" w:themeColor="accent1" w:themeShade="BF"/>
      <w:sz w:val="28"/>
      <w:szCs w:val="28"/>
    </w:rPr>
  </w:style>
  <w:style w:type="character" w:customStyle="1" w:styleId="50">
    <w:name w:val="标题 5 字符"/>
    <w:basedOn w:val="a0"/>
    <w:link w:val="5"/>
    <w:uiPriority w:val="9"/>
    <w:semiHidden/>
    <w:rsid w:val="000E10F0"/>
    <w:rPr>
      <w:rFonts w:cstheme="majorBidi"/>
      <w:color w:val="0F4761" w:themeColor="accent1" w:themeShade="BF"/>
      <w:sz w:val="24"/>
      <w:szCs w:val="24"/>
    </w:rPr>
  </w:style>
  <w:style w:type="character" w:customStyle="1" w:styleId="60">
    <w:name w:val="标题 6 字符"/>
    <w:basedOn w:val="a0"/>
    <w:link w:val="6"/>
    <w:uiPriority w:val="9"/>
    <w:semiHidden/>
    <w:rsid w:val="000E10F0"/>
    <w:rPr>
      <w:rFonts w:cstheme="majorBidi"/>
      <w:b/>
      <w:bCs/>
      <w:color w:val="0F4761" w:themeColor="accent1" w:themeShade="BF"/>
    </w:rPr>
  </w:style>
  <w:style w:type="character" w:customStyle="1" w:styleId="70">
    <w:name w:val="标题 7 字符"/>
    <w:basedOn w:val="a0"/>
    <w:link w:val="7"/>
    <w:uiPriority w:val="9"/>
    <w:semiHidden/>
    <w:rsid w:val="000E10F0"/>
    <w:rPr>
      <w:rFonts w:cstheme="majorBidi"/>
      <w:b/>
      <w:bCs/>
      <w:color w:val="595959" w:themeColor="text1" w:themeTint="A6"/>
    </w:rPr>
  </w:style>
  <w:style w:type="character" w:customStyle="1" w:styleId="80">
    <w:name w:val="标题 8 字符"/>
    <w:basedOn w:val="a0"/>
    <w:link w:val="8"/>
    <w:uiPriority w:val="9"/>
    <w:semiHidden/>
    <w:rsid w:val="000E10F0"/>
    <w:rPr>
      <w:rFonts w:cstheme="majorBidi"/>
      <w:color w:val="595959" w:themeColor="text1" w:themeTint="A6"/>
    </w:rPr>
  </w:style>
  <w:style w:type="character" w:customStyle="1" w:styleId="90">
    <w:name w:val="标题 9 字符"/>
    <w:basedOn w:val="a0"/>
    <w:link w:val="9"/>
    <w:uiPriority w:val="9"/>
    <w:semiHidden/>
    <w:rsid w:val="000E10F0"/>
    <w:rPr>
      <w:rFonts w:eastAsiaTheme="majorEastAsia" w:cstheme="majorBidi"/>
      <w:color w:val="595959" w:themeColor="text1" w:themeTint="A6"/>
    </w:rPr>
  </w:style>
  <w:style w:type="paragraph" w:styleId="a3">
    <w:name w:val="Title"/>
    <w:basedOn w:val="a"/>
    <w:next w:val="a"/>
    <w:link w:val="a4"/>
    <w:uiPriority w:val="10"/>
    <w:qFormat/>
    <w:rsid w:val="000E10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0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0F0"/>
    <w:pPr>
      <w:spacing w:before="160" w:after="160"/>
      <w:jc w:val="center"/>
    </w:pPr>
    <w:rPr>
      <w:i/>
      <w:iCs/>
      <w:color w:val="404040" w:themeColor="text1" w:themeTint="BF"/>
      <w:szCs w:val="22"/>
    </w:rPr>
  </w:style>
  <w:style w:type="character" w:customStyle="1" w:styleId="a8">
    <w:name w:val="引用 字符"/>
    <w:basedOn w:val="a0"/>
    <w:link w:val="a7"/>
    <w:uiPriority w:val="29"/>
    <w:rsid w:val="000E10F0"/>
    <w:rPr>
      <w:i/>
      <w:iCs/>
      <w:color w:val="404040" w:themeColor="text1" w:themeTint="BF"/>
    </w:rPr>
  </w:style>
  <w:style w:type="paragraph" w:styleId="a9">
    <w:name w:val="List Paragraph"/>
    <w:basedOn w:val="a"/>
    <w:uiPriority w:val="34"/>
    <w:qFormat/>
    <w:rsid w:val="000E10F0"/>
    <w:pPr>
      <w:ind w:left="720"/>
      <w:contextualSpacing/>
    </w:pPr>
    <w:rPr>
      <w:szCs w:val="22"/>
    </w:rPr>
  </w:style>
  <w:style w:type="character" w:styleId="aa">
    <w:name w:val="Intense Emphasis"/>
    <w:basedOn w:val="a0"/>
    <w:uiPriority w:val="21"/>
    <w:qFormat/>
    <w:rsid w:val="000E10F0"/>
    <w:rPr>
      <w:i/>
      <w:iCs/>
      <w:color w:val="0F4761" w:themeColor="accent1" w:themeShade="BF"/>
    </w:rPr>
  </w:style>
  <w:style w:type="paragraph" w:styleId="ab">
    <w:name w:val="Intense Quote"/>
    <w:basedOn w:val="a"/>
    <w:next w:val="a"/>
    <w:link w:val="ac"/>
    <w:uiPriority w:val="30"/>
    <w:qFormat/>
    <w:rsid w:val="000E1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0E10F0"/>
    <w:rPr>
      <w:i/>
      <w:iCs/>
      <w:color w:val="0F4761" w:themeColor="accent1" w:themeShade="BF"/>
    </w:rPr>
  </w:style>
  <w:style w:type="character" w:styleId="ad">
    <w:name w:val="Intense Reference"/>
    <w:basedOn w:val="a0"/>
    <w:uiPriority w:val="32"/>
    <w:qFormat/>
    <w:rsid w:val="000E10F0"/>
    <w:rPr>
      <w:b/>
      <w:bCs/>
      <w:smallCaps/>
      <w:color w:val="0F4761" w:themeColor="accent1" w:themeShade="BF"/>
      <w:spacing w:val="5"/>
    </w:rPr>
  </w:style>
  <w:style w:type="paragraph" w:styleId="ae">
    <w:name w:val="header"/>
    <w:basedOn w:val="a"/>
    <w:link w:val="af"/>
    <w:uiPriority w:val="99"/>
    <w:unhideWhenUsed/>
    <w:rsid w:val="00247CF5"/>
    <w:pPr>
      <w:tabs>
        <w:tab w:val="center" w:pos="4153"/>
        <w:tab w:val="right" w:pos="8306"/>
      </w:tabs>
      <w:snapToGrid w:val="0"/>
      <w:jc w:val="center"/>
    </w:pPr>
    <w:rPr>
      <w:sz w:val="18"/>
      <w:szCs w:val="18"/>
    </w:rPr>
  </w:style>
  <w:style w:type="character" w:customStyle="1" w:styleId="af">
    <w:name w:val="页眉 字符"/>
    <w:basedOn w:val="a0"/>
    <w:link w:val="ae"/>
    <w:uiPriority w:val="99"/>
    <w:rsid w:val="00247CF5"/>
    <w:rPr>
      <w:sz w:val="18"/>
      <w:szCs w:val="18"/>
    </w:rPr>
  </w:style>
  <w:style w:type="paragraph" w:styleId="af0">
    <w:name w:val="footer"/>
    <w:basedOn w:val="a"/>
    <w:link w:val="af1"/>
    <w:uiPriority w:val="99"/>
    <w:unhideWhenUsed/>
    <w:rsid w:val="00247CF5"/>
    <w:pPr>
      <w:tabs>
        <w:tab w:val="center" w:pos="4153"/>
        <w:tab w:val="right" w:pos="8306"/>
      </w:tabs>
      <w:snapToGrid w:val="0"/>
      <w:jc w:val="left"/>
    </w:pPr>
    <w:rPr>
      <w:sz w:val="18"/>
      <w:szCs w:val="18"/>
    </w:rPr>
  </w:style>
  <w:style w:type="character" w:customStyle="1" w:styleId="af1">
    <w:name w:val="页脚 字符"/>
    <w:basedOn w:val="a0"/>
    <w:link w:val="af0"/>
    <w:uiPriority w:val="99"/>
    <w:rsid w:val="00247CF5"/>
    <w:rPr>
      <w:sz w:val="18"/>
      <w:szCs w:val="18"/>
    </w:rPr>
  </w:style>
  <w:style w:type="paragraph" w:customStyle="1" w:styleId="null3">
    <w:name w:val="null3"/>
    <w:hidden/>
    <w:rsid w:val="00247CF5"/>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1607</Characters>
  <Application>Microsoft Office Word</Application>
  <DocSecurity>0</DocSecurity>
  <Lines>89</Lines>
  <Paragraphs>83</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xzzz</dc:creator>
  <cp:keywords/>
  <dc:description/>
  <cp:lastModifiedBy>L xzzz</cp:lastModifiedBy>
  <cp:revision>2</cp:revision>
  <dcterms:created xsi:type="dcterms:W3CDTF">2026-05-08T09:19:00Z</dcterms:created>
  <dcterms:modified xsi:type="dcterms:W3CDTF">2026-05-08T09:20:00Z</dcterms:modified>
</cp:coreProperties>
</file>