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5A0BD">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宋体" w:hAnsi="宋体" w:eastAsia="宋体" w:cs="宋体"/>
          <w:b/>
          <w:bCs/>
          <w:sz w:val="44"/>
          <w:szCs w:val="44"/>
          <w:lang w:eastAsia="zh-CN"/>
        </w:rPr>
        <w:t>渭南市2025年大鸨等国家</w:t>
      </w:r>
      <w:bookmarkStart w:id="0" w:name="_Hlk209820989"/>
      <w:r>
        <w:rPr>
          <w:rFonts w:hint="eastAsia" w:ascii="宋体" w:hAnsi="宋体" w:eastAsia="宋体" w:cs="宋体"/>
          <w:b/>
          <w:bCs/>
          <w:sz w:val="44"/>
          <w:szCs w:val="44"/>
          <w:lang w:eastAsia="zh-CN"/>
        </w:rPr>
        <w:t>重点保护野生动物资源</w:t>
      </w:r>
      <w:bookmarkEnd w:id="0"/>
      <w:r>
        <w:rPr>
          <w:rFonts w:hint="eastAsia" w:ascii="宋体" w:hAnsi="宋体" w:eastAsia="宋体" w:cs="宋体"/>
          <w:b/>
          <w:bCs/>
          <w:sz w:val="44"/>
          <w:szCs w:val="44"/>
          <w:lang w:eastAsia="zh-CN"/>
        </w:rPr>
        <w:t>调查与监测项目采购需求</w:t>
      </w:r>
    </w:p>
    <w:p w14:paraId="2596627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宋体"/>
          <w:sz w:val="30"/>
          <w:szCs w:val="30"/>
        </w:rPr>
      </w:pPr>
      <w:r>
        <w:rPr>
          <w:rFonts w:hint="eastAsia" w:ascii="黑体" w:hAnsi="黑体" w:eastAsia="黑体" w:cs="宋体"/>
          <w:sz w:val="30"/>
          <w:szCs w:val="30"/>
        </w:rPr>
        <w:t>一、基本要求</w:t>
      </w:r>
    </w:p>
    <w:p w14:paraId="385FEEED">
      <w:pPr>
        <w:keepNext w:val="0"/>
        <w:keepLines w:val="0"/>
        <w:pageBreakBefore w:val="0"/>
        <w:widowControl w:val="0"/>
        <w:kinsoku/>
        <w:wordWrap/>
        <w:overflowPunct/>
        <w:topLinePunct w:val="0"/>
        <w:autoSpaceDE/>
        <w:autoSpaceDN/>
        <w:bidi w:val="0"/>
        <w:adjustRightInd/>
        <w:snapToGrid/>
        <w:spacing w:line="560" w:lineRule="exact"/>
        <w:ind w:firstLine="602" w:firstLineChars="200"/>
        <w:rPr>
          <w:rFonts w:hint="eastAsia" w:ascii="仿宋" w:hAnsi="仿宋" w:eastAsia="仿宋" w:cs="仿宋"/>
          <w:bCs/>
          <w:sz w:val="30"/>
          <w:szCs w:val="30"/>
          <w:lang w:eastAsia="zh-CN"/>
        </w:rPr>
      </w:pPr>
      <w:r>
        <w:rPr>
          <w:rFonts w:hint="eastAsia" w:ascii="仿宋" w:hAnsi="仿宋" w:eastAsia="仿宋" w:cs="宋体"/>
          <w:b/>
          <w:bCs/>
          <w:sz w:val="30"/>
          <w:szCs w:val="30"/>
        </w:rPr>
        <w:t>1</w:t>
      </w:r>
      <w:r>
        <w:rPr>
          <w:rFonts w:hint="eastAsia" w:ascii="仿宋" w:hAnsi="仿宋" w:eastAsia="仿宋" w:cs="宋体"/>
          <w:b/>
          <w:bCs/>
          <w:sz w:val="30"/>
          <w:szCs w:val="30"/>
          <w:lang w:val="en-US" w:eastAsia="zh-CN"/>
        </w:rPr>
        <w:t>.</w:t>
      </w:r>
      <w:r>
        <w:rPr>
          <w:rFonts w:hint="eastAsia" w:ascii="仿宋" w:hAnsi="仿宋" w:eastAsia="仿宋" w:cs="宋体"/>
          <w:b/>
          <w:bCs/>
          <w:sz w:val="30"/>
          <w:szCs w:val="30"/>
        </w:rPr>
        <w:t>功能要求：</w:t>
      </w:r>
      <w:r>
        <w:rPr>
          <w:rFonts w:hint="eastAsia" w:ascii="仿宋" w:hAnsi="仿宋" w:eastAsia="仿宋" w:cs="仿宋"/>
          <w:bCs/>
          <w:sz w:val="30"/>
          <w:szCs w:val="30"/>
          <w:lang w:eastAsia="zh-CN"/>
        </w:rPr>
        <w:t>查清渭南市（不含韩城市）大鸨等国家重点保护野生动物的种群数量、分布范围、栖息地现状及受威胁因素，建立编制物种资源数据库与常态化监测体系，为针对性保护策略制定提供坚实科学依据。</w:t>
      </w:r>
    </w:p>
    <w:p w14:paraId="69156956">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2" w:firstLineChars="200"/>
        <w:textAlignment w:val="baseline"/>
        <w:rPr>
          <w:rFonts w:hint="default" w:ascii="仿宋" w:hAnsi="仿宋" w:eastAsia="仿宋" w:cs="仿宋"/>
          <w:bCs/>
          <w:sz w:val="30"/>
          <w:szCs w:val="30"/>
          <w:lang w:val="en-US" w:eastAsia="zh-CN"/>
        </w:rPr>
      </w:pPr>
      <w:r>
        <w:rPr>
          <w:rFonts w:hint="eastAsia" w:ascii="仿宋" w:hAnsi="仿宋" w:eastAsia="仿宋" w:cs="宋体"/>
          <w:b/>
          <w:bCs/>
          <w:sz w:val="30"/>
          <w:szCs w:val="30"/>
        </w:rPr>
        <w:t>2</w:t>
      </w:r>
      <w:r>
        <w:rPr>
          <w:rFonts w:hint="eastAsia" w:ascii="仿宋" w:hAnsi="仿宋" w:eastAsia="仿宋" w:cs="宋体"/>
          <w:b/>
          <w:bCs/>
          <w:sz w:val="30"/>
          <w:szCs w:val="30"/>
          <w:lang w:val="en-US" w:eastAsia="zh-CN"/>
        </w:rPr>
        <w:t>.</w:t>
      </w:r>
      <w:r>
        <w:rPr>
          <w:rFonts w:hint="eastAsia" w:ascii="仿宋" w:hAnsi="仿宋" w:eastAsia="仿宋" w:cs="宋体"/>
          <w:b/>
          <w:bCs/>
          <w:sz w:val="30"/>
          <w:szCs w:val="30"/>
        </w:rPr>
        <w:t>采购项目需要落实的政府采购政策：</w:t>
      </w:r>
      <w:r>
        <w:rPr>
          <w:rFonts w:hint="eastAsia" w:ascii="仿宋" w:hAnsi="仿宋" w:eastAsia="仿宋" w:cs="仿宋"/>
          <w:bCs/>
          <w:sz w:val="30"/>
          <w:szCs w:val="30"/>
          <w:lang w:eastAsia="zh-CN"/>
        </w:rPr>
        <w:t>（1）《政府采购促进中小企业发展管理办法》（财库〔2020〕46号）、（2）《关于进一步加大政府采购支持中小企业力度的通知》（财库〔2022〕19号）、（3）《关于政府采购支持监狱企业发展有关问题的通知》（财库〔2014〕68号）、（4）《关于促进残疾人就业政府采购政策的通知》（财库〔2017〕141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 号）。（9）《关于深入开展政府采购脱贫地区农副产品工作推进乡村产业振兴的实施意见》（财库〔2021〕20号）。（10）《陕西省财政厅关于加快推进我省中小企业政府采购信用融资工作的通知》（陕财办采〔2020〕15号）（11）《陕西省财政厅关于印发陕西省中小企业政府采购信用融资办法》（陕财办采〔2018〕23号）；（12）陕西省财政厅关于进一步加强政府绿色采购有关问题的通知（陕财办采〔2021〕29号）（13）《商品包装政府采购需求标准（试行）》和《快递包装政府采购需求标准（试行）》（财办库〔2020〕123号）；（14）其他需要落实的政府采购政策。</w:t>
      </w:r>
    </w:p>
    <w:p w14:paraId="40284C54">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default" w:ascii="仿宋" w:hAnsi="仿宋" w:eastAsia="仿宋" w:cs="仿宋"/>
          <w:bCs/>
          <w:color w:val="auto"/>
          <w:sz w:val="30"/>
          <w:szCs w:val="30"/>
          <w:lang w:val="en-US" w:eastAsia="zh-CN"/>
        </w:rPr>
      </w:pPr>
      <w:r>
        <w:rPr>
          <w:rFonts w:hint="eastAsia" w:ascii="仿宋" w:hAnsi="仿宋" w:eastAsia="仿宋" w:cs="仿宋"/>
          <w:bCs/>
          <w:color w:val="auto"/>
          <w:sz w:val="30"/>
          <w:szCs w:val="30"/>
          <w:lang w:eastAsia="zh-CN"/>
        </w:rPr>
        <w:t>3</w:t>
      </w:r>
      <w:r>
        <w:rPr>
          <w:rFonts w:hint="eastAsia" w:ascii="仿宋" w:hAnsi="仿宋" w:eastAsia="仿宋" w:cs="仿宋"/>
          <w:bCs/>
          <w:color w:val="auto"/>
          <w:sz w:val="30"/>
          <w:szCs w:val="30"/>
          <w:lang w:val="en-US" w:eastAsia="zh-CN"/>
        </w:rPr>
        <w:t>.</w:t>
      </w:r>
      <w:r>
        <w:rPr>
          <w:rFonts w:hint="eastAsia" w:ascii="仿宋" w:hAnsi="仿宋" w:eastAsia="仿宋" w:cs="仿宋"/>
          <w:bCs/>
          <w:color w:val="auto"/>
          <w:sz w:val="30"/>
          <w:szCs w:val="30"/>
          <w:lang w:eastAsia="zh-CN"/>
        </w:rPr>
        <w:t>服务期限：</w:t>
      </w:r>
      <w:r>
        <w:rPr>
          <w:rFonts w:hint="eastAsia" w:ascii="仿宋" w:hAnsi="仿宋" w:eastAsia="仿宋" w:cs="仿宋"/>
          <w:bCs/>
          <w:color w:val="auto"/>
          <w:sz w:val="30"/>
          <w:szCs w:val="30"/>
          <w:lang w:val="en-US" w:eastAsia="zh-CN"/>
        </w:rPr>
        <w:t>自合同签订之日起12个月</w:t>
      </w:r>
    </w:p>
    <w:p w14:paraId="6B816906">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eastAsia="zh-CN"/>
        </w:rPr>
        <w:t>4</w:t>
      </w:r>
      <w:r>
        <w:rPr>
          <w:rFonts w:hint="eastAsia" w:ascii="仿宋" w:hAnsi="仿宋" w:eastAsia="仿宋" w:cs="仿宋"/>
          <w:bCs/>
          <w:color w:val="auto"/>
          <w:sz w:val="30"/>
          <w:szCs w:val="30"/>
          <w:lang w:val="en-US" w:eastAsia="zh-CN"/>
        </w:rPr>
        <w:t>.</w:t>
      </w:r>
      <w:r>
        <w:rPr>
          <w:rFonts w:hint="eastAsia" w:ascii="仿宋" w:hAnsi="仿宋" w:eastAsia="仿宋" w:cs="仿宋"/>
          <w:bCs/>
          <w:color w:val="auto"/>
          <w:sz w:val="30"/>
          <w:szCs w:val="30"/>
          <w:lang w:eastAsia="zh-CN"/>
        </w:rPr>
        <w:t>服务地点：</w:t>
      </w:r>
      <w:r>
        <w:rPr>
          <w:rFonts w:hint="eastAsia" w:ascii="仿宋" w:hAnsi="仿宋" w:eastAsia="仿宋" w:cs="仿宋"/>
          <w:bCs/>
          <w:color w:val="auto"/>
          <w:sz w:val="30"/>
          <w:szCs w:val="30"/>
          <w:lang w:val="en-US" w:eastAsia="zh-CN"/>
        </w:rPr>
        <w:t>渭南市辖区范围内（不含韩城市）</w:t>
      </w:r>
    </w:p>
    <w:p w14:paraId="346D9ED3">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lang w:eastAsia="zh-CN"/>
        </w:rPr>
        <w:t>5</w:t>
      </w:r>
      <w:r>
        <w:rPr>
          <w:rFonts w:hint="eastAsia" w:ascii="仿宋" w:hAnsi="仿宋" w:eastAsia="仿宋" w:cs="仿宋"/>
          <w:bCs/>
          <w:color w:val="auto"/>
          <w:sz w:val="30"/>
          <w:szCs w:val="30"/>
          <w:lang w:val="en-US" w:eastAsia="zh-CN"/>
        </w:rPr>
        <w:t>.</w:t>
      </w:r>
      <w:r>
        <w:rPr>
          <w:rFonts w:hint="eastAsia" w:ascii="仿宋" w:hAnsi="仿宋" w:eastAsia="仿宋" w:cs="仿宋"/>
          <w:bCs/>
          <w:color w:val="auto"/>
          <w:sz w:val="30"/>
          <w:szCs w:val="30"/>
          <w:lang w:eastAsia="zh-CN"/>
        </w:rPr>
        <w:t>是否面向中小企业采购：是，专门面向</w:t>
      </w:r>
      <w:r>
        <w:rPr>
          <w:rFonts w:hint="eastAsia" w:ascii="仿宋" w:hAnsi="仿宋" w:eastAsia="仿宋" w:cs="仿宋"/>
          <w:bCs/>
          <w:color w:val="auto"/>
          <w:sz w:val="30"/>
          <w:szCs w:val="30"/>
          <w:lang w:val="en-US" w:eastAsia="zh-CN"/>
        </w:rPr>
        <w:t>中小</w:t>
      </w:r>
      <w:r>
        <w:rPr>
          <w:rFonts w:hint="eastAsia" w:ascii="仿宋" w:hAnsi="仿宋" w:eastAsia="仿宋" w:cs="仿宋"/>
          <w:bCs/>
          <w:color w:val="auto"/>
          <w:sz w:val="30"/>
          <w:szCs w:val="30"/>
          <w:lang w:eastAsia="zh-CN"/>
        </w:rPr>
        <w:t>企业</w:t>
      </w:r>
    </w:p>
    <w:p w14:paraId="1D9C96C9">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黑体" w:hAnsi="黑体" w:eastAsia="黑体" w:cs="宋体"/>
          <w:sz w:val="30"/>
          <w:szCs w:val="30"/>
        </w:rPr>
      </w:pPr>
      <w:r>
        <w:rPr>
          <w:rFonts w:hint="eastAsia" w:ascii="黑体" w:hAnsi="黑体" w:eastAsia="黑体" w:cs="宋体"/>
          <w:sz w:val="30"/>
          <w:szCs w:val="30"/>
        </w:rPr>
        <w:t>二、需执行的国家相关标准、行业标准、地方标准或者其他标准、规范标准</w:t>
      </w:r>
      <w:bookmarkStart w:id="1" w:name="_Toc8800"/>
      <w:bookmarkStart w:id="2" w:name="_Toc19083"/>
      <w:bookmarkStart w:id="3" w:name="_Toc26384"/>
      <w:bookmarkStart w:id="4" w:name="_Toc31446"/>
    </w:p>
    <w:p w14:paraId="63F357DB">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2" w:firstLineChars="200"/>
        <w:textAlignment w:val="baseline"/>
        <w:rPr>
          <w:rFonts w:hint="eastAsia" w:ascii="仿宋" w:hAnsi="仿宋" w:eastAsia="仿宋" w:cs="仿宋"/>
          <w:b/>
          <w:bCs w:val="0"/>
          <w:kern w:val="2"/>
          <w:sz w:val="30"/>
          <w:szCs w:val="30"/>
          <w:lang w:val="en-US" w:eastAsia="zh-CN" w:bidi="ar-SA"/>
        </w:rPr>
      </w:pPr>
      <w:r>
        <w:rPr>
          <w:rFonts w:hint="eastAsia" w:ascii="仿宋" w:hAnsi="仿宋" w:eastAsia="仿宋" w:cs="仿宋"/>
          <w:b/>
          <w:bCs w:val="0"/>
          <w:kern w:val="2"/>
          <w:sz w:val="30"/>
          <w:szCs w:val="30"/>
          <w:lang w:val="en-US" w:eastAsia="zh-CN" w:bidi="ar-SA"/>
        </w:rPr>
        <w:t>1.法律法规</w:t>
      </w:r>
      <w:bookmarkEnd w:id="1"/>
      <w:bookmarkEnd w:id="2"/>
      <w:bookmarkEnd w:id="3"/>
      <w:bookmarkEnd w:id="4"/>
    </w:p>
    <w:p w14:paraId="2E0BFEE7">
      <w:pPr>
        <w:keepNext w:val="0"/>
        <w:keepLines w:val="0"/>
        <w:pageBreakBefore w:val="0"/>
        <w:widowControl w:val="0"/>
        <w:numPr>
          <w:ilvl w:val="0"/>
          <w:numId w:val="1"/>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《中华人民共和国森林法》（2019年修订）；</w:t>
      </w:r>
    </w:p>
    <w:p w14:paraId="69856A19">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（2）《中华人民共和国野生动物保护法》（2022年修订）；</w:t>
      </w:r>
    </w:p>
    <w:p w14:paraId="2670016D">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（3）《中华人民共和国环境保护法》（2014年修订）；</w:t>
      </w:r>
    </w:p>
    <w:p w14:paraId="46DC057D">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（4）《中华人民共和国湿地保护法》（2022年）；</w:t>
      </w:r>
    </w:p>
    <w:p w14:paraId="18E702ED">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（5）《陕西省湿地保护条例》（2023年修订）；</w:t>
      </w:r>
    </w:p>
    <w:p w14:paraId="3F0B01BE">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（6）《陕西省河道管理条例》（2000年修订）；</w:t>
      </w:r>
    </w:p>
    <w:p w14:paraId="1D2292E7">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（7）《陕西省秦岭生态环境保护条例》（2019年修订）；</w:t>
      </w:r>
    </w:p>
    <w:p w14:paraId="365068CE">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（8）《国家重点保护野生动物名录》（2021年修订）。</w:t>
      </w:r>
    </w:p>
    <w:p w14:paraId="4DA2E89F">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2" w:firstLineChars="200"/>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2.技术规范、规程</w:t>
      </w:r>
    </w:p>
    <w:p w14:paraId="7A409D27">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（1）《自然保护区总体规划技术规程》（GB/T20399—2006）；</w:t>
      </w:r>
    </w:p>
    <w:p w14:paraId="178A896F">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（2）《陆生野生动物资源调查技术规程》（LY/T1813—2009）；</w:t>
      </w:r>
    </w:p>
    <w:p w14:paraId="73CDA54F">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（3）《野生动物红外相机监测技术规范》（LY/T3294—2021）；</w:t>
      </w:r>
    </w:p>
    <w:p w14:paraId="1540EB12">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（4）《湿地生态系统监测技术规范》（LY/T2937—2018）；</w:t>
      </w:r>
    </w:p>
    <w:p w14:paraId="5DD0AB5D">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（5）相应国家及地方的规范、规程。</w:t>
      </w:r>
    </w:p>
    <w:p w14:paraId="469DA125">
      <w:pPr>
        <w:keepNext w:val="0"/>
        <w:keepLines w:val="0"/>
        <w:pageBreakBefore w:val="0"/>
        <w:widowControl w:val="0"/>
        <w:pBdr>
          <w:bottom w:val="single" w:color="FFFFFF" w:sz="4" w:space="31"/>
        </w:pBdr>
        <w:tabs>
          <w:tab w:val="left" w:pos="720"/>
        </w:tabs>
        <w:kinsoku/>
        <w:wordWrap/>
        <w:overflowPunct/>
        <w:topLinePunct w:val="0"/>
        <w:autoSpaceDE/>
        <w:autoSpaceDN/>
        <w:bidi w:val="0"/>
        <w:adjustRightInd/>
        <w:snapToGrid/>
        <w:spacing w:after="0" w:line="560" w:lineRule="exact"/>
        <w:ind w:firstLine="602" w:firstLineChars="200"/>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3.相关文件、资料</w:t>
      </w:r>
    </w:p>
    <w:p w14:paraId="64348513">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（1）国家林草局财政部《林业草原生态保护恢复资金管理办法》（财资环〔2024〕159号）；</w:t>
      </w:r>
    </w:p>
    <w:p w14:paraId="6A5CE82D">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（2）陕西省林业局《关于下达2025年林业草原生态保护恢复资金计划的通知》（陕财字〔2025〕233号）；</w:t>
      </w:r>
    </w:p>
    <w:p w14:paraId="289C1D25">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（3）陕西省林业局《陕西省林业建设项目全流程监督管理办法（试行）的通知》（陕林财字〔2025〕13号）；</w:t>
      </w:r>
    </w:p>
    <w:p w14:paraId="07EC6B38">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（4）《林业和草原工程建设项目服务计费指导意见》（林建协〔2024〕54号）；</w:t>
      </w:r>
    </w:p>
    <w:p w14:paraId="0A6DA1FC">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（5）</w:t>
      </w:r>
      <w:r>
        <w:rPr>
          <w:rFonts w:hint="eastAsia" w:ascii="仿宋" w:hAnsi="仿宋" w:eastAsia="仿宋" w:cs="仿宋"/>
          <w:b w:val="0"/>
          <w:bCs/>
          <w:kern w:val="2"/>
          <w:sz w:val="30"/>
          <w:szCs w:val="30"/>
          <w:lang w:val="zh-CN" w:eastAsia="zh-CN" w:bidi="ar-SA"/>
        </w:rPr>
        <w:t>渭南市林业局《渭南市林业局关于下达2025年第二批林业草原生态保护恢复资金计划的通知》（渭林发〔2025〕90号）</w:t>
      </w:r>
      <w:r>
        <w:rPr>
          <w:rFonts w:hint="eastAsia" w:ascii="仿宋" w:hAnsi="仿宋" w:eastAsia="仿宋" w:cs="仿宋"/>
          <w:b w:val="0"/>
          <w:bCs/>
          <w:kern w:val="2"/>
          <w:sz w:val="30"/>
          <w:szCs w:val="30"/>
          <w:lang w:val="en-US" w:eastAsia="zh-CN" w:bidi="ar-SA"/>
        </w:rPr>
        <w:t>；</w:t>
      </w:r>
    </w:p>
    <w:p w14:paraId="06182499">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576"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spacing w:val="-6"/>
          <w:kern w:val="2"/>
          <w:sz w:val="30"/>
          <w:szCs w:val="30"/>
          <w:lang w:val="en-US" w:eastAsia="zh-CN" w:bidi="ar-SA"/>
        </w:rPr>
        <w:t>（6）当地现行的定额、材料和仪器设备价格等经济技术指标；</w:t>
      </w:r>
    </w:p>
    <w:p w14:paraId="78D638E3">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（7）《中国大鸨的生物学研究进展》、《陕西黄河湿地大鸨越冬种群受胁因素分析》等科研文献。</w:t>
      </w:r>
    </w:p>
    <w:p w14:paraId="4999CC46">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三、服务指标的具体要求</w:t>
      </w:r>
    </w:p>
    <w:p w14:paraId="32B65DC5">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1.</w:t>
      </w:r>
      <w:bookmarkStart w:id="5" w:name="_Toc22939"/>
      <w:bookmarkStart w:id="6" w:name="_Toc6291"/>
      <w:bookmarkStart w:id="7" w:name="_Toc30067"/>
      <w:bookmarkStart w:id="8" w:name="_Toc163676436"/>
      <w:r>
        <w:rPr>
          <w:rFonts w:hint="eastAsia" w:ascii="仿宋" w:hAnsi="仿宋" w:eastAsia="仿宋" w:cs="仿宋"/>
          <w:b w:val="0"/>
          <w:bCs/>
          <w:kern w:val="2"/>
          <w:sz w:val="30"/>
          <w:szCs w:val="30"/>
          <w:lang w:val="en-US" w:eastAsia="zh-CN" w:bidi="ar-SA"/>
        </w:rPr>
        <w:t>服务地点</w:t>
      </w:r>
      <w:bookmarkEnd w:id="5"/>
      <w:bookmarkEnd w:id="6"/>
      <w:bookmarkEnd w:id="7"/>
      <w:bookmarkEnd w:id="8"/>
    </w:p>
    <w:p w14:paraId="22CC978B">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default"/>
          <w:lang w:val="en-US" w:eastAsia="zh-CN"/>
        </w:rPr>
      </w:pPr>
      <w:r>
        <w:rPr>
          <w:rFonts w:hint="eastAsia" w:ascii="仿宋" w:hAnsi="仿宋" w:eastAsia="仿宋" w:cs="仿宋"/>
          <w:b w:val="0"/>
          <w:bCs/>
          <w:kern w:val="2"/>
          <w:sz w:val="30"/>
          <w:szCs w:val="30"/>
          <w:lang w:val="en-US" w:eastAsia="zh-CN" w:bidi="ar-SA"/>
        </w:rPr>
        <w:t>项目建设地点为渭南市辖区内（不含韩城市）10个县（市、区）。</w:t>
      </w:r>
      <w:bookmarkStart w:id="9" w:name="_GoBack"/>
      <w:bookmarkEnd w:id="9"/>
    </w:p>
    <w:p w14:paraId="4ACC4339">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2.项目内容及规模</w:t>
      </w:r>
      <w:r>
        <w:rPr>
          <w:rFonts w:hint="eastAsia" w:ascii="仿宋" w:hAnsi="仿宋" w:eastAsia="仿宋" w:cs="仿宋"/>
          <w:b w:val="0"/>
          <w:bCs/>
          <w:kern w:val="2"/>
          <w:sz w:val="30"/>
          <w:szCs w:val="30"/>
          <w:lang w:val="en-US" w:eastAsia="zh-CN" w:bidi="ar-SA"/>
        </w:rPr>
        <w:tab/>
      </w:r>
    </w:p>
    <w:p w14:paraId="26203A2C">
      <w:pPr>
        <w:keepNext w:val="0"/>
        <w:keepLines w:val="0"/>
        <w:pageBreakBefore w:val="0"/>
        <w:widowControl w:val="0"/>
        <w:numPr>
          <w:ilvl w:val="0"/>
          <w:numId w:val="0"/>
        </w:numPr>
        <w:pBdr>
          <w:bottom w:val="single" w:color="FFFFFF" w:sz="4" w:space="31"/>
        </w:pBdr>
        <w:tabs>
          <w:tab w:val="left" w:pos="720"/>
        </w:tabs>
        <w:kinsoku/>
        <w:wordWrap/>
        <w:overflowPunct/>
        <w:topLinePunct w:val="0"/>
        <w:autoSpaceDE/>
        <w:autoSpaceDN/>
        <w:bidi w:val="0"/>
        <w:adjustRightInd/>
        <w:snapToGrid/>
        <w:spacing w:after="0" w:line="560" w:lineRule="exact"/>
        <w:ind w:firstLine="600" w:firstLineChars="200"/>
        <w:textAlignment w:val="baseline"/>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建设项目实施内容包括大鸨等国家重点保护野生动物资源调查及监测体系设备购置2个方面。</w:t>
      </w:r>
    </w:p>
    <w:p w14:paraId="4D9A7210">
      <w:pPr>
        <w:pStyle w:val="2"/>
        <w:numPr>
          <w:ilvl w:val="0"/>
          <w:numId w:val="0"/>
        </w:num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B5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93D1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593D1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6CB54"/>
    <w:multiLevelType w:val="singleLevel"/>
    <w:tmpl w:val="A506CB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23506"/>
    <w:rsid w:val="1C503F98"/>
    <w:rsid w:val="1FC05655"/>
    <w:rsid w:val="22CB667F"/>
    <w:rsid w:val="267D0505"/>
    <w:rsid w:val="35CC7914"/>
    <w:rsid w:val="37DB4B59"/>
    <w:rsid w:val="382E24C5"/>
    <w:rsid w:val="39EE5CF0"/>
    <w:rsid w:val="3BD41B1B"/>
    <w:rsid w:val="40937285"/>
    <w:rsid w:val="41E675C8"/>
    <w:rsid w:val="4588333A"/>
    <w:rsid w:val="4B6F106F"/>
    <w:rsid w:val="53403399"/>
    <w:rsid w:val="6AFE5C01"/>
    <w:rsid w:val="6EE3336E"/>
    <w:rsid w:val="6EF82A40"/>
    <w:rsid w:val="7A4F6376"/>
    <w:rsid w:val="7A951295"/>
    <w:rsid w:val="7E9F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0"/>
    <w:pPr>
      <w:spacing w:line="600" w:lineRule="exact"/>
      <w:ind w:firstLine="0" w:firstLineChars="0"/>
      <w:outlineLvl w:val="2"/>
    </w:pPr>
    <w:rPr>
      <w:rFonts w:ascii="Times New Roman" w:hAnsi="Times New Roman" w:cs="黑体"/>
      <w:b/>
      <w:bCs/>
      <w:szCs w:val="30"/>
    </w:rPr>
  </w:style>
  <w:style w:type="paragraph" w:styleId="5">
    <w:name w:val="heading 4"/>
    <w:basedOn w:val="1"/>
    <w:next w:val="1"/>
    <w:qFormat/>
    <w:uiPriority w:val="0"/>
    <w:pPr>
      <w:keepNext/>
      <w:keepLines/>
      <w:widowControl/>
      <w:spacing w:beforeLines="50"/>
      <w:outlineLvl w:val="3"/>
    </w:pPr>
    <w:rPr>
      <w:rFonts w:ascii="仿宋" w:hAnsi="仿宋" w:eastAsia="仿宋" w:cs="仿宋"/>
      <w:bCs/>
      <w:kern w:val="0"/>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Normal Indent"/>
    <w:basedOn w:val="1"/>
    <w:qFormat/>
    <w:uiPriority w:val="0"/>
    <w:pPr>
      <w:tabs>
        <w:tab w:val="left" w:pos="2865"/>
      </w:tabs>
      <w:spacing w:line="240" w:lineRule="auto"/>
      <w:ind w:firstLine="0" w:firstLineChars="0"/>
      <w:jc w:val="center"/>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spacing w:line="56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3837</Words>
  <Characters>4127</Characters>
  <Lines>0</Lines>
  <Paragraphs>0</Paragraphs>
  <TotalTime>6</TotalTime>
  <ScaleCrop>false</ScaleCrop>
  <LinksUpToDate>false</LinksUpToDate>
  <CharactersWithSpaces>4165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2026-01-25T06:00:00Z</dcterms:created>
  <dc:creator>lenovo</dc:creator>
  <cp:lastModifiedBy>1</cp:lastModifiedBy>
  <dcterms:modified xsi:type="dcterms:W3CDTF">2026-05-11T07:06:39Z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eyJoZGlkIjoiOGY3MmVjNmFmYTQ2Y2E1ZGNmNDNmN2IwZGFiN2E5YmMiLCJ1c2VySWQiOiIzODk0Njg4MTQifQ==</vt:lpwstr>
  </property>
  <property fmtid="{D5CDD505-2E9C-101B-9397-08002B2CF9AE}" pid="4" name="ICV">
    <vt:lpwstr>8B4CE879A21C4A629E0440D022B6250D_12</vt:lpwstr>
  </property>
</Properties>
</file>