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672C">
      <w:pPr>
        <w:spacing w:line="360" w:lineRule="auto"/>
        <w:jc w:val="right"/>
        <w:rPr>
          <w:rFonts w:ascii="宋体" w:hAnsi="宋体"/>
          <w:b/>
          <w:szCs w:val="21"/>
        </w:rPr>
      </w:pPr>
      <w:r>
        <w:rPr>
          <w:rFonts w:ascii="宋体" w:hAnsi="宋体"/>
          <w:bCs/>
          <w:sz w:val="28"/>
          <w:szCs w:val="28"/>
        </w:rPr>
        <w:drawing>
          <wp:inline distT="0" distB="0" distL="0" distR="0">
            <wp:extent cx="882650" cy="854710"/>
            <wp:effectExtent l="0" t="0" r="12700" b="254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8" cstate="print"/>
                    <a:srcRect/>
                    <a:stretch>
                      <a:fillRect/>
                    </a:stretch>
                  </pic:blipFill>
                  <pic:spPr>
                    <a:xfrm>
                      <a:off x="0" y="0"/>
                      <a:ext cx="882650" cy="854710"/>
                    </a:xfrm>
                    <a:prstGeom prst="rect">
                      <a:avLst/>
                    </a:prstGeom>
                    <a:ln>
                      <a:noFill/>
                    </a:ln>
                  </pic:spPr>
                </pic:pic>
              </a:graphicData>
            </a:graphic>
          </wp:inline>
        </w:drawing>
      </w:r>
    </w:p>
    <w:p w14:paraId="096AAC02">
      <w:pPr>
        <w:spacing w:line="360" w:lineRule="auto"/>
        <w:rPr>
          <w:rFonts w:ascii="宋体" w:hAnsi="宋体"/>
          <w:b/>
          <w:szCs w:val="21"/>
        </w:rPr>
      </w:pPr>
    </w:p>
    <w:p w14:paraId="43528CC4">
      <w:pPr>
        <w:spacing w:line="360" w:lineRule="auto"/>
        <w:rPr>
          <w:rFonts w:ascii="宋体" w:hAnsi="宋体"/>
          <w:b/>
          <w:szCs w:val="21"/>
        </w:rPr>
      </w:pPr>
    </w:p>
    <w:p w14:paraId="5B6659FE">
      <w:pPr>
        <w:spacing w:line="360" w:lineRule="auto"/>
        <w:rPr>
          <w:rFonts w:ascii="宋体" w:hAnsi="宋体"/>
          <w:b/>
          <w:szCs w:val="21"/>
        </w:rPr>
      </w:pPr>
    </w:p>
    <w:p w14:paraId="11451363">
      <w:pPr>
        <w:tabs>
          <w:tab w:val="left" w:pos="420"/>
          <w:tab w:val="center" w:pos="4933"/>
          <w:tab w:val="left" w:pos="6660"/>
          <w:tab w:val="left" w:pos="7829"/>
        </w:tabs>
        <w:spacing w:line="360" w:lineRule="auto"/>
        <w:jc w:val="left"/>
        <w:rPr>
          <w:rFonts w:ascii="宋体" w:hAnsi="宋体"/>
          <w:b/>
          <w:sz w:val="52"/>
          <w:szCs w:val="52"/>
        </w:rPr>
      </w:pPr>
      <w:r>
        <w:rPr>
          <w:rFonts w:hint="eastAsia" w:ascii="宋体" w:hAnsi="宋体"/>
          <w:b/>
          <w:sz w:val="52"/>
          <w:szCs w:val="52"/>
        </w:rPr>
        <w:tab/>
      </w:r>
      <w:r>
        <w:rPr>
          <w:rFonts w:hint="eastAsia" w:ascii="宋体" w:hAnsi="宋体"/>
          <w:b/>
          <w:sz w:val="52"/>
          <w:szCs w:val="52"/>
        </w:rPr>
        <w:tab/>
      </w:r>
      <w:r>
        <w:rPr>
          <w:rFonts w:hint="eastAsia" w:ascii="宋体" w:hAnsi="宋体"/>
          <w:b/>
          <w:sz w:val="52"/>
          <w:szCs w:val="52"/>
        </w:rPr>
        <w:t>竞争性磋商文件</w:t>
      </w:r>
      <w:r>
        <w:rPr>
          <w:rFonts w:hint="eastAsia" w:ascii="宋体" w:hAnsi="宋体"/>
          <w:b/>
          <w:sz w:val="52"/>
          <w:szCs w:val="52"/>
        </w:rPr>
        <w:tab/>
      </w:r>
    </w:p>
    <w:p w14:paraId="03832A68">
      <w:pPr>
        <w:spacing w:line="360" w:lineRule="auto"/>
        <w:rPr>
          <w:rFonts w:ascii="宋体" w:hAnsi="宋体"/>
          <w:bCs/>
          <w:szCs w:val="21"/>
        </w:rPr>
      </w:pPr>
    </w:p>
    <w:p w14:paraId="48291886">
      <w:pPr>
        <w:spacing w:line="360" w:lineRule="auto"/>
        <w:jc w:val="center"/>
        <w:rPr>
          <w:rFonts w:ascii="宋体" w:hAnsi="宋体"/>
          <w:bCs/>
          <w:szCs w:val="21"/>
        </w:rPr>
      </w:pPr>
    </w:p>
    <w:p w14:paraId="2397398A">
      <w:pPr>
        <w:spacing w:line="360" w:lineRule="auto"/>
        <w:jc w:val="center"/>
        <w:rPr>
          <w:rFonts w:ascii="宋体" w:hAnsi="宋体"/>
          <w:bCs/>
          <w:szCs w:val="21"/>
        </w:rPr>
      </w:pPr>
    </w:p>
    <w:p w14:paraId="2101D07C">
      <w:pPr>
        <w:spacing w:line="360" w:lineRule="auto"/>
        <w:jc w:val="center"/>
        <w:rPr>
          <w:rFonts w:ascii="宋体" w:hAnsi="宋体"/>
          <w:bCs/>
          <w:szCs w:val="21"/>
        </w:rPr>
      </w:pPr>
    </w:p>
    <w:p w14:paraId="4BA67793">
      <w:pPr>
        <w:spacing w:line="360" w:lineRule="auto"/>
        <w:jc w:val="center"/>
        <w:rPr>
          <w:rFonts w:ascii="宋体" w:hAnsi="宋体"/>
          <w:b/>
          <w:bCs/>
          <w:sz w:val="28"/>
          <w:szCs w:val="28"/>
        </w:rPr>
      </w:pPr>
      <w:r>
        <w:rPr>
          <w:rFonts w:hint="eastAsia" w:ascii="宋体" w:hAnsi="宋体"/>
          <w:b/>
          <w:bCs/>
          <w:sz w:val="28"/>
          <w:szCs w:val="28"/>
        </w:rPr>
        <w:t>采购项目编号：</w:t>
      </w:r>
      <w:r>
        <w:rPr>
          <w:rFonts w:hint="eastAsia" w:ascii="宋体" w:hAnsi="宋体"/>
          <w:b/>
          <w:bCs/>
          <w:sz w:val="28"/>
          <w:szCs w:val="28"/>
          <w:u w:val="single"/>
        </w:rPr>
        <w:fldChar w:fldCharType="begin"/>
      </w:r>
      <w:r>
        <w:rPr>
          <w:rFonts w:hint="eastAsia" w:ascii="宋体" w:hAnsi="宋体"/>
          <w:b/>
          <w:bCs/>
          <w:sz w:val="28"/>
          <w:szCs w:val="28"/>
          <w:u w:val="single"/>
        </w:rPr>
        <w:instrText xml:space="preserve"> MERGEFIELD "（项目编号）" </w:instrText>
      </w:r>
      <w:r>
        <w:rPr>
          <w:rFonts w:hint="eastAsia" w:ascii="宋体" w:hAnsi="宋体"/>
          <w:b/>
          <w:bCs/>
          <w:sz w:val="28"/>
          <w:szCs w:val="28"/>
          <w:u w:val="single"/>
        </w:rPr>
        <w:fldChar w:fldCharType="separate"/>
      </w:r>
      <w:r>
        <w:rPr>
          <w:rFonts w:hint="eastAsia" w:ascii="宋体" w:hAnsi="宋体"/>
          <w:b/>
          <w:bCs/>
          <w:sz w:val="28"/>
          <w:szCs w:val="28"/>
          <w:u w:val="single"/>
        </w:rPr>
        <w:t>DQA-2026019-CS</w:t>
      </w:r>
      <w:r>
        <w:rPr>
          <w:rFonts w:hint="eastAsia" w:ascii="宋体" w:hAnsi="宋体"/>
          <w:b/>
          <w:bCs/>
          <w:sz w:val="28"/>
          <w:szCs w:val="28"/>
          <w:u w:val="single"/>
        </w:rPr>
        <w:fldChar w:fldCharType="end"/>
      </w:r>
      <w:r>
        <w:rPr>
          <w:rFonts w:hint="eastAsia" w:ascii="宋体" w:hAnsi="宋体"/>
          <w:b/>
          <w:bCs/>
          <w:sz w:val="28"/>
          <w:szCs w:val="28"/>
        </w:rPr>
        <w:fldChar w:fldCharType="begin"/>
      </w:r>
      <w:r>
        <w:rPr>
          <w:rFonts w:hint="eastAsia" w:ascii="宋体" w:hAnsi="宋体"/>
          <w:b/>
          <w:bCs/>
          <w:sz w:val="28"/>
          <w:szCs w:val="28"/>
        </w:rPr>
        <w:instrText xml:space="preserve"> DOCVARIABLE  采购编号  \* MERGEFORMAT </w:instrText>
      </w:r>
      <w:r>
        <w:rPr>
          <w:rFonts w:hint="eastAsia" w:ascii="宋体" w:hAnsi="宋体"/>
          <w:b/>
          <w:bCs/>
          <w:sz w:val="28"/>
          <w:szCs w:val="28"/>
        </w:rPr>
        <w:fldChar w:fldCharType="end"/>
      </w:r>
    </w:p>
    <w:p w14:paraId="760D7DC4">
      <w:pPr>
        <w:spacing w:line="360" w:lineRule="auto"/>
        <w:jc w:val="center"/>
        <w:rPr>
          <w:rFonts w:ascii="宋体" w:hAnsi="宋体"/>
          <w:b/>
          <w:sz w:val="30"/>
          <w:szCs w:val="30"/>
          <w:u w:val="single"/>
        </w:rPr>
      </w:pPr>
      <w:r>
        <w:rPr>
          <w:rFonts w:hint="eastAsia" w:ascii="宋体" w:hAnsi="宋体"/>
          <w:b/>
          <w:bCs/>
          <w:sz w:val="28"/>
          <w:szCs w:val="28"/>
        </w:rPr>
        <w:t>采购项目名称：</w:t>
      </w:r>
      <w:r>
        <w:rPr>
          <w:rFonts w:hint="eastAsia" w:ascii="宋体" w:hAnsi="宋体"/>
          <w:b/>
          <w:bCs/>
          <w:sz w:val="28"/>
          <w:szCs w:val="28"/>
          <w:u w:val="single"/>
        </w:rPr>
        <w:fldChar w:fldCharType="begin"/>
      </w:r>
      <w:r>
        <w:rPr>
          <w:rFonts w:hint="eastAsia" w:ascii="宋体" w:hAnsi="宋体"/>
          <w:b/>
          <w:bCs/>
          <w:sz w:val="28"/>
          <w:szCs w:val="28"/>
          <w:u w:val="single"/>
        </w:rPr>
        <w:instrText xml:space="preserve"> MERGEFIELD "（项目名称）" </w:instrText>
      </w:r>
      <w:r>
        <w:rPr>
          <w:rFonts w:hint="eastAsia" w:ascii="宋体" w:hAnsi="宋体"/>
          <w:b/>
          <w:bCs/>
          <w:sz w:val="28"/>
          <w:szCs w:val="28"/>
          <w:u w:val="single"/>
        </w:rPr>
        <w:fldChar w:fldCharType="separate"/>
      </w:r>
      <w:r>
        <w:rPr>
          <w:rFonts w:hint="eastAsia" w:ascii="宋体" w:hAnsi="宋体"/>
          <w:b/>
          <w:bCs/>
          <w:sz w:val="28"/>
          <w:szCs w:val="28"/>
          <w:u w:val="single"/>
          <w:lang w:eastAsia="zh-CN"/>
        </w:rPr>
        <w:t>网络安全服务项目</w:t>
      </w:r>
      <w:r>
        <w:rPr>
          <w:rFonts w:hint="eastAsia" w:ascii="宋体" w:hAnsi="宋体"/>
          <w:b/>
          <w:bCs/>
          <w:sz w:val="28"/>
          <w:szCs w:val="28"/>
          <w:u w:val="single"/>
        </w:rPr>
        <w:fldChar w:fldCharType="end"/>
      </w:r>
      <w:r>
        <w:rPr>
          <w:rFonts w:hint="eastAsia" w:ascii="宋体" w:hAnsi="宋体"/>
          <w:b/>
          <w:bCs/>
          <w:sz w:val="30"/>
          <w:szCs w:val="30"/>
        </w:rPr>
        <w:fldChar w:fldCharType="begin"/>
      </w:r>
      <w:r>
        <w:rPr>
          <w:rFonts w:hint="eastAsia" w:ascii="宋体" w:hAnsi="宋体"/>
          <w:b/>
          <w:bCs/>
          <w:sz w:val="30"/>
          <w:szCs w:val="30"/>
        </w:rPr>
        <w:instrText xml:space="preserve"> DOCVARIABLE  项目名称  \* MERGEFORMAT </w:instrText>
      </w:r>
      <w:r>
        <w:rPr>
          <w:rFonts w:hint="eastAsia" w:ascii="宋体" w:hAnsi="宋体"/>
          <w:b/>
          <w:bCs/>
          <w:sz w:val="30"/>
          <w:szCs w:val="30"/>
        </w:rPr>
        <w:fldChar w:fldCharType="end"/>
      </w:r>
    </w:p>
    <w:p w14:paraId="7CA32C3A">
      <w:pPr>
        <w:spacing w:line="360" w:lineRule="auto"/>
        <w:jc w:val="center"/>
        <w:rPr>
          <w:rFonts w:ascii="宋体" w:hAnsi="宋体"/>
          <w:b/>
          <w:bCs/>
          <w:szCs w:val="21"/>
        </w:rPr>
      </w:pPr>
    </w:p>
    <w:p w14:paraId="3E707128">
      <w:pPr>
        <w:spacing w:line="360" w:lineRule="auto"/>
        <w:jc w:val="center"/>
        <w:rPr>
          <w:rFonts w:ascii="宋体" w:hAnsi="宋体"/>
          <w:b/>
          <w:bCs/>
          <w:szCs w:val="21"/>
        </w:rPr>
      </w:pPr>
    </w:p>
    <w:p w14:paraId="4B29E292">
      <w:pPr>
        <w:spacing w:line="360" w:lineRule="auto"/>
        <w:jc w:val="center"/>
        <w:rPr>
          <w:rFonts w:ascii="宋体" w:hAnsi="宋体"/>
          <w:b/>
          <w:bCs/>
          <w:szCs w:val="21"/>
        </w:rPr>
      </w:pPr>
    </w:p>
    <w:p w14:paraId="75D7403E">
      <w:pPr>
        <w:spacing w:line="360" w:lineRule="auto"/>
        <w:jc w:val="center"/>
        <w:rPr>
          <w:rFonts w:ascii="宋体" w:hAnsi="宋体"/>
          <w:b/>
          <w:bCs/>
          <w:szCs w:val="21"/>
        </w:rPr>
      </w:pPr>
    </w:p>
    <w:p w14:paraId="002E6A1E">
      <w:pPr>
        <w:spacing w:line="360" w:lineRule="auto"/>
        <w:jc w:val="center"/>
        <w:rPr>
          <w:rFonts w:ascii="宋体" w:hAnsi="宋体"/>
          <w:b/>
          <w:bCs/>
          <w:szCs w:val="21"/>
        </w:rPr>
      </w:pPr>
    </w:p>
    <w:p w14:paraId="4BDEE82A">
      <w:pPr>
        <w:spacing w:line="360" w:lineRule="auto"/>
        <w:jc w:val="center"/>
        <w:rPr>
          <w:rFonts w:ascii="宋体" w:hAnsi="宋体"/>
          <w:b/>
          <w:bCs/>
          <w:sz w:val="30"/>
          <w:szCs w:val="30"/>
        </w:rPr>
      </w:pPr>
    </w:p>
    <w:p w14:paraId="762B0FF0">
      <w:pPr>
        <w:spacing w:line="360" w:lineRule="auto"/>
        <w:jc w:val="center"/>
        <w:rPr>
          <w:rFonts w:ascii="宋体" w:hAnsi="宋体"/>
          <w:b/>
          <w:bCs/>
          <w:szCs w:val="21"/>
        </w:rPr>
      </w:pPr>
    </w:p>
    <w:p w14:paraId="3C75CD49">
      <w:pPr>
        <w:spacing w:line="360" w:lineRule="auto"/>
        <w:jc w:val="center"/>
        <w:rPr>
          <w:rFonts w:ascii="宋体" w:hAnsi="宋体"/>
          <w:b/>
          <w:bCs/>
          <w:szCs w:val="21"/>
        </w:rPr>
      </w:pPr>
    </w:p>
    <w:p w14:paraId="7037C1DF">
      <w:pPr>
        <w:spacing w:line="360" w:lineRule="auto"/>
        <w:jc w:val="center"/>
        <w:rPr>
          <w:rFonts w:ascii="宋体" w:hAnsi="宋体"/>
          <w:b/>
          <w:bCs/>
          <w:szCs w:val="21"/>
        </w:rPr>
      </w:pPr>
    </w:p>
    <w:p w14:paraId="22FAE6E2">
      <w:pPr>
        <w:spacing w:line="360" w:lineRule="auto"/>
        <w:jc w:val="center"/>
        <w:rPr>
          <w:rFonts w:ascii="宋体" w:hAnsi="宋体"/>
          <w:b/>
          <w:bCs/>
          <w:szCs w:val="21"/>
        </w:rPr>
      </w:pPr>
    </w:p>
    <w:p w14:paraId="7B6A547F">
      <w:pPr>
        <w:spacing w:line="360" w:lineRule="auto"/>
        <w:jc w:val="center"/>
        <w:rPr>
          <w:rFonts w:ascii="宋体" w:hAnsi="宋体"/>
          <w:b/>
          <w:bCs/>
          <w:szCs w:val="21"/>
        </w:rPr>
      </w:pPr>
    </w:p>
    <w:p w14:paraId="15715694">
      <w:pPr>
        <w:spacing w:line="360" w:lineRule="auto"/>
        <w:jc w:val="center"/>
        <w:rPr>
          <w:rFonts w:ascii="宋体" w:hAnsi="宋体"/>
          <w:b/>
          <w:bCs/>
          <w:sz w:val="24"/>
        </w:rPr>
      </w:pPr>
      <w:r>
        <w:rPr>
          <w:rFonts w:hint="eastAsia" w:ascii="宋体" w:hAnsi="宋体"/>
          <w:b/>
          <w:bCs/>
          <w:sz w:val="24"/>
        </w:rPr>
        <w:t>陕西德勤招标有限公司编制</w:t>
      </w:r>
    </w:p>
    <w:p w14:paraId="62D1580D">
      <w:pPr>
        <w:spacing w:line="360" w:lineRule="auto"/>
        <w:jc w:val="center"/>
        <w:rPr>
          <w:rFonts w:ascii="宋体" w:hAnsi="宋体"/>
          <w:b/>
          <w:bCs/>
          <w:sz w:val="24"/>
        </w:rPr>
      </w:pPr>
      <w:r>
        <w:rPr>
          <w:rFonts w:hint="eastAsia" w:ascii="宋体" w:hAnsi="宋体"/>
          <w:b/>
          <w:bCs/>
          <w:sz w:val="24"/>
        </w:rPr>
        <w:t>发布日期：2026年</w:t>
      </w:r>
      <w:r>
        <w:rPr>
          <w:rFonts w:hint="eastAsia" w:ascii="宋体" w:hAnsi="宋体"/>
          <w:b/>
          <w:bCs/>
          <w:sz w:val="24"/>
          <w:lang w:val="en-US" w:eastAsia="zh-CN"/>
        </w:rPr>
        <w:t>04</w:t>
      </w:r>
      <w:r>
        <w:rPr>
          <w:rFonts w:hint="eastAsia" w:ascii="宋体" w:hAnsi="宋体"/>
          <w:b/>
          <w:bCs/>
          <w:sz w:val="24"/>
        </w:rPr>
        <w:t>月</w:t>
      </w:r>
      <w:r>
        <w:rPr>
          <w:rFonts w:hint="eastAsia" w:ascii="宋体" w:hAnsi="宋体"/>
          <w:b/>
          <w:bCs/>
          <w:sz w:val="24"/>
          <w:lang w:val="en-US" w:eastAsia="zh-CN"/>
        </w:rPr>
        <w:t>24</w:t>
      </w:r>
      <w:r>
        <w:rPr>
          <w:rFonts w:hint="eastAsia" w:ascii="宋体" w:hAnsi="宋体"/>
          <w:b/>
          <w:bCs/>
          <w:sz w:val="24"/>
        </w:rPr>
        <w:t>日</w:t>
      </w:r>
    </w:p>
    <w:p w14:paraId="0DD44A2D">
      <w:pPr>
        <w:spacing w:line="360" w:lineRule="auto"/>
        <w:jc w:val="center"/>
        <w:rPr>
          <w:rFonts w:ascii="黑体" w:hAnsi="黑体" w:eastAsia="黑体" w:cs="黑体"/>
          <w:b/>
          <w:bCs/>
          <w:sz w:val="32"/>
          <w:szCs w:val="32"/>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bookmarkStart w:id="0" w:name="_Toc28776"/>
      <w:bookmarkStart w:id="1" w:name="_Toc14384"/>
    </w:p>
    <w:p w14:paraId="37734B65">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温馨提示</w:t>
      </w:r>
    </w:p>
    <w:p w14:paraId="16B343B3">
      <w:pPr>
        <w:spacing w:line="360" w:lineRule="auto"/>
        <w:jc w:val="center"/>
        <w:rPr>
          <w:rFonts w:ascii="宋体" w:hAnsi="宋体"/>
          <w:kern w:val="0"/>
          <w:sz w:val="24"/>
        </w:rPr>
      </w:pPr>
      <w:r>
        <w:rPr>
          <w:rFonts w:hint="eastAsia" w:ascii="宋体" w:hAnsi="宋体"/>
          <w:kern w:val="0"/>
          <w:sz w:val="24"/>
        </w:rPr>
        <w:t>（本提示内容非采购文件的组成部分，仅为善意提醒。如有不一致，以采购文件为准）。</w:t>
      </w:r>
    </w:p>
    <w:p w14:paraId="6E5647D2">
      <w:pPr>
        <w:widowControl/>
        <w:spacing w:line="360" w:lineRule="auto"/>
        <w:ind w:firstLine="480" w:firstLineChars="200"/>
        <w:jc w:val="left"/>
        <w:rPr>
          <w:rFonts w:ascii="宋体" w:hAnsi="宋体"/>
          <w:kern w:val="0"/>
          <w:sz w:val="24"/>
        </w:rPr>
      </w:pPr>
      <w:r>
        <w:rPr>
          <w:rFonts w:hint="eastAsia" w:ascii="宋体" w:hAnsi="宋体"/>
          <w:kern w:val="0"/>
          <w:sz w:val="24"/>
        </w:rPr>
        <w:t>一、如无另行说明，投标/响应文件递交时间为投标/响应文件递交截止时间之前60分钟内。</w:t>
      </w:r>
    </w:p>
    <w:p w14:paraId="05F94AF4">
      <w:pPr>
        <w:widowControl/>
        <w:spacing w:line="360" w:lineRule="auto"/>
        <w:ind w:firstLine="480" w:firstLineChars="200"/>
        <w:jc w:val="left"/>
        <w:rPr>
          <w:rFonts w:ascii="宋体" w:hAnsi="宋体"/>
          <w:kern w:val="0"/>
          <w:sz w:val="24"/>
        </w:rPr>
      </w:pPr>
      <w:r>
        <w:rPr>
          <w:rFonts w:hint="eastAsia" w:ascii="宋体" w:hAnsi="宋体"/>
          <w:kern w:val="0"/>
          <w:sz w:val="24"/>
        </w:rPr>
        <w:t>二、每个供应商每个项目的保证金缴纳账户是唯一的，本公司将根据唯一保证金缴纳账户的缴纳情况，确认供应商是否已按规定缴纳项目保证金。所以请各供应商缴纳保证金前务必核对正确的缴纳账户，错缴误缴导致未按项目缴纳保证金的情况将由供应商自行负责。</w:t>
      </w:r>
    </w:p>
    <w:p w14:paraId="489B4759">
      <w:pPr>
        <w:widowControl/>
        <w:spacing w:line="360" w:lineRule="auto"/>
        <w:ind w:firstLine="480" w:firstLineChars="200"/>
        <w:jc w:val="left"/>
        <w:rPr>
          <w:rFonts w:ascii="宋体" w:hAnsi="宋体"/>
          <w:kern w:val="0"/>
          <w:sz w:val="24"/>
        </w:rPr>
      </w:pPr>
      <w:r>
        <w:rPr>
          <w:rFonts w:hint="eastAsia" w:ascii="宋体" w:hAnsi="宋体"/>
          <w:kern w:val="0"/>
          <w:sz w:val="24"/>
        </w:rPr>
        <w:t>三、为了提高政府采购效率，节约社会交易成本与时间，本公司希望购买了采购文件而决定不参加本次投标/响应的供应商，在投标/响应文件递交截止时间的3日前，按《投标/磋商邀请函》中的联系方式，以电话或电子邮件形式告知本公司。对您的支持与配合，谨此致谢。</w:t>
      </w:r>
    </w:p>
    <w:p w14:paraId="19EC696F">
      <w:pPr>
        <w:widowControl/>
        <w:spacing w:line="360" w:lineRule="auto"/>
        <w:ind w:firstLine="480" w:firstLineChars="200"/>
        <w:jc w:val="left"/>
        <w:rPr>
          <w:rFonts w:ascii="宋体" w:hAnsi="宋体"/>
          <w:kern w:val="0"/>
          <w:sz w:val="24"/>
        </w:rPr>
      </w:pPr>
      <w:r>
        <w:rPr>
          <w:rFonts w:hint="eastAsia" w:ascii="宋体" w:hAnsi="宋体"/>
          <w:kern w:val="0"/>
          <w:sz w:val="24"/>
        </w:rPr>
        <w:t>四</w:t>
      </w:r>
      <w:r>
        <w:rPr>
          <w:rFonts w:ascii="宋体" w:hAnsi="宋体"/>
          <w:kern w:val="0"/>
          <w:sz w:val="24"/>
        </w:rPr>
        <w:t>、</w:t>
      </w:r>
      <w:r>
        <w:rPr>
          <w:rFonts w:hint="eastAsia" w:ascii="宋体" w:hAnsi="宋体"/>
          <w:kern w:val="0"/>
          <w:sz w:val="24"/>
        </w:rPr>
        <w:t>供应商如需对项目提出询问或质疑，应按采购文件中要求的询问函和质疑函的格式提交。</w:t>
      </w:r>
    </w:p>
    <w:p w14:paraId="302F913E">
      <w:pPr>
        <w:widowControl/>
        <w:spacing w:line="360" w:lineRule="auto"/>
        <w:ind w:firstLine="480" w:firstLineChars="200"/>
        <w:jc w:val="left"/>
        <w:rPr>
          <w:rFonts w:ascii="宋体" w:hAnsi="宋体"/>
          <w:kern w:val="0"/>
          <w:sz w:val="24"/>
        </w:rPr>
      </w:pPr>
      <w:r>
        <w:rPr>
          <w:rFonts w:hint="eastAsia" w:ascii="宋体" w:hAnsi="宋体"/>
          <w:kern w:val="0"/>
          <w:sz w:val="24"/>
        </w:rPr>
        <w:t>五、</w:t>
      </w:r>
      <w:r>
        <w:rPr>
          <w:rStyle w:val="32"/>
          <w:rFonts w:hint="eastAsia" w:ascii="宋体" w:hAnsi="宋体"/>
          <w:color w:val="auto"/>
          <w:kern w:val="0"/>
          <w:sz w:val="24"/>
          <w:lang w:bidi="ar"/>
        </w:rPr>
        <w:t>若遇高峰期停车困难，可至公司周边停车场停车，如绿地SOHO同盟、旺都、绿地领海、绿地蓝海及其他对外营业的停车场等。</w:t>
      </w:r>
    </w:p>
    <w:p w14:paraId="2231E2BE">
      <w:pPr>
        <w:widowControl/>
        <w:spacing w:line="360" w:lineRule="auto"/>
        <w:ind w:firstLine="480" w:firstLineChars="200"/>
        <w:jc w:val="left"/>
        <w:rPr>
          <w:rStyle w:val="32"/>
          <w:rFonts w:ascii="宋体" w:hAnsi="宋体"/>
          <w:color w:val="auto"/>
          <w:kern w:val="0"/>
          <w:sz w:val="24"/>
          <w:lang w:bidi="ar"/>
        </w:rPr>
      </w:pPr>
      <w:r>
        <w:rPr>
          <w:rStyle w:val="32"/>
          <w:rFonts w:hint="eastAsia" w:ascii="宋体" w:hAnsi="宋体"/>
          <w:color w:val="auto"/>
          <w:kern w:val="0"/>
          <w:sz w:val="24"/>
          <w:lang w:bidi="ar"/>
        </w:rPr>
        <w:t>六、请供应商务必按照《陕西省财政厅关于政府采购供应商注册登记有关事项的通知》要求，通过陕西省政府采购网（http://www.ccgp-shaanxi.gov.cn/）进行陕西政府采购统一身份认证注册登记加入陕西省政府采购供应商库。</w:t>
      </w:r>
    </w:p>
    <w:p w14:paraId="6D87B9EE">
      <w:pPr>
        <w:tabs>
          <w:tab w:val="right" w:leader="dot" w:pos="9747"/>
        </w:tabs>
        <w:spacing w:before="120" w:after="120" w:line="360" w:lineRule="auto"/>
        <w:jc w:val="center"/>
        <w:rPr>
          <w:rFonts w:ascii="黑体" w:hAnsi="黑体" w:eastAsia="黑体" w:cs="黑体"/>
          <w:b/>
          <w:bCs/>
          <w:sz w:val="32"/>
          <w:szCs w:val="32"/>
        </w:rPr>
        <w:sectPr>
          <w:footerReference r:id="rId5" w:type="default"/>
          <w:pgSz w:w="11906" w:h="16838"/>
          <w:pgMar w:top="1440" w:right="1080" w:bottom="1440" w:left="1080" w:header="851" w:footer="992" w:gutter="0"/>
          <w:pgNumType w:fmt="decimal"/>
          <w:cols w:space="425" w:num="1"/>
          <w:docGrid w:type="lines" w:linePitch="312" w:charSpace="0"/>
        </w:sectPr>
      </w:pPr>
    </w:p>
    <w:p w14:paraId="5D52263B">
      <w:pPr>
        <w:tabs>
          <w:tab w:val="right" w:leader="dot" w:pos="9747"/>
        </w:tabs>
        <w:spacing w:before="120" w:after="120" w:line="360" w:lineRule="auto"/>
        <w:jc w:val="center"/>
        <w:rPr>
          <w:rFonts w:ascii="黑体" w:hAnsi="黑体" w:eastAsia="黑体" w:cs="黑体"/>
          <w:b/>
          <w:bCs/>
          <w:szCs w:val="30"/>
        </w:rPr>
      </w:pPr>
      <w:r>
        <w:rPr>
          <w:rFonts w:hint="eastAsia" w:ascii="黑体" w:hAnsi="黑体" w:eastAsia="黑体" w:cs="黑体"/>
          <w:b/>
          <w:bCs/>
          <w:sz w:val="32"/>
          <w:szCs w:val="32"/>
        </w:rPr>
        <w:t>目  录</w:t>
      </w:r>
      <w:bookmarkEnd w:id="0"/>
      <w:bookmarkEnd w:id="1"/>
      <w:r>
        <w:rPr>
          <w:rFonts w:hint="eastAsia" w:ascii="黑体" w:hAnsi="黑体" w:eastAsia="黑体" w:cs="黑体"/>
          <w:b/>
          <w:bCs/>
          <w:szCs w:val="30"/>
        </w:rPr>
        <w:fldChar w:fldCharType="begin"/>
      </w:r>
      <w:r>
        <w:rPr>
          <w:rFonts w:hint="eastAsia" w:ascii="黑体" w:hAnsi="黑体" w:eastAsia="黑体" w:cs="黑体"/>
          <w:b/>
          <w:bCs/>
          <w:szCs w:val="30"/>
        </w:rPr>
        <w:instrText xml:space="preserve">TOC \o "1-3" \h \u </w:instrText>
      </w:r>
      <w:r>
        <w:rPr>
          <w:rFonts w:hint="eastAsia" w:ascii="黑体" w:hAnsi="黑体" w:eastAsia="黑体" w:cs="黑体"/>
          <w:b/>
          <w:bCs/>
          <w:szCs w:val="30"/>
        </w:rPr>
        <w:fldChar w:fldCharType="separate"/>
      </w:r>
    </w:p>
    <w:p w14:paraId="353000A8">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_Toc28863 </w:instrText>
      </w:r>
      <w:r>
        <w:rPr>
          <w:rFonts w:hint="eastAsia" w:ascii="黑体" w:hAnsi="黑体" w:eastAsia="黑体" w:cs="黑体"/>
          <w:bCs/>
          <w:szCs w:val="30"/>
        </w:rPr>
        <w:fldChar w:fldCharType="separate"/>
      </w:r>
      <w:r>
        <w:rPr>
          <w:rFonts w:hint="eastAsia" w:ascii="黑体" w:hAnsi="黑体" w:eastAsia="黑体" w:cs="黑体"/>
          <w:bCs/>
          <w:szCs w:val="32"/>
        </w:rPr>
        <w:t>第一部分 磋商邀请</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_Toc28863 \h </w:instrText>
      </w:r>
      <w:r>
        <w:rPr>
          <w:rFonts w:hint="eastAsia" w:ascii="黑体" w:hAnsi="黑体" w:eastAsia="黑体" w:cs="黑体"/>
          <w:bCs/>
        </w:rPr>
        <w:fldChar w:fldCharType="separate"/>
      </w:r>
      <w:r>
        <w:rPr>
          <w:rFonts w:hint="eastAsia" w:ascii="黑体" w:hAnsi="黑体" w:eastAsia="黑体" w:cs="黑体"/>
          <w:bCs/>
        </w:rPr>
        <w:t>5</w:t>
      </w:r>
      <w:r>
        <w:rPr>
          <w:rFonts w:hint="eastAsia" w:ascii="黑体" w:hAnsi="黑体" w:eastAsia="黑体" w:cs="黑体"/>
          <w:bCs/>
        </w:rPr>
        <w:fldChar w:fldCharType="end"/>
      </w:r>
      <w:r>
        <w:rPr>
          <w:rFonts w:hint="eastAsia" w:ascii="黑体" w:hAnsi="黑体" w:eastAsia="黑体" w:cs="黑体"/>
          <w:bCs/>
          <w:szCs w:val="30"/>
        </w:rPr>
        <w:fldChar w:fldCharType="end"/>
      </w:r>
    </w:p>
    <w:p w14:paraId="347F9A31">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_Toc2752 </w:instrText>
      </w:r>
      <w:r>
        <w:rPr>
          <w:rFonts w:hint="eastAsia" w:ascii="黑体" w:hAnsi="黑体" w:eastAsia="黑体" w:cs="黑体"/>
          <w:bCs/>
          <w:szCs w:val="30"/>
        </w:rPr>
        <w:fldChar w:fldCharType="separate"/>
      </w:r>
      <w:r>
        <w:rPr>
          <w:rFonts w:hint="eastAsia" w:ascii="黑体" w:hAnsi="黑体" w:eastAsia="黑体" w:cs="黑体"/>
          <w:bCs/>
          <w:szCs w:val="32"/>
        </w:rPr>
        <w:t>第二部分 用户需求书</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_Toc2752 \h </w:instrText>
      </w:r>
      <w:r>
        <w:rPr>
          <w:rFonts w:hint="eastAsia" w:ascii="黑体" w:hAnsi="黑体" w:eastAsia="黑体" w:cs="黑体"/>
          <w:bCs/>
        </w:rPr>
        <w:fldChar w:fldCharType="separate"/>
      </w:r>
      <w:r>
        <w:rPr>
          <w:rFonts w:hint="eastAsia" w:ascii="黑体" w:hAnsi="黑体" w:eastAsia="黑体" w:cs="黑体"/>
          <w:bCs/>
        </w:rPr>
        <w:t>10</w:t>
      </w:r>
      <w:r>
        <w:rPr>
          <w:rFonts w:hint="eastAsia" w:ascii="黑体" w:hAnsi="黑体" w:eastAsia="黑体" w:cs="黑体"/>
          <w:bCs/>
        </w:rPr>
        <w:fldChar w:fldCharType="end"/>
      </w:r>
      <w:r>
        <w:rPr>
          <w:rFonts w:hint="eastAsia" w:ascii="黑体" w:hAnsi="黑体" w:eastAsia="黑体" w:cs="黑体"/>
          <w:bCs/>
          <w:szCs w:val="30"/>
        </w:rPr>
        <w:fldChar w:fldCharType="end"/>
      </w:r>
    </w:p>
    <w:p w14:paraId="5D694B4C">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_Toc19716 </w:instrText>
      </w:r>
      <w:r>
        <w:rPr>
          <w:rFonts w:hint="eastAsia" w:ascii="黑体" w:hAnsi="黑体" w:eastAsia="黑体" w:cs="黑体"/>
          <w:bCs/>
          <w:szCs w:val="30"/>
        </w:rPr>
        <w:fldChar w:fldCharType="separate"/>
      </w:r>
      <w:r>
        <w:rPr>
          <w:rFonts w:hint="eastAsia" w:ascii="黑体" w:hAnsi="黑体" w:eastAsia="黑体" w:cs="黑体"/>
          <w:bCs/>
          <w:szCs w:val="32"/>
        </w:rPr>
        <w:t>第三部分 供应商须知</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_Toc19716 \h </w:instrText>
      </w:r>
      <w:r>
        <w:rPr>
          <w:rFonts w:hint="eastAsia" w:ascii="黑体" w:hAnsi="黑体" w:eastAsia="黑体" w:cs="黑体"/>
          <w:bCs/>
        </w:rPr>
        <w:fldChar w:fldCharType="separate"/>
      </w:r>
      <w:r>
        <w:rPr>
          <w:rFonts w:hint="eastAsia" w:ascii="黑体" w:hAnsi="黑体" w:eastAsia="黑体" w:cs="黑体"/>
          <w:bCs/>
        </w:rPr>
        <w:t>21</w:t>
      </w:r>
      <w:r>
        <w:rPr>
          <w:rFonts w:hint="eastAsia" w:ascii="黑体" w:hAnsi="黑体" w:eastAsia="黑体" w:cs="黑体"/>
          <w:bCs/>
        </w:rPr>
        <w:fldChar w:fldCharType="end"/>
      </w:r>
      <w:r>
        <w:rPr>
          <w:rFonts w:hint="eastAsia" w:ascii="黑体" w:hAnsi="黑体" w:eastAsia="黑体" w:cs="黑体"/>
          <w:bCs/>
          <w:szCs w:val="30"/>
        </w:rPr>
        <w:fldChar w:fldCharType="end"/>
      </w:r>
    </w:p>
    <w:p w14:paraId="3BB8B844">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_Toc27347 </w:instrText>
      </w:r>
      <w:r>
        <w:rPr>
          <w:rFonts w:hint="eastAsia" w:ascii="黑体" w:hAnsi="黑体" w:eastAsia="黑体" w:cs="黑体"/>
          <w:bCs/>
          <w:szCs w:val="30"/>
        </w:rPr>
        <w:fldChar w:fldCharType="separate"/>
      </w:r>
      <w:r>
        <w:rPr>
          <w:rFonts w:hint="eastAsia" w:ascii="黑体" w:hAnsi="黑体" w:eastAsia="黑体" w:cs="黑体"/>
          <w:bCs/>
          <w:szCs w:val="32"/>
        </w:rPr>
        <w:t>第四部分 磋商、澄清、成交</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_Toc27347 \h </w:instrText>
      </w:r>
      <w:r>
        <w:rPr>
          <w:rFonts w:hint="eastAsia" w:ascii="黑体" w:hAnsi="黑体" w:eastAsia="黑体" w:cs="黑体"/>
          <w:bCs/>
        </w:rPr>
        <w:fldChar w:fldCharType="separate"/>
      </w:r>
      <w:r>
        <w:rPr>
          <w:rFonts w:hint="eastAsia" w:ascii="黑体" w:hAnsi="黑体" w:eastAsia="黑体" w:cs="黑体"/>
          <w:bCs/>
        </w:rPr>
        <w:t>35</w:t>
      </w:r>
      <w:r>
        <w:rPr>
          <w:rFonts w:hint="eastAsia" w:ascii="黑体" w:hAnsi="黑体" w:eastAsia="黑体" w:cs="黑体"/>
          <w:bCs/>
        </w:rPr>
        <w:fldChar w:fldCharType="end"/>
      </w:r>
      <w:r>
        <w:rPr>
          <w:rFonts w:hint="eastAsia" w:ascii="黑体" w:hAnsi="黑体" w:eastAsia="黑体" w:cs="黑体"/>
          <w:bCs/>
          <w:szCs w:val="30"/>
        </w:rPr>
        <w:fldChar w:fldCharType="end"/>
      </w:r>
    </w:p>
    <w:p w14:paraId="5A5EB769">
      <w:pPr>
        <w:pStyle w:val="22"/>
        <w:tabs>
          <w:tab w:val="right" w:leader="dot" w:pos="9746"/>
          <w:tab w:val="clear" w:pos="8302"/>
        </w:tabs>
        <w:rPr>
          <w:rFonts w:ascii="黑体" w:hAnsi="黑体" w:eastAsia="黑体" w:cs="黑体"/>
          <w:b w:val="0"/>
          <w:bCs/>
        </w:rPr>
      </w:pPr>
      <w:r>
        <w:rPr>
          <w:rFonts w:hint="eastAsia" w:ascii="黑体" w:hAnsi="黑体" w:eastAsia="黑体" w:cs="黑体"/>
          <w:b w:val="0"/>
          <w:bCs/>
          <w:szCs w:val="30"/>
        </w:rPr>
        <w:fldChar w:fldCharType="begin"/>
      </w:r>
      <w:r>
        <w:rPr>
          <w:rFonts w:hint="eastAsia" w:ascii="黑体" w:hAnsi="黑体" w:eastAsia="黑体" w:cs="黑体"/>
          <w:b w:val="0"/>
          <w:bCs/>
          <w:szCs w:val="30"/>
        </w:rPr>
        <w:instrText xml:space="preserve"> HYPERLINK \l _Toc25409 </w:instrText>
      </w:r>
      <w:r>
        <w:rPr>
          <w:rFonts w:hint="eastAsia" w:ascii="黑体" w:hAnsi="黑体" w:eastAsia="黑体" w:cs="黑体"/>
          <w:b w:val="0"/>
          <w:bCs/>
          <w:szCs w:val="30"/>
        </w:rPr>
        <w:fldChar w:fldCharType="separate"/>
      </w:r>
      <w:r>
        <w:rPr>
          <w:rFonts w:hint="eastAsia" w:ascii="黑体" w:hAnsi="黑体" w:eastAsia="黑体" w:cs="黑体"/>
          <w:b w:val="0"/>
          <w:bCs/>
        </w:rPr>
        <w:t>附表一：资格审查表</w:t>
      </w:r>
      <w:r>
        <w:rPr>
          <w:rFonts w:hint="eastAsia" w:ascii="黑体" w:hAnsi="黑体" w:eastAsia="黑体" w:cs="黑体"/>
          <w:b w:val="0"/>
          <w:bCs/>
        </w:rPr>
        <w:tab/>
      </w:r>
      <w:r>
        <w:rPr>
          <w:rFonts w:hint="eastAsia" w:ascii="黑体" w:hAnsi="黑体" w:eastAsia="黑体" w:cs="黑体"/>
          <w:b w:val="0"/>
          <w:bCs/>
        </w:rPr>
        <w:fldChar w:fldCharType="begin"/>
      </w:r>
      <w:r>
        <w:rPr>
          <w:rFonts w:hint="eastAsia" w:ascii="黑体" w:hAnsi="黑体" w:eastAsia="黑体" w:cs="黑体"/>
          <w:b w:val="0"/>
          <w:bCs/>
        </w:rPr>
        <w:instrText xml:space="preserve"> PAGEREF _Toc25409 \h </w:instrText>
      </w:r>
      <w:r>
        <w:rPr>
          <w:rFonts w:hint="eastAsia" w:ascii="黑体" w:hAnsi="黑体" w:eastAsia="黑体" w:cs="黑体"/>
          <w:b w:val="0"/>
          <w:bCs/>
        </w:rPr>
        <w:fldChar w:fldCharType="separate"/>
      </w:r>
      <w:r>
        <w:rPr>
          <w:rFonts w:hint="eastAsia" w:ascii="黑体" w:hAnsi="黑体" w:eastAsia="黑体" w:cs="黑体"/>
          <w:b w:val="0"/>
          <w:bCs/>
        </w:rPr>
        <w:t>40</w:t>
      </w:r>
      <w:r>
        <w:rPr>
          <w:rFonts w:hint="eastAsia" w:ascii="黑体" w:hAnsi="黑体" w:eastAsia="黑体" w:cs="黑体"/>
          <w:b w:val="0"/>
          <w:bCs/>
        </w:rPr>
        <w:fldChar w:fldCharType="end"/>
      </w:r>
      <w:r>
        <w:rPr>
          <w:rFonts w:hint="eastAsia" w:ascii="黑体" w:hAnsi="黑体" w:eastAsia="黑体" w:cs="黑体"/>
          <w:b w:val="0"/>
          <w:bCs/>
          <w:szCs w:val="30"/>
        </w:rPr>
        <w:fldChar w:fldCharType="end"/>
      </w:r>
    </w:p>
    <w:p w14:paraId="45C8C6E6">
      <w:pPr>
        <w:pStyle w:val="22"/>
        <w:tabs>
          <w:tab w:val="right" w:leader="dot" w:pos="9746"/>
          <w:tab w:val="clear" w:pos="8302"/>
        </w:tabs>
        <w:rPr>
          <w:rFonts w:ascii="黑体" w:hAnsi="黑体" w:eastAsia="黑体" w:cs="黑体"/>
          <w:b w:val="0"/>
          <w:bCs/>
        </w:rPr>
      </w:pPr>
      <w:r>
        <w:rPr>
          <w:rFonts w:hint="eastAsia" w:ascii="黑体" w:hAnsi="黑体" w:eastAsia="黑体" w:cs="黑体"/>
          <w:b w:val="0"/>
          <w:bCs/>
          <w:szCs w:val="30"/>
        </w:rPr>
        <w:fldChar w:fldCharType="begin"/>
      </w:r>
      <w:r>
        <w:rPr>
          <w:rFonts w:hint="eastAsia" w:ascii="黑体" w:hAnsi="黑体" w:eastAsia="黑体" w:cs="黑体"/>
          <w:b w:val="0"/>
          <w:bCs/>
          <w:szCs w:val="30"/>
        </w:rPr>
        <w:instrText xml:space="preserve"> HYPERLINK \l _Toc17750 </w:instrText>
      </w:r>
      <w:r>
        <w:rPr>
          <w:rFonts w:hint="eastAsia" w:ascii="黑体" w:hAnsi="黑体" w:eastAsia="黑体" w:cs="黑体"/>
          <w:b w:val="0"/>
          <w:bCs/>
          <w:szCs w:val="30"/>
        </w:rPr>
        <w:fldChar w:fldCharType="separate"/>
      </w:r>
      <w:r>
        <w:rPr>
          <w:rFonts w:hint="eastAsia" w:ascii="黑体" w:hAnsi="黑体" w:eastAsia="黑体" w:cs="黑体"/>
          <w:b w:val="0"/>
          <w:bCs/>
        </w:rPr>
        <w:t>附表二：符合性审查</w:t>
      </w:r>
      <w:r>
        <w:rPr>
          <w:rFonts w:hint="eastAsia" w:ascii="黑体" w:hAnsi="黑体" w:eastAsia="黑体" w:cs="黑体"/>
          <w:b w:val="0"/>
          <w:bCs/>
        </w:rPr>
        <w:tab/>
      </w:r>
      <w:r>
        <w:rPr>
          <w:rFonts w:hint="eastAsia" w:ascii="黑体" w:hAnsi="黑体" w:eastAsia="黑体" w:cs="黑体"/>
          <w:b w:val="0"/>
          <w:bCs/>
        </w:rPr>
        <w:fldChar w:fldCharType="begin"/>
      </w:r>
      <w:r>
        <w:rPr>
          <w:rFonts w:hint="eastAsia" w:ascii="黑体" w:hAnsi="黑体" w:eastAsia="黑体" w:cs="黑体"/>
          <w:b w:val="0"/>
          <w:bCs/>
        </w:rPr>
        <w:instrText xml:space="preserve"> PAGEREF _Toc17750 \h </w:instrText>
      </w:r>
      <w:r>
        <w:rPr>
          <w:rFonts w:hint="eastAsia" w:ascii="黑体" w:hAnsi="黑体" w:eastAsia="黑体" w:cs="黑体"/>
          <w:b w:val="0"/>
          <w:bCs/>
        </w:rPr>
        <w:fldChar w:fldCharType="separate"/>
      </w:r>
      <w:r>
        <w:rPr>
          <w:rFonts w:hint="eastAsia" w:ascii="黑体" w:hAnsi="黑体" w:eastAsia="黑体" w:cs="黑体"/>
          <w:b w:val="0"/>
          <w:bCs/>
        </w:rPr>
        <w:t>42</w:t>
      </w:r>
      <w:r>
        <w:rPr>
          <w:rFonts w:hint="eastAsia" w:ascii="黑体" w:hAnsi="黑体" w:eastAsia="黑体" w:cs="黑体"/>
          <w:b w:val="0"/>
          <w:bCs/>
        </w:rPr>
        <w:fldChar w:fldCharType="end"/>
      </w:r>
      <w:r>
        <w:rPr>
          <w:rFonts w:hint="eastAsia" w:ascii="黑体" w:hAnsi="黑体" w:eastAsia="黑体" w:cs="黑体"/>
          <w:b w:val="0"/>
          <w:bCs/>
          <w:szCs w:val="30"/>
        </w:rPr>
        <w:fldChar w:fldCharType="end"/>
      </w:r>
    </w:p>
    <w:p w14:paraId="3ECEF91E">
      <w:pPr>
        <w:pStyle w:val="22"/>
        <w:tabs>
          <w:tab w:val="right" w:leader="dot" w:pos="9746"/>
          <w:tab w:val="clear" w:pos="8302"/>
        </w:tabs>
        <w:rPr>
          <w:rFonts w:ascii="黑体" w:hAnsi="黑体" w:eastAsia="黑体" w:cs="黑体"/>
          <w:b w:val="0"/>
          <w:bCs/>
        </w:rPr>
      </w:pPr>
      <w:r>
        <w:rPr>
          <w:rFonts w:hint="eastAsia" w:ascii="黑体" w:hAnsi="黑体" w:eastAsia="黑体" w:cs="黑体"/>
          <w:b w:val="0"/>
          <w:bCs/>
          <w:szCs w:val="30"/>
        </w:rPr>
        <w:fldChar w:fldCharType="begin"/>
      </w:r>
      <w:r>
        <w:rPr>
          <w:rFonts w:hint="eastAsia" w:ascii="黑体" w:hAnsi="黑体" w:eastAsia="黑体" w:cs="黑体"/>
          <w:b w:val="0"/>
          <w:bCs/>
          <w:szCs w:val="30"/>
        </w:rPr>
        <w:instrText xml:space="preserve"> HYPERLINK \l _Toc14892 </w:instrText>
      </w:r>
      <w:r>
        <w:rPr>
          <w:rFonts w:hint="eastAsia" w:ascii="黑体" w:hAnsi="黑体" w:eastAsia="黑体" w:cs="黑体"/>
          <w:b w:val="0"/>
          <w:bCs/>
          <w:szCs w:val="30"/>
        </w:rPr>
        <w:fldChar w:fldCharType="separate"/>
      </w:r>
      <w:r>
        <w:rPr>
          <w:rFonts w:hint="eastAsia" w:ascii="黑体" w:hAnsi="黑体" w:eastAsia="黑体" w:cs="黑体"/>
          <w:b w:val="0"/>
          <w:bCs/>
        </w:rPr>
        <w:t>附表三：评审要素及分值一览表</w:t>
      </w:r>
      <w:r>
        <w:rPr>
          <w:rFonts w:hint="eastAsia" w:ascii="黑体" w:hAnsi="黑体" w:eastAsia="黑体" w:cs="黑体"/>
          <w:b w:val="0"/>
          <w:bCs/>
        </w:rPr>
        <w:tab/>
      </w:r>
      <w:r>
        <w:rPr>
          <w:rFonts w:hint="eastAsia" w:ascii="黑体" w:hAnsi="黑体" w:eastAsia="黑体" w:cs="黑体"/>
          <w:b w:val="0"/>
          <w:bCs/>
        </w:rPr>
        <w:fldChar w:fldCharType="begin"/>
      </w:r>
      <w:r>
        <w:rPr>
          <w:rFonts w:hint="eastAsia" w:ascii="黑体" w:hAnsi="黑体" w:eastAsia="黑体" w:cs="黑体"/>
          <w:b w:val="0"/>
          <w:bCs/>
        </w:rPr>
        <w:instrText xml:space="preserve"> PAGEREF _Toc14892 \h </w:instrText>
      </w:r>
      <w:r>
        <w:rPr>
          <w:rFonts w:hint="eastAsia" w:ascii="黑体" w:hAnsi="黑体" w:eastAsia="黑体" w:cs="黑体"/>
          <w:b w:val="0"/>
          <w:bCs/>
        </w:rPr>
        <w:fldChar w:fldCharType="separate"/>
      </w:r>
      <w:r>
        <w:rPr>
          <w:rFonts w:hint="eastAsia" w:ascii="黑体" w:hAnsi="黑体" w:eastAsia="黑体" w:cs="黑体"/>
          <w:b w:val="0"/>
          <w:bCs/>
        </w:rPr>
        <w:t>43</w:t>
      </w:r>
      <w:r>
        <w:rPr>
          <w:rFonts w:hint="eastAsia" w:ascii="黑体" w:hAnsi="黑体" w:eastAsia="黑体" w:cs="黑体"/>
          <w:b w:val="0"/>
          <w:bCs/>
        </w:rPr>
        <w:fldChar w:fldCharType="end"/>
      </w:r>
      <w:r>
        <w:rPr>
          <w:rFonts w:hint="eastAsia" w:ascii="黑体" w:hAnsi="黑体" w:eastAsia="黑体" w:cs="黑体"/>
          <w:b w:val="0"/>
          <w:bCs/>
          <w:szCs w:val="30"/>
        </w:rPr>
        <w:fldChar w:fldCharType="end"/>
      </w:r>
    </w:p>
    <w:p w14:paraId="3FBB4BF2">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_Toc21204 </w:instrText>
      </w:r>
      <w:r>
        <w:rPr>
          <w:rFonts w:hint="eastAsia" w:ascii="黑体" w:hAnsi="黑体" w:eastAsia="黑体" w:cs="黑体"/>
          <w:bCs/>
          <w:szCs w:val="30"/>
        </w:rPr>
        <w:fldChar w:fldCharType="separate"/>
      </w:r>
      <w:r>
        <w:rPr>
          <w:rFonts w:hint="eastAsia" w:ascii="黑体" w:hAnsi="黑体" w:eastAsia="黑体" w:cs="黑体"/>
          <w:bCs/>
          <w:kern w:val="44"/>
          <w:szCs w:val="32"/>
        </w:rPr>
        <w:t>第五部分 合同范本</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_Toc21204 \h </w:instrText>
      </w:r>
      <w:r>
        <w:rPr>
          <w:rFonts w:hint="eastAsia" w:ascii="黑体" w:hAnsi="黑体" w:eastAsia="黑体" w:cs="黑体"/>
          <w:bCs/>
        </w:rPr>
        <w:fldChar w:fldCharType="separate"/>
      </w:r>
      <w:r>
        <w:rPr>
          <w:rFonts w:hint="eastAsia" w:ascii="黑体" w:hAnsi="黑体" w:eastAsia="黑体" w:cs="黑体"/>
          <w:bCs/>
        </w:rPr>
        <w:t>48</w:t>
      </w:r>
      <w:r>
        <w:rPr>
          <w:rFonts w:hint="eastAsia" w:ascii="黑体" w:hAnsi="黑体" w:eastAsia="黑体" w:cs="黑体"/>
          <w:bCs/>
        </w:rPr>
        <w:fldChar w:fldCharType="end"/>
      </w:r>
      <w:r>
        <w:rPr>
          <w:rFonts w:hint="eastAsia" w:ascii="黑体" w:hAnsi="黑体" w:eastAsia="黑体" w:cs="黑体"/>
          <w:bCs/>
          <w:szCs w:val="30"/>
        </w:rPr>
        <w:fldChar w:fldCharType="end"/>
      </w:r>
    </w:p>
    <w:p w14:paraId="43D4BA50">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_Toc27832 </w:instrText>
      </w:r>
      <w:r>
        <w:rPr>
          <w:rFonts w:hint="eastAsia" w:ascii="黑体" w:hAnsi="黑体" w:eastAsia="黑体" w:cs="黑体"/>
          <w:bCs/>
          <w:szCs w:val="30"/>
        </w:rPr>
        <w:fldChar w:fldCharType="separate"/>
      </w:r>
      <w:r>
        <w:rPr>
          <w:rFonts w:hint="eastAsia" w:ascii="黑体" w:hAnsi="黑体" w:eastAsia="黑体" w:cs="黑体"/>
          <w:bCs/>
          <w:szCs w:val="32"/>
        </w:rPr>
        <w:t>第六部分 响应</w:t>
      </w:r>
      <w:r>
        <w:rPr>
          <w:rFonts w:hint="eastAsia" w:ascii="黑体" w:hAnsi="黑体" w:eastAsia="黑体" w:cs="黑体"/>
          <w:bCs/>
          <w:szCs w:val="32"/>
          <w:lang w:val="zh-CN"/>
        </w:rPr>
        <w:t>文件格式</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_Toc27832 \h </w:instrText>
      </w:r>
      <w:r>
        <w:rPr>
          <w:rFonts w:hint="eastAsia" w:ascii="黑体" w:hAnsi="黑体" w:eastAsia="黑体" w:cs="黑体"/>
          <w:bCs/>
        </w:rPr>
        <w:fldChar w:fldCharType="separate"/>
      </w:r>
      <w:r>
        <w:rPr>
          <w:rFonts w:hint="eastAsia" w:ascii="黑体" w:hAnsi="黑体" w:eastAsia="黑体" w:cs="黑体"/>
          <w:bCs/>
        </w:rPr>
        <w:t>53</w:t>
      </w:r>
      <w:r>
        <w:rPr>
          <w:rFonts w:hint="eastAsia" w:ascii="黑体" w:hAnsi="黑体" w:eastAsia="黑体" w:cs="黑体"/>
          <w:bCs/>
        </w:rPr>
        <w:fldChar w:fldCharType="end"/>
      </w:r>
      <w:r>
        <w:rPr>
          <w:rFonts w:hint="eastAsia" w:ascii="黑体" w:hAnsi="黑体" w:eastAsia="黑体" w:cs="黑体"/>
          <w:bCs/>
          <w:szCs w:val="30"/>
        </w:rPr>
        <w:fldChar w:fldCharType="end"/>
      </w:r>
    </w:p>
    <w:p w14:paraId="17842BF7">
      <w:pPr>
        <w:pStyle w:val="18"/>
        <w:tabs>
          <w:tab w:val="right" w:leader="dot" w:pos="9746"/>
        </w:tabs>
        <w:rPr>
          <w:rFonts w:ascii="黑体" w:hAnsi="黑体" w:eastAsia="黑体" w:cs="黑体"/>
          <w:bCs/>
        </w:rPr>
      </w:pPr>
      <w:r>
        <w:rPr>
          <w:rFonts w:hint="eastAsia" w:ascii="黑体" w:hAnsi="黑体" w:eastAsia="黑体" w:cs="黑体"/>
          <w:bCs/>
          <w:szCs w:val="30"/>
        </w:rPr>
        <w:fldChar w:fldCharType="begin"/>
      </w:r>
      <w:r>
        <w:rPr>
          <w:rFonts w:hint="eastAsia" w:ascii="黑体" w:hAnsi="黑体" w:eastAsia="黑体" w:cs="黑体"/>
          <w:bCs/>
          <w:szCs w:val="30"/>
        </w:rPr>
        <w:instrText xml:space="preserve"> HYPERLINK \l _Toc18401 </w:instrText>
      </w:r>
      <w:r>
        <w:rPr>
          <w:rFonts w:hint="eastAsia" w:ascii="黑体" w:hAnsi="黑体" w:eastAsia="黑体" w:cs="黑体"/>
          <w:bCs/>
          <w:szCs w:val="30"/>
        </w:rPr>
        <w:fldChar w:fldCharType="separate"/>
      </w:r>
      <w:r>
        <w:rPr>
          <w:rFonts w:hint="eastAsia" w:ascii="黑体" w:hAnsi="黑体" w:eastAsia="黑体" w:cs="黑体"/>
          <w:bCs/>
          <w:szCs w:val="32"/>
          <w:lang w:val="en-GB"/>
        </w:rPr>
        <w:t>封袋正面标识式样</w:t>
      </w:r>
      <w:r>
        <w:rPr>
          <w:rFonts w:hint="eastAsia" w:ascii="黑体" w:hAnsi="黑体" w:eastAsia="黑体" w:cs="黑体"/>
          <w:bCs/>
        </w:rPr>
        <w:tab/>
      </w:r>
      <w:r>
        <w:rPr>
          <w:rFonts w:hint="eastAsia" w:ascii="黑体" w:hAnsi="黑体" w:eastAsia="黑体" w:cs="黑体"/>
          <w:bCs/>
        </w:rPr>
        <w:fldChar w:fldCharType="begin"/>
      </w:r>
      <w:r>
        <w:rPr>
          <w:rFonts w:hint="eastAsia" w:ascii="黑体" w:hAnsi="黑体" w:eastAsia="黑体" w:cs="黑体"/>
          <w:bCs/>
        </w:rPr>
        <w:instrText xml:space="preserve"> PAGEREF _Toc18401 \h </w:instrText>
      </w:r>
      <w:r>
        <w:rPr>
          <w:rFonts w:hint="eastAsia" w:ascii="黑体" w:hAnsi="黑体" w:eastAsia="黑体" w:cs="黑体"/>
          <w:bCs/>
        </w:rPr>
        <w:fldChar w:fldCharType="separate"/>
      </w:r>
      <w:r>
        <w:rPr>
          <w:rFonts w:hint="eastAsia" w:ascii="黑体" w:hAnsi="黑体" w:eastAsia="黑体" w:cs="黑体"/>
          <w:bCs/>
        </w:rPr>
        <w:t>81</w:t>
      </w:r>
      <w:r>
        <w:rPr>
          <w:rFonts w:hint="eastAsia" w:ascii="黑体" w:hAnsi="黑体" w:eastAsia="黑体" w:cs="黑体"/>
          <w:bCs/>
        </w:rPr>
        <w:fldChar w:fldCharType="end"/>
      </w:r>
      <w:r>
        <w:rPr>
          <w:rFonts w:hint="eastAsia" w:ascii="黑体" w:hAnsi="黑体" w:eastAsia="黑体" w:cs="黑体"/>
          <w:bCs/>
          <w:szCs w:val="30"/>
        </w:rPr>
        <w:fldChar w:fldCharType="end"/>
      </w:r>
    </w:p>
    <w:p w14:paraId="69BAE305">
      <w:pPr>
        <w:pStyle w:val="18"/>
        <w:tabs>
          <w:tab w:val="right" w:leader="dot" w:pos="9747"/>
        </w:tabs>
        <w:spacing w:before="120" w:after="120" w:line="360" w:lineRule="auto"/>
        <w:jc w:val="center"/>
        <w:rPr>
          <w:rFonts w:ascii="黑体" w:hAnsi="黑体" w:eastAsia="黑体" w:cs="黑体"/>
          <w:b/>
          <w:bCs/>
          <w:caps/>
          <w:sz w:val="24"/>
        </w:rPr>
      </w:pPr>
      <w:r>
        <w:rPr>
          <w:rFonts w:hint="eastAsia" w:ascii="黑体" w:hAnsi="黑体" w:eastAsia="黑体" w:cs="黑体"/>
          <w:b/>
          <w:bCs/>
          <w:szCs w:val="30"/>
        </w:rPr>
        <w:fldChar w:fldCharType="end"/>
      </w:r>
    </w:p>
    <w:p w14:paraId="3E69DE7D">
      <w:pPr>
        <w:spacing w:before="114" w:line="225" w:lineRule="auto"/>
        <w:ind w:left="122"/>
        <w:rPr>
          <w:rStyle w:val="48"/>
          <w:rFonts w:ascii="黑体" w:hAnsi="黑体" w:eastAsia="黑体" w:cs="黑体"/>
          <w:sz w:val="32"/>
          <w:szCs w:val="32"/>
        </w:rPr>
      </w:pPr>
    </w:p>
    <w:p w14:paraId="626E6A45">
      <w:pPr>
        <w:spacing w:before="114" w:line="225" w:lineRule="auto"/>
        <w:ind w:left="122"/>
        <w:rPr>
          <w:rStyle w:val="48"/>
          <w:rFonts w:ascii="黑体" w:hAnsi="黑体" w:eastAsia="黑体" w:cs="黑体"/>
          <w:sz w:val="32"/>
          <w:szCs w:val="32"/>
        </w:rPr>
      </w:pPr>
    </w:p>
    <w:p w14:paraId="1086FF10">
      <w:pPr>
        <w:spacing w:before="114" w:line="225" w:lineRule="auto"/>
        <w:ind w:left="122"/>
        <w:rPr>
          <w:rStyle w:val="48"/>
          <w:rFonts w:ascii="黑体" w:hAnsi="黑体" w:eastAsia="黑体" w:cs="黑体"/>
          <w:sz w:val="32"/>
          <w:szCs w:val="32"/>
        </w:rPr>
      </w:pPr>
    </w:p>
    <w:p w14:paraId="54914262">
      <w:pPr>
        <w:spacing w:before="114" w:line="225" w:lineRule="auto"/>
        <w:ind w:left="122"/>
        <w:rPr>
          <w:rStyle w:val="48"/>
          <w:rFonts w:ascii="黑体" w:hAnsi="黑体" w:eastAsia="黑体" w:cs="黑体"/>
          <w:sz w:val="32"/>
          <w:szCs w:val="32"/>
        </w:rPr>
      </w:pPr>
    </w:p>
    <w:p w14:paraId="64BAFEFC">
      <w:pPr>
        <w:spacing w:before="114" w:line="225" w:lineRule="auto"/>
        <w:ind w:left="122"/>
        <w:rPr>
          <w:rStyle w:val="48"/>
          <w:rFonts w:ascii="黑体" w:hAnsi="黑体" w:eastAsia="黑体" w:cs="黑体"/>
          <w:sz w:val="32"/>
          <w:szCs w:val="32"/>
        </w:rPr>
      </w:pPr>
    </w:p>
    <w:p w14:paraId="3AD0AB25">
      <w:pPr>
        <w:spacing w:before="114" w:line="225" w:lineRule="auto"/>
        <w:ind w:left="122"/>
        <w:rPr>
          <w:rStyle w:val="48"/>
          <w:rFonts w:ascii="黑体" w:hAnsi="黑体" w:eastAsia="黑体" w:cs="黑体"/>
          <w:sz w:val="32"/>
          <w:szCs w:val="32"/>
        </w:rPr>
      </w:pPr>
    </w:p>
    <w:p w14:paraId="7DB1A280">
      <w:pPr>
        <w:spacing w:before="114" w:line="225" w:lineRule="auto"/>
        <w:ind w:left="122"/>
        <w:rPr>
          <w:rStyle w:val="48"/>
          <w:rFonts w:ascii="黑体" w:hAnsi="黑体" w:eastAsia="黑体" w:cs="黑体"/>
          <w:sz w:val="32"/>
          <w:szCs w:val="32"/>
        </w:rPr>
      </w:pPr>
    </w:p>
    <w:p w14:paraId="61C7611C">
      <w:pPr>
        <w:spacing w:before="114" w:line="225" w:lineRule="auto"/>
        <w:ind w:left="122"/>
        <w:rPr>
          <w:rStyle w:val="48"/>
          <w:rFonts w:ascii="黑体" w:hAnsi="黑体" w:eastAsia="黑体" w:cs="黑体"/>
          <w:sz w:val="32"/>
          <w:szCs w:val="32"/>
        </w:rPr>
      </w:pPr>
    </w:p>
    <w:p w14:paraId="07E9CB5C">
      <w:pPr>
        <w:spacing w:before="114" w:line="225" w:lineRule="auto"/>
        <w:ind w:left="122"/>
        <w:rPr>
          <w:rStyle w:val="48"/>
          <w:rFonts w:ascii="黑体" w:hAnsi="黑体" w:eastAsia="黑体" w:cs="黑体"/>
          <w:sz w:val="32"/>
          <w:szCs w:val="32"/>
        </w:rPr>
      </w:pPr>
    </w:p>
    <w:p w14:paraId="150E72B1">
      <w:pPr>
        <w:spacing w:before="114" w:line="225" w:lineRule="auto"/>
        <w:ind w:left="122"/>
        <w:rPr>
          <w:rStyle w:val="48"/>
          <w:rFonts w:ascii="黑体" w:hAnsi="黑体" w:eastAsia="黑体" w:cs="黑体"/>
          <w:sz w:val="32"/>
          <w:szCs w:val="32"/>
        </w:rPr>
      </w:pPr>
    </w:p>
    <w:p w14:paraId="583EE15A">
      <w:pPr>
        <w:spacing w:before="114" w:line="225" w:lineRule="auto"/>
        <w:ind w:left="122"/>
        <w:rPr>
          <w:rStyle w:val="48"/>
          <w:rFonts w:ascii="黑体" w:hAnsi="黑体" w:eastAsia="黑体" w:cs="黑体"/>
          <w:sz w:val="32"/>
          <w:szCs w:val="32"/>
        </w:rPr>
      </w:pPr>
    </w:p>
    <w:p w14:paraId="50DFA2CF">
      <w:pPr>
        <w:spacing w:before="114" w:line="225" w:lineRule="auto"/>
        <w:ind w:left="122"/>
        <w:rPr>
          <w:rStyle w:val="48"/>
          <w:rFonts w:ascii="黑体" w:hAnsi="黑体" w:eastAsia="黑体" w:cs="黑体"/>
          <w:sz w:val="32"/>
          <w:szCs w:val="32"/>
        </w:rPr>
      </w:pPr>
    </w:p>
    <w:p w14:paraId="165E7F86">
      <w:pPr>
        <w:spacing w:before="114" w:line="225" w:lineRule="auto"/>
        <w:ind w:left="122"/>
        <w:rPr>
          <w:rStyle w:val="48"/>
          <w:rFonts w:ascii="黑体" w:hAnsi="黑体" w:eastAsia="黑体" w:cs="黑体"/>
          <w:sz w:val="32"/>
          <w:szCs w:val="32"/>
        </w:rPr>
        <w:sectPr>
          <w:footerReference r:id="rId6" w:type="default"/>
          <w:pgSz w:w="11906" w:h="16838"/>
          <w:pgMar w:top="1440" w:right="1080" w:bottom="1440" w:left="1080" w:header="851" w:footer="992" w:gutter="0"/>
          <w:pgNumType w:fmt="decimal"/>
          <w:cols w:space="425" w:num="1"/>
          <w:docGrid w:type="lines" w:linePitch="312" w:charSpace="0"/>
        </w:sectPr>
      </w:pPr>
    </w:p>
    <w:p w14:paraId="7F77B766">
      <w:pPr>
        <w:pStyle w:val="34"/>
      </w:pPr>
    </w:p>
    <w:p w14:paraId="7A0C51A6">
      <w:pPr>
        <w:spacing w:before="114" w:line="225" w:lineRule="auto"/>
        <w:ind w:left="122"/>
        <w:rPr>
          <w:rStyle w:val="48"/>
          <w:rFonts w:ascii="黑体" w:hAnsi="黑体" w:eastAsia="黑体" w:cs="黑体"/>
          <w:sz w:val="32"/>
          <w:szCs w:val="32"/>
        </w:rPr>
      </w:pPr>
    </w:p>
    <w:p w14:paraId="42CAA7E4">
      <w:pPr>
        <w:spacing w:before="114" w:line="225" w:lineRule="auto"/>
        <w:ind w:left="122"/>
        <w:rPr>
          <w:rStyle w:val="48"/>
          <w:rFonts w:ascii="黑体" w:hAnsi="黑体" w:eastAsia="黑体" w:cs="黑体"/>
          <w:sz w:val="32"/>
          <w:szCs w:val="32"/>
        </w:rPr>
      </w:pPr>
    </w:p>
    <w:p w14:paraId="3A0814A0">
      <w:pPr>
        <w:spacing w:before="114" w:line="225" w:lineRule="auto"/>
        <w:ind w:left="122"/>
        <w:rPr>
          <w:rStyle w:val="48"/>
          <w:rFonts w:ascii="黑体" w:hAnsi="黑体" w:eastAsia="黑体" w:cs="黑体"/>
          <w:sz w:val="32"/>
          <w:szCs w:val="32"/>
        </w:rPr>
      </w:pPr>
    </w:p>
    <w:p w14:paraId="5FDBE450">
      <w:pPr>
        <w:spacing w:before="114" w:line="225" w:lineRule="auto"/>
        <w:ind w:left="122"/>
        <w:rPr>
          <w:rStyle w:val="48"/>
          <w:rFonts w:ascii="黑体" w:hAnsi="黑体" w:eastAsia="黑体" w:cs="黑体"/>
          <w:sz w:val="32"/>
          <w:szCs w:val="32"/>
        </w:rPr>
      </w:pPr>
    </w:p>
    <w:p w14:paraId="3BBEAEFA">
      <w:pPr>
        <w:spacing w:before="114" w:line="225" w:lineRule="auto"/>
        <w:ind w:left="122"/>
        <w:rPr>
          <w:rStyle w:val="48"/>
          <w:rFonts w:ascii="黑体" w:hAnsi="黑体" w:eastAsia="黑体" w:cs="黑体"/>
          <w:sz w:val="32"/>
          <w:szCs w:val="32"/>
        </w:rPr>
      </w:pPr>
    </w:p>
    <w:p w14:paraId="51C29206">
      <w:pPr>
        <w:spacing w:before="114" w:line="225" w:lineRule="auto"/>
        <w:ind w:left="122"/>
        <w:rPr>
          <w:rStyle w:val="48"/>
          <w:rFonts w:ascii="黑体" w:hAnsi="黑体" w:eastAsia="黑体" w:cs="黑体"/>
          <w:sz w:val="32"/>
          <w:szCs w:val="32"/>
        </w:rPr>
      </w:pPr>
    </w:p>
    <w:p w14:paraId="6E335B7E">
      <w:pPr>
        <w:spacing w:before="114" w:line="225" w:lineRule="auto"/>
        <w:ind w:left="122"/>
        <w:rPr>
          <w:rFonts w:ascii="宋体" w:hAnsi="宋体"/>
          <w:b/>
          <w:bCs/>
          <w:sz w:val="52"/>
          <w:szCs w:val="52"/>
        </w:rPr>
      </w:pPr>
      <w:r>
        <w:rPr>
          <w:rFonts w:ascii="宋体" w:hAnsi="宋体"/>
          <w:b/>
          <w:bCs/>
          <w:spacing w:val="9"/>
          <w:sz w:val="52"/>
          <w:szCs w:val="52"/>
        </w:rPr>
        <w:t>第</w:t>
      </w:r>
      <w:r>
        <w:rPr>
          <w:rFonts w:hint="eastAsia" w:ascii="宋体" w:hAnsi="宋体"/>
          <w:b/>
          <w:bCs/>
          <w:spacing w:val="7"/>
          <w:sz w:val="52"/>
          <w:szCs w:val="52"/>
        </w:rPr>
        <w:t>一</w:t>
      </w:r>
      <w:r>
        <w:rPr>
          <w:rFonts w:ascii="宋体" w:hAnsi="宋体"/>
          <w:b/>
          <w:bCs/>
          <w:spacing w:val="7"/>
          <w:sz w:val="52"/>
          <w:szCs w:val="52"/>
        </w:rPr>
        <w:t>部分</w:t>
      </w:r>
    </w:p>
    <w:p w14:paraId="05A251FF">
      <w:pPr>
        <w:spacing w:before="113" w:line="224" w:lineRule="auto"/>
        <w:ind w:right="420"/>
        <w:jc w:val="right"/>
        <w:rPr>
          <w:rFonts w:ascii="宋体" w:hAnsi="宋体"/>
          <w:b/>
          <w:bCs/>
          <w:sz w:val="52"/>
          <w:szCs w:val="52"/>
        </w:rPr>
      </w:pPr>
      <w:bookmarkStart w:id="2" w:name="_bookmark4"/>
      <w:bookmarkEnd w:id="2"/>
      <w:r>
        <w:rPr>
          <w:b/>
          <w:bCs/>
          <w:sz w:val="52"/>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5pt;margin-top:16.85pt;height:0.05pt;width:450pt;z-index:251664384;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xDnP&#10;0wAAAAgBAAAPAAAAAAAAAAEAIAAAACIAAABkcnMvZG93bnJldi54bWxQSwECFAAUAAAACACHTuJA&#10;M5lFIe0BAADdAwAADgAAAAAAAAABACAAAAAiAQAAZHJzL2Uyb0RvYy54bWxQSwUGAAAAAAYABgBZ&#10;AQAAgQUAAAAA&#10;">
                <v:fill on="f" focussize="0,0"/>
                <v:stroke weight="1.5pt" color="#000000" joinstyle="round"/>
                <v:imagedata o:title=""/>
                <o:lock v:ext="edit" aspectratio="f"/>
              </v:line>
            </w:pict>
          </mc:Fallback>
        </mc:AlternateContent>
      </w:r>
    </w:p>
    <w:p w14:paraId="6751E138">
      <w:pPr>
        <w:spacing w:before="113" w:line="224" w:lineRule="auto"/>
        <w:ind w:right="420"/>
        <w:jc w:val="right"/>
        <w:rPr>
          <w:rFonts w:ascii="宋体" w:hAnsi="宋体"/>
          <w:b/>
          <w:bCs/>
          <w:sz w:val="35"/>
          <w:szCs w:val="35"/>
        </w:rPr>
      </w:pPr>
      <w:r>
        <w:rPr>
          <w:rFonts w:hint="eastAsia" w:ascii="宋体" w:hAnsi="宋体"/>
          <w:b/>
          <w:bCs/>
          <w:sz w:val="52"/>
          <w:szCs w:val="52"/>
        </w:rPr>
        <w:t>磋商邀请</w:t>
      </w:r>
    </w:p>
    <w:p w14:paraId="70CEB60D">
      <w:pPr>
        <w:spacing w:line="242" w:lineRule="auto"/>
        <w:rPr>
          <w:rFonts w:ascii="Arial"/>
        </w:rPr>
      </w:pPr>
    </w:p>
    <w:p w14:paraId="01EB317D">
      <w:pPr>
        <w:rPr>
          <w:rFonts w:ascii="宋体" w:hAnsi="宋体"/>
          <w:szCs w:val="30"/>
        </w:rPr>
      </w:pPr>
    </w:p>
    <w:p w14:paraId="2A99E437">
      <w:pPr>
        <w:spacing w:line="360" w:lineRule="auto"/>
        <w:jc w:val="center"/>
        <w:rPr>
          <w:rFonts w:ascii="宋体" w:hAnsi="宋体"/>
          <w:szCs w:val="30"/>
        </w:rPr>
      </w:pPr>
      <w:r>
        <w:rPr>
          <w:rFonts w:hint="eastAsia" w:ascii="宋体" w:hAnsi="宋体"/>
          <w:szCs w:val="30"/>
        </w:rPr>
        <w:br w:type="page"/>
      </w:r>
    </w:p>
    <w:p w14:paraId="7C2F8A03">
      <w:pPr>
        <w:pStyle w:val="2"/>
        <w:keepNext w:val="0"/>
        <w:keepLines w:val="0"/>
        <w:spacing w:before="0" w:after="0"/>
        <w:rPr>
          <w:rFonts w:eastAsia="黑体"/>
        </w:rPr>
      </w:pPr>
      <w:bookmarkStart w:id="3" w:name="_Toc30721"/>
      <w:bookmarkStart w:id="4" w:name="_Toc8243"/>
      <w:bookmarkStart w:id="5" w:name="_Toc28863"/>
      <w:r>
        <w:rPr>
          <w:rFonts w:hint="eastAsia" w:ascii="黑体" w:hAnsi="黑体" w:eastAsia="黑体" w:cs="黑体"/>
          <w:b/>
          <w:bCs/>
          <w:sz w:val="32"/>
          <w:szCs w:val="32"/>
        </w:rPr>
        <w:t>第一部分</w:t>
      </w:r>
      <w:bookmarkEnd w:id="3"/>
      <w:bookmarkEnd w:id="4"/>
      <w:r>
        <w:rPr>
          <w:rFonts w:hint="eastAsia" w:ascii="黑体" w:hAnsi="黑体" w:eastAsia="黑体" w:cs="黑体"/>
          <w:b/>
          <w:bCs/>
          <w:sz w:val="32"/>
          <w:szCs w:val="32"/>
        </w:rPr>
        <w:t xml:space="preserve"> 磋商邀请</w:t>
      </w:r>
      <w:bookmarkEnd w:id="5"/>
    </w:p>
    <w:tbl>
      <w:tblPr>
        <w:tblStyle w:val="53"/>
        <w:tblW w:w="93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04"/>
      </w:tblGrid>
      <w:tr w14:paraId="00B63B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43" w:hRule="atLeast"/>
        </w:trPr>
        <w:tc>
          <w:tcPr>
            <w:tcW w:w="9304" w:type="dxa"/>
          </w:tcPr>
          <w:p w14:paraId="53840756">
            <w:pPr>
              <w:spacing w:before="190" w:line="227" w:lineRule="auto"/>
              <w:ind w:left="601"/>
              <w:rPr>
                <w:rFonts w:ascii="宋体" w:hAnsi="宋体"/>
                <w:sz w:val="23"/>
                <w:szCs w:val="23"/>
              </w:rPr>
            </w:pPr>
            <w:r>
              <w:rPr>
                <w:rFonts w:ascii="宋体" w:hAnsi="宋体"/>
                <w:color w:val="333333"/>
                <w:spacing w:val="8"/>
                <w:sz w:val="24"/>
                <w14:textOutline w14:w="4356" w14:cap="sq" w14:cmpd="sng" w14:algn="ctr">
                  <w14:solidFill>
                    <w14:srgbClr w14:val="333333"/>
                  </w14:solidFill>
                  <w14:prstDash w14:val="solid"/>
                  <w14:bevel/>
                </w14:textOutline>
              </w:rPr>
              <w:t>项</w:t>
            </w:r>
            <w:r>
              <w:rPr>
                <w:rFonts w:ascii="宋体" w:hAnsi="宋体"/>
                <w:color w:val="333333"/>
                <w:spacing w:val="7"/>
                <w:sz w:val="24"/>
                <w14:textOutline w14:w="4356" w14:cap="sq" w14:cmpd="sng" w14:algn="ctr">
                  <w14:solidFill>
                    <w14:srgbClr w14:val="333333"/>
                  </w14:solidFill>
                  <w14:prstDash w14:val="solid"/>
                  <w14:bevel/>
                </w14:textOutline>
              </w:rPr>
              <w:t>目概况</w:t>
            </w:r>
          </w:p>
          <w:p w14:paraId="78DAC7AD">
            <w:pPr>
              <w:spacing w:before="74" w:line="380" w:lineRule="auto"/>
              <w:ind w:left="117" w:right="106" w:firstLine="485"/>
              <w:rPr>
                <w:rFonts w:ascii="宋体" w:hAnsi="宋体"/>
                <w:sz w:val="23"/>
                <w:szCs w:val="23"/>
              </w:rPr>
            </w:pPr>
            <w:r>
              <w:rPr>
                <w:rFonts w:hint="eastAsia" w:ascii="宋体" w:hAnsi="宋体"/>
                <w:kern w:val="0"/>
                <w:sz w:val="24"/>
              </w:rPr>
              <w:fldChar w:fldCharType="begin"/>
            </w:r>
            <w:r>
              <w:rPr>
                <w:rFonts w:hint="eastAsia" w:ascii="宋体" w:hAnsi="宋体"/>
                <w:kern w:val="0"/>
                <w:sz w:val="24"/>
              </w:rPr>
              <w:instrText xml:space="preserve"> MERGEFIELD "（项目名称）" </w:instrText>
            </w:r>
            <w:r>
              <w:rPr>
                <w:rFonts w:hint="eastAsia" w:ascii="宋体" w:hAnsi="宋体"/>
                <w:kern w:val="0"/>
                <w:sz w:val="24"/>
              </w:rPr>
              <w:fldChar w:fldCharType="separate"/>
            </w:r>
            <w:r>
              <w:rPr>
                <w:rFonts w:hint="eastAsia" w:ascii="宋体" w:hAnsi="宋体"/>
                <w:kern w:val="0"/>
                <w:sz w:val="24"/>
                <w:lang w:eastAsia="zh-CN"/>
              </w:rPr>
              <w:t>网络安全服务项目</w:t>
            </w:r>
            <w:r>
              <w:rPr>
                <w:rFonts w:hint="eastAsia" w:ascii="宋体" w:hAnsi="宋体"/>
                <w:kern w:val="0"/>
                <w:sz w:val="24"/>
              </w:rPr>
              <w:fldChar w:fldCharType="end"/>
            </w:r>
            <w:r>
              <w:rPr>
                <w:rFonts w:hint="eastAsia" w:ascii="宋体" w:hAnsi="宋体"/>
                <w:kern w:val="0"/>
                <w:sz w:val="24"/>
              </w:rPr>
              <w:t>潜在的供应商可在陕西省西安市高新区丈八一路1号汇鑫中心D座2206室携带单位介绍信、身份证原件及复印件获取采购文件，并于2026-</w:t>
            </w:r>
            <w:r>
              <w:rPr>
                <w:rFonts w:hint="eastAsia" w:ascii="宋体" w:hAnsi="宋体"/>
                <w:kern w:val="0"/>
                <w:sz w:val="24"/>
                <w:lang w:val="en-US" w:eastAsia="zh-CN"/>
              </w:rPr>
              <w:t>05</w:t>
            </w:r>
            <w:r>
              <w:rPr>
                <w:rFonts w:hint="eastAsia" w:ascii="宋体" w:hAnsi="宋体"/>
                <w:kern w:val="0"/>
                <w:sz w:val="24"/>
              </w:rPr>
              <w:t>-</w:t>
            </w:r>
            <w:r>
              <w:rPr>
                <w:rFonts w:hint="eastAsia" w:ascii="宋体" w:hAnsi="宋体"/>
                <w:kern w:val="0"/>
                <w:sz w:val="24"/>
                <w:lang w:val="en-US" w:eastAsia="zh-CN"/>
              </w:rPr>
              <w:t>09</w:t>
            </w:r>
            <w:r>
              <w:rPr>
                <w:rFonts w:hint="eastAsia" w:ascii="宋体" w:hAnsi="宋体"/>
                <w:kern w:val="0"/>
                <w:sz w:val="24"/>
              </w:rPr>
              <w:t xml:space="preserve"> </w:t>
            </w:r>
            <w:r>
              <w:rPr>
                <w:rFonts w:hint="eastAsia" w:ascii="宋体" w:hAnsi="宋体"/>
                <w:kern w:val="0"/>
                <w:sz w:val="24"/>
                <w:lang w:val="en-US" w:eastAsia="zh-CN"/>
              </w:rPr>
              <w:t>09</w:t>
            </w:r>
            <w:r>
              <w:rPr>
                <w:rFonts w:hint="eastAsia" w:ascii="宋体" w:hAnsi="宋体"/>
                <w:kern w:val="0"/>
                <w:sz w:val="24"/>
              </w:rPr>
              <w:t>:</w:t>
            </w:r>
            <w:r>
              <w:rPr>
                <w:rFonts w:hint="eastAsia" w:ascii="宋体" w:hAnsi="宋体"/>
                <w:kern w:val="0"/>
                <w:sz w:val="24"/>
                <w:lang w:val="en-US" w:eastAsia="zh-CN"/>
              </w:rPr>
              <w:t>30</w:t>
            </w:r>
            <w:r>
              <w:rPr>
                <w:rFonts w:hint="eastAsia" w:ascii="宋体" w:hAnsi="宋体"/>
                <w:kern w:val="0"/>
                <w:sz w:val="24"/>
              </w:rPr>
              <w:t>:00前递交响应文件。</w:t>
            </w:r>
          </w:p>
        </w:tc>
      </w:tr>
    </w:tbl>
    <w:p w14:paraId="05A21A30">
      <w:pPr>
        <w:widowControl/>
        <w:spacing w:before="150" w:line="510" w:lineRule="atLeast"/>
        <w:ind w:firstLine="482" w:firstLineChars="200"/>
        <w:jc w:val="left"/>
        <w:rPr>
          <w:rFonts w:ascii="宋体" w:hAnsi="宋体" w:cs="Helvetica"/>
          <w:b/>
          <w:bCs/>
          <w:kern w:val="0"/>
          <w:sz w:val="24"/>
        </w:rPr>
      </w:pPr>
      <w:r>
        <w:rPr>
          <w:rFonts w:hint="eastAsia" w:ascii="宋体" w:hAnsi="宋体" w:cs="Helvetica"/>
          <w:b/>
          <w:bCs/>
          <w:kern w:val="0"/>
          <w:sz w:val="24"/>
        </w:rPr>
        <w:t>一、项目基本情况：</w:t>
      </w:r>
    </w:p>
    <w:p w14:paraId="270190C0">
      <w:pPr>
        <w:widowControl/>
        <w:spacing w:line="510" w:lineRule="atLeast"/>
        <w:ind w:firstLine="480"/>
        <w:jc w:val="left"/>
        <w:rPr>
          <w:rFonts w:ascii="宋体" w:hAnsi="宋体" w:cs="Helvetica"/>
          <w:kern w:val="0"/>
          <w:sz w:val="24"/>
        </w:rPr>
      </w:pPr>
      <w:r>
        <w:rPr>
          <w:rFonts w:hint="eastAsia" w:ascii="宋体" w:hAnsi="宋体" w:cs="Helvetica"/>
          <w:kern w:val="0"/>
          <w:sz w:val="24"/>
        </w:rPr>
        <w:t>1.项目编号：</w:t>
      </w:r>
      <w:r>
        <w:rPr>
          <w:rFonts w:hint="eastAsia" w:ascii="宋体" w:hAnsi="宋体" w:cs="Helvetica"/>
          <w:kern w:val="0"/>
          <w:sz w:val="24"/>
        </w:rPr>
        <w:fldChar w:fldCharType="begin"/>
      </w:r>
      <w:r>
        <w:rPr>
          <w:rFonts w:hint="eastAsia" w:ascii="宋体" w:hAnsi="宋体" w:cs="Helvetica"/>
          <w:kern w:val="0"/>
          <w:sz w:val="24"/>
        </w:rPr>
        <w:instrText xml:space="preserve"> MERGEFIELD "（项目编号）" </w:instrText>
      </w:r>
      <w:r>
        <w:rPr>
          <w:rFonts w:hint="eastAsia" w:ascii="宋体" w:hAnsi="宋体" w:cs="Helvetica"/>
          <w:kern w:val="0"/>
          <w:sz w:val="24"/>
        </w:rPr>
        <w:fldChar w:fldCharType="separate"/>
      </w:r>
      <w:r>
        <w:rPr>
          <w:rFonts w:hint="eastAsia" w:ascii="宋体" w:hAnsi="宋体" w:cs="Helvetica"/>
          <w:kern w:val="0"/>
          <w:sz w:val="24"/>
        </w:rPr>
        <w:t>DQA-2026019-CS</w:t>
      </w:r>
      <w:r>
        <w:rPr>
          <w:rFonts w:hint="eastAsia" w:ascii="宋体" w:hAnsi="宋体" w:cs="Helvetica"/>
          <w:kern w:val="0"/>
          <w:sz w:val="24"/>
        </w:rPr>
        <w:fldChar w:fldCharType="end"/>
      </w:r>
    </w:p>
    <w:p w14:paraId="1E409FE5">
      <w:pPr>
        <w:widowControl/>
        <w:spacing w:line="510" w:lineRule="atLeast"/>
        <w:ind w:firstLine="480"/>
        <w:jc w:val="left"/>
        <w:rPr>
          <w:rFonts w:ascii="宋体" w:hAnsi="宋体" w:cs="Helvetica"/>
          <w:kern w:val="0"/>
          <w:sz w:val="24"/>
        </w:rPr>
      </w:pPr>
      <w:r>
        <w:rPr>
          <w:rFonts w:hint="eastAsia" w:ascii="宋体" w:hAnsi="宋体" w:cs="Helvetica"/>
          <w:kern w:val="0"/>
          <w:sz w:val="24"/>
        </w:rPr>
        <w:t>2.项目名称：</w:t>
      </w:r>
      <w:r>
        <w:rPr>
          <w:rFonts w:hint="eastAsia" w:ascii="宋体" w:hAnsi="宋体" w:cs="Helvetica"/>
          <w:kern w:val="0"/>
          <w:sz w:val="24"/>
        </w:rPr>
        <w:fldChar w:fldCharType="begin"/>
      </w:r>
      <w:r>
        <w:rPr>
          <w:rFonts w:hint="eastAsia" w:ascii="宋体" w:hAnsi="宋体" w:cs="Helvetica"/>
          <w:kern w:val="0"/>
          <w:sz w:val="24"/>
        </w:rPr>
        <w:instrText xml:space="preserve"> MERGEFIELD "（项目名称）" </w:instrText>
      </w:r>
      <w:r>
        <w:rPr>
          <w:rFonts w:hint="eastAsia" w:ascii="宋体" w:hAnsi="宋体" w:cs="Helvetica"/>
          <w:kern w:val="0"/>
          <w:sz w:val="24"/>
        </w:rPr>
        <w:fldChar w:fldCharType="separate"/>
      </w:r>
      <w:r>
        <w:rPr>
          <w:rFonts w:hint="eastAsia" w:ascii="宋体" w:hAnsi="宋体" w:cs="Helvetica"/>
          <w:kern w:val="0"/>
          <w:sz w:val="24"/>
          <w:lang w:eastAsia="zh-CN"/>
        </w:rPr>
        <w:t>网络安全服务项目</w:t>
      </w:r>
      <w:r>
        <w:rPr>
          <w:rFonts w:hint="eastAsia" w:ascii="宋体" w:hAnsi="宋体" w:cs="Helvetica"/>
          <w:kern w:val="0"/>
          <w:sz w:val="24"/>
        </w:rPr>
        <w:fldChar w:fldCharType="end"/>
      </w:r>
      <w:r>
        <w:rPr>
          <w:rFonts w:hint="eastAsia" w:ascii="宋体" w:hAnsi="宋体" w:cs="Helvetica"/>
          <w:kern w:val="0"/>
          <w:sz w:val="24"/>
        </w:rPr>
        <w:t xml:space="preserve"> </w:t>
      </w:r>
    </w:p>
    <w:p w14:paraId="603140DC">
      <w:pPr>
        <w:widowControl/>
        <w:spacing w:line="510" w:lineRule="atLeast"/>
        <w:ind w:firstLine="480"/>
        <w:jc w:val="left"/>
        <w:rPr>
          <w:rFonts w:ascii="宋体" w:hAnsi="宋体" w:cs="Helvetica"/>
          <w:kern w:val="0"/>
          <w:sz w:val="24"/>
        </w:rPr>
      </w:pPr>
      <w:r>
        <w:rPr>
          <w:rFonts w:hint="eastAsia" w:ascii="宋体" w:hAnsi="宋体" w:cs="Helvetica"/>
          <w:kern w:val="0"/>
          <w:sz w:val="24"/>
        </w:rPr>
        <w:t>3.预算金额：</w:t>
      </w:r>
      <w:r>
        <w:rPr>
          <w:rFonts w:hint="eastAsia" w:ascii="宋体" w:hAnsi="宋体" w:cs="Helvetica"/>
          <w:kern w:val="0"/>
          <w:sz w:val="24"/>
        </w:rPr>
        <w:fldChar w:fldCharType="begin"/>
      </w:r>
      <w:r>
        <w:rPr>
          <w:rFonts w:hint="eastAsia" w:ascii="宋体" w:hAnsi="宋体" w:cs="Helvetica"/>
          <w:kern w:val="0"/>
          <w:sz w:val="24"/>
        </w:rPr>
        <w:instrText xml:space="preserve"> MERGEFIELD "（预算金额）" </w:instrText>
      </w:r>
      <w:r>
        <w:rPr>
          <w:rFonts w:hint="eastAsia" w:ascii="宋体" w:hAnsi="宋体" w:cs="Helvetica"/>
          <w:kern w:val="0"/>
          <w:sz w:val="24"/>
        </w:rPr>
        <w:fldChar w:fldCharType="separate"/>
      </w:r>
      <w:r>
        <w:rPr>
          <w:rFonts w:hint="eastAsia" w:ascii="宋体" w:hAnsi="宋体" w:cs="Helvetica"/>
          <w:kern w:val="0"/>
          <w:sz w:val="24"/>
        </w:rPr>
        <w:t>400,000.00元</w:t>
      </w:r>
      <w:r>
        <w:rPr>
          <w:rFonts w:hint="eastAsia" w:ascii="宋体" w:hAnsi="宋体" w:cs="Helvetica"/>
          <w:kern w:val="0"/>
          <w:sz w:val="24"/>
        </w:rPr>
        <w:fldChar w:fldCharType="end"/>
      </w:r>
    </w:p>
    <w:p w14:paraId="3EE7F2A8">
      <w:pPr>
        <w:widowControl/>
        <w:spacing w:line="510" w:lineRule="atLeast"/>
        <w:ind w:firstLine="480"/>
        <w:jc w:val="left"/>
        <w:rPr>
          <w:rFonts w:ascii="宋体" w:hAnsi="宋体" w:cs="Helvetica"/>
          <w:kern w:val="0"/>
          <w:sz w:val="24"/>
        </w:rPr>
      </w:pPr>
      <w:r>
        <w:rPr>
          <w:rFonts w:hint="eastAsia" w:ascii="宋体" w:hAnsi="宋体" w:cs="Helvetica"/>
          <w:kern w:val="0"/>
          <w:sz w:val="24"/>
        </w:rPr>
        <w:t>4.采购需求：</w:t>
      </w:r>
    </w:p>
    <w:p w14:paraId="0E6900F7">
      <w:pPr>
        <w:widowControl/>
        <w:spacing w:line="510" w:lineRule="atLeast"/>
        <w:ind w:firstLine="480"/>
        <w:jc w:val="left"/>
        <w:rPr>
          <w:rFonts w:ascii="宋体" w:hAnsi="宋体" w:cs="Helvetica"/>
          <w:kern w:val="0"/>
          <w:sz w:val="24"/>
        </w:rPr>
      </w:pPr>
      <w:r>
        <w:rPr>
          <w:rFonts w:hint="eastAsia" w:ascii="宋体" w:hAnsi="宋体" w:cs="Helvetica"/>
          <w:kern w:val="0"/>
          <w:sz w:val="24"/>
        </w:rPr>
        <w:t>合同包1(</w:t>
      </w:r>
      <w:r>
        <w:rPr>
          <w:rFonts w:hint="eastAsia" w:ascii="宋体" w:hAnsi="宋体" w:cs="Helvetica"/>
          <w:kern w:val="0"/>
          <w:sz w:val="24"/>
        </w:rPr>
        <w:fldChar w:fldCharType="begin"/>
      </w:r>
      <w:r>
        <w:rPr>
          <w:rFonts w:hint="eastAsia" w:ascii="宋体" w:hAnsi="宋体" w:cs="Helvetica"/>
          <w:kern w:val="0"/>
          <w:sz w:val="24"/>
        </w:rPr>
        <w:instrText xml:space="preserve"> MERGEFIELD "（项目名称）" </w:instrText>
      </w:r>
      <w:r>
        <w:rPr>
          <w:rFonts w:hint="eastAsia" w:ascii="宋体" w:hAnsi="宋体" w:cs="Helvetica"/>
          <w:kern w:val="0"/>
          <w:sz w:val="24"/>
        </w:rPr>
        <w:fldChar w:fldCharType="separate"/>
      </w:r>
      <w:r>
        <w:rPr>
          <w:rFonts w:hint="eastAsia" w:ascii="宋体" w:hAnsi="宋体" w:cs="Helvetica"/>
          <w:kern w:val="0"/>
          <w:sz w:val="24"/>
          <w:lang w:eastAsia="zh-CN"/>
        </w:rPr>
        <w:t>网络安全服务项目</w:t>
      </w:r>
      <w:r>
        <w:rPr>
          <w:rFonts w:hint="eastAsia" w:ascii="宋体" w:hAnsi="宋体" w:cs="Helvetica"/>
          <w:kern w:val="0"/>
          <w:sz w:val="24"/>
        </w:rPr>
        <w:fldChar w:fldCharType="end"/>
      </w:r>
      <w:r>
        <w:rPr>
          <w:rFonts w:hint="eastAsia" w:ascii="宋体" w:hAnsi="宋体" w:cs="Helvetica"/>
          <w:kern w:val="0"/>
          <w:sz w:val="24"/>
        </w:rPr>
        <w:t>):</w:t>
      </w:r>
    </w:p>
    <w:p w14:paraId="5DCF70C6">
      <w:pPr>
        <w:widowControl/>
        <w:spacing w:line="510" w:lineRule="atLeast"/>
        <w:ind w:firstLine="480"/>
        <w:jc w:val="left"/>
        <w:rPr>
          <w:rFonts w:ascii="宋体" w:hAnsi="宋体" w:cs="Helvetica"/>
          <w:kern w:val="0"/>
          <w:sz w:val="24"/>
        </w:rPr>
      </w:pPr>
      <w:r>
        <w:rPr>
          <w:rFonts w:hint="eastAsia" w:ascii="宋体" w:hAnsi="宋体" w:cs="Helvetica"/>
          <w:kern w:val="0"/>
          <w:sz w:val="24"/>
        </w:rPr>
        <w:t>合同包预算金额：</w:t>
      </w:r>
      <w:r>
        <w:rPr>
          <w:rFonts w:hint="eastAsia" w:ascii="宋体" w:hAnsi="宋体" w:cs="Helvetica"/>
          <w:kern w:val="0"/>
          <w:sz w:val="24"/>
        </w:rPr>
        <w:fldChar w:fldCharType="begin"/>
      </w:r>
      <w:r>
        <w:rPr>
          <w:rFonts w:hint="eastAsia" w:ascii="宋体" w:hAnsi="宋体" w:cs="Helvetica"/>
          <w:kern w:val="0"/>
          <w:sz w:val="24"/>
        </w:rPr>
        <w:instrText xml:space="preserve"> MERGEFIELD "（预算金额）" </w:instrText>
      </w:r>
      <w:r>
        <w:rPr>
          <w:rFonts w:hint="eastAsia" w:ascii="宋体" w:hAnsi="宋体" w:cs="Helvetica"/>
          <w:kern w:val="0"/>
          <w:sz w:val="24"/>
        </w:rPr>
        <w:fldChar w:fldCharType="separate"/>
      </w:r>
      <w:r>
        <w:rPr>
          <w:rFonts w:hint="eastAsia" w:ascii="宋体" w:hAnsi="宋体" w:cs="Helvetica"/>
          <w:kern w:val="0"/>
          <w:sz w:val="24"/>
        </w:rPr>
        <w:t>400,000.00元</w:t>
      </w:r>
      <w:r>
        <w:rPr>
          <w:rFonts w:hint="eastAsia" w:ascii="宋体" w:hAnsi="宋体" w:cs="Helvetica"/>
          <w:kern w:val="0"/>
          <w:sz w:val="24"/>
        </w:rPr>
        <w:fldChar w:fldCharType="end"/>
      </w:r>
    </w:p>
    <w:p w14:paraId="50E88C89">
      <w:pPr>
        <w:widowControl/>
        <w:spacing w:line="510" w:lineRule="atLeast"/>
        <w:ind w:firstLine="480"/>
        <w:jc w:val="left"/>
        <w:rPr>
          <w:rFonts w:ascii="宋体" w:hAnsi="宋体" w:cs="Helvetica"/>
          <w:kern w:val="0"/>
          <w:sz w:val="24"/>
        </w:rPr>
      </w:pPr>
      <w:r>
        <w:rPr>
          <w:rFonts w:hint="eastAsia" w:ascii="宋体" w:hAnsi="宋体" w:cs="Helvetica"/>
          <w:kern w:val="0"/>
          <w:sz w:val="24"/>
        </w:rPr>
        <w:t>合同包最高限价：</w:t>
      </w:r>
      <w:r>
        <w:rPr>
          <w:rFonts w:hint="eastAsia" w:ascii="宋体" w:hAnsi="宋体" w:cs="Helvetica"/>
          <w:kern w:val="0"/>
          <w:sz w:val="24"/>
        </w:rPr>
        <w:fldChar w:fldCharType="begin"/>
      </w:r>
      <w:r>
        <w:rPr>
          <w:rFonts w:hint="eastAsia" w:ascii="宋体" w:hAnsi="宋体" w:cs="Helvetica"/>
          <w:kern w:val="0"/>
          <w:sz w:val="24"/>
        </w:rPr>
        <w:instrText xml:space="preserve"> MERGEFIELD "（预算金额）" </w:instrText>
      </w:r>
      <w:r>
        <w:rPr>
          <w:rFonts w:hint="eastAsia" w:ascii="宋体" w:hAnsi="宋体" w:cs="Helvetica"/>
          <w:kern w:val="0"/>
          <w:sz w:val="24"/>
        </w:rPr>
        <w:fldChar w:fldCharType="separate"/>
      </w:r>
      <w:r>
        <w:rPr>
          <w:rFonts w:hint="eastAsia" w:ascii="宋体" w:hAnsi="宋体" w:cs="Helvetica"/>
          <w:kern w:val="0"/>
          <w:sz w:val="24"/>
        </w:rPr>
        <w:t>400,000.00元</w:t>
      </w:r>
      <w:r>
        <w:rPr>
          <w:rFonts w:hint="eastAsia" w:ascii="宋体" w:hAnsi="宋体" w:cs="Helvetica"/>
          <w:kern w:val="0"/>
          <w:sz w:val="24"/>
        </w:rPr>
        <w:fldChar w:fldCharType="end"/>
      </w:r>
    </w:p>
    <w:p w14:paraId="6C23C676">
      <w:pPr>
        <w:pStyle w:val="10"/>
      </w:pPr>
    </w:p>
    <w:tbl>
      <w:tblPr>
        <w:tblStyle w:val="27"/>
        <w:tblW w:w="945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0"/>
        <w:gridCol w:w="1305"/>
        <w:gridCol w:w="1930"/>
        <w:gridCol w:w="1153"/>
        <w:gridCol w:w="1125"/>
        <w:gridCol w:w="1416"/>
        <w:gridCol w:w="1416"/>
      </w:tblGrid>
      <w:tr w14:paraId="3BE9E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2" w:type="dxa"/>
            <w:vAlign w:val="center"/>
          </w:tcPr>
          <w:p w14:paraId="22341671">
            <w:pPr>
              <w:widowControl/>
              <w:spacing w:line="510" w:lineRule="atLeast"/>
              <w:jc w:val="center"/>
              <w:rPr>
                <w:rFonts w:ascii="宋体" w:hAnsi="宋体" w:cs="Helvetica"/>
                <w:kern w:val="0"/>
                <w:sz w:val="24"/>
              </w:rPr>
            </w:pPr>
            <w:r>
              <w:rPr>
                <w:rFonts w:hint="eastAsia" w:ascii="宋体" w:hAnsi="宋体" w:cs="Helvetica"/>
                <w:kern w:val="0"/>
                <w:sz w:val="24"/>
              </w:rPr>
              <w:t>品目号</w:t>
            </w:r>
          </w:p>
        </w:tc>
        <w:tc>
          <w:tcPr>
            <w:tcW w:w="1418" w:type="dxa"/>
            <w:vAlign w:val="center"/>
          </w:tcPr>
          <w:p w14:paraId="2EC5A5D7">
            <w:pPr>
              <w:widowControl/>
              <w:spacing w:line="510" w:lineRule="atLeast"/>
              <w:jc w:val="center"/>
              <w:rPr>
                <w:rFonts w:ascii="宋体" w:hAnsi="宋体" w:cs="Helvetica"/>
                <w:kern w:val="0"/>
                <w:sz w:val="24"/>
              </w:rPr>
            </w:pPr>
            <w:r>
              <w:rPr>
                <w:rFonts w:hint="eastAsia" w:ascii="宋体" w:hAnsi="宋体" w:cs="Helvetica"/>
                <w:kern w:val="0"/>
                <w:sz w:val="24"/>
              </w:rPr>
              <w:t>品目名称</w:t>
            </w:r>
          </w:p>
        </w:tc>
        <w:tc>
          <w:tcPr>
            <w:tcW w:w="2127" w:type="dxa"/>
            <w:vAlign w:val="center"/>
          </w:tcPr>
          <w:p w14:paraId="7E34D47C">
            <w:pPr>
              <w:widowControl/>
              <w:spacing w:line="510" w:lineRule="atLeast"/>
              <w:jc w:val="center"/>
              <w:rPr>
                <w:rFonts w:ascii="宋体" w:hAnsi="宋体" w:cs="Helvetica"/>
                <w:kern w:val="0"/>
                <w:sz w:val="24"/>
              </w:rPr>
            </w:pPr>
            <w:r>
              <w:rPr>
                <w:rFonts w:hint="eastAsia" w:ascii="宋体" w:hAnsi="宋体" w:cs="Helvetica"/>
                <w:kern w:val="0"/>
                <w:sz w:val="24"/>
              </w:rPr>
              <w:t>采购标的</w:t>
            </w:r>
          </w:p>
        </w:tc>
        <w:tc>
          <w:tcPr>
            <w:tcW w:w="1182" w:type="dxa"/>
            <w:vAlign w:val="center"/>
          </w:tcPr>
          <w:p w14:paraId="60B6B06B">
            <w:pPr>
              <w:widowControl/>
              <w:spacing w:line="510" w:lineRule="atLeast"/>
              <w:jc w:val="center"/>
              <w:rPr>
                <w:rFonts w:ascii="宋体" w:hAnsi="宋体" w:cs="Helvetica"/>
                <w:kern w:val="0"/>
                <w:sz w:val="24"/>
              </w:rPr>
            </w:pPr>
            <w:r>
              <w:rPr>
                <w:rFonts w:hint="eastAsia" w:ascii="宋体" w:hAnsi="宋体" w:cs="Helvetica"/>
                <w:kern w:val="0"/>
                <w:sz w:val="24"/>
              </w:rPr>
              <w:t>数量（单位）</w:t>
            </w:r>
          </w:p>
        </w:tc>
        <w:tc>
          <w:tcPr>
            <w:tcW w:w="1182" w:type="dxa"/>
            <w:vAlign w:val="center"/>
          </w:tcPr>
          <w:p w14:paraId="2FDC6167">
            <w:pPr>
              <w:widowControl/>
              <w:spacing w:line="510" w:lineRule="atLeast"/>
              <w:jc w:val="center"/>
              <w:rPr>
                <w:rFonts w:ascii="宋体" w:hAnsi="宋体" w:cs="Helvetica"/>
                <w:kern w:val="0"/>
                <w:sz w:val="24"/>
              </w:rPr>
            </w:pPr>
            <w:r>
              <w:rPr>
                <w:rFonts w:hint="eastAsia" w:ascii="宋体" w:hAnsi="宋体" w:cs="Helvetica"/>
                <w:kern w:val="0"/>
                <w:sz w:val="24"/>
              </w:rPr>
              <w:t>技术规格、参数及要求</w:t>
            </w:r>
          </w:p>
        </w:tc>
        <w:tc>
          <w:tcPr>
            <w:tcW w:w="1182" w:type="dxa"/>
            <w:vAlign w:val="center"/>
          </w:tcPr>
          <w:p w14:paraId="4B4B559A">
            <w:pPr>
              <w:widowControl/>
              <w:spacing w:line="510" w:lineRule="atLeast"/>
              <w:jc w:val="center"/>
              <w:rPr>
                <w:rFonts w:ascii="宋体" w:hAnsi="宋体" w:cs="Helvetica"/>
                <w:kern w:val="0"/>
                <w:sz w:val="24"/>
              </w:rPr>
            </w:pPr>
            <w:r>
              <w:rPr>
                <w:rFonts w:ascii="宋体" w:hAnsi="宋体" w:cs="Helvetica"/>
                <w:kern w:val="0"/>
                <w:sz w:val="24"/>
              </w:rPr>
              <w:t>品目预算(元)</w:t>
            </w:r>
          </w:p>
        </w:tc>
        <w:tc>
          <w:tcPr>
            <w:tcW w:w="1182" w:type="dxa"/>
            <w:vAlign w:val="center"/>
          </w:tcPr>
          <w:p w14:paraId="6B307875">
            <w:pPr>
              <w:widowControl/>
              <w:spacing w:line="510" w:lineRule="atLeast"/>
              <w:jc w:val="center"/>
              <w:rPr>
                <w:rFonts w:ascii="宋体" w:hAnsi="宋体" w:cs="Helvetica"/>
                <w:kern w:val="0"/>
                <w:sz w:val="24"/>
              </w:rPr>
            </w:pPr>
            <w:r>
              <w:rPr>
                <w:rFonts w:ascii="宋体" w:hAnsi="宋体" w:cs="Helvetica"/>
                <w:kern w:val="0"/>
                <w:sz w:val="24"/>
              </w:rPr>
              <w:t>最高限价(元)</w:t>
            </w:r>
          </w:p>
        </w:tc>
      </w:tr>
      <w:tr w14:paraId="00F05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2" w:type="dxa"/>
            <w:vAlign w:val="center"/>
          </w:tcPr>
          <w:p w14:paraId="0DFE5DF4">
            <w:pPr>
              <w:widowControl/>
              <w:spacing w:line="510" w:lineRule="atLeast"/>
              <w:jc w:val="center"/>
              <w:rPr>
                <w:rFonts w:ascii="宋体" w:hAnsi="宋体" w:cs="Helvetica"/>
                <w:kern w:val="0"/>
                <w:sz w:val="24"/>
              </w:rPr>
            </w:pPr>
            <w:r>
              <w:rPr>
                <w:rFonts w:hint="eastAsia" w:ascii="宋体" w:hAnsi="宋体" w:cs="Helvetica"/>
                <w:kern w:val="0"/>
                <w:sz w:val="24"/>
              </w:rPr>
              <w:t>1-1</w:t>
            </w:r>
          </w:p>
        </w:tc>
        <w:tc>
          <w:tcPr>
            <w:tcW w:w="1418" w:type="dxa"/>
            <w:vAlign w:val="center"/>
          </w:tcPr>
          <w:p w14:paraId="47A7950D">
            <w:pPr>
              <w:widowControl/>
              <w:spacing w:line="510" w:lineRule="atLeast"/>
              <w:jc w:val="center"/>
              <w:rPr>
                <w:rFonts w:ascii="宋体" w:hAnsi="宋体" w:cs="Helvetica"/>
                <w:kern w:val="0"/>
                <w:sz w:val="24"/>
              </w:rPr>
            </w:pPr>
            <w:r>
              <w:rPr>
                <w:rFonts w:hint="eastAsia" w:ascii="宋体" w:hAnsi="宋体" w:cs="Helvetica"/>
                <w:kern w:val="0"/>
                <w:sz w:val="24"/>
              </w:rPr>
              <w:t>运维服务</w:t>
            </w:r>
          </w:p>
        </w:tc>
        <w:tc>
          <w:tcPr>
            <w:tcW w:w="2127" w:type="dxa"/>
            <w:vAlign w:val="center"/>
          </w:tcPr>
          <w:p w14:paraId="040DCA30">
            <w:pPr>
              <w:widowControl/>
              <w:spacing w:line="510" w:lineRule="atLeast"/>
              <w:jc w:val="center"/>
              <w:rPr>
                <w:rFonts w:ascii="宋体" w:hAnsi="宋体" w:cs="Helvetica"/>
                <w:kern w:val="0"/>
                <w:sz w:val="24"/>
              </w:rPr>
            </w:pPr>
            <w:r>
              <w:rPr>
                <w:rFonts w:hint="eastAsia" w:ascii="宋体" w:hAnsi="宋体" w:cs="Helvetica"/>
                <w:kern w:val="0"/>
                <w:sz w:val="24"/>
              </w:rPr>
              <w:fldChar w:fldCharType="begin"/>
            </w:r>
            <w:r>
              <w:rPr>
                <w:rFonts w:hint="eastAsia" w:ascii="宋体" w:hAnsi="宋体" w:cs="Helvetica"/>
                <w:kern w:val="0"/>
                <w:sz w:val="24"/>
              </w:rPr>
              <w:instrText xml:space="preserve"> MERGEFIELD "（项目名称）" </w:instrText>
            </w:r>
            <w:r>
              <w:rPr>
                <w:rFonts w:hint="eastAsia" w:ascii="宋体" w:hAnsi="宋体" w:cs="Helvetica"/>
                <w:kern w:val="0"/>
                <w:sz w:val="24"/>
              </w:rPr>
              <w:fldChar w:fldCharType="separate"/>
            </w:r>
            <w:r>
              <w:rPr>
                <w:rFonts w:hint="eastAsia" w:ascii="宋体" w:hAnsi="宋体" w:cs="Helvetica"/>
                <w:kern w:val="0"/>
                <w:sz w:val="24"/>
                <w:lang w:eastAsia="zh-CN"/>
              </w:rPr>
              <w:t>网络安全服务项目</w:t>
            </w:r>
            <w:r>
              <w:rPr>
                <w:rFonts w:hint="eastAsia" w:ascii="宋体" w:hAnsi="宋体" w:cs="Helvetica"/>
                <w:kern w:val="0"/>
                <w:sz w:val="24"/>
              </w:rPr>
              <w:fldChar w:fldCharType="end"/>
            </w:r>
          </w:p>
        </w:tc>
        <w:tc>
          <w:tcPr>
            <w:tcW w:w="1182" w:type="dxa"/>
            <w:vAlign w:val="center"/>
          </w:tcPr>
          <w:p w14:paraId="5DB66008">
            <w:pPr>
              <w:widowControl/>
              <w:spacing w:line="510" w:lineRule="atLeast"/>
              <w:jc w:val="center"/>
              <w:rPr>
                <w:rFonts w:ascii="宋体" w:hAnsi="宋体" w:cs="Helvetica"/>
                <w:kern w:val="0"/>
                <w:sz w:val="24"/>
              </w:rPr>
            </w:pPr>
            <w:r>
              <w:rPr>
                <w:rFonts w:hint="eastAsia" w:ascii="宋体" w:hAnsi="宋体" w:cs="Helvetica"/>
                <w:kern w:val="0"/>
                <w:sz w:val="24"/>
              </w:rPr>
              <w:t>1（项）</w:t>
            </w:r>
          </w:p>
        </w:tc>
        <w:tc>
          <w:tcPr>
            <w:tcW w:w="1182" w:type="dxa"/>
            <w:vAlign w:val="center"/>
          </w:tcPr>
          <w:p w14:paraId="3DF22966">
            <w:pPr>
              <w:widowControl/>
              <w:spacing w:line="510" w:lineRule="atLeast"/>
              <w:jc w:val="center"/>
              <w:rPr>
                <w:rFonts w:ascii="宋体" w:hAnsi="宋体" w:cs="Helvetica"/>
                <w:kern w:val="0"/>
                <w:sz w:val="24"/>
              </w:rPr>
            </w:pPr>
            <w:r>
              <w:rPr>
                <w:rFonts w:hint="eastAsia" w:ascii="宋体" w:hAnsi="宋体" w:cs="Helvetica"/>
                <w:kern w:val="0"/>
                <w:sz w:val="24"/>
              </w:rPr>
              <w:t>详见采购文件</w:t>
            </w:r>
          </w:p>
        </w:tc>
        <w:tc>
          <w:tcPr>
            <w:tcW w:w="1182" w:type="dxa"/>
            <w:vAlign w:val="center"/>
          </w:tcPr>
          <w:p w14:paraId="605BB080">
            <w:pPr>
              <w:widowControl/>
              <w:spacing w:line="510" w:lineRule="atLeast"/>
              <w:jc w:val="center"/>
              <w:rPr>
                <w:rFonts w:ascii="宋体" w:hAnsi="宋体" w:cs="Helvetica"/>
                <w:kern w:val="0"/>
                <w:sz w:val="24"/>
              </w:rPr>
            </w:pPr>
            <w:r>
              <w:rPr>
                <w:rFonts w:hint="eastAsia" w:ascii="宋体" w:hAnsi="宋体" w:cs="Helvetica"/>
                <w:kern w:val="0"/>
                <w:sz w:val="24"/>
              </w:rPr>
              <w:t>400,000.00</w:t>
            </w:r>
          </w:p>
        </w:tc>
        <w:tc>
          <w:tcPr>
            <w:tcW w:w="1182" w:type="dxa"/>
            <w:vAlign w:val="center"/>
          </w:tcPr>
          <w:p w14:paraId="394D46C2">
            <w:pPr>
              <w:widowControl/>
              <w:spacing w:line="510" w:lineRule="atLeast"/>
              <w:jc w:val="center"/>
              <w:rPr>
                <w:rFonts w:ascii="宋体" w:hAnsi="宋体" w:cs="Helvetica"/>
                <w:kern w:val="0"/>
                <w:sz w:val="24"/>
              </w:rPr>
            </w:pPr>
            <w:r>
              <w:rPr>
                <w:rFonts w:hint="eastAsia" w:ascii="宋体" w:hAnsi="宋体" w:cs="Helvetica"/>
                <w:kern w:val="0"/>
                <w:sz w:val="24"/>
              </w:rPr>
              <w:t>400,000.00</w:t>
            </w:r>
          </w:p>
        </w:tc>
      </w:tr>
    </w:tbl>
    <w:p w14:paraId="18A23C8F">
      <w:pPr>
        <w:widowControl/>
        <w:spacing w:line="510" w:lineRule="atLeast"/>
        <w:ind w:firstLine="480"/>
        <w:jc w:val="left"/>
        <w:rPr>
          <w:rFonts w:ascii="宋体" w:hAnsi="宋体" w:cs="Helvetica"/>
          <w:kern w:val="0"/>
          <w:sz w:val="24"/>
        </w:rPr>
      </w:pPr>
      <w:r>
        <w:rPr>
          <w:rFonts w:hint="eastAsia" w:ascii="宋体" w:hAnsi="宋体" w:cs="Helvetica"/>
          <w:kern w:val="0"/>
          <w:sz w:val="24"/>
        </w:rPr>
        <w:t>本合同包不接受联合体磋商。</w:t>
      </w:r>
    </w:p>
    <w:p w14:paraId="307E50AE">
      <w:pPr>
        <w:widowControl/>
        <w:spacing w:line="510" w:lineRule="atLeast"/>
        <w:ind w:firstLine="480"/>
        <w:jc w:val="left"/>
        <w:rPr>
          <w:rFonts w:ascii="宋体" w:hAnsi="宋体" w:cs="Helvetica"/>
          <w:kern w:val="0"/>
          <w:sz w:val="24"/>
        </w:rPr>
      </w:pPr>
      <w:r>
        <w:rPr>
          <w:rFonts w:hint="eastAsia" w:ascii="宋体" w:hAnsi="宋体" w:cs="Helvetica"/>
          <w:kern w:val="0"/>
          <w:sz w:val="24"/>
        </w:rPr>
        <w:t>服务期限：服务期限一年</w:t>
      </w:r>
    </w:p>
    <w:p w14:paraId="6B7AA9C8">
      <w:pPr>
        <w:widowControl/>
        <w:spacing w:line="510" w:lineRule="atLeast"/>
        <w:ind w:firstLine="480"/>
        <w:jc w:val="left"/>
        <w:rPr>
          <w:rFonts w:ascii="宋体" w:hAnsi="宋体" w:cs="Helvetica"/>
          <w:b/>
          <w:bCs/>
          <w:kern w:val="0"/>
          <w:sz w:val="24"/>
        </w:rPr>
      </w:pPr>
      <w:r>
        <w:rPr>
          <w:rFonts w:hint="eastAsia" w:ascii="宋体" w:hAnsi="宋体" w:cs="Helvetica"/>
          <w:b/>
          <w:bCs/>
          <w:kern w:val="0"/>
          <w:sz w:val="24"/>
        </w:rPr>
        <w:t xml:space="preserve">二、供应商的资格要求 </w:t>
      </w:r>
    </w:p>
    <w:p w14:paraId="32349CAF">
      <w:pPr>
        <w:widowControl/>
        <w:spacing w:line="510" w:lineRule="atLeast"/>
        <w:ind w:firstLine="480"/>
        <w:jc w:val="left"/>
        <w:rPr>
          <w:rFonts w:ascii="宋体" w:hAnsi="宋体" w:cs="Helvetica"/>
          <w:kern w:val="0"/>
          <w:sz w:val="24"/>
        </w:rPr>
      </w:pPr>
      <w:r>
        <w:rPr>
          <w:rFonts w:hint="eastAsia" w:ascii="宋体" w:hAnsi="宋体" w:cs="Helvetica"/>
          <w:kern w:val="0"/>
          <w:sz w:val="24"/>
        </w:rPr>
        <w:t>1.满足《中华人民共和国政府采购法》第二十二条规定;</w:t>
      </w:r>
    </w:p>
    <w:p w14:paraId="50A2E97B">
      <w:pPr>
        <w:widowControl/>
        <w:spacing w:line="510" w:lineRule="atLeast"/>
        <w:ind w:firstLine="480"/>
        <w:jc w:val="left"/>
        <w:rPr>
          <w:rFonts w:hint="eastAsia" w:ascii="宋体" w:hAnsi="宋体" w:cs="Helvetica"/>
          <w:kern w:val="0"/>
          <w:sz w:val="24"/>
        </w:rPr>
      </w:pPr>
      <w:r>
        <w:rPr>
          <w:rFonts w:hint="eastAsia" w:ascii="宋体" w:hAnsi="宋体" w:cs="Helvetica"/>
          <w:kern w:val="0"/>
          <w:sz w:val="24"/>
        </w:rPr>
        <w:t>1.1</w:t>
      </w:r>
      <w:r>
        <w:rPr>
          <w:rFonts w:hint="eastAsia" w:ascii="宋体" w:hAnsi="宋体" w:eastAsia="宋体" w:cs="Sweetie"/>
          <w:color w:val="auto"/>
          <w:kern w:val="0"/>
          <w:sz w:val="24"/>
          <w:highlight w:val="none"/>
          <w:lang w:val="en-US" w:eastAsia="zh-CN"/>
        </w:rPr>
        <w:t>营业执照等主体资格证明文件：提供有效存续的企业营业执照（副本）/事业单位法人证书/专业服务机构执业许可证/民办非企业单位登记证书等主体资格证明文件，自然人提供身份证明。</w:t>
      </w:r>
    </w:p>
    <w:p w14:paraId="79DEFB71">
      <w:pPr>
        <w:widowControl/>
        <w:spacing w:line="510" w:lineRule="atLeast"/>
        <w:ind w:firstLine="480"/>
        <w:jc w:val="left"/>
        <w:rPr>
          <w:rFonts w:ascii="宋体" w:hAnsi="宋体" w:cs="Helvetica"/>
          <w:kern w:val="0"/>
          <w:sz w:val="24"/>
        </w:rPr>
      </w:pPr>
      <w:r>
        <w:rPr>
          <w:rFonts w:hint="eastAsia" w:ascii="宋体" w:hAnsi="宋体" w:cs="Helvetica"/>
          <w:kern w:val="0"/>
          <w:sz w:val="24"/>
        </w:rPr>
        <w:t>1.2财务状况报告：</w:t>
      </w:r>
      <w:r>
        <w:rPr>
          <w:rFonts w:hint="eastAsia" w:ascii="宋体" w:hAnsi="宋体" w:eastAsia="宋体" w:cs="Helvetica"/>
          <w:kern w:val="0"/>
          <w:sz w:val="24"/>
          <w:highlight w:val="none"/>
          <w:lang w:eastAsia="zh-CN"/>
        </w:rPr>
        <w:t>提供</w:t>
      </w:r>
      <w:r>
        <w:rPr>
          <w:rFonts w:hint="eastAsia" w:ascii="宋体" w:hAnsi="宋体" w:cs="Helvetica"/>
          <w:kern w:val="0"/>
          <w:sz w:val="24"/>
          <w:highlight w:val="none"/>
          <w:lang w:val="en-US" w:eastAsia="zh-CN"/>
        </w:rPr>
        <w:t>2024年度或</w:t>
      </w:r>
      <w:r>
        <w:rPr>
          <w:rFonts w:hint="eastAsia" w:ascii="宋体" w:hAnsi="宋体" w:eastAsia="宋体" w:cs="Helvetica"/>
          <w:kern w:val="0"/>
          <w:sz w:val="24"/>
          <w:highlight w:val="none"/>
          <w:lang w:eastAsia="zh-CN"/>
        </w:rPr>
        <w:t>2025年度经审计的财务报告，报告须具有注册会计师行业统一监管平台赋予的验证码(成立时间至提交</w:t>
      </w:r>
      <w:r>
        <w:rPr>
          <w:rFonts w:hint="eastAsia" w:ascii="宋体" w:hAnsi="宋体" w:cs="Helvetica"/>
          <w:kern w:val="0"/>
          <w:sz w:val="24"/>
          <w:highlight w:val="none"/>
          <w:lang w:val="en-US" w:eastAsia="zh-CN"/>
        </w:rPr>
        <w:t>响应</w:t>
      </w:r>
      <w:r>
        <w:rPr>
          <w:rFonts w:hint="eastAsia" w:ascii="宋体" w:hAnsi="宋体" w:eastAsia="宋体" w:cs="Helvetica"/>
          <w:kern w:val="0"/>
          <w:sz w:val="24"/>
          <w:highlight w:val="none"/>
          <w:lang w:eastAsia="zh-CN"/>
        </w:rPr>
        <w:t>文件截止时间不足一年的可提供成立后任意时段的资产负债表)，或其开标前三个月内基本开户银行出具的资信证明，或信用担保机构出具的投标担保函(以上三种形式的资料提供任何一种即可)。</w:t>
      </w:r>
    </w:p>
    <w:p w14:paraId="0050DBB3">
      <w:pPr>
        <w:widowControl/>
        <w:spacing w:line="510" w:lineRule="atLeast"/>
        <w:ind w:firstLine="480"/>
        <w:jc w:val="left"/>
        <w:rPr>
          <w:rFonts w:ascii="宋体" w:hAnsi="宋体" w:cs="Helvetica"/>
          <w:kern w:val="0"/>
          <w:sz w:val="24"/>
        </w:rPr>
      </w:pPr>
      <w:r>
        <w:rPr>
          <w:rFonts w:hint="eastAsia" w:ascii="宋体" w:hAnsi="宋体" w:cs="Helvetica"/>
          <w:kern w:val="0"/>
          <w:sz w:val="24"/>
        </w:rPr>
        <w:t>1.3书面声明：提供书面声明，包括声明具有履行合同所必需的设备和专业技术能力。</w:t>
      </w:r>
    </w:p>
    <w:p w14:paraId="29617FE8">
      <w:pPr>
        <w:widowControl/>
        <w:spacing w:line="510" w:lineRule="atLeast"/>
        <w:ind w:firstLine="480"/>
        <w:jc w:val="left"/>
        <w:rPr>
          <w:rFonts w:ascii="宋体" w:hAnsi="宋体" w:cs="Helvetica"/>
          <w:kern w:val="0"/>
          <w:sz w:val="24"/>
        </w:rPr>
      </w:pPr>
      <w:r>
        <w:rPr>
          <w:rFonts w:hint="eastAsia" w:ascii="宋体" w:hAnsi="宋体" w:cs="Helvetica"/>
          <w:kern w:val="0"/>
          <w:sz w:val="24"/>
        </w:rPr>
        <w:t>1.4社保缴纳证明：提供递交响应文件截止之日前一年内任意一个月的社会保障资金缴存单据或社保机构开具的社会保险参保缴费情况证明。依法不需要缴纳社会保障资金的供应商应提供相关文件证明。</w:t>
      </w:r>
    </w:p>
    <w:p w14:paraId="4DD8D36D">
      <w:pPr>
        <w:widowControl/>
        <w:spacing w:line="510" w:lineRule="atLeast"/>
        <w:ind w:firstLine="480"/>
        <w:jc w:val="left"/>
        <w:rPr>
          <w:rFonts w:ascii="宋体" w:hAnsi="宋体" w:cs="Helvetica"/>
          <w:kern w:val="0"/>
          <w:sz w:val="24"/>
        </w:rPr>
      </w:pPr>
      <w:r>
        <w:rPr>
          <w:rFonts w:hint="eastAsia" w:ascii="宋体" w:hAnsi="宋体" w:cs="Helvetica"/>
          <w:kern w:val="0"/>
          <w:sz w:val="24"/>
        </w:rPr>
        <w:t>1.5税收缴纳证明：提供递交响应文件截止之日前一年内任意一个月的依法缴纳税收的相关凭据（时间以税款所属日期为准），凭据应有税务机关或代收机关的公章或业务专用章。依法免税或无须缴纳税收的供应商，应提供相应证明文件。</w:t>
      </w:r>
    </w:p>
    <w:p w14:paraId="3515C8E9">
      <w:pPr>
        <w:widowControl/>
        <w:spacing w:line="510" w:lineRule="atLeast"/>
        <w:ind w:firstLine="480"/>
        <w:jc w:val="left"/>
        <w:rPr>
          <w:rFonts w:ascii="宋体" w:hAnsi="宋体" w:cs="Helvetica"/>
          <w:kern w:val="0"/>
          <w:sz w:val="24"/>
        </w:rPr>
      </w:pPr>
      <w:r>
        <w:rPr>
          <w:rFonts w:hint="eastAsia" w:ascii="宋体" w:hAnsi="宋体" w:cs="Helvetica"/>
          <w:kern w:val="0"/>
          <w:sz w:val="24"/>
        </w:rPr>
        <w:t>1.6近三年无重大违法、违纪书面声明：提供《近三年无重大违法、违纪书面声明》。</w:t>
      </w:r>
    </w:p>
    <w:p w14:paraId="55C3607C">
      <w:pPr>
        <w:widowControl/>
        <w:spacing w:line="510" w:lineRule="atLeast"/>
        <w:ind w:firstLine="480"/>
        <w:jc w:val="left"/>
        <w:rPr>
          <w:rFonts w:hint="eastAsia" w:ascii="宋体" w:hAnsi="宋体" w:eastAsia="宋体" w:cs="Helvetica"/>
          <w:color w:val="auto"/>
          <w:kern w:val="0"/>
          <w:sz w:val="24"/>
          <w:highlight w:val="none"/>
        </w:rPr>
      </w:pPr>
      <w:r>
        <w:rPr>
          <w:rFonts w:hint="eastAsia" w:ascii="宋体" w:hAnsi="宋体" w:eastAsia="宋体" w:cs="Helvetica"/>
          <w:color w:val="auto"/>
          <w:kern w:val="0"/>
          <w:sz w:val="24"/>
          <w:highlight w:val="none"/>
        </w:rPr>
        <w:t>2.落实政府采购政策需满足的资格要求：</w:t>
      </w:r>
    </w:p>
    <w:p w14:paraId="5BCE94D6">
      <w:pPr>
        <w:widowControl/>
        <w:spacing w:line="510" w:lineRule="atLeast"/>
        <w:ind w:firstLine="480"/>
        <w:jc w:val="left"/>
        <w:rPr>
          <w:rFonts w:hint="eastAsia" w:ascii="宋体" w:hAnsi="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无。</w:t>
      </w:r>
    </w:p>
    <w:p w14:paraId="522BAE66">
      <w:pPr>
        <w:widowControl/>
        <w:spacing w:line="510" w:lineRule="atLeast"/>
        <w:ind w:firstLine="480"/>
        <w:jc w:val="left"/>
        <w:rPr>
          <w:rFonts w:ascii="宋体" w:hAnsi="宋体" w:cs="Helvetica"/>
          <w:kern w:val="0"/>
          <w:sz w:val="24"/>
        </w:rPr>
      </w:pPr>
      <w:r>
        <w:rPr>
          <w:rFonts w:hint="eastAsia" w:ascii="宋体" w:hAnsi="宋体" w:cs="Helvetica"/>
          <w:kern w:val="0"/>
          <w:sz w:val="24"/>
        </w:rPr>
        <w:t>3.本项目的特定资格要求：</w:t>
      </w:r>
    </w:p>
    <w:p w14:paraId="133510D3">
      <w:pPr>
        <w:widowControl/>
        <w:spacing w:line="510" w:lineRule="atLeast"/>
        <w:ind w:firstLine="480"/>
        <w:jc w:val="left"/>
        <w:rPr>
          <w:rFonts w:ascii="宋体" w:hAnsi="宋体" w:cs="Helvetica"/>
          <w:kern w:val="0"/>
          <w:sz w:val="24"/>
        </w:rPr>
      </w:pPr>
      <w:r>
        <w:rPr>
          <w:rFonts w:hint="eastAsia" w:ascii="宋体" w:hAnsi="宋体" w:cs="Helvetica"/>
          <w:kern w:val="0"/>
          <w:sz w:val="24"/>
        </w:rPr>
        <w:t>3.1信用记录：供应商未被列入“信用中国”网站记录的“失信被执行人”或“重大税收违法失信主体”名单；不处于“中国政府采购网”记录的“政府采购严重违法失信行为记录名单”中的禁止参加政府采购活动期间。（以采购人或采购代理机构开标当天查询结果为准）；</w:t>
      </w:r>
    </w:p>
    <w:p w14:paraId="37E2DA0C">
      <w:pPr>
        <w:widowControl/>
        <w:spacing w:line="510" w:lineRule="atLeast"/>
        <w:ind w:firstLine="480"/>
        <w:jc w:val="left"/>
        <w:rPr>
          <w:rFonts w:ascii="宋体" w:hAnsi="宋体" w:cs="Helvetica"/>
          <w:kern w:val="0"/>
          <w:sz w:val="24"/>
        </w:rPr>
      </w:pPr>
      <w:r>
        <w:rPr>
          <w:rFonts w:hint="eastAsia" w:ascii="宋体" w:hAnsi="宋体" w:cs="Helvetica"/>
          <w:kern w:val="0"/>
          <w:sz w:val="24"/>
        </w:rPr>
        <w:t>3.2控股管理关系：提供直接控股和管理关系清单。若与其他供应商存在单位负责人为同一人或者存在直接控股、管理关系的，则响应无效。</w:t>
      </w:r>
    </w:p>
    <w:p w14:paraId="5AE15D0F">
      <w:pPr>
        <w:widowControl/>
        <w:spacing w:line="510" w:lineRule="atLeast"/>
        <w:ind w:firstLine="480"/>
        <w:jc w:val="left"/>
        <w:rPr>
          <w:rFonts w:ascii="宋体" w:hAnsi="宋体" w:cs="Helvetica"/>
          <w:kern w:val="0"/>
          <w:sz w:val="24"/>
        </w:rPr>
      </w:pPr>
      <w:r>
        <w:rPr>
          <w:rFonts w:hint="eastAsia" w:ascii="宋体" w:hAnsi="宋体" w:cs="Helvetica"/>
          <w:kern w:val="0"/>
          <w:sz w:val="24"/>
        </w:rPr>
        <w:t>3.3法定代表人授权委托书：法定代表人参加磋商的，须提供本人身份证复印件（附在响应文件中）；法定代表人授权他人参加磋商的，须提供法定代表人授权委托书。磋商文件中凡是需要法定代表人盖章之处，非法人单位的负责人均参照执行。法人的分支机构参与磋商时，除提供《法定代表人授权委托书》外，还须同时提供法人给分支机构出具的授权书。</w:t>
      </w:r>
    </w:p>
    <w:p w14:paraId="37F299ED">
      <w:pPr>
        <w:widowControl/>
        <w:spacing w:line="510" w:lineRule="atLeast"/>
        <w:ind w:firstLine="480"/>
        <w:jc w:val="left"/>
        <w:rPr>
          <w:rFonts w:ascii="宋体" w:hAnsi="宋体" w:cs="Helvetica"/>
          <w:kern w:val="0"/>
          <w:sz w:val="24"/>
        </w:rPr>
      </w:pPr>
      <w:r>
        <w:rPr>
          <w:rFonts w:hint="eastAsia" w:ascii="宋体" w:hAnsi="宋体" w:cs="Helvetica"/>
          <w:kern w:val="0"/>
          <w:sz w:val="24"/>
        </w:rPr>
        <w:t>3.4本项目不接受联合体磋商，不允许分包。供应商应提供《非联合体不分包磋商声明》，视为独立磋商，不分包。</w:t>
      </w:r>
    </w:p>
    <w:p w14:paraId="2C7E86DD">
      <w:pPr>
        <w:widowControl/>
        <w:spacing w:line="510" w:lineRule="atLeast"/>
        <w:ind w:firstLine="480"/>
        <w:jc w:val="left"/>
        <w:rPr>
          <w:rFonts w:ascii="宋体" w:hAnsi="宋体" w:cs="Helvetica"/>
          <w:b/>
          <w:bCs/>
          <w:kern w:val="0"/>
          <w:sz w:val="24"/>
        </w:rPr>
      </w:pPr>
      <w:r>
        <w:rPr>
          <w:rFonts w:hint="eastAsia" w:ascii="宋体" w:hAnsi="宋体" w:cs="Helvetica"/>
          <w:b/>
          <w:bCs/>
          <w:kern w:val="0"/>
          <w:sz w:val="24"/>
        </w:rPr>
        <w:t>三、获取采购文件</w:t>
      </w:r>
    </w:p>
    <w:p w14:paraId="4F887CC7">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时间：2026年</w:t>
      </w:r>
      <w:r>
        <w:rPr>
          <w:rFonts w:hint="eastAsia" w:ascii="宋体" w:hAnsi="宋体" w:cs="Helvetica"/>
          <w:kern w:val="0"/>
          <w:sz w:val="24"/>
          <w:szCs w:val="21"/>
          <w:lang w:val="en-US" w:eastAsia="zh-CN"/>
        </w:rPr>
        <w:t>04</w:t>
      </w:r>
      <w:r>
        <w:rPr>
          <w:rFonts w:hint="eastAsia" w:ascii="宋体" w:hAnsi="宋体" w:cs="Helvetica"/>
          <w:kern w:val="0"/>
          <w:sz w:val="24"/>
          <w:szCs w:val="21"/>
        </w:rPr>
        <w:t>月</w:t>
      </w:r>
      <w:r>
        <w:rPr>
          <w:rFonts w:hint="eastAsia" w:ascii="宋体" w:hAnsi="宋体" w:cs="Helvetica"/>
          <w:kern w:val="0"/>
          <w:sz w:val="24"/>
          <w:szCs w:val="21"/>
          <w:lang w:val="en-US" w:eastAsia="zh-CN"/>
        </w:rPr>
        <w:t>22</w:t>
      </w:r>
      <w:r>
        <w:rPr>
          <w:rFonts w:hint="eastAsia" w:ascii="宋体" w:hAnsi="宋体" w:cs="Helvetica"/>
          <w:kern w:val="0"/>
          <w:sz w:val="24"/>
          <w:szCs w:val="21"/>
        </w:rPr>
        <w:t>日 至 2026年</w:t>
      </w:r>
      <w:r>
        <w:rPr>
          <w:rFonts w:hint="eastAsia" w:ascii="宋体" w:hAnsi="宋体" w:cs="Helvetica"/>
          <w:kern w:val="0"/>
          <w:sz w:val="24"/>
          <w:szCs w:val="21"/>
          <w:lang w:val="en-US" w:eastAsia="zh-CN"/>
        </w:rPr>
        <w:t>04</w:t>
      </w:r>
      <w:r>
        <w:rPr>
          <w:rFonts w:hint="eastAsia" w:ascii="宋体" w:hAnsi="宋体" w:cs="Helvetica"/>
          <w:kern w:val="0"/>
          <w:sz w:val="24"/>
          <w:szCs w:val="21"/>
        </w:rPr>
        <w:t>月</w:t>
      </w:r>
      <w:r>
        <w:rPr>
          <w:rFonts w:hint="eastAsia" w:ascii="宋体" w:hAnsi="宋体" w:cs="Helvetica"/>
          <w:kern w:val="0"/>
          <w:sz w:val="24"/>
          <w:szCs w:val="21"/>
          <w:lang w:val="en-US" w:eastAsia="zh-CN"/>
        </w:rPr>
        <w:t>29</w:t>
      </w:r>
      <w:r>
        <w:rPr>
          <w:rFonts w:hint="eastAsia" w:ascii="宋体" w:hAnsi="宋体" w:cs="Helvetica"/>
          <w:kern w:val="0"/>
          <w:sz w:val="24"/>
          <w:szCs w:val="21"/>
        </w:rPr>
        <w:t>日 ，每天上午 0</w:t>
      </w:r>
      <w:r>
        <w:rPr>
          <w:rFonts w:hint="eastAsia" w:ascii="宋体" w:hAnsi="宋体" w:cs="Helvetica"/>
          <w:kern w:val="0"/>
          <w:sz w:val="24"/>
          <w:szCs w:val="21"/>
          <w:lang w:val="en-US" w:eastAsia="zh-CN"/>
        </w:rPr>
        <w:t>9</w:t>
      </w:r>
      <w:r>
        <w:rPr>
          <w:rFonts w:hint="eastAsia" w:ascii="宋体" w:hAnsi="宋体" w:cs="Helvetica"/>
          <w:kern w:val="0"/>
          <w:sz w:val="24"/>
          <w:szCs w:val="21"/>
        </w:rPr>
        <w:t>:00:00 至 12:00:00 ，下午 14:00:00 至 17:00:00 （北京时间）</w:t>
      </w:r>
    </w:p>
    <w:p w14:paraId="4401ADBA">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途径：</w:t>
      </w:r>
      <w:r>
        <w:rPr>
          <w:rFonts w:hint="eastAsia" w:ascii="宋体" w:hAnsi="宋体"/>
          <w:sz w:val="24"/>
        </w:rPr>
        <w:t>陕西省西安市高新区丈八一路1号汇鑫中心D座2206室携带单位介绍信、身份证原件及复印件</w:t>
      </w:r>
      <w:r>
        <w:rPr>
          <w:rFonts w:hint="eastAsia" w:ascii="宋体" w:hAnsi="宋体" w:cs="Helvetica"/>
          <w:kern w:val="0"/>
          <w:sz w:val="24"/>
          <w:szCs w:val="21"/>
        </w:rPr>
        <w:t>获取</w:t>
      </w:r>
    </w:p>
    <w:p w14:paraId="733D92E4">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方式：现场获取</w:t>
      </w:r>
    </w:p>
    <w:p w14:paraId="541D3E30">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售价：500元</w:t>
      </w:r>
    </w:p>
    <w:p w14:paraId="68B71F76">
      <w:pPr>
        <w:widowControl/>
        <w:spacing w:line="510" w:lineRule="atLeast"/>
        <w:ind w:firstLine="480"/>
        <w:jc w:val="left"/>
        <w:rPr>
          <w:rStyle w:val="30"/>
          <w:highlight w:val="none"/>
        </w:rPr>
      </w:pPr>
      <w:r>
        <w:rPr>
          <w:rFonts w:hint="eastAsia"/>
          <w:b/>
          <w:bCs/>
          <w:sz w:val="24"/>
          <w:highlight w:val="none"/>
        </w:rPr>
        <w:t>注：</w:t>
      </w:r>
      <w:r>
        <w:rPr>
          <w:rStyle w:val="30"/>
          <w:rFonts w:hint="eastAsia"/>
          <w:highlight w:val="none"/>
        </w:rPr>
        <w:t>请供应商按照陕西省财政厅关于政府采购供应商注册登记有关事项的通知中的要求，通过陕西省政府采购网（http://www.ccgp-shaanxi.gov.cn/）注册登记加入陕西省政府采购供应商库。</w:t>
      </w:r>
    </w:p>
    <w:p w14:paraId="3CF0142D">
      <w:pPr>
        <w:widowControl/>
        <w:spacing w:line="510" w:lineRule="atLeast"/>
        <w:ind w:firstLine="480"/>
        <w:jc w:val="left"/>
        <w:rPr>
          <w:rFonts w:ascii="宋体" w:hAnsi="宋体" w:cs="Helvetica"/>
          <w:b/>
          <w:bCs/>
          <w:kern w:val="0"/>
          <w:sz w:val="24"/>
          <w:highlight w:val="none"/>
        </w:rPr>
      </w:pPr>
      <w:r>
        <w:rPr>
          <w:rFonts w:hint="eastAsia" w:ascii="宋体" w:hAnsi="宋体" w:cs="Helvetica"/>
          <w:b/>
          <w:bCs/>
          <w:kern w:val="0"/>
          <w:sz w:val="24"/>
          <w:highlight w:val="none"/>
        </w:rPr>
        <w:t>四、响应文件提交</w:t>
      </w:r>
    </w:p>
    <w:p w14:paraId="13335F09">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截止时间： 2026年</w:t>
      </w:r>
      <w:r>
        <w:rPr>
          <w:rFonts w:hint="eastAsia" w:ascii="宋体" w:hAnsi="宋体" w:cs="Helvetica"/>
          <w:kern w:val="0"/>
          <w:sz w:val="24"/>
          <w:szCs w:val="21"/>
          <w:lang w:val="en-US" w:eastAsia="zh-CN"/>
        </w:rPr>
        <w:t>05</w:t>
      </w:r>
      <w:r>
        <w:rPr>
          <w:rFonts w:hint="eastAsia" w:ascii="宋体" w:hAnsi="宋体" w:cs="Helvetica"/>
          <w:kern w:val="0"/>
          <w:sz w:val="24"/>
          <w:szCs w:val="21"/>
        </w:rPr>
        <w:t>月</w:t>
      </w:r>
      <w:r>
        <w:rPr>
          <w:rFonts w:hint="eastAsia" w:ascii="宋体" w:hAnsi="宋体" w:cs="Helvetica"/>
          <w:kern w:val="0"/>
          <w:sz w:val="24"/>
          <w:szCs w:val="21"/>
          <w:lang w:val="en-US" w:eastAsia="zh-CN"/>
        </w:rPr>
        <w:t>09</w:t>
      </w:r>
      <w:r>
        <w:rPr>
          <w:rFonts w:hint="eastAsia" w:ascii="宋体" w:hAnsi="宋体" w:cs="Helvetica"/>
          <w:kern w:val="0"/>
          <w:sz w:val="24"/>
          <w:szCs w:val="21"/>
        </w:rPr>
        <w:t xml:space="preserve">日 </w:t>
      </w:r>
      <w:r>
        <w:rPr>
          <w:rFonts w:hint="eastAsia" w:ascii="宋体" w:hAnsi="宋体" w:cs="Helvetica"/>
          <w:kern w:val="0"/>
          <w:sz w:val="24"/>
          <w:szCs w:val="21"/>
          <w:lang w:val="en-US" w:eastAsia="zh-CN"/>
        </w:rPr>
        <w:t>09</w:t>
      </w:r>
      <w:r>
        <w:rPr>
          <w:rFonts w:hint="eastAsia" w:ascii="宋体" w:hAnsi="宋体" w:cs="Helvetica"/>
          <w:kern w:val="0"/>
          <w:sz w:val="24"/>
          <w:szCs w:val="21"/>
        </w:rPr>
        <w:t>时</w:t>
      </w:r>
      <w:r>
        <w:rPr>
          <w:rFonts w:hint="eastAsia" w:ascii="宋体" w:hAnsi="宋体" w:cs="Helvetica"/>
          <w:kern w:val="0"/>
          <w:sz w:val="24"/>
          <w:szCs w:val="21"/>
          <w:lang w:val="en-US" w:eastAsia="zh-CN"/>
        </w:rPr>
        <w:t>30</w:t>
      </w:r>
      <w:r>
        <w:rPr>
          <w:rFonts w:hint="eastAsia" w:ascii="宋体" w:hAnsi="宋体" w:cs="Helvetica"/>
          <w:kern w:val="0"/>
          <w:sz w:val="24"/>
          <w:szCs w:val="21"/>
        </w:rPr>
        <w:t>分00秒 （北京时间）</w:t>
      </w:r>
    </w:p>
    <w:p w14:paraId="51CF2C84">
      <w:pPr>
        <w:widowControl/>
        <w:spacing w:line="510" w:lineRule="atLeast"/>
        <w:ind w:firstLine="480"/>
        <w:jc w:val="left"/>
        <w:rPr>
          <w:rFonts w:ascii="宋体" w:hAnsi="宋体"/>
          <w:sz w:val="24"/>
        </w:rPr>
      </w:pPr>
      <w:r>
        <w:rPr>
          <w:rFonts w:hint="eastAsia" w:ascii="宋体" w:hAnsi="宋体" w:cs="Helvetica"/>
          <w:kern w:val="0"/>
          <w:sz w:val="24"/>
          <w:szCs w:val="21"/>
        </w:rPr>
        <w:t>地点：</w:t>
      </w:r>
      <w:r>
        <w:rPr>
          <w:rFonts w:hint="eastAsia" w:ascii="宋体" w:hAnsi="宋体"/>
          <w:sz w:val="24"/>
        </w:rPr>
        <w:t>陕西省西安市高新区丈八一路1号汇鑫中心D座2206室陕西德勤招标有限公司第一会议室</w:t>
      </w:r>
    </w:p>
    <w:p w14:paraId="221CD0CB">
      <w:pPr>
        <w:widowControl/>
        <w:spacing w:line="510" w:lineRule="atLeast"/>
        <w:ind w:firstLine="480"/>
        <w:jc w:val="left"/>
        <w:rPr>
          <w:rFonts w:ascii="宋体" w:hAnsi="宋体" w:cs="Helvetica"/>
          <w:b/>
          <w:bCs/>
          <w:kern w:val="0"/>
          <w:sz w:val="24"/>
        </w:rPr>
      </w:pPr>
      <w:r>
        <w:rPr>
          <w:rFonts w:hint="eastAsia" w:ascii="宋体" w:hAnsi="宋体" w:cs="Helvetica"/>
          <w:b/>
          <w:bCs/>
          <w:kern w:val="0"/>
          <w:sz w:val="24"/>
        </w:rPr>
        <w:t>五、开启</w:t>
      </w:r>
    </w:p>
    <w:p w14:paraId="3CFD1DC0">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时间： 2026年</w:t>
      </w:r>
      <w:r>
        <w:rPr>
          <w:rFonts w:hint="eastAsia" w:ascii="宋体" w:hAnsi="宋体" w:cs="Helvetica"/>
          <w:kern w:val="0"/>
          <w:sz w:val="24"/>
          <w:szCs w:val="21"/>
          <w:lang w:val="en-US" w:eastAsia="zh-CN"/>
        </w:rPr>
        <w:t>05</w:t>
      </w:r>
      <w:r>
        <w:rPr>
          <w:rFonts w:hint="eastAsia" w:ascii="宋体" w:hAnsi="宋体" w:cs="Helvetica"/>
          <w:kern w:val="0"/>
          <w:sz w:val="24"/>
          <w:szCs w:val="21"/>
        </w:rPr>
        <w:t>月</w:t>
      </w:r>
      <w:r>
        <w:rPr>
          <w:rFonts w:hint="eastAsia" w:ascii="宋体" w:hAnsi="宋体" w:cs="Helvetica"/>
          <w:kern w:val="0"/>
          <w:sz w:val="24"/>
          <w:szCs w:val="21"/>
          <w:lang w:val="en-US" w:eastAsia="zh-CN"/>
        </w:rPr>
        <w:t>09</w:t>
      </w:r>
      <w:r>
        <w:rPr>
          <w:rFonts w:hint="eastAsia" w:ascii="宋体" w:hAnsi="宋体" w:cs="Helvetica"/>
          <w:kern w:val="0"/>
          <w:sz w:val="24"/>
          <w:szCs w:val="21"/>
        </w:rPr>
        <w:t xml:space="preserve">日 </w:t>
      </w:r>
      <w:r>
        <w:rPr>
          <w:rFonts w:hint="eastAsia" w:ascii="宋体" w:hAnsi="宋体" w:cs="Helvetica"/>
          <w:kern w:val="0"/>
          <w:sz w:val="24"/>
          <w:szCs w:val="21"/>
          <w:lang w:val="en-US" w:eastAsia="zh-CN"/>
        </w:rPr>
        <w:t>09</w:t>
      </w:r>
      <w:r>
        <w:rPr>
          <w:rFonts w:hint="eastAsia" w:ascii="宋体" w:hAnsi="宋体" w:cs="Helvetica"/>
          <w:kern w:val="0"/>
          <w:sz w:val="24"/>
          <w:szCs w:val="21"/>
        </w:rPr>
        <w:t>时</w:t>
      </w:r>
      <w:r>
        <w:rPr>
          <w:rFonts w:hint="eastAsia" w:ascii="宋体" w:hAnsi="宋体" w:cs="Helvetica"/>
          <w:kern w:val="0"/>
          <w:sz w:val="24"/>
          <w:szCs w:val="21"/>
          <w:lang w:val="en-US" w:eastAsia="zh-CN"/>
        </w:rPr>
        <w:t>30</w:t>
      </w:r>
      <w:r>
        <w:rPr>
          <w:rFonts w:hint="eastAsia" w:ascii="宋体" w:hAnsi="宋体" w:cs="Helvetica"/>
          <w:kern w:val="0"/>
          <w:sz w:val="24"/>
          <w:szCs w:val="21"/>
        </w:rPr>
        <w:t>分00秒  （北京时间）</w:t>
      </w:r>
    </w:p>
    <w:p w14:paraId="41F54ABD">
      <w:pPr>
        <w:widowControl/>
        <w:spacing w:line="510" w:lineRule="atLeast"/>
        <w:ind w:firstLine="480"/>
        <w:jc w:val="left"/>
        <w:rPr>
          <w:rFonts w:ascii="宋体" w:hAnsi="宋体"/>
          <w:sz w:val="24"/>
        </w:rPr>
      </w:pPr>
      <w:r>
        <w:rPr>
          <w:rFonts w:hint="eastAsia" w:ascii="宋体" w:hAnsi="宋体" w:cs="Helvetica"/>
          <w:kern w:val="0"/>
          <w:sz w:val="24"/>
          <w:szCs w:val="21"/>
        </w:rPr>
        <w:t>地点：</w:t>
      </w:r>
      <w:r>
        <w:rPr>
          <w:rFonts w:hint="eastAsia" w:ascii="宋体" w:hAnsi="宋体"/>
          <w:sz w:val="24"/>
        </w:rPr>
        <w:t>陕西省西安市高新区丈八一路1号汇鑫中心D座2206室陕西德勤招标有限公司第一会议室</w:t>
      </w:r>
    </w:p>
    <w:p w14:paraId="2448AE66">
      <w:pPr>
        <w:widowControl/>
        <w:spacing w:line="510" w:lineRule="atLeast"/>
        <w:ind w:firstLine="480"/>
        <w:jc w:val="left"/>
        <w:rPr>
          <w:rFonts w:ascii="宋体" w:hAnsi="宋体" w:cs="Helvetica"/>
          <w:b/>
          <w:bCs/>
          <w:kern w:val="0"/>
          <w:sz w:val="24"/>
        </w:rPr>
      </w:pPr>
      <w:r>
        <w:rPr>
          <w:rFonts w:hint="eastAsia" w:ascii="宋体" w:hAnsi="宋体" w:cs="Helvetica"/>
          <w:b/>
          <w:bCs/>
          <w:kern w:val="0"/>
          <w:sz w:val="24"/>
        </w:rPr>
        <w:t>六、公告期限</w:t>
      </w:r>
    </w:p>
    <w:p w14:paraId="7BD60D44">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自本公告发布之日起3个工作日。</w:t>
      </w:r>
    </w:p>
    <w:p w14:paraId="4F3200AA">
      <w:pPr>
        <w:widowControl/>
        <w:spacing w:line="510" w:lineRule="atLeast"/>
        <w:ind w:firstLine="480"/>
        <w:jc w:val="left"/>
        <w:rPr>
          <w:rFonts w:ascii="宋体" w:hAnsi="宋体" w:cs="Helvetica"/>
          <w:b/>
          <w:bCs/>
          <w:kern w:val="0"/>
          <w:sz w:val="24"/>
        </w:rPr>
      </w:pPr>
      <w:r>
        <w:rPr>
          <w:rFonts w:hint="eastAsia" w:ascii="宋体" w:hAnsi="宋体" w:cs="Helvetica"/>
          <w:b/>
          <w:bCs/>
          <w:kern w:val="0"/>
          <w:sz w:val="24"/>
        </w:rPr>
        <w:t>七、其他补充事宜</w:t>
      </w:r>
    </w:p>
    <w:p w14:paraId="537EA9B0">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需落实的政府采购政策：</w:t>
      </w:r>
    </w:p>
    <w:p w14:paraId="6CD52D78">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（1）《政府采购促进中小企业发展管理办法》的通知--财库〔2020〕46号</w:t>
      </w:r>
    </w:p>
    <w:p w14:paraId="3C937B4D">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（2）财政部司法部关于政府采购支持监狱企业发展有关问题的通知--财库[2014]68号</w:t>
      </w:r>
    </w:p>
    <w:p w14:paraId="6470F89D">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）《关于促进残疾人就业政府采购政策的通知》财库[2017]141号</w:t>
      </w:r>
    </w:p>
    <w:p w14:paraId="78F8C643">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4</w:t>
      </w:r>
      <w:r>
        <w:rPr>
          <w:rFonts w:hint="eastAsia" w:ascii="宋体" w:hAnsi="宋体" w:eastAsia="宋体"/>
          <w:sz w:val="24"/>
          <w:highlight w:val="none"/>
          <w:lang w:eastAsia="zh-CN"/>
        </w:rPr>
        <w:t>）《陕西省财政厅关于加快推进我省中小企业政府采购信用融资工作的通知》（陕财办采〔2020〕15 号）</w:t>
      </w:r>
    </w:p>
    <w:p w14:paraId="3AF3A4DD">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5</w:t>
      </w:r>
      <w:r>
        <w:rPr>
          <w:rFonts w:hint="eastAsia" w:ascii="宋体" w:hAnsi="宋体" w:eastAsia="宋体"/>
          <w:sz w:val="24"/>
          <w:highlight w:val="none"/>
          <w:lang w:eastAsia="zh-CN"/>
        </w:rPr>
        <w:t>）《陕西省中小企业政府采购信用融资办法》陕财办采〔2018〕23号</w:t>
      </w:r>
    </w:p>
    <w:p w14:paraId="4725A343">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6</w:t>
      </w:r>
      <w:r>
        <w:rPr>
          <w:rFonts w:hint="eastAsia" w:ascii="宋体" w:hAnsi="宋体" w:eastAsia="宋体"/>
          <w:sz w:val="24"/>
          <w:highlight w:val="none"/>
          <w:lang w:eastAsia="zh-CN"/>
        </w:rPr>
        <w:t>）《关于运用政府采购政策支持乡村产业振兴的通知》（财库〔2021〕19 号）</w:t>
      </w:r>
    </w:p>
    <w:p w14:paraId="4B7EBBE3">
      <w:pPr>
        <w:topLinePunct/>
        <w:spacing w:line="360" w:lineRule="auto"/>
        <w:ind w:firstLine="600" w:firstLineChars="25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sz w:val="24"/>
          <w:highlight w:val="none"/>
          <w:lang w:val="en-US" w:eastAsia="zh-CN"/>
        </w:rPr>
        <w:t>7</w:t>
      </w:r>
      <w:r>
        <w:rPr>
          <w:rFonts w:hint="eastAsia" w:ascii="宋体" w:hAnsi="宋体" w:eastAsia="宋体"/>
          <w:sz w:val="24"/>
          <w:highlight w:val="none"/>
          <w:lang w:eastAsia="zh-CN"/>
        </w:rPr>
        <w:t>）《关于推动解决政府采购异常低价问题的通知》（财库〔2026〕2号）。</w:t>
      </w:r>
    </w:p>
    <w:p w14:paraId="32FD72EE">
      <w:pPr>
        <w:widowControl/>
        <w:spacing w:line="510" w:lineRule="atLeast"/>
        <w:ind w:firstLine="480"/>
        <w:jc w:val="left"/>
        <w:rPr>
          <w:rFonts w:ascii="宋体" w:hAnsi="宋体" w:cs="Helvetica"/>
          <w:kern w:val="0"/>
          <w:sz w:val="24"/>
          <w:szCs w:val="21"/>
        </w:rPr>
      </w:pPr>
      <w:r>
        <w:rPr>
          <w:rFonts w:hint="eastAsia" w:ascii="宋体" w:hAnsi="宋体" w:eastAsia="宋体"/>
          <w:sz w:val="24"/>
          <w:highlight w:val="none"/>
          <w:lang w:eastAsia="zh-CN"/>
        </w:rPr>
        <w:t>（</w:t>
      </w:r>
      <w:r>
        <w:rPr>
          <w:rFonts w:hint="eastAsia" w:ascii="宋体" w:hAnsi="宋体"/>
          <w:sz w:val="24"/>
          <w:highlight w:val="none"/>
          <w:lang w:val="en-US" w:eastAsia="zh-CN"/>
        </w:rPr>
        <w:t>8</w:t>
      </w:r>
      <w:r>
        <w:rPr>
          <w:rFonts w:hint="eastAsia" w:ascii="宋体" w:hAnsi="宋体" w:eastAsia="宋体"/>
          <w:sz w:val="24"/>
          <w:highlight w:val="none"/>
          <w:lang w:eastAsia="zh-CN"/>
        </w:rPr>
        <w:t>）其他需要落实的政府采购政策。</w:t>
      </w:r>
    </w:p>
    <w:p w14:paraId="65414363">
      <w:pPr>
        <w:widowControl/>
        <w:spacing w:line="510" w:lineRule="atLeast"/>
        <w:ind w:firstLine="480"/>
        <w:jc w:val="left"/>
        <w:rPr>
          <w:rFonts w:ascii="宋体" w:hAnsi="宋体" w:cs="Helvetica"/>
          <w:b/>
          <w:bCs/>
          <w:kern w:val="0"/>
          <w:sz w:val="24"/>
        </w:rPr>
      </w:pPr>
      <w:r>
        <w:rPr>
          <w:rFonts w:hint="eastAsia" w:ascii="宋体" w:hAnsi="宋体" w:cs="Helvetica"/>
          <w:b/>
          <w:bCs/>
          <w:kern w:val="0"/>
          <w:sz w:val="24"/>
        </w:rPr>
        <w:t>八、对本次采购提出询问，请按以下方式联系。</w:t>
      </w:r>
    </w:p>
    <w:p w14:paraId="04C5742B">
      <w:pPr>
        <w:pStyle w:val="23"/>
        <w:shd w:val="clear" w:color="auto" w:fill="FFFFFF"/>
        <w:spacing w:before="0" w:beforeAutospacing="0" w:after="0" w:afterAutospacing="0" w:line="510" w:lineRule="atLeast"/>
        <w:ind w:firstLine="480"/>
        <w:rPr>
          <w:rFonts w:cs="Helvetica"/>
          <w:color w:val="auto"/>
          <w:szCs w:val="21"/>
        </w:rPr>
      </w:pPr>
      <w:r>
        <w:rPr>
          <w:rFonts w:hint="eastAsia" w:cs="Helvetica"/>
          <w:color w:val="auto"/>
          <w:szCs w:val="21"/>
        </w:rPr>
        <w:t>1.采购人信息：陕西省结核病防治院</w:t>
      </w:r>
    </w:p>
    <w:p w14:paraId="09EED90F">
      <w:pPr>
        <w:pStyle w:val="23"/>
        <w:shd w:val="clear" w:color="auto" w:fill="FFFFFF"/>
        <w:spacing w:before="0" w:beforeAutospacing="0" w:after="0" w:afterAutospacing="0" w:line="510" w:lineRule="atLeast"/>
        <w:ind w:firstLine="480"/>
        <w:rPr>
          <w:color w:val="auto"/>
          <w:highlight w:val="yellow"/>
        </w:rPr>
      </w:pPr>
      <w:r>
        <w:rPr>
          <w:rFonts w:hint="eastAsia"/>
          <w:color w:val="auto"/>
        </w:rPr>
        <w:t>地址：陕西省西安市长安区太乙宫镇上湾村甲字1号</w:t>
      </w:r>
    </w:p>
    <w:p w14:paraId="15548D71">
      <w:pPr>
        <w:pStyle w:val="23"/>
        <w:shd w:val="clear" w:color="auto" w:fill="FFFFFF"/>
        <w:spacing w:before="0" w:beforeAutospacing="0" w:after="0" w:afterAutospacing="0" w:line="510" w:lineRule="atLeast"/>
        <w:ind w:firstLine="480"/>
        <w:rPr>
          <w:color w:val="auto"/>
        </w:rPr>
      </w:pPr>
      <w:r>
        <w:rPr>
          <w:rFonts w:hint="eastAsia"/>
          <w:color w:val="auto"/>
        </w:rPr>
        <w:t>电话：029-85899294</w:t>
      </w:r>
    </w:p>
    <w:p w14:paraId="33CAE833">
      <w:pPr>
        <w:pStyle w:val="23"/>
        <w:shd w:val="clear" w:color="auto" w:fill="FFFFFF"/>
        <w:spacing w:before="0" w:beforeAutospacing="0" w:after="0" w:afterAutospacing="0" w:line="510" w:lineRule="atLeast"/>
        <w:ind w:firstLine="480"/>
        <w:rPr>
          <w:color w:val="auto"/>
        </w:rPr>
      </w:pPr>
      <w:r>
        <w:rPr>
          <w:rFonts w:hint="eastAsia"/>
          <w:color w:val="auto"/>
        </w:rPr>
        <w:t>2.采购代理机构信息</w:t>
      </w:r>
    </w:p>
    <w:p w14:paraId="07ACF00A">
      <w:pPr>
        <w:pStyle w:val="23"/>
        <w:shd w:val="clear" w:color="auto" w:fill="FFFFFF"/>
        <w:spacing w:before="0" w:beforeAutospacing="0" w:after="0" w:afterAutospacing="0" w:line="510" w:lineRule="atLeast"/>
        <w:ind w:firstLine="480"/>
        <w:rPr>
          <w:color w:val="auto"/>
        </w:rPr>
      </w:pPr>
      <w:r>
        <w:rPr>
          <w:color w:val="auto"/>
        </w:rPr>
        <w:t>名称：</w:t>
      </w:r>
      <w:r>
        <w:rPr>
          <w:rFonts w:hint="eastAsia"/>
          <w:color w:val="auto"/>
          <w:kern w:val="28"/>
        </w:rPr>
        <w:t>陕西德勤招标有限公司</w:t>
      </w:r>
    </w:p>
    <w:p w14:paraId="04C47FBE">
      <w:pPr>
        <w:pStyle w:val="23"/>
        <w:shd w:val="clear" w:color="auto" w:fill="FFFFFF"/>
        <w:spacing w:before="0" w:beforeAutospacing="0" w:after="0" w:afterAutospacing="0" w:line="510" w:lineRule="atLeast"/>
        <w:ind w:firstLine="480"/>
        <w:rPr>
          <w:color w:val="auto"/>
        </w:rPr>
      </w:pPr>
      <w:r>
        <w:rPr>
          <w:color w:val="auto"/>
        </w:rPr>
        <w:t>地址：</w:t>
      </w:r>
      <w:r>
        <w:rPr>
          <w:rFonts w:hint="eastAsia"/>
          <w:color w:val="auto"/>
          <w:kern w:val="28"/>
        </w:rPr>
        <w:t>陕西省西安市高新区丈八一路1号汇鑫中心D座2206室</w:t>
      </w:r>
    </w:p>
    <w:p w14:paraId="0CE45D87">
      <w:pPr>
        <w:pStyle w:val="23"/>
        <w:shd w:val="clear" w:color="auto" w:fill="FFFFFF"/>
        <w:spacing w:before="0" w:beforeAutospacing="0" w:after="0" w:afterAutospacing="0" w:line="510" w:lineRule="atLeast"/>
        <w:ind w:firstLine="480"/>
        <w:rPr>
          <w:color w:val="auto"/>
        </w:rPr>
      </w:pPr>
      <w:r>
        <w:rPr>
          <w:color w:val="auto"/>
        </w:rPr>
        <w:t>联系方式：029-8</w:t>
      </w:r>
      <w:r>
        <w:rPr>
          <w:rFonts w:hint="eastAsia"/>
          <w:color w:val="auto"/>
        </w:rPr>
        <w:t>1169855</w:t>
      </w:r>
    </w:p>
    <w:p w14:paraId="233DF6EF">
      <w:pPr>
        <w:widowControl/>
        <w:spacing w:line="510" w:lineRule="atLeast"/>
        <w:ind w:firstLine="480"/>
        <w:jc w:val="left"/>
        <w:rPr>
          <w:rFonts w:ascii="宋体" w:hAnsi="宋体" w:cs="Helvetica"/>
          <w:kern w:val="0"/>
          <w:sz w:val="24"/>
          <w:szCs w:val="21"/>
        </w:rPr>
      </w:pPr>
      <w:r>
        <w:rPr>
          <w:rFonts w:hint="eastAsia" w:ascii="宋体" w:hAnsi="宋体" w:cs="Helvetica"/>
          <w:kern w:val="0"/>
          <w:sz w:val="24"/>
          <w:szCs w:val="21"/>
        </w:rPr>
        <w:t>3.项目联系方式</w:t>
      </w:r>
    </w:p>
    <w:p w14:paraId="0A29FD7A">
      <w:pPr>
        <w:widowControl/>
        <w:spacing w:line="510" w:lineRule="atLeast"/>
        <w:ind w:firstLine="480"/>
        <w:jc w:val="left"/>
        <w:rPr>
          <w:rFonts w:ascii="宋体" w:hAnsi="宋体" w:cs="Helvetica"/>
          <w:kern w:val="0"/>
          <w:sz w:val="24"/>
          <w:szCs w:val="21"/>
        </w:rPr>
      </w:pPr>
      <w:r>
        <w:rPr>
          <w:rFonts w:ascii="宋体" w:hAnsi="宋体" w:cs="Helvetica"/>
          <w:kern w:val="0"/>
          <w:sz w:val="24"/>
          <w:szCs w:val="21"/>
        </w:rPr>
        <w:t>项目联系人：</w:t>
      </w:r>
      <w:r>
        <w:rPr>
          <w:rFonts w:hint="eastAsia" w:ascii="宋体" w:hAnsi="宋体" w:cs="Helvetica"/>
          <w:kern w:val="0"/>
          <w:sz w:val="24"/>
          <w:szCs w:val="21"/>
        </w:rPr>
        <w:t>贾旭鸣</w:t>
      </w:r>
    </w:p>
    <w:p w14:paraId="1A205A4C">
      <w:pPr>
        <w:widowControl/>
        <w:spacing w:line="510" w:lineRule="atLeast"/>
        <w:ind w:firstLine="480"/>
        <w:jc w:val="left"/>
        <w:rPr>
          <w:rFonts w:ascii="宋体" w:hAnsi="宋体" w:cs="Helvetica"/>
          <w:kern w:val="0"/>
          <w:sz w:val="24"/>
          <w:szCs w:val="21"/>
        </w:rPr>
      </w:pPr>
      <w:r>
        <w:rPr>
          <w:rFonts w:ascii="宋体" w:hAnsi="宋体" w:cs="Helvetica"/>
          <w:kern w:val="0"/>
          <w:sz w:val="24"/>
          <w:szCs w:val="21"/>
        </w:rPr>
        <w:t>电话：029-81169855</w:t>
      </w:r>
    </w:p>
    <w:p w14:paraId="68C42114">
      <w:pPr>
        <w:widowControl/>
        <w:spacing w:line="510" w:lineRule="atLeast"/>
        <w:ind w:firstLine="480"/>
        <w:jc w:val="left"/>
        <w:rPr>
          <w:rFonts w:ascii="宋体" w:hAnsi="宋体" w:cs="Helvetica"/>
          <w:kern w:val="0"/>
          <w:sz w:val="24"/>
          <w:szCs w:val="21"/>
        </w:rPr>
      </w:pPr>
    </w:p>
    <w:p w14:paraId="09729FB3">
      <w:pPr>
        <w:widowControl/>
        <w:spacing w:line="510" w:lineRule="atLeast"/>
        <w:ind w:firstLine="480"/>
        <w:jc w:val="center"/>
        <w:rPr>
          <w:rFonts w:ascii="宋体" w:hAnsi="宋体" w:cs="Helvetica"/>
          <w:kern w:val="0"/>
          <w:sz w:val="24"/>
          <w:szCs w:val="21"/>
        </w:rPr>
      </w:pPr>
      <w:r>
        <w:rPr>
          <w:rFonts w:ascii="宋体" w:hAnsi="宋体" w:cs="Helvetica"/>
          <w:kern w:val="0"/>
          <w:sz w:val="24"/>
          <w:szCs w:val="21"/>
        </w:rPr>
        <w:t xml:space="preserve">                            </w:t>
      </w:r>
      <w:r>
        <w:rPr>
          <w:rFonts w:hint="eastAsia" w:ascii="宋体" w:hAnsi="宋体" w:cs="Helvetica"/>
          <w:kern w:val="0"/>
          <w:sz w:val="24"/>
          <w:szCs w:val="21"/>
        </w:rPr>
        <w:t xml:space="preserve">               </w:t>
      </w:r>
      <w:r>
        <w:rPr>
          <w:rFonts w:ascii="宋体" w:hAnsi="宋体" w:cs="Helvetica"/>
          <w:kern w:val="0"/>
          <w:sz w:val="24"/>
          <w:szCs w:val="21"/>
        </w:rPr>
        <w:t xml:space="preserve"> </w:t>
      </w:r>
      <w:r>
        <w:rPr>
          <w:rFonts w:hint="eastAsia" w:ascii="宋体" w:hAnsi="宋体" w:cs="Helvetica"/>
          <w:kern w:val="0"/>
          <w:sz w:val="24"/>
          <w:szCs w:val="21"/>
        </w:rPr>
        <w:t xml:space="preserve"> 陕西德勤招标有限公司</w:t>
      </w:r>
    </w:p>
    <w:p w14:paraId="7139D11E">
      <w:pPr>
        <w:widowControl/>
        <w:spacing w:line="510" w:lineRule="atLeast"/>
        <w:ind w:firstLine="480"/>
        <w:jc w:val="center"/>
        <w:rPr>
          <w:rFonts w:ascii="宋体" w:hAnsi="宋体" w:cs="Helvetica"/>
          <w:kern w:val="0"/>
          <w:sz w:val="24"/>
          <w:szCs w:val="21"/>
        </w:rPr>
      </w:pPr>
      <w:r>
        <w:rPr>
          <w:rFonts w:hint="eastAsia" w:ascii="宋体" w:hAnsi="宋体" w:cs="Helvetica"/>
          <w:kern w:val="0"/>
          <w:sz w:val="24"/>
          <w:szCs w:val="21"/>
        </w:rPr>
        <w:t xml:space="preserve">                                             2026年</w:t>
      </w:r>
      <w:r>
        <w:rPr>
          <w:rFonts w:hint="eastAsia" w:ascii="宋体" w:hAnsi="宋体" w:cs="Helvetica"/>
          <w:kern w:val="0"/>
          <w:sz w:val="24"/>
          <w:szCs w:val="21"/>
          <w:lang w:val="en-US" w:eastAsia="zh-CN"/>
        </w:rPr>
        <w:t>04</w:t>
      </w:r>
      <w:r>
        <w:rPr>
          <w:rFonts w:hint="eastAsia" w:ascii="宋体" w:hAnsi="宋体" w:cs="Helvetica"/>
          <w:kern w:val="0"/>
          <w:sz w:val="24"/>
          <w:szCs w:val="21"/>
        </w:rPr>
        <w:t>月</w:t>
      </w:r>
      <w:r>
        <w:rPr>
          <w:rFonts w:hint="eastAsia" w:ascii="宋体" w:hAnsi="宋体" w:cs="Helvetica"/>
          <w:kern w:val="0"/>
          <w:sz w:val="24"/>
          <w:szCs w:val="21"/>
          <w:lang w:val="en-US" w:eastAsia="zh-CN"/>
        </w:rPr>
        <w:t>22</w:t>
      </w:r>
      <w:r>
        <w:rPr>
          <w:rFonts w:hint="eastAsia" w:ascii="宋体" w:hAnsi="宋体" w:cs="Helvetica"/>
          <w:kern w:val="0"/>
          <w:sz w:val="24"/>
          <w:szCs w:val="21"/>
        </w:rPr>
        <w:t>日</w:t>
      </w:r>
    </w:p>
    <w:p w14:paraId="51EFE386">
      <w:pPr>
        <w:spacing w:line="360" w:lineRule="auto"/>
        <w:jc w:val="center"/>
        <w:rPr>
          <w:rFonts w:ascii="宋体" w:hAnsi="宋体"/>
          <w:szCs w:val="30"/>
        </w:rPr>
      </w:pPr>
      <w:r>
        <w:rPr>
          <w:rFonts w:hint="eastAsia" w:ascii="宋体" w:hAnsi="宋体"/>
          <w:szCs w:val="30"/>
        </w:rPr>
        <w:br w:type="page"/>
      </w:r>
    </w:p>
    <w:p w14:paraId="3A55AD35">
      <w:pPr>
        <w:spacing w:before="114" w:line="225" w:lineRule="auto"/>
        <w:ind w:left="122"/>
        <w:rPr>
          <w:rStyle w:val="48"/>
          <w:rFonts w:ascii="黑体" w:hAnsi="黑体" w:eastAsia="黑体" w:cs="黑体"/>
          <w:sz w:val="32"/>
          <w:szCs w:val="32"/>
        </w:rPr>
      </w:pPr>
      <w:bookmarkStart w:id="6" w:name="_Toc1522"/>
    </w:p>
    <w:p w14:paraId="0C4660B3">
      <w:pPr>
        <w:spacing w:before="114" w:line="225" w:lineRule="auto"/>
        <w:ind w:left="122"/>
        <w:rPr>
          <w:rStyle w:val="48"/>
          <w:rFonts w:ascii="黑体" w:hAnsi="黑体" w:eastAsia="黑体" w:cs="黑体"/>
          <w:sz w:val="32"/>
          <w:szCs w:val="32"/>
        </w:rPr>
      </w:pPr>
    </w:p>
    <w:p w14:paraId="5A47A1F0">
      <w:pPr>
        <w:spacing w:before="114" w:line="225" w:lineRule="auto"/>
        <w:ind w:left="122"/>
        <w:rPr>
          <w:rStyle w:val="48"/>
          <w:rFonts w:ascii="黑体" w:hAnsi="黑体" w:eastAsia="黑体" w:cs="黑体"/>
          <w:sz w:val="32"/>
          <w:szCs w:val="32"/>
        </w:rPr>
      </w:pPr>
    </w:p>
    <w:p w14:paraId="2BF6C499">
      <w:pPr>
        <w:spacing w:before="114" w:line="225" w:lineRule="auto"/>
        <w:ind w:left="122"/>
        <w:rPr>
          <w:rStyle w:val="48"/>
          <w:rFonts w:ascii="黑体" w:hAnsi="黑体" w:eastAsia="黑体" w:cs="黑体"/>
          <w:sz w:val="32"/>
          <w:szCs w:val="32"/>
        </w:rPr>
      </w:pPr>
    </w:p>
    <w:p w14:paraId="3D407271">
      <w:pPr>
        <w:spacing w:before="114" w:line="225" w:lineRule="auto"/>
        <w:ind w:left="122"/>
        <w:rPr>
          <w:rStyle w:val="48"/>
          <w:rFonts w:ascii="黑体" w:hAnsi="黑体" w:eastAsia="黑体" w:cs="黑体"/>
          <w:sz w:val="32"/>
          <w:szCs w:val="32"/>
        </w:rPr>
      </w:pPr>
    </w:p>
    <w:p w14:paraId="3EC480F0">
      <w:pPr>
        <w:spacing w:before="114" w:line="225" w:lineRule="auto"/>
        <w:ind w:left="122"/>
        <w:rPr>
          <w:rStyle w:val="48"/>
          <w:rFonts w:ascii="黑体" w:hAnsi="黑体" w:eastAsia="黑体" w:cs="黑体"/>
          <w:sz w:val="32"/>
          <w:szCs w:val="32"/>
        </w:rPr>
      </w:pPr>
    </w:p>
    <w:p w14:paraId="00A8390A">
      <w:pPr>
        <w:spacing w:before="114" w:line="225" w:lineRule="auto"/>
        <w:ind w:left="122"/>
        <w:rPr>
          <w:rStyle w:val="48"/>
          <w:rFonts w:ascii="黑体" w:hAnsi="黑体" w:eastAsia="黑体" w:cs="黑体"/>
          <w:sz w:val="32"/>
          <w:szCs w:val="32"/>
        </w:rPr>
      </w:pPr>
    </w:p>
    <w:p w14:paraId="58D5D3EB">
      <w:pPr>
        <w:spacing w:before="114" w:line="225" w:lineRule="auto"/>
        <w:ind w:left="122"/>
        <w:rPr>
          <w:rStyle w:val="48"/>
          <w:rFonts w:ascii="黑体" w:hAnsi="黑体" w:eastAsia="黑体" w:cs="黑体"/>
          <w:sz w:val="32"/>
          <w:szCs w:val="32"/>
        </w:rPr>
      </w:pPr>
    </w:p>
    <w:p w14:paraId="2438EC06">
      <w:pPr>
        <w:spacing w:before="114" w:line="225" w:lineRule="auto"/>
        <w:ind w:left="122"/>
        <w:rPr>
          <w:rFonts w:ascii="宋体" w:hAnsi="宋体"/>
          <w:b/>
          <w:bCs/>
          <w:sz w:val="52"/>
          <w:szCs w:val="52"/>
        </w:rPr>
      </w:pPr>
      <w:r>
        <w:rPr>
          <w:rFonts w:ascii="宋体" w:hAnsi="宋体"/>
          <w:b/>
          <w:bCs/>
          <w:spacing w:val="9"/>
          <w:sz w:val="52"/>
          <w:szCs w:val="52"/>
        </w:rPr>
        <w:t>第</w:t>
      </w:r>
      <w:r>
        <w:rPr>
          <w:rFonts w:hint="eastAsia" w:ascii="宋体" w:hAnsi="宋体"/>
          <w:b/>
          <w:bCs/>
          <w:spacing w:val="7"/>
          <w:sz w:val="52"/>
          <w:szCs w:val="52"/>
        </w:rPr>
        <w:t>二</w:t>
      </w:r>
      <w:r>
        <w:rPr>
          <w:rFonts w:ascii="宋体" w:hAnsi="宋体"/>
          <w:b/>
          <w:bCs/>
          <w:spacing w:val="7"/>
          <w:sz w:val="52"/>
          <w:szCs w:val="52"/>
        </w:rPr>
        <w:t>部分</w:t>
      </w:r>
    </w:p>
    <w:p w14:paraId="48AB211C">
      <w:pPr>
        <w:spacing w:before="113" w:line="224" w:lineRule="auto"/>
        <w:ind w:right="420"/>
        <w:jc w:val="right"/>
        <w:rPr>
          <w:rFonts w:ascii="宋体" w:hAnsi="宋体"/>
          <w:b/>
          <w:bCs/>
          <w:sz w:val="52"/>
          <w:szCs w:val="52"/>
        </w:rPr>
      </w:pPr>
      <w:r>
        <w:rPr>
          <w:b/>
          <w:bCs/>
          <w:sz w:val="52"/>
        </w:rPr>
        <mc:AlternateContent>
          <mc:Choice Requires="wps">
            <w:drawing>
              <wp:anchor distT="0" distB="0" distL="114300" distR="114300" simplePos="0" relativeHeight="251665408"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5pt;margin-top:16.85pt;height:0.05pt;width:450pt;z-index:251665408;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xDnP&#10;0wAAAAgBAAAPAAAAAAAAAAEAIAAAACIAAABkcnMvZG93bnJldi54bWxQSwECFAAUAAAACACHTuJA&#10;jCQVqO0BAADdAwAADgAAAAAAAAABACAAAAAiAQAAZHJzL2Uyb0RvYy54bWxQSwUGAAAAAAYABgBZ&#10;AQAAgQUAAAAA&#10;">
                <v:fill on="f" focussize="0,0"/>
                <v:stroke weight="1.5pt" color="#000000" joinstyle="round"/>
                <v:imagedata o:title=""/>
                <o:lock v:ext="edit" aspectratio="f"/>
              </v:line>
            </w:pict>
          </mc:Fallback>
        </mc:AlternateContent>
      </w:r>
    </w:p>
    <w:p w14:paraId="0443A076">
      <w:pPr>
        <w:spacing w:before="113" w:line="224" w:lineRule="auto"/>
        <w:ind w:right="420"/>
        <w:jc w:val="right"/>
        <w:rPr>
          <w:rFonts w:ascii="宋体" w:hAnsi="宋体"/>
          <w:b/>
          <w:bCs/>
          <w:sz w:val="35"/>
          <w:szCs w:val="35"/>
        </w:rPr>
      </w:pPr>
      <w:r>
        <w:rPr>
          <w:rFonts w:hint="eastAsia" w:ascii="宋体" w:hAnsi="宋体"/>
          <w:b/>
          <w:bCs/>
          <w:sz w:val="52"/>
          <w:szCs w:val="52"/>
        </w:rPr>
        <w:t>用户需求书</w:t>
      </w:r>
    </w:p>
    <w:p w14:paraId="62C0F82A">
      <w:pPr>
        <w:rPr>
          <w:rFonts w:ascii="黑体" w:hAnsi="黑体" w:eastAsia="黑体" w:cs="黑体"/>
          <w:b/>
          <w:bCs/>
          <w:sz w:val="32"/>
          <w:szCs w:val="32"/>
        </w:rPr>
      </w:pPr>
      <w:r>
        <w:rPr>
          <w:rFonts w:hint="eastAsia" w:ascii="黑体" w:hAnsi="黑体" w:eastAsia="黑体" w:cs="黑体"/>
          <w:b/>
          <w:bCs/>
          <w:sz w:val="32"/>
          <w:szCs w:val="32"/>
        </w:rPr>
        <w:br w:type="page"/>
      </w:r>
    </w:p>
    <w:p w14:paraId="036182C3">
      <w:pPr>
        <w:spacing w:line="360" w:lineRule="auto"/>
        <w:jc w:val="center"/>
        <w:outlineLvl w:val="0"/>
        <w:rPr>
          <w:rFonts w:ascii="黑体" w:hAnsi="黑体" w:eastAsia="黑体" w:cs="黑体"/>
          <w:b/>
          <w:bCs/>
          <w:szCs w:val="32"/>
        </w:rPr>
      </w:pPr>
      <w:bookmarkStart w:id="7" w:name="_Toc31209"/>
      <w:bookmarkStart w:id="8" w:name="_Toc2752"/>
      <w:r>
        <w:rPr>
          <w:rFonts w:hint="eastAsia" w:ascii="黑体" w:hAnsi="黑体" w:eastAsia="黑体" w:cs="黑体"/>
          <w:b/>
          <w:bCs/>
          <w:sz w:val="32"/>
          <w:szCs w:val="32"/>
        </w:rPr>
        <w:t>第二部分 用户需求书</w:t>
      </w:r>
      <w:bookmarkEnd w:id="7"/>
      <w:bookmarkEnd w:id="8"/>
    </w:p>
    <w:bookmarkEnd w:id="6"/>
    <w:p w14:paraId="78795737">
      <w:pPr>
        <w:spacing w:before="114" w:line="360" w:lineRule="auto"/>
        <w:ind w:firstLine="562" w:firstLineChars="200"/>
        <w:rPr>
          <w:rFonts w:ascii="宋体" w:hAnsi="宋体"/>
          <w:b/>
          <w:bCs/>
          <w:kern w:val="28"/>
          <w:sz w:val="28"/>
          <w:szCs w:val="28"/>
        </w:rPr>
      </w:pPr>
      <w:bookmarkStart w:id="9" w:name="_Toc11572"/>
      <w:r>
        <w:rPr>
          <w:rFonts w:hint="eastAsia" w:ascii="宋体" w:hAnsi="宋体"/>
          <w:b/>
          <w:bCs/>
          <w:kern w:val="28"/>
          <w:sz w:val="28"/>
          <w:szCs w:val="28"/>
        </w:rPr>
        <w:t>一、服务描述</w:t>
      </w:r>
    </w:p>
    <w:p w14:paraId="6FDB96B4">
      <w:pPr>
        <w:spacing w:before="114" w:line="360" w:lineRule="auto"/>
        <w:ind w:firstLine="562" w:firstLineChars="200"/>
        <w:rPr>
          <w:rFonts w:ascii="宋体" w:hAnsi="宋体"/>
          <w:b/>
          <w:bCs/>
          <w:kern w:val="28"/>
          <w:sz w:val="28"/>
          <w:szCs w:val="28"/>
        </w:rPr>
      </w:pPr>
      <w:r>
        <w:rPr>
          <w:rFonts w:hint="eastAsia" w:ascii="宋体" w:hAnsi="宋体"/>
          <w:b/>
          <w:bCs/>
          <w:kern w:val="28"/>
          <w:sz w:val="28"/>
          <w:szCs w:val="28"/>
        </w:rPr>
        <w:t>1、服务背景</w:t>
      </w:r>
    </w:p>
    <w:p w14:paraId="0FF2DFFC">
      <w:pPr>
        <w:spacing w:before="114" w:line="360" w:lineRule="auto"/>
        <w:ind w:left="122" w:firstLine="480" w:firstLineChars="200"/>
        <w:rPr>
          <w:rFonts w:ascii="宋体" w:hAnsi="宋体"/>
          <w:kern w:val="28"/>
          <w:sz w:val="24"/>
        </w:rPr>
      </w:pPr>
      <w:r>
        <w:rPr>
          <w:rFonts w:hint="eastAsia" w:ascii="宋体" w:hAnsi="宋体"/>
          <w:kern w:val="28"/>
          <w:sz w:val="24"/>
        </w:rPr>
        <w:t>在当下数字化浪潮席卷的医疗领域，我院积极推进信息化建设，电子病历系统、远程诊疗平台、医疗物联网设备等大量数字化应用深度融入医疗服务的各个环节，极大提升了医疗效率与质量，为患者带来更便捷的就医体验。然而，随着信息技术的广泛应用，医院网络环境变得错综复杂，承载着海量患者敏感信息，包括个人身份、健康状况、诊疗记录等，这些数据一旦泄露，不仅会严重侵犯患者隐私，还可能引发诈骗、医疗纠纷等一系列社会问题，给医院声誉带来难以估量的损害。与此同时，网络安全威胁形势愈发严峻，黑客攻击手段层出不穷，从传统的病毒、木马到高级持续性威胁（APT）攻击、勒索软件攻击等，不断挑战着医院网络的安全防线。</w:t>
      </w:r>
    </w:p>
    <w:p w14:paraId="4AFC163C">
      <w:pPr>
        <w:spacing w:before="114" w:line="360" w:lineRule="auto"/>
        <w:ind w:left="122" w:firstLine="480" w:firstLineChars="200"/>
        <w:rPr>
          <w:rFonts w:ascii="宋体" w:hAnsi="宋体"/>
          <w:kern w:val="28"/>
          <w:sz w:val="24"/>
        </w:rPr>
      </w:pPr>
      <w:r>
        <w:rPr>
          <w:rFonts w:hint="eastAsia" w:ascii="宋体" w:hAnsi="宋体"/>
          <w:kern w:val="28"/>
          <w:sz w:val="24"/>
        </w:rPr>
        <w:t>鉴于上述情况，我院深刻意识到仅依靠自身现有资源和能力，难以全方位、深层次地应对复杂多变的网络安全挑战，确保医院信息系统的绝对安全与稳定运行。因此，我院迫切需要专业的安全服务提供商，凭借其先进的技术手段、丰富的实战经验以及专业的安全团队，全面保障医院信息系统的安全稳定运行，为医疗业务的正常开展和患者的信息安全筑牢坚实防线。</w:t>
      </w:r>
    </w:p>
    <w:p w14:paraId="366AC91C">
      <w:pPr>
        <w:spacing w:before="114" w:line="360" w:lineRule="auto"/>
        <w:ind w:left="122" w:firstLine="562" w:firstLineChars="200"/>
        <w:rPr>
          <w:rFonts w:ascii="宋体" w:hAnsi="宋体"/>
          <w:b/>
          <w:bCs/>
          <w:kern w:val="28"/>
          <w:sz w:val="28"/>
          <w:szCs w:val="28"/>
        </w:rPr>
      </w:pPr>
      <w:r>
        <w:rPr>
          <w:rFonts w:hint="eastAsia" w:ascii="宋体" w:hAnsi="宋体"/>
          <w:b/>
          <w:bCs/>
          <w:kern w:val="28"/>
          <w:sz w:val="28"/>
          <w:szCs w:val="28"/>
        </w:rPr>
        <w:t>2、服务目标</w:t>
      </w:r>
    </w:p>
    <w:p w14:paraId="7C12D57F">
      <w:pPr>
        <w:spacing w:before="114" w:line="360" w:lineRule="auto"/>
        <w:ind w:left="122" w:firstLine="480" w:firstLineChars="200"/>
        <w:rPr>
          <w:rFonts w:ascii="宋体" w:hAnsi="宋体"/>
          <w:kern w:val="28"/>
          <w:sz w:val="24"/>
        </w:rPr>
      </w:pPr>
      <w:r>
        <w:rPr>
          <w:rFonts w:hint="eastAsia" w:ascii="宋体" w:hAnsi="宋体"/>
          <w:kern w:val="28"/>
          <w:sz w:val="24"/>
        </w:rPr>
        <w:t>全方位筑牢医院网络安全防线，构建一个稳固且智能的安全保障体系。通过精准的风险评估与细致的资产梳理，深度洞察医院网络潜在风险与资产分布，为安全策略制定提供坚实依据；借助定期的漏洞扫描、严谨的基线核查以及深度的渗透测试，及时发现并修复系统漏洞，确保网络架构与业务系统的安全性和稳定性。同时，建立高效、专业的应急响应机制，在面对突发安全事件时能迅速反应、精准处置，最大程度降低事件对我院业务的影响。持续跟踪行业动态与新技术发展，不断优化安全措施，使医院网络安全水平始终紧跟时代步伐，为医疗业务的正常开展和患者的信息安全保驾护航。</w:t>
      </w:r>
    </w:p>
    <w:p w14:paraId="3A394076">
      <w:pPr>
        <w:spacing w:before="114" w:line="360" w:lineRule="auto"/>
        <w:ind w:left="122" w:firstLine="562" w:firstLineChars="200"/>
        <w:rPr>
          <w:rFonts w:ascii="宋体" w:hAnsi="宋体"/>
          <w:b/>
          <w:bCs/>
          <w:kern w:val="28"/>
          <w:sz w:val="28"/>
          <w:szCs w:val="28"/>
        </w:rPr>
      </w:pPr>
      <w:r>
        <w:rPr>
          <w:rFonts w:hint="eastAsia" w:ascii="宋体" w:hAnsi="宋体"/>
          <w:b/>
          <w:bCs/>
          <w:kern w:val="28"/>
          <w:sz w:val="28"/>
          <w:szCs w:val="28"/>
        </w:rPr>
        <w:t>3、服务范围</w:t>
      </w:r>
    </w:p>
    <w:p w14:paraId="383F3A24">
      <w:pPr>
        <w:spacing w:before="114" w:line="360" w:lineRule="auto"/>
        <w:ind w:left="122" w:firstLine="480" w:firstLineChars="200"/>
        <w:rPr>
          <w:rFonts w:ascii="宋体" w:hAnsi="宋体"/>
          <w:kern w:val="28"/>
          <w:sz w:val="24"/>
        </w:rPr>
      </w:pPr>
      <w:r>
        <w:rPr>
          <w:rFonts w:hint="eastAsia" w:ascii="宋体" w:hAnsi="宋体"/>
          <w:kern w:val="28"/>
          <w:sz w:val="24"/>
        </w:rPr>
        <w:t>对采购人所涉及系统开展线上+线下安全服务工作。</w:t>
      </w:r>
    </w:p>
    <w:p w14:paraId="0C1954BB">
      <w:pPr>
        <w:spacing w:before="114" w:line="360" w:lineRule="auto"/>
        <w:ind w:left="122" w:firstLine="562" w:firstLineChars="200"/>
        <w:rPr>
          <w:rFonts w:ascii="宋体" w:hAnsi="宋体"/>
          <w:b/>
          <w:bCs/>
          <w:kern w:val="28"/>
          <w:sz w:val="28"/>
          <w:szCs w:val="28"/>
        </w:rPr>
      </w:pPr>
      <w:r>
        <w:rPr>
          <w:rFonts w:hint="eastAsia" w:ascii="宋体" w:hAnsi="宋体"/>
          <w:b/>
          <w:bCs/>
          <w:kern w:val="28"/>
          <w:sz w:val="28"/>
          <w:szCs w:val="28"/>
        </w:rPr>
        <w:t>4、服务依据</w:t>
      </w:r>
    </w:p>
    <w:p w14:paraId="6205075E">
      <w:pPr>
        <w:spacing w:before="114" w:line="360" w:lineRule="auto"/>
        <w:ind w:left="122" w:firstLine="480" w:firstLineChars="200"/>
        <w:rPr>
          <w:rFonts w:ascii="宋体" w:hAnsi="宋体"/>
          <w:kern w:val="28"/>
          <w:sz w:val="24"/>
        </w:rPr>
      </w:pPr>
      <w:r>
        <w:rPr>
          <w:rFonts w:hint="eastAsia" w:ascii="宋体" w:hAnsi="宋体"/>
          <w:kern w:val="28"/>
          <w:sz w:val="24"/>
        </w:rPr>
        <w:t>《中华人民共和国网络安全法》</w:t>
      </w:r>
    </w:p>
    <w:p w14:paraId="1027982D">
      <w:pPr>
        <w:spacing w:before="114" w:line="360" w:lineRule="auto"/>
        <w:ind w:left="122" w:firstLine="480" w:firstLineChars="200"/>
        <w:rPr>
          <w:rFonts w:ascii="宋体" w:hAnsi="宋体"/>
          <w:kern w:val="28"/>
          <w:sz w:val="24"/>
        </w:rPr>
      </w:pPr>
      <w:r>
        <w:rPr>
          <w:rFonts w:hint="eastAsia" w:ascii="宋体" w:hAnsi="宋体"/>
          <w:kern w:val="28"/>
          <w:sz w:val="24"/>
        </w:rPr>
        <w:t>《中华人民共和国网络安全法》</w:t>
      </w:r>
    </w:p>
    <w:p w14:paraId="56629133">
      <w:pPr>
        <w:spacing w:before="114" w:line="360" w:lineRule="auto"/>
        <w:ind w:left="122" w:firstLine="480" w:firstLineChars="200"/>
        <w:rPr>
          <w:rFonts w:ascii="宋体" w:hAnsi="宋体"/>
          <w:kern w:val="28"/>
          <w:sz w:val="24"/>
        </w:rPr>
      </w:pPr>
      <w:r>
        <w:rPr>
          <w:rFonts w:hint="eastAsia" w:ascii="宋体" w:hAnsi="宋体"/>
          <w:kern w:val="28"/>
          <w:sz w:val="24"/>
        </w:rPr>
        <w:t>《中华人民共和国数据安全法》</w:t>
      </w:r>
    </w:p>
    <w:p w14:paraId="5C4727A0">
      <w:pPr>
        <w:spacing w:before="114" w:line="360" w:lineRule="auto"/>
        <w:ind w:left="122" w:firstLine="480" w:firstLineChars="200"/>
        <w:rPr>
          <w:rFonts w:ascii="宋体" w:hAnsi="宋体"/>
          <w:kern w:val="28"/>
          <w:sz w:val="24"/>
        </w:rPr>
      </w:pPr>
      <w:r>
        <w:rPr>
          <w:rFonts w:hint="eastAsia" w:ascii="宋体" w:hAnsi="宋体"/>
          <w:kern w:val="28"/>
          <w:sz w:val="24"/>
        </w:rPr>
        <w:t>《中华人民共和国个人信息保护法》</w:t>
      </w:r>
    </w:p>
    <w:p w14:paraId="27E95F54">
      <w:pPr>
        <w:spacing w:before="114" w:line="360" w:lineRule="auto"/>
        <w:ind w:left="122" w:firstLine="480" w:firstLineChars="200"/>
        <w:rPr>
          <w:rFonts w:ascii="宋体" w:hAnsi="宋体"/>
          <w:kern w:val="28"/>
          <w:sz w:val="24"/>
        </w:rPr>
      </w:pPr>
      <w:r>
        <w:rPr>
          <w:rFonts w:hint="eastAsia" w:ascii="宋体" w:hAnsi="宋体"/>
          <w:kern w:val="28"/>
          <w:sz w:val="24"/>
        </w:rPr>
        <w:t>《关键信息基础设施安全保护条例》</w:t>
      </w:r>
    </w:p>
    <w:p w14:paraId="3DA47E08">
      <w:pPr>
        <w:spacing w:before="114" w:line="360" w:lineRule="auto"/>
        <w:ind w:left="122" w:firstLine="480" w:firstLineChars="200"/>
        <w:rPr>
          <w:rFonts w:ascii="宋体" w:hAnsi="宋体"/>
          <w:kern w:val="28"/>
          <w:sz w:val="24"/>
        </w:rPr>
      </w:pPr>
      <w:r>
        <w:rPr>
          <w:rFonts w:hint="eastAsia" w:ascii="宋体" w:hAnsi="宋体"/>
          <w:kern w:val="28"/>
          <w:sz w:val="24"/>
        </w:rPr>
        <w:t>《信息安全技术 网络安全等级保护基本要求》GB/T 22239-2019</w:t>
      </w:r>
    </w:p>
    <w:p w14:paraId="141DF2CC">
      <w:pPr>
        <w:spacing w:before="114" w:line="360" w:lineRule="auto"/>
        <w:ind w:left="122" w:firstLine="480" w:firstLineChars="200"/>
        <w:rPr>
          <w:rFonts w:ascii="宋体" w:hAnsi="宋体"/>
          <w:kern w:val="28"/>
          <w:sz w:val="24"/>
        </w:rPr>
      </w:pPr>
      <w:r>
        <w:rPr>
          <w:rFonts w:hint="eastAsia" w:ascii="宋体" w:hAnsi="宋体"/>
          <w:kern w:val="28"/>
          <w:sz w:val="24"/>
        </w:rPr>
        <w:t>《中华人民共和国计算机信息系统安全保护条例》（国务院[1994] 147号）</w:t>
      </w:r>
    </w:p>
    <w:p w14:paraId="36DF3DDF">
      <w:pPr>
        <w:spacing w:before="114" w:line="360" w:lineRule="auto"/>
        <w:ind w:left="122" w:firstLine="480" w:firstLineChars="200"/>
        <w:rPr>
          <w:rFonts w:ascii="宋体" w:hAnsi="宋体"/>
          <w:kern w:val="28"/>
          <w:sz w:val="24"/>
        </w:rPr>
      </w:pPr>
      <w:r>
        <w:rPr>
          <w:rFonts w:hint="eastAsia" w:ascii="宋体" w:hAnsi="宋体"/>
          <w:kern w:val="28"/>
          <w:sz w:val="24"/>
        </w:rPr>
        <w:t>《国家信息化领导小组关于加强信息安全保障工作的意见》（申发办[2003] 127号）</w:t>
      </w:r>
    </w:p>
    <w:p w14:paraId="1DC188A8">
      <w:pPr>
        <w:spacing w:before="114" w:line="360" w:lineRule="auto"/>
        <w:ind w:left="122" w:firstLine="480" w:firstLineChars="200"/>
        <w:rPr>
          <w:rFonts w:ascii="宋体" w:hAnsi="宋体"/>
          <w:kern w:val="28"/>
          <w:sz w:val="24"/>
        </w:rPr>
      </w:pPr>
      <w:r>
        <w:rPr>
          <w:rFonts w:hint="eastAsia" w:ascii="宋体" w:hAnsi="宋体"/>
          <w:kern w:val="28"/>
          <w:sz w:val="24"/>
        </w:rPr>
        <w:t>《信息安全等级保护管理办法》（公通字[2007] 43号）</w:t>
      </w:r>
    </w:p>
    <w:p w14:paraId="7641213E">
      <w:pPr>
        <w:spacing w:before="114" w:line="360" w:lineRule="auto"/>
        <w:ind w:left="122" w:firstLine="480" w:firstLineChars="200"/>
        <w:rPr>
          <w:rFonts w:ascii="宋体" w:hAnsi="宋体"/>
          <w:kern w:val="28"/>
          <w:sz w:val="24"/>
        </w:rPr>
      </w:pPr>
      <w:r>
        <w:rPr>
          <w:rFonts w:hint="eastAsia" w:ascii="宋体" w:hAnsi="宋体"/>
          <w:kern w:val="28"/>
          <w:sz w:val="24"/>
        </w:rPr>
        <w:t>《网络安全等级保护条例》</w:t>
      </w:r>
    </w:p>
    <w:p w14:paraId="56C3DCA5">
      <w:pPr>
        <w:spacing w:before="114" w:line="360" w:lineRule="auto"/>
        <w:ind w:left="122" w:firstLine="480" w:firstLineChars="200"/>
        <w:rPr>
          <w:rFonts w:ascii="宋体" w:hAnsi="宋体"/>
          <w:kern w:val="28"/>
          <w:sz w:val="24"/>
        </w:rPr>
      </w:pPr>
      <w:r>
        <w:rPr>
          <w:rFonts w:hint="eastAsia" w:ascii="宋体" w:hAnsi="宋体"/>
          <w:kern w:val="28"/>
          <w:sz w:val="24"/>
        </w:rPr>
        <w:t>《计算机信息系统安全保护等级划分准则》GB 17859-1999（上位标准）</w:t>
      </w:r>
    </w:p>
    <w:p w14:paraId="21D3E773">
      <w:pPr>
        <w:spacing w:before="114" w:line="360" w:lineRule="auto"/>
        <w:ind w:left="122" w:firstLine="480" w:firstLineChars="200"/>
        <w:rPr>
          <w:rFonts w:ascii="宋体" w:hAnsi="宋体"/>
          <w:kern w:val="28"/>
          <w:sz w:val="24"/>
        </w:rPr>
      </w:pPr>
      <w:r>
        <w:rPr>
          <w:rFonts w:hint="eastAsia" w:ascii="宋体" w:hAnsi="宋体"/>
          <w:kern w:val="28"/>
          <w:sz w:val="24"/>
        </w:rPr>
        <w:t>《信息安全技术 网络安全等级保护基本要求》GB/T 22239-2019</w:t>
      </w:r>
    </w:p>
    <w:p w14:paraId="7520C7F9">
      <w:pPr>
        <w:spacing w:before="114" w:line="360" w:lineRule="auto"/>
        <w:ind w:left="122" w:firstLine="562" w:firstLineChars="200"/>
        <w:jc w:val="left"/>
        <w:rPr>
          <w:rFonts w:ascii="宋体" w:hAnsi="宋体"/>
          <w:b/>
          <w:bCs/>
          <w:kern w:val="28"/>
          <w:sz w:val="28"/>
          <w:szCs w:val="28"/>
        </w:rPr>
      </w:pPr>
      <w:r>
        <w:rPr>
          <w:rFonts w:hint="eastAsia" w:ascii="宋体" w:hAnsi="宋体"/>
          <w:b/>
          <w:bCs/>
          <w:kern w:val="28"/>
          <w:sz w:val="28"/>
          <w:szCs w:val="28"/>
        </w:rPr>
        <w:t>5、项目服务内容</w:t>
      </w:r>
    </w:p>
    <w:p w14:paraId="7EA04298">
      <w:pPr>
        <w:spacing w:before="114" w:line="360" w:lineRule="auto"/>
        <w:ind w:left="122" w:firstLine="482" w:firstLineChars="200"/>
        <w:rPr>
          <w:rFonts w:ascii="宋体" w:hAnsi="宋体"/>
          <w:b/>
          <w:bCs/>
          <w:kern w:val="28"/>
          <w:sz w:val="24"/>
        </w:rPr>
      </w:pPr>
      <w:r>
        <w:rPr>
          <w:rFonts w:hint="eastAsia" w:ascii="宋体" w:hAnsi="宋体"/>
          <w:b/>
          <w:bCs/>
          <w:kern w:val="28"/>
          <w:sz w:val="24"/>
        </w:rPr>
        <w:t>5.1、采购服务内容</w:t>
      </w:r>
    </w:p>
    <w:tbl>
      <w:tblPr>
        <w:tblStyle w:val="2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3118"/>
        <w:gridCol w:w="1702"/>
      </w:tblGrid>
      <w:tr w14:paraId="35B8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vAlign w:val="center"/>
          </w:tcPr>
          <w:p w14:paraId="41B0EEEC">
            <w:pPr>
              <w:spacing w:before="114" w:line="360" w:lineRule="auto"/>
              <w:ind w:left="122"/>
              <w:jc w:val="center"/>
              <w:rPr>
                <w:rFonts w:ascii="宋体" w:hAnsi="宋体"/>
                <w:b/>
                <w:bCs/>
                <w:kern w:val="28"/>
                <w:sz w:val="24"/>
              </w:rPr>
            </w:pPr>
            <w:r>
              <w:rPr>
                <w:rFonts w:hint="eastAsia" w:ascii="宋体" w:hAnsi="宋体"/>
                <w:b/>
                <w:bCs/>
                <w:kern w:val="28"/>
                <w:sz w:val="24"/>
              </w:rPr>
              <w:t>序号</w:t>
            </w:r>
          </w:p>
        </w:tc>
        <w:tc>
          <w:tcPr>
            <w:tcW w:w="3118" w:type="dxa"/>
            <w:vAlign w:val="center"/>
          </w:tcPr>
          <w:p w14:paraId="4316B5C3">
            <w:pPr>
              <w:spacing w:before="114" w:line="360" w:lineRule="auto"/>
              <w:ind w:left="122"/>
              <w:jc w:val="center"/>
              <w:rPr>
                <w:rFonts w:ascii="宋体" w:hAnsi="宋体"/>
                <w:b/>
                <w:bCs/>
                <w:kern w:val="28"/>
                <w:sz w:val="24"/>
              </w:rPr>
            </w:pPr>
            <w:r>
              <w:rPr>
                <w:rFonts w:hint="eastAsia" w:ascii="宋体" w:hAnsi="宋体"/>
                <w:b/>
                <w:bCs/>
                <w:kern w:val="28"/>
                <w:sz w:val="24"/>
              </w:rPr>
              <w:t>服务内容</w:t>
            </w:r>
          </w:p>
        </w:tc>
        <w:tc>
          <w:tcPr>
            <w:tcW w:w="3118" w:type="dxa"/>
            <w:vAlign w:val="center"/>
          </w:tcPr>
          <w:p w14:paraId="248618DC">
            <w:pPr>
              <w:spacing w:before="114" w:line="360" w:lineRule="auto"/>
              <w:ind w:left="122"/>
              <w:jc w:val="center"/>
              <w:rPr>
                <w:rFonts w:ascii="宋体" w:hAnsi="宋体"/>
                <w:b/>
                <w:bCs/>
                <w:kern w:val="28"/>
                <w:sz w:val="24"/>
              </w:rPr>
            </w:pPr>
            <w:r>
              <w:rPr>
                <w:rFonts w:hint="eastAsia" w:ascii="宋体" w:hAnsi="宋体"/>
                <w:b/>
                <w:bCs/>
                <w:kern w:val="28"/>
                <w:sz w:val="24"/>
              </w:rPr>
              <w:t>服务要求</w:t>
            </w:r>
          </w:p>
        </w:tc>
        <w:tc>
          <w:tcPr>
            <w:tcW w:w="1702" w:type="dxa"/>
            <w:vAlign w:val="center"/>
          </w:tcPr>
          <w:p w14:paraId="2464C88C">
            <w:pPr>
              <w:spacing w:before="114" w:line="360" w:lineRule="auto"/>
              <w:ind w:left="122"/>
              <w:jc w:val="center"/>
              <w:rPr>
                <w:rFonts w:ascii="宋体" w:hAnsi="宋体"/>
                <w:b/>
                <w:bCs/>
                <w:kern w:val="28"/>
                <w:sz w:val="24"/>
              </w:rPr>
            </w:pPr>
            <w:r>
              <w:rPr>
                <w:rFonts w:hint="eastAsia" w:ascii="宋体" w:hAnsi="宋体"/>
                <w:b/>
                <w:bCs/>
                <w:kern w:val="28"/>
                <w:sz w:val="24"/>
              </w:rPr>
              <w:t>服务期限</w:t>
            </w:r>
          </w:p>
        </w:tc>
      </w:tr>
      <w:tr w14:paraId="4A61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vAlign w:val="center"/>
          </w:tcPr>
          <w:p w14:paraId="626330C2">
            <w:pPr>
              <w:spacing w:before="114" w:line="360" w:lineRule="auto"/>
              <w:ind w:left="122"/>
              <w:jc w:val="center"/>
              <w:rPr>
                <w:rFonts w:ascii="宋体" w:hAnsi="宋体"/>
                <w:kern w:val="28"/>
                <w:sz w:val="24"/>
              </w:rPr>
            </w:pPr>
            <w:r>
              <w:rPr>
                <w:rFonts w:hint="eastAsia" w:ascii="宋体" w:hAnsi="宋体"/>
                <w:kern w:val="28"/>
                <w:sz w:val="24"/>
              </w:rPr>
              <w:t>1</w:t>
            </w:r>
          </w:p>
        </w:tc>
        <w:tc>
          <w:tcPr>
            <w:tcW w:w="3118" w:type="dxa"/>
            <w:vAlign w:val="center"/>
          </w:tcPr>
          <w:p w14:paraId="28712FF0">
            <w:pPr>
              <w:spacing w:before="114" w:line="360" w:lineRule="auto"/>
              <w:ind w:left="122"/>
              <w:jc w:val="center"/>
              <w:rPr>
                <w:rFonts w:ascii="宋体" w:hAnsi="宋体"/>
                <w:kern w:val="28"/>
                <w:sz w:val="24"/>
              </w:rPr>
            </w:pPr>
            <w:r>
              <w:rPr>
                <w:rFonts w:hint="eastAsia" w:ascii="宋体" w:hAnsi="宋体"/>
                <w:kern w:val="28"/>
                <w:sz w:val="24"/>
              </w:rPr>
              <w:t>线上安全托管服务</w:t>
            </w:r>
          </w:p>
        </w:tc>
        <w:tc>
          <w:tcPr>
            <w:tcW w:w="3118" w:type="dxa"/>
            <w:vAlign w:val="center"/>
          </w:tcPr>
          <w:p w14:paraId="5F5E0B70">
            <w:pPr>
              <w:spacing w:before="114" w:line="360" w:lineRule="auto"/>
              <w:ind w:left="122"/>
              <w:jc w:val="center"/>
              <w:rPr>
                <w:rFonts w:ascii="宋体" w:hAnsi="宋体"/>
                <w:kern w:val="28"/>
                <w:sz w:val="24"/>
              </w:rPr>
            </w:pPr>
            <w:r>
              <w:rPr>
                <w:rFonts w:hint="eastAsia" w:ascii="宋体" w:hAnsi="宋体"/>
                <w:kern w:val="28"/>
                <w:sz w:val="24"/>
              </w:rPr>
              <w:t>详见具体要求</w:t>
            </w:r>
          </w:p>
        </w:tc>
        <w:tc>
          <w:tcPr>
            <w:tcW w:w="1702" w:type="dxa"/>
            <w:vAlign w:val="center"/>
          </w:tcPr>
          <w:p w14:paraId="5791A178">
            <w:pPr>
              <w:spacing w:before="114" w:line="360" w:lineRule="auto"/>
              <w:ind w:left="122"/>
              <w:jc w:val="center"/>
              <w:rPr>
                <w:rFonts w:ascii="宋体" w:hAnsi="宋体"/>
                <w:kern w:val="28"/>
                <w:sz w:val="24"/>
              </w:rPr>
            </w:pPr>
            <w:r>
              <w:rPr>
                <w:rFonts w:hint="eastAsia" w:ascii="宋体" w:hAnsi="宋体"/>
                <w:kern w:val="28"/>
                <w:sz w:val="24"/>
              </w:rPr>
              <w:t>一年</w:t>
            </w:r>
          </w:p>
        </w:tc>
      </w:tr>
      <w:tr w14:paraId="7B51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46" w:type="dxa"/>
            <w:vAlign w:val="center"/>
          </w:tcPr>
          <w:p w14:paraId="745B123E">
            <w:pPr>
              <w:spacing w:before="114" w:line="360" w:lineRule="auto"/>
              <w:ind w:left="122"/>
              <w:jc w:val="center"/>
              <w:rPr>
                <w:rFonts w:ascii="宋体" w:hAnsi="宋体"/>
                <w:kern w:val="28"/>
                <w:sz w:val="24"/>
              </w:rPr>
            </w:pPr>
            <w:r>
              <w:rPr>
                <w:rFonts w:hint="eastAsia" w:ascii="宋体" w:hAnsi="宋体"/>
                <w:kern w:val="28"/>
                <w:sz w:val="24"/>
              </w:rPr>
              <w:t>2</w:t>
            </w:r>
          </w:p>
        </w:tc>
        <w:tc>
          <w:tcPr>
            <w:tcW w:w="3118" w:type="dxa"/>
            <w:vAlign w:val="center"/>
          </w:tcPr>
          <w:p w14:paraId="76C8DEE7">
            <w:pPr>
              <w:spacing w:before="114" w:line="360" w:lineRule="auto"/>
              <w:ind w:left="122"/>
              <w:jc w:val="center"/>
              <w:rPr>
                <w:rFonts w:ascii="宋体" w:hAnsi="宋体"/>
                <w:kern w:val="28"/>
                <w:sz w:val="24"/>
              </w:rPr>
            </w:pPr>
            <w:r>
              <w:rPr>
                <w:rFonts w:hint="eastAsia" w:ascii="宋体" w:hAnsi="宋体"/>
                <w:kern w:val="28"/>
                <w:sz w:val="24"/>
              </w:rPr>
              <w:t>线下安全技术支撑服务</w:t>
            </w:r>
          </w:p>
        </w:tc>
        <w:tc>
          <w:tcPr>
            <w:tcW w:w="3118" w:type="dxa"/>
            <w:noWrap/>
            <w:vAlign w:val="center"/>
          </w:tcPr>
          <w:p w14:paraId="3A54A969">
            <w:pPr>
              <w:spacing w:before="114" w:line="360" w:lineRule="auto"/>
              <w:ind w:left="122"/>
              <w:jc w:val="center"/>
              <w:rPr>
                <w:rFonts w:ascii="宋体" w:hAnsi="宋体"/>
                <w:kern w:val="28"/>
                <w:sz w:val="24"/>
              </w:rPr>
            </w:pPr>
            <w:r>
              <w:rPr>
                <w:rFonts w:hint="eastAsia" w:ascii="宋体" w:hAnsi="宋体"/>
                <w:kern w:val="28"/>
                <w:sz w:val="24"/>
              </w:rPr>
              <w:t>详见具体要求</w:t>
            </w:r>
          </w:p>
        </w:tc>
        <w:tc>
          <w:tcPr>
            <w:tcW w:w="1702" w:type="dxa"/>
            <w:noWrap/>
            <w:vAlign w:val="center"/>
          </w:tcPr>
          <w:p w14:paraId="2C7AE518">
            <w:pPr>
              <w:spacing w:before="114" w:line="360" w:lineRule="auto"/>
              <w:ind w:left="122"/>
              <w:jc w:val="center"/>
              <w:rPr>
                <w:rFonts w:ascii="宋体" w:hAnsi="宋体"/>
                <w:kern w:val="28"/>
                <w:sz w:val="24"/>
              </w:rPr>
            </w:pPr>
            <w:r>
              <w:rPr>
                <w:rFonts w:hint="eastAsia" w:ascii="宋体" w:hAnsi="宋体"/>
                <w:kern w:val="28"/>
                <w:sz w:val="24"/>
              </w:rPr>
              <w:t>一年</w:t>
            </w:r>
          </w:p>
        </w:tc>
      </w:tr>
    </w:tbl>
    <w:p w14:paraId="7265D06D">
      <w:pPr>
        <w:spacing w:before="114" w:line="360" w:lineRule="auto"/>
        <w:ind w:left="122" w:firstLine="482" w:firstLineChars="200"/>
        <w:rPr>
          <w:rFonts w:ascii="宋体" w:hAnsi="宋体"/>
          <w:b/>
          <w:bCs/>
          <w:kern w:val="28"/>
          <w:sz w:val="24"/>
        </w:rPr>
      </w:pPr>
      <w:r>
        <w:rPr>
          <w:rFonts w:hint="eastAsia" w:ascii="宋体" w:hAnsi="宋体"/>
          <w:b/>
          <w:bCs/>
          <w:kern w:val="28"/>
          <w:sz w:val="24"/>
        </w:rPr>
        <w:t>5.2、线上安全托管服务</w:t>
      </w:r>
    </w:p>
    <w:p w14:paraId="651857E7">
      <w:pPr>
        <w:spacing w:before="114" w:line="360" w:lineRule="auto"/>
        <w:ind w:left="122" w:firstLine="480" w:firstLineChars="200"/>
        <w:rPr>
          <w:rFonts w:ascii="宋体" w:hAnsi="宋体"/>
          <w:kern w:val="28"/>
          <w:sz w:val="24"/>
        </w:rPr>
      </w:pPr>
      <w:r>
        <w:rPr>
          <w:rFonts w:hint="eastAsia" w:ascii="宋体" w:hAnsi="宋体"/>
          <w:kern w:val="28"/>
          <w:sz w:val="24"/>
        </w:rPr>
        <w:t>1)为采购人提供不少于20个核心资产（数据中心资产IP数量）提供7*24h连续性的安全保障。不论是白天、黑夜、节假日服务提供商都应该能做到7*24h在线服务，配置一名经验丰富的安全专家作为专属服务经理，并组建专属服务团队，实时响应采购人发生的网络安全相关问题。</w:t>
      </w:r>
    </w:p>
    <w:p w14:paraId="0D4F642F">
      <w:pPr>
        <w:spacing w:before="114" w:line="360" w:lineRule="auto"/>
        <w:ind w:left="122" w:firstLine="480" w:firstLineChars="200"/>
        <w:rPr>
          <w:rFonts w:ascii="宋体" w:hAnsi="宋体"/>
          <w:kern w:val="28"/>
          <w:sz w:val="24"/>
        </w:rPr>
      </w:pPr>
      <w:r>
        <w:rPr>
          <w:rFonts w:hint="eastAsia" w:ascii="宋体" w:hAnsi="宋体"/>
          <w:kern w:val="28"/>
          <w:sz w:val="24"/>
        </w:rPr>
        <w:t>▲2)服务提供商提供不低于以下服务效果的SLA承诺</w:t>
      </w:r>
      <w:r>
        <w:rPr>
          <w:rFonts w:hint="eastAsia" w:ascii="宋体" w:hAnsi="宋体"/>
          <w:b/>
          <w:bCs/>
          <w:kern w:val="28"/>
          <w:sz w:val="24"/>
        </w:rPr>
        <w:t>（提供服务承诺函并加盖公章）：</w:t>
      </w:r>
    </w:p>
    <w:p w14:paraId="3B26DA7D">
      <w:pPr>
        <w:numPr>
          <w:ilvl w:val="0"/>
          <w:numId w:val="1"/>
        </w:numPr>
        <w:spacing w:before="114" w:line="360" w:lineRule="auto"/>
        <w:rPr>
          <w:rFonts w:ascii="宋体" w:hAnsi="宋体"/>
          <w:kern w:val="28"/>
          <w:sz w:val="24"/>
        </w:rPr>
      </w:pPr>
      <w:r>
        <w:rPr>
          <w:rFonts w:hint="eastAsia" w:ascii="宋体" w:hAnsi="宋体"/>
          <w:kern w:val="28"/>
          <w:sz w:val="24"/>
        </w:rPr>
        <w:t>一般事件：从安全日志产生到通告&lt;1h、遏制影响时间&lt;4h、经服务提供商确认后，准确率达99%、事件闭环率100%；</w:t>
      </w:r>
    </w:p>
    <w:p w14:paraId="43C227A3">
      <w:pPr>
        <w:numPr>
          <w:ilvl w:val="0"/>
          <w:numId w:val="1"/>
        </w:numPr>
        <w:spacing w:before="114" w:line="360" w:lineRule="auto"/>
        <w:rPr>
          <w:rFonts w:ascii="宋体" w:hAnsi="宋体"/>
          <w:kern w:val="28"/>
          <w:sz w:val="24"/>
        </w:rPr>
      </w:pPr>
      <w:r>
        <w:rPr>
          <w:rFonts w:hint="eastAsia" w:ascii="宋体" w:hAnsi="宋体"/>
          <w:kern w:val="28"/>
          <w:sz w:val="24"/>
        </w:rPr>
        <w:t>一般威胁：从安全日志产生到通告&lt;2h、遏制影响时间&lt;4h、经服务提供商确认后，准确率达99%、威胁闭环率100%；</w:t>
      </w:r>
    </w:p>
    <w:p w14:paraId="1E34DB80">
      <w:pPr>
        <w:numPr>
          <w:ilvl w:val="0"/>
          <w:numId w:val="1"/>
        </w:numPr>
        <w:spacing w:before="114" w:line="360" w:lineRule="auto"/>
        <w:rPr>
          <w:rFonts w:ascii="宋体" w:hAnsi="宋体"/>
          <w:kern w:val="28"/>
          <w:sz w:val="24"/>
        </w:rPr>
      </w:pPr>
      <w:r>
        <w:rPr>
          <w:rFonts w:hint="eastAsia" w:ascii="宋体" w:hAnsi="宋体"/>
          <w:kern w:val="28"/>
          <w:sz w:val="24"/>
        </w:rPr>
        <w:t>重大事件：从安全日志产生到通告(MTTD)&lt;30mim、遏制影响时间&lt;1H、经服务提供商确认后，准确率达99%、事件闭环率100%；</w:t>
      </w:r>
    </w:p>
    <w:p w14:paraId="52110FF3">
      <w:pPr>
        <w:numPr>
          <w:ilvl w:val="0"/>
          <w:numId w:val="1"/>
        </w:numPr>
        <w:spacing w:before="114" w:line="360" w:lineRule="auto"/>
        <w:rPr>
          <w:rFonts w:ascii="宋体" w:hAnsi="宋体"/>
          <w:kern w:val="28"/>
          <w:sz w:val="24"/>
        </w:rPr>
      </w:pPr>
      <w:r>
        <w:rPr>
          <w:rFonts w:hint="eastAsia" w:ascii="宋体" w:hAnsi="宋体"/>
          <w:kern w:val="28"/>
          <w:sz w:val="24"/>
        </w:rPr>
        <w:t>重大威胁：从安全日志产生到通告(MTTD )&lt;1h、响应处置时间(MTTR)&lt;1h、经服务提供商确认后，准确率达99%、威胁闭环率100%；</w:t>
      </w:r>
    </w:p>
    <w:p w14:paraId="1D90425E">
      <w:pPr>
        <w:numPr>
          <w:ilvl w:val="0"/>
          <w:numId w:val="1"/>
        </w:numPr>
        <w:spacing w:before="114" w:line="360" w:lineRule="auto"/>
        <w:rPr>
          <w:rFonts w:ascii="宋体" w:hAnsi="宋体"/>
          <w:kern w:val="28"/>
          <w:sz w:val="24"/>
        </w:rPr>
      </w:pPr>
      <w:r>
        <w:rPr>
          <w:rFonts w:hint="eastAsia" w:ascii="宋体" w:hAnsi="宋体"/>
          <w:kern w:val="28"/>
          <w:sz w:val="24"/>
        </w:rPr>
        <w:t>应急响应：服务提供商应当满足重大事故应启动应急响应机制，工作时间15min之内云端专家进行响应，非工作时间30分钟之内云端专家进行响应，2h上门处置。</w:t>
      </w:r>
    </w:p>
    <w:p w14:paraId="401809E3">
      <w:pPr>
        <w:spacing w:before="114" w:line="360" w:lineRule="auto"/>
        <w:ind w:left="122" w:firstLine="480" w:firstLineChars="200"/>
        <w:rPr>
          <w:rFonts w:ascii="宋体" w:hAnsi="宋体"/>
          <w:kern w:val="28"/>
          <w:sz w:val="24"/>
        </w:rPr>
      </w:pPr>
      <w:r>
        <w:rPr>
          <w:rFonts w:hint="eastAsia" w:ascii="宋体" w:hAnsi="宋体"/>
          <w:kern w:val="28"/>
          <w:sz w:val="24"/>
        </w:rPr>
        <w:t>3)安全现状评估：系统与Web漏洞扫描：对操作系统、数据库、常见应用/协议、Web通用漏洞与常规漏洞进行漏洞扫描。弱口令扫描：实现信息化资产不同应用弱口令猜解检测，如：SMB、Mssql、Mysql、Oracle、smtp、VNC、ftp、telnet、ssh、tomcat等。</w:t>
      </w:r>
    </w:p>
    <w:p w14:paraId="24A58673">
      <w:pPr>
        <w:spacing w:before="114" w:line="360" w:lineRule="auto"/>
        <w:ind w:left="122" w:firstLine="480" w:firstLineChars="200"/>
        <w:rPr>
          <w:rFonts w:ascii="宋体" w:hAnsi="宋体"/>
          <w:kern w:val="28"/>
          <w:sz w:val="24"/>
        </w:rPr>
      </w:pPr>
      <w:r>
        <w:rPr>
          <w:rFonts w:hint="eastAsia" w:ascii="宋体" w:hAnsi="宋体"/>
          <w:kern w:val="28"/>
          <w:sz w:val="24"/>
        </w:rPr>
        <w:t>▲4)脆弱性管理：针对服务资产的系统漏洞和Web漏洞进行全量扫描，并针对发现的Web漏洞进行验证，验证漏洞的真实性及分析发生后可造成的危害；对漏洞进行分析并输出可落地的修复方案，通过工单系统跟踪修复情况。要求服务提供商可以对服务范围内发现的每一个高危可利用漏洞提供防护规则，并且承诺防护率达到99%，</w:t>
      </w:r>
      <w:r>
        <w:rPr>
          <w:rFonts w:hint="eastAsia" w:ascii="宋体" w:hAnsi="宋体"/>
          <w:b/>
          <w:bCs/>
          <w:kern w:val="28"/>
          <w:sz w:val="24"/>
        </w:rPr>
        <w:t>提供承诺函并加盖公章</w:t>
      </w:r>
      <w:r>
        <w:rPr>
          <w:rFonts w:hint="eastAsia" w:ascii="宋体" w:hAnsi="宋体"/>
          <w:kern w:val="28"/>
          <w:sz w:val="24"/>
        </w:rPr>
        <w:t>。</w:t>
      </w:r>
    </w:p>
    <w:p w14:paraId="106F4B3A">
      <w:pPr>
        <w:spacing w:before="114" w:line="360" w:lineRule="auto"/>
        <w:ind w:left="122" w:firstLine="480" w:firstLineChars="200"/>
        <w:rPr>
          <w:rFonts w:ascii="宋体" w:hAnsi="宋体"/>
          <w:kern w:val="28"/>
          <w:sz w:val="24"/>
        </w:rPr>
      </w:pPr>
      <w:r>
        <w:rPr>
          <w:rFonts w:hint="eastAsia" w:ascii="宋体" w:hAnsi="宋体"/>
          <w:kern w:val="28"/>
          <w:sz w:val="24"/>
        </w:rPr>
        <w:t>5)安全问题处置：提供7*24h威胁分析和鉴定服务，安全告警上传至服务云端平台依托于平台的大数据分析和威胁检测能力实时监测用户网络安全状态，对平台监测到的安全威胁进行分析鉴定，自动生成服务工单，识别到真正的安全威胁。</w:t>
      </w:r>
    </w:p>
    <w:p w14:paraId="470C5A9B">
      <w:pPr>
        <w:spacing w:before="114" w:line="360" w:lineRule="auto"/>
        <w:ind w:left="122" w:firstLine="480" w:firstLineChars="200"/>
        <w:rPr>
          <w:rFonts w:ascii="宋体" w:hAnsi="宋体"/>
          <w:kern w:val="28"/>
          <w:sz w:val="24"/>
        </w:rPr>
      </w:pPr>
      <w:r>
        <w:rPr>
          <w:rFonts w:hint="eastAsia" w:ascii="宋体" w:hAnsi="宋体"/>
          <w:kern w:val="28"/>
          <w:sz w:val="24"/>
        </w:rPr>
        <w:t>6)服务要求：提供服务成果展示门户；具备服务质量可视化展示，采购人能通过可视化的数据，清晰的了解服务提供商的服务水平，至少包括脆弱性闭环率、脆弱性平均响应时长、脆弱性平均闭环时长、威胁闭环率、威胁平均响应时长、威胁平均闭环时长、事件闭环率、事件平均闭环时长，以验证服务提供商所承诺的服务指标（或称为服务SLA）。</w:t>
      </w:r>
    </w:p>
    <w:p w14:paraId="155998F0">
      <w:pPr>
        <w:spacing w:before="114" w:line="360" w:lineRule="auto"/>
        <w:ind w:left="122" w:firstLine="480" w:firstLineChars="200"/>
        <w:rPr>
          <w:rFonts w:ascii="宋体" w:hAnsi="宋体"/>
          <w:b/>
          <w:bCs/>
          <w:kern w:val="28"/>
          <w:sz w:val="24"/>
        </w:rPr>
      </w:pPr>
      <w:r>
        <w:rPr>
          <w:rFonts w:hint="eastAsia" w:ascii="宋体" w:hAnsi="宋体"/>
          <w:kern w:val="28"/>
          <w:sz w:val="24"/>
        </w:rPr>
        <w:t>▲7)安全设备对接与数据采集：服务提供商安全托管服务云端平台应当支持对接采购人网络中已部署的主要安全设备，包括安全态势感知、威胁检测探针等，支持实时接收安全设备检测到的安全事件信息、安全日志数据提供7*24h的安全托管服务。</w:t>
      </w:r>
      <w:r>
        <w:rPr>
          <w:rFonts w:hint="eastAsia" w:ascii="宋体" w:hAnsi="宋体"/>
          <w:b/>
          <w:bCs/>
          <w:kern w:val="28"/>
          <w:sz w:val="24"/>
        </w:rPr>
        <w:t>提供的安全托管服务云端平台支持对接主要安全设备的能力证明承诺函或者第三方兼容性测试报告。</w:t>
      </w:r>
    </w:p>
    <w:p w14:paraId="66E0FCCC">
      <w:pPr>
        <w:spacing w:before="114" w:line="360" w:lineRule="auto"/>
        <w:ind w:left="122" w:firstLine="480" w:firstLineChars="200"/>
        <w:rPr>
          <w:rFonts w:ascii="宋体" w:hAnsi="宋体"/>
          <w:kern w:val="28"/>
          <w:sz w:val="24"/>
        </w:rPr>
      </w:pPr>
      <w:r>
        <w:rPr>
          <w:rFonts w:hint="eastAsia" w:ascii="宋体" w:hAnsi="宋体"/>
          <w:kern w:val="28"/>
          <w:sz w:val="24"/>
        </w:rPr>
        <w:t>8)安全合规性要求：服务提供商云端平台应当做好严格的安全防护，并严格按照《信息安全技术—网络安全等级保护基本要求》（GB/T 22239-2019）完成等级保护测评工作，服务云端平台至少通过等级保护三级测评，提供信息安全技术网络等级保护测评报告。</w:t>
      </w:r>
    </w:p>
    <w:p w14:paraId="5B04959D">
      <w:pPr>
        <w:spacing w:before="114" w:line="360" w:lineRule="auto"/>
        <w:ind w:left="122" w:firstLine="480" w:firstLineChars="200"/>
        <w:rPr>
          <w:rFonts w:ascii="宋体" w:hAnsi="宋体"/>
          <w:kern w:val="28"/>
          <w:sz w:val="24"/>
        </w:rPr>
      </w:pPr>
      <w:r>
        <w:rPr>
          <w:rFonts w:hint="eastAsia" w:ascii="宋体" w:hAnsi="宋体"/>
          <w:kern w:val="28"/>
          <w:sz w:val="24"/>
        </w:rPr>
        <w:t>9)服务交付物：服务期间内，提供包括但不限于以下汇报材料和内容：《项目启动会PPT》、《首次分析与处置报告》、《漏洞管理举证报告》、《漏洞清单》、《服务资产表》、《安全服务运营报告》、《应急响应报告》、《事件分析与处置报告》、《安全运营报告》、《安全通告》、《综合分析报告》、《季度汇报PPT》、《年度汇报PPT》等。</w:t>
      </w:r>
    </w:p>
    <w:p w14:paraId="23533A49">
      <w:pPr>
        <w:spacing w:before="114" w:line="360" w:lineRule="auto"/>
        <w:ind w:left="122" w:firstLine="482" w:firstLineChars="200"/>
        <w:rPr>
          <w:rFonts w:ascii="宋体" w:hAnsi="宋体"/>
          <w:b/>
          <w:bCs/>
          <w:kern w:val="28"/>
          <w:sz w:val="24"/>
        </w:rPr>
      </w:pPr>
      <w:r>
        <w:rPr>
          <w:rFonts w:hint="eastAsia" w:ascii="宋体" w:hAnsi="宋体"/>
          <w:b/>
          <w:bCs/>
          <w:kern w:val="28"/>
          <w:sz w:val="24"/>
        </w:rPr>
        <w:t>5.3、线下安全技术支撑服务</w:t>
      </w:r>
    </w:p>
    <w:p w14:paraId="0D93485C">
      <w:pPr>
        <w:spacing w:before="114" w:line="360" w:lineRule="auto"/>
        <w:ind w:left="122" w:firstLine="482" w:firstLineChars="200"/>
        <w:rPr>
          <w:rFonts w:ascii="宋体" w:hAnsi="宋体"/>
          <w:b/>
          <w:bCs/>
          <w:kern w:val="28"/>
          <w:sz w:val="24"/>
        </w:rPr>
      </w:pPr>
      <w:r>
        <w:rPr>
          <w:rFonts w:hint="eastAsia" w:ascii="宋体" w:hAnsi="宋体"/>
          <w:b/>
          <w:bCs/>
          <w:kern w:val="28"/>
          <w:sz w:val="24"/>
        </w:rPr>
        <w:t>1)关键系统安全风险评估</w:t>
      </w:r>
    </w:p>
    <w:p w14:paraId="03FCA83E">
      <w:pPr>
        <w:spacing w:before="114" w:line="360" w:lineRule="auto"/>
        <w:ind w:left="122" w:firstLine="480" w:firstLineChars="200"/>
        <w:rPr>
          <w:rFonts w:ascii="宋体" w:hAnsi="宋体"/>
          <w:kern w:val="28"/>
          <w:sz w:val="24"/>
        </w:rPr>
      </w:pPr>
      <w:r>
        <w:rPr>
          <w:rFonts w:hint="eastAsia" w:ascii="宋体" w:hAnsi="宋体"/>
          <w:kern w:val="28"/>
          <w:sz w:val="24"/>
        </w:rPr>
        <w:t>针对采购人所有重要应用系统，依据 GB/T20984风险评估规范，进行管理和技术脆弱性识别，确认相关的安全管理制度、安全管理机构和人员、安全管理要求等管理方面是否存在脆弱性；识别资产开放的端口服务、软硬件版本、中间件版本、数据库版本等内容，针对发现的漏洞、版本等信息，分析重要应用系统存在的风险，并提供加固指导意见。</w:t>
      </w:r>
    </w:p>
    <w:p w14:paraId="1BFD2A6E">
      <w:pPr>
        <w:spacing w:before="114" w:line="360" w:lineRule="auto"/>
        <w:ind w:left="122" w:firstLine="480" w:firstLineChars="200"/>
        <w:rPr>
          <w:rFonts w:ascii="宋体" w:hAnsi="宋体"/>
          <w:kern w:val="28"/>
          <w:sz w:val="24"/>
        </w:rPr>
      </w:pPr>
      <w:r>
        <w:rPr>
          <w:rFonts w:hint="eastAsia" w:ascii="宋体" w:hAnsi="宋体"/>
          <w:kern w:val="28"/>
          <w:sz w:val="24"/>
        </w:rPr>
        <w:t>服务频次：（1次/年）</w:t>
      </w:r>
    </w:p>
    <w:p w14:paraId="40369752">
      <w:pPr>
        <w:spacing w:before="114" w:line="360" w:lineRule="auto"/>
        <w:ind w:left="122" w:firstLine="480" w:firstLineChars="200"/>
        <w:rPr>
          <w:rFonts w:ascii="宋体" w:hAnsi="宋体"/>
          <w:kern w:val="28"/>
          <w:sz w:val="24"/>
        </w:rPr>
      </w:pPr>
      <w:r>
        <w:rPr>
          <w:rFonts w:hint="eastAsia" w:ascii="宋体" w:hAnsi="宋体"/>
          <w:kern w:val="28"/>
          <w:sz w:val="24"/>
        </w:rPr>
        <w:t>服务成果交付：《关键系统安全风险评估报告》</w:t>
      </w:r>
    </w:p>
    <w:p w14:paraId="480718BF">
      <w:pPr>
        <w:spacing w:before="114" w:line="360" w:lineRule="auto"/>
        <w:ind w:left="122" w:firstLine="482" w:firstLineChars="200"/>
        <w:rPr>
          <w:rFonts w:ascii="宋体" w:hAnsi="宋体"/>
          <w:b/>
          <w:bCs/>
          <w:kern w:val="28"/>
          <w:sz w:val="24"/>
        </w:rPr>
      </w:pPr>
      <w:r>
        <w:rPr>
          <w:rFonts w:hint="eastAsia" w:ascii="宋体" w:hAnsi="宋体"/>
          <w:b/>
          <w:bCs/>
          <w:kern w:val="28"/>
          <w:sz w:val="24"/>
        </w:rPr>
        <w:t>2)资产梳理</w:t>
      </w:r>
    </w:p>
    <w:p w14:paraId="791F35CE">
      <w:pPr>
        <w:spacing w:before="114" w:line="360" w:lineRule="auto"/>
        <w:ind w:left="122" w:firstLine="480" w:firstLineChars="200"/>
        <w:rPr>
          <w:rFonts w:ascii="宋体" w:hAnsi="宋体"/>
          <w:kern w:val="28"/>
          <w:sz w:val="24"/>
        </w:rPr>
      </w:pPr>
      <w:r>
        <w:rPr>
          <w:rFonts w:hint="eastAsia" w:ascii="宋体" w:hAnsi="宋体"/>
          <w:kern w:val="28"/>
          <w:sz w:val="24"/>
        </w:rPr>
        <w:t>对采购人信息系统涉及的资产进行周期性识别，同时对各类资产服务端口现状进行嗅探与分析，结合服务工程师调研补充信息，最终完成资产底图绘制，形成清晰可见的资产分布、服务端口状态、及维护管理信息于一体的TI资产安全状态库。资产状态库中包括但不限于：设备型号、设备功能、互联情况、资产使用年限、资产所有人等相关信息。</w:t>
      </w:r>
    </w:p>
    <w:p w14:paraId="38CB3DAB">
      <w:pPr>
        <w:spacing w:before="114" w:line="360" w:lineRule="auto"/>
        <w:ind w:left="122" w:firstLine="480" w:firstLineChars="200"/>
        <w:rPr>
          <w:rFonts w:ascii="宋体" w:hAnsi="宋体"/>
          <w:kern w:val="28"/>
          <w:sz w:val="24"/>
        </w:rPr>
      </w:pPr>
      <w:r>
        <w:rPr>
          <w:rFonts w:hint="eastAsia" w:ascii="宋体" w:hAnsi="宋体"/>
          <w:kern w:val="28"/>
          <w:sz w:val="24"/>
        </w:rPr>
        <w:t>服务频次：（1次/年）</w:t>
      </w:r>
    </w:p>
    <w:p w14:paraId="57C39163">
      <w:pPr>
        <w:spacing w:before="114" w:line="360" w:lineRule="auto"/>
        <w:ind w:left="122" w:firstLine="480" w:firstLineChars="200"/>
        <w:rPr>
          <w:rFonts w:ascii="宋体" w:hAnsi="宋体"/>
          <w:kern w:val="28"/>
          <w:sz w:val="24"/>
        </w:rPr>
      </w:pPr>
      <w:r>
        <w:rPr>
          <w:rFonts w:hint="eastAsia" w:ascii="宋体" w:hAnsi="宋体"/>
          <w:kern w:val="28"/>
          <w:sz w:val="24"/>
        </w:rPr>
        <w:t>服务成果交付：《资产梳理报告》、《资产底图》</w:t>
      </w:r>
    </w:p>
    <w:p w14:paraId="09AA1CA5">
      <w:pPr>
        <w:spacing w:before="114" w:line="360" w:lineRule="auto"/>
        <w:ind w:left="122" w:firstLine="482" w:firstLineChars="200"/>
        <w:rPr>
          <w:rFonts w:ascii="宋体" w:hAnsi="宋体"/>
          <w:b/>
          <w:bCs/>
          <w:kern w:val="28"/>
          <w:sz w:val="24"/>
        </w:rPr>
      </w:pPr>
      <w:r>
        <w:rPr>
          <w:rFonts w:hint="eastAsia" w:ascii="宋体" w:hAnsi="宋体"/>
          <w:b/>
          <w:bCs/>
          <w:kern w:val="28"/>
          <w:sz w:val="24"/>
        </w:rPr>
        <w:t>3)漏洞检测</w:t>
      </w:r>
    </w:p>
    <w:p w14:paraId="703DD244">
      <w:pPr>
        <w:spacing w:before="114" w:line="360" w:lineRule="auto"/>
        <w:ind w:left="122" w:firstLine="480" w:firstLineChars="200"/>
        <w:rPr>
          <w:rFonts w:ascii="宋体" w:hAnsi="宋体"/>
          <w:kern w:val="28"/>
          <w:sz w:val="24"/>
        </w:rPr>
      </w:pPr>
      <w:r>
        <w:rPr>
          <w:rFonts w:hint="eastAsia" w:ascii="宋体" w:hAnsi="宋体"/>
          <w:kern w:val="28"/>
          <w:sz w:val="24"/>
        </w:rPr>
        <w:t>通过评估工具以自动化扫描的方式对评估范围内的基础IT设备进行安全扫描，发现目标存在的安全风险、漏洞和威胁。扫描工具应采用主流安全扫描工具，扫描工具应使用最新版本，更新漏洞库，对发现的安全隐患进行分析，同时提供具有专业性、针对性的安全加固、整改建议，形成安全加固报告，并对修复的漏洞进行回归性测试。</w:t>
      </w:r>
    </w:p>
    <w:p w14:paraId="7D54CB87">
      <w:pPr>
        <w:spacing w:before="114" w:line="360" w:lineRule="auto"/>
        <w:ind w:left="122" w:firstLine="480" w:firstLineChars="200"/>
        <w:rPr>
          <w:rFonts w:ascii="宋体" w:hAnsi="宋体"/>
          <w:kern w:val="28"/>
          <w:sz w:val="24"/>
        </w:rPr>
      </w:pPr>
      <w:r>
        <w:rPr>
          <w:rFonts w:hint="eastAsia" w:ascii="宋体" w:hAnsi="宋体"/>
          <w:kern w:val="28"/>
          <w:sz w:val="24"/>
        </w:rPr>
        <w:t>服务频次：（1次/年）</w:t>
      </w:r>
    </w:p>
    <w:p w14:paraId="7905B6B2">
      <w:pPr>
        <w:spacing w:before="114" w:line="360" w:lineRule="auto"/>
        <w:ind w:left="122" w:firstLine="480" w:firstLineChars="200"/>
        <w:rPr>
          <w:rFonts w:ascii="宋体" w:hAnsi="宋体"/>
          <w:kern w:val="28"/>
          <w:sz w:val="24"/>
        </w:rPr>
      </w:pPr>
      <w:r>
        <w:rPr>
          <w:rFonts w:hint="eastAsia" w:ascii="宋体" w:hAnsi="宋体"/>
          <w:kern w:val="28"/>
          <w:sz w:val="24"/>
        </w:rPr>
        <w:t>服务成果交付：《漏洞扫描报告》。</w:t>
      </w:r>
    </w:p>
    <w:p w14:paraId="4A1F0EA7">
      <w:pPr>
        <w:spacing w:before="114" w:line="360" w:lineRule="auto"/>
        <w:ind w:left="122" w:firstLine="482" w:firstLineChars="200"/>
        <w:rPr>
          <w:rFonts w:ascii="宋体" w:hAnsi="宋体"/>
          <w:b/>
          <w:bCs/>
          <w:kern w:val="28"/>
          <w:sz w:val="24"/>
        </w:rPr>
      </w:pPr>
      <w:r>
        <w:rPr>
          <w:rFonts w:hint="eastAsia" w:ascii="宋体" w:hAnsi="宋体"/>
          <w:b/>
          <w:bCs/>
          <w:kern w:val="28"/>
          <w:sz w:val="24"/>
        </w:rPr>
        <w:t>4)基线核查</w:t>
      </w:r>
    </w:p>
    <w:p w14:paraId="06876714">
      <w:pPr>
        <w:spacing w:before="114" w:line="360" w:lineRule="auto"/>
        <w:ind w:left="122" w:firstLine="480" w:firstLineChars="200"/>
        <w:rPr>
          <w:rFonts w:ascii="宋体" w:hAnsi="宋体"/>
          <w:kern w:val="28"/>
          <w:sz w:val="24"/>
        </w:rPr>
      </w:pPr>
      <w:r>
        <w:rPr>
          <w:rFonts w:hint="eastAsia" w:ascii="宋体" w:hAnsi="宋体"/>
          <w:kern w:val="28"/>
          <w:sz w:val="24"/>
        </w:rPr>
        <w:t>通过评估工具对评估范围内的基础IT设备进行基线扫描，并通过人工辅助确认两种方式结合完成安全检查工作。基线核查项要求满足国家和行业的安全配置规范, 对于不满足项提供整改建议。</w:t>
      </w:r>
    </w:p>
    <w:p w14:paraId="4FC6EB43">
      <w:pPr>
        <w:spacing w:before="114" w:line="360" w:lineRule="auto"/>
        <w:ind w:left="122" w:firstLine="480" w:firstLineChars="200"/>
        <w:rPr>
          <w:rFonts w:ascii="宋体" w:hAnsi="宋体"/>
          <w:kern w:val="28"/>
          <w:sz w:val="24"/>
        </w:rPr>
      </w:pPr>
      <w:r>
        <w:rPr>
          <w:rFonts w:hint="eastAsia" w:ascii="宋体" w:hAnsi="宋体"/>
          <w:kern w:val="28"/>
          <w:sz w:val="24"/>
        </w:rPr>
        <w:t>服务频次：（1次/年）</w:t>
      </w:r>
    </w:p>
    <w:p w14:paraId="6A22D16A">
      <w:pPr>
        <w:spacing w:before="114" w:line="360" w:lineRule="auto"/>
        <w:ind w:left="122" w:firstLine="480" w:firstLineChars="200"/>
        <w:rPr>
          <w:rFonts w:ascii="宋体" w:hAnsi="宋体"/>
          <w:kern w:val="28"/>
          <w:sz w:val="24"/>
        </w:rPr>
      </w:pPr>
      <w:r>
        <w:rPr>
          <w:rFonts w:hint="eastAsia" w:ascii="宋体" w:hAnsi="宋体"/>
          <w:kern w:val="28"/>
          <w:sz w:val="24"/>
        </w:rPr>
        <w:t>服务成果交付：《基线核查报告》。</w:t>
      </w:r>
    </w:p>
    <w:p w14:paraId="4F112059">
      <w:pPr>
        <w:spacing w:before="114" w:line="360" w:lineRule="auto"/>
        <w:ind w:left="122" w:firstLine="482" w:firstLineChars="200"/>
        <w:rPr>
          <w:rFonts w:ascii="宋体" w:hAnsi="宋体"/>
          <w:b/>
          <w:bCs/>
          <w:kern w:val="28"/>
          <w:sz w:val="24"/>
        </w:rPr>
      </w:pPr>
      <w:r>
        <w:rPr>
          <w:rFonts w:hint="eastAsia" w:ascii="宋体" w:hAnsi="宋体"/>
          <w:b/>
          <w:bCs/>
          <w:kern w:val="28"/>
          <w:sz w:val="24"/>
        </w:rPr>
        <w:t>5)渗透测试服务</w:t>
      </w:r>
    </w:p>
    <w:p w14:paraId="4F07B1A7">
      <w:pPr>
        <w:spacing w:before="114" w:line="360" w:lineRule="auto"/>
        <w:ind w:left="122" w:firstLine="480" w:firstLineChars="200"/>
        <w:rPr>
          <w:rFonts w:ascii="宋体" w:hAnsi="宋体"/>
          <w:kern w:val="28"/>
          <w:sz w:val="24"/>
        </w:rPr>
      </w:pPr>
      <w:r>
        <w:rPr>
          <w:rFonts w:hint="eastAsia" w:ascii="宋体" w:hAnsi="宋体"/>
          <w:kern w:val="28"/>
          <w:sz w:val="24"/>
        </w:rPr>
        <w:t>针对医院HIS、LIS、PACS、EMR、财务系统等关键系统，采用模拟常见黑客所使用的攻击手段对目标系统进行模拟入侵，发现系统中存在可被利用的弱点，并验证存在弱点可能对业务造成影响，验证弱点被利用可能造成的危害。渗透测试采用内部测试和外部测试相结合的方式，对系统实现全面的测试。开展渗透测试后，记录渗透测试过程并将所发现的安全隐患形成渗透测试报告。</w:t>
      </w:r>
    </w:p>
    <w:p w14:paraId="73FD6C54">
      <w:pPr>
        <w:spacing w:before="114" w:line="360" w:lineRule="auto"/>
        <w:ind w:left="122" w:firstLine="480" w:firstLineChars="200"/>
        <w:rPr>
          <w:rFonts w:ascii="宋体" w:hAnsi="宋体"/>
          <w:kern w:val="28"/>
          <w:sz w:val="24"/>
        </w:rPr>
      </w:pPr>
      <w:r>
        <w:rPr>
          <w:rFonts w:hint="eastAsia" w:ascii="宋体" w:hAnsi="宋体"/>
          <w:kern w:val="28"/>
          <w:sz w:val="24"/>
        </w:rPr>
        <w:t>服务频次：（1次/年）</w:t>
      </w:r>
    </w:p>
    <w:p w14:paraId="72DF4DF3">
      <w:pPr>
        <w:spacing w:before="114" w:line="360" w:lineRule="auto"/>
        <w:ind w:left="122" w:firstLine="480" w:firstLineChars="200"/>
        <w:rPr>
          <w:rFonts w:ascii="宋体" w:hAnsi="宋体"/>
          <w:kern w:val="28"/>
          <w:sz w:val="24"/>
        </w:rPr>
      </w:pPr>
      <w:r>
        <w:rPr>
          <w:rFonts w:hint="eastAsia" w:ascii="宋体" w:hAnsi="宋体"/>
          <w:kern w:val="28"/>
          <w:sz w:val="24"/>
        </w:rPr>
        <w:t>服务成果交付：《渗透测试报告》。</w:t>
      </w:r>
    </w:p>
    <w:p w14:paraId="4772568F">
      <w:pPr>
        <w:spacing w:before="114" w:line="360" w:lineRule="auto"/>
        <w:ind w:left="122" w:firstLine="482" w:firstLineChars="200"/>
        <w:rPr>
          <w:rFonts w:ascii="宋体" w:hAnsi="宋体"/>
          <w:b/>
          <w:bCs/>
          <w:kern w:val="28"/>
          <w:sz w:val="24"/>
        </w:rPr>
      </w:pPr>
      <w:r>
        <w:rPr>
          <w:rFonts w:hint="eastAsia" w:ascii="宋体" w:hAnsi="宋体"/>
          <w:b/>
          <w:bCs/>
          <w:kern w:val="28"/>
          <w:sz w:val="24"/>
        </w:rPr>
        <w:t>6)弱口令检查</w:t>
      </w:r>
    </w:p>
    <w:p w14:paraId="7E573E76">
      <w:pPr>
        <w:spacing w:before="114" w:line="360" w:lineRule="auto"/>
        <w:ind w:left="122" w:firstLine="480" w:firstLineChars="200"/>
        <w:rPr>
          <w:rFonts w:ascii="宋体" w:hAnsi="宋体"/>
          <w:kern w:val="28"/>
          <w:sz w:val="24"/>
        </w:rPr>
      </w:pPr>
      <w:r>
        <w:rPr>
          <w:rFonts w:hint="eastAsia" w:ascii="宋体" w:hAnsi="宋体"/>
          <w:kern w:val="28"/>
          <w:sz w:val="24"/>
        </w:rPr>
        <w:t>通过在线检查和离线破解的手段对采购人内外网系统和应用进行弱口令检查。服务提供商应提供符合行业的弱口令字典，弱口令字典应包含常规弱口令、易猜解口令、高重复率口令等。</w:t>
      </w:r>
    </w:p>
    <w:p w14:paraId="1DB246BF">
      <w:pPr>
        <w:spacing w:before="114" w:line="360" w:lineRule="auto"/>
        <w:ind w:left="122" w:firstLine="480" w:firstLineChars="200"/>
        <w:rPr>
          <w:rFonts w:ascii="宋体" w:hAnsi="宋体"/>
          <w:kern w:val="28"/>
          <w:sz w:val="24"/>
        </w:rPr>
      </w:pPr>
      <w:r>
        <w:rPr>
          <w:rFonts w:hint="eastAsia" w:ascii="宋体" w:hAnsi="宋体"/>
          <w:kern w:val="28"/>
          <w:sz w:val="24"/>
        </w:rPr>
        <w:t>服务频次：（1次/年）</w:t>
      </w:r>
    </w:p>
    <w:p w14:paraId="7A91CE4E">
      <w:pPr>
        <w:spacing w:before="114" w:line="360" w:lineRule="auto"/>
        <w:ind w:left="122" w:firstLine="480" w:firstLineChars="200"/>
        <w:rPr>
          <w:rFonts w:ascii="宋体" w:hAnsi="宋体"/>
          <w:kern w:val="28"/>
          <w:sz w:val="24"/>
        </w:rPr>
      </w:pPr>
      <w:r>
        <w:rPr>
          <w:rFonts w:hint="eastAsia" w:ascii="宋体" w:hAnsi="宋体"/>
          <w:kern w:val="28"/>
          <w:sz w:val="24"/>
        </w:rPr>
        <w:t>服务成果交付：《弱口令检查报告》。</w:t>
      </w:r>
    </w:p>
    <w:p w14:paraId="25B02580">
      <w:pPr>
        <w:spacing w:before="114" w:line="360" w:lineRule="auto"/>
        <w:ind w:left="122" w:firstLine="482" w:firstLineChars="200"/>
        <w:rPr>
          <w:rFonts w:ascii="宋体" w:hAnsi="宋体"/>
          <w:b/>
          <w:bCs/>
          <w:kern w:val="28"/>
          <w:sz w:val="24"/>
        </w:rPr>
      </w:pPr>
      <w:r>
        <w:rPr>
          <w:rFonts w:hint="eastAsia" w:ascii="宋体" w:hAnsi="宋体"/>
          <w:b/>
          <w:bCs/>
          <w:kern w:val="28"/>
          <w:sz w:val="24"/>
        </w:rPr>
        <w:t>7)新上线系统安全评估</w:t>
      </w:r>
    </w:p>
    <w:p w14:paraId="4259E370">
      <w:pPr>
        <w:spacing w:before="114" w:line="360" w:lineRule="auto"/>
        <w:ind w:left="122" w:firstLine="480" w:firstLineChars="200"/>
        <w:rPr>
          <w:rFonts w:ascii="宋体" w:hAnsi="宋体"/>
          <w:kern w:val="28"/>
          <w:sz w:val="24"/>
        </w:rPr>
      </w:pPr>
      <w:r>
        <w:rPr>
          <w:rFonts w:hint="eastAsia" w:ascii="宋体" w:hAnsi="宋体"/>
          <w:kern w:val="28"/>
          <w:sz w:val="24"/>
        </w:rPr>
        <w:t>按照网络安全法律法规及相关监管要求，对计划新上线的系统开展漏洞检测、安全配置核查、渗透测试、代码审计等安全检查，及时识别新系统中存在的漏洞及安全风险，在系统上线前采取加固整改措施；系统开发厂商完成整改后针对初次安全检测发现的问题进行逐一复测，验证安全加固的有效性，保障系统低风险上线运行。</w:t>
      </w:r>
    </w:p>
    <w:p w14:paraId="506A3661">
      <w:pPr>
        <w:spacing w:before="114" w:line="360" w:lineRule="auto"/>
        <w:ind w:left="122" w:firstLine="480" w:firstLineChars="200"/>
        <w:rPr>
          <w:rFonts w:ascii="宋体" w:hAnsi="宋体"/>
          <w:kern w:val="28"/>
          <w:sz w:val="24"/>
        </w:rPr>
      </w:pPr>
      <w:r>
        <w:rPr>
          <w:rFonts w:hint="eastAsia" w:ascii="宋体" w:hAnsi="宋体"/>
          <w:kern w:val="28"/>
          <w:sz w:val="24"/>
        </w:rPr>
        <w:t>服务频次：（1次/1 个业务系统）</w:t>
      </w:r>
    </w:p>
    <w:p w14:paraId="13D8A070">
      <w:pPr>
        <w:spacing w:before="114" w:line="360" w:lineRule="auto"/>
        <w:ind w:left="122" w:firstLine="480" w:firstLineChars="200"/>
        <w:rPr>
          <w:rFonts w:ascii="宋体" w:hAnsi="宋体"/>
          <w:kern w:val="28"/>
          <w:sz w:val="24"/>
        </w:rPr>
      </w:pPr>
      <w:r>
        <w:rPr>
          <w:rFonts w:hint="eastAsia" w:ascii="宋体" w:hAnsi="宋体"/>
          <w:kern w:val="28"/>
          <w:sz w:val="24"/>
        </w:rPr>
        <w:t>服务成果交付：《新上线系统安全评估报告》。</w:t>
      </w:r>
    </w:p>
    <w:p w14:paraId="6853B785">
      <w:pPr>
        <w:spacing w:before="114" w:line="360" w:lineRule="auto"/>
        <w:ind w:left="122" w:firstLine="482" w:firstLineChars="200"/>
        <w:rPr>
          <w:rFonts w:ascii="宋体" w:hAnsi="宋体"/>
          <w:b/>
          <w:bCs/>
          <w:kern w:val="28"/>
          <w:sz w:val="24"/>
        </w:rPr>
      </w:pPr>
      <w:r>
        <w:rPr>
          <w:rFonts w:hint="eastAsia" w:ascii="宋体" w:hAnsi="宋体"/>
          <w:b/>
          <w:bCs/>
          <w:kern w:val="28"/>
          <w:sz w:val="24"/>
        </w:rPr>
        <w:t>8)应急响应安全服务</w:t>
      </w:r>
    </w:p>
    <w:p w14:paraId="7B3BB85F">
      <w:pPr>
        <w:spacing w:before="114" w:line="360" w:lineRule="auto"/>
        <w:ind w:left="122" w:firstLine="480" w:firstLineChars="200"/>
        <w:rPr>
          <w:rFonts w:ascii="宋体" w:hAnsi="宋体"/>
          <w:kern w:val="28"/>
          <w:sz w:val="24"/>
          <w:highlight w:val="none"/>
        </w:rPr>
      </w:pPr>
      <w:r>
        <w:rPr>
          <w:rFonts w:hint="eastAsia" w:ascii="宋体" w:hAnsi="宋体"/>
          <w:kern w:val="28"/>
          <w:sz w:val="24"/>
        </w:rPr>
        <w:t>服务提供商应在在合同期限内向采购人提供7*24h的网络安全应急响应服务，一旦采购人发生突发性的安全事件后，应急响应人员应该在1h内立即到达采购人用户现场，协助采购人完成不限于以下工作：事件范围损</w:t>
      </w:r>
      <w:r>
        <w:rPr>
          <w:rFonts w:hint="eastAsia" w:ascii="宋体" w:hAnsi="宋体"/>
          <w:kern w:val="28"/>
          <w:sz w:val="24"/>
          <w:highlight w:val="none"/>
        </w:rPr>
        <w:t>失控制，取证，事件处理，外部攻击源追溯，内部脆弱性分析；并提供相关文档详实记录分析判断过程及结果，包括使软件记录应急响应顾问在其主机上的所有操作，便于审计和考核。</w:t>
      </w:r>
    </w:p>
    <w:p w14:paraId="5C7779ED">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在安全事件处理完毕后，服务提供商应协助采购人进行事件原因调查，以及系统恢复等后期工作，以建立正常的业务运行环境；服务提供商应在</w:t>
      </w:r>
      <w:r>
        <w:rPr>
          <w:rFonts w:hint="eastAsia" w:ascii="宋体" w:hAnsi="宋体"/>
          <w:kern w:val="28"/>
          <w:sz w:val="24"/>
          <w:highlight w:val="none"/>
          <w:lang w:val="en-US" w:eastAsia="zh-CN"/>
        </w:rPr>
        <w:t>事件处理完毕</w:t>
      </w:r>
      <w:r>
        <w:rPr>
          <w:rFonts w:hint="eastAsia" w:ascii="宋体" w:hAnsi="宋体"/>
          <w:kern w:val="28"/>
          <w:sz w:val="24"/>
          <w:highlight w:val="none"/>
        </w:rPr>
        <w:t>1周内对事件的起因、处理过程、处理方法、处理结果等进行总结，提交完整的《安全事件分析及处理总结报告》。</w:t>
      </w:r>
    </w:p>
    <w:p w14:paraId="18AC825E">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服务频次：（</w:t>
      </w:r>
      <w:r>
        <w:rPr>
          <w:rFonts w:hint="eastAsia" w:ascii="宋体" w:hAnsi="宋体"/>
          <w:kern w:val="28"/>
          <w:sz w:val="24"/>
          <w:highlight w:val="none"/>
          <w:lang w:val="en-US" w:eastAsia="zh-CN"/>
        </w:rPr>
        <w:t>按</w:t>
      </w:r>
      <w:r>
        <w:rPr>
          <w:rFonts w:hint="eastAsia" w:ascii="宋体" w:hAnsi="宋体"/>
          <w:kern w:val="28"/>
          <w:sz w:val="24"/>
          <w:highlight w:val="none"/>
        </w:rPr>
        <w:t>突发性</w:t>
      </w:r>
      <w:r>
        <w:rPr>
          <w:rFonts w:hint="eastAsia" w:ascii="宋体" w:hAnsi="宋体"/>
          <w:kern w:val="28"/>
          <w:sz w:val="24"/>
          <w:highlight w:val="none"/>
          <w:lang w:val="en-US" w:eastAsia="zh-CN"/>
        </w:rPr>
        <w:t>事件次数</w:t>
      </w:r>
      <w:r>
        <w:rPr>
          <w:rFonts w:hint="eastAsia" w:ascii="宋体" w:hAnsi="宋体"/>
          <w:kern w:val="28"/>
          <w:sz w:val="24"/>
          <w:highlight w:val="none"/>
        </w:rPr>
        <w:t>）</w:t>
      </w:r>
    </w:p>
    <w:p w14:paraId="5A405B73">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服务成果交付：《安全事件分析及处理总结报告》。</w:t>
      </w:r>
    </w:p>
    <w:p w14:paraId="7B8F8864">
      <w:pPr>
        <w:spacing w:before="114" w:line="360" w:lineRule="auto"/>
        <w:ind w:left="122" w:firstLine="482" w:firstLineChars="200"/>
        <w:rPr>
          <w:rFonts w:ascii="宋体" w:hAnsi="宋体"/>
          <w:b/>
          <w:bCs/>
          <w:kern w:val="28"/>
          <w:sz w:val="24"/>
          <w:highlight w:val="none"/>
        </w:rPr>
      </w:pPr>
      <w:r>
        <w:rPr>
          <w:rFonts w:hint="eastAsia" w:ascii="宋体" w:hAnsi="宋体"/>
          <w:b/>
          <w:bCs/>
          <w:kern w:val="28"/>
          <w:sz w:val="24"/>
          <w:highlight w:val="none"/>
        </w:rPr>
        <w:t>9)应急演练</w:t>
      </w:r>
    </w:p>
    <w:p w14:paraId="6686955F">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协助采购人修订网络安全应急预案、编制应急演练计划、确定演练方案、实施网络安全演练</w:t>
      </w:r>
      <w:r>
        <w:rPr>
          <w:rFonts w:hint="eastAsia" w:ascii="宋体" w:hAnsi="宋体"/>
          <w:kern w:val="28"/>
          <w:sz w:val="24"/>
          <w:highlight w:val="none"/>
          <w:lang w:eastAsia="zh-CN"/>
        </w:rPr>
        <w:t>、</w:t>
      </w:r>
      <w:r>
        <w:rPr>
          <w:rFonts w:hint="eastAsia" w:ascii="宋体" w:hAnsi="宋体"/>
          <w:kern w:val="28"/>
          <w:sz w:val="24"/>
          <w:highlight w:val="none"/>
          <w:lang w:val="en-US" w:eastAsia="zh-CN"/>
        </w:rPr>
        <w:t>应急演练报告</w:t>
      </w:r>
      <w:r>
        <w:rPr>
          <w:rFonts w:hint="eastAsia" w:ascii="宋体" w:hAnsi="宋体"/>
          <w:kern w:val="28"/>
          <w:sz w:val="24"/>
          <w:highlight w:val="none"/>
        </w:rPr>
        <w:t>。</w:t>
      </w:r>
    </w:p>
    <w:p w14:paraId="4DAC31AE">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服务频次：（2次/年）</w:t>
      </w:r>
    </w:p>
    <w:p w14:paraId="34C94707">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服务成果交付：《应急演练预案》、《应急演练实施方案》</w:t>
      </w:r>
      <w:r>
        <w:rPr>
          <w:rFonts w:hint="eastAsia" w:ascii="宋体" w:hAnsi="宋体"/>
          <w:kern w:val="28"/>
          <w:sz w:val="24"/>
          <w:highlight w:val="none"/>
          <w:lang w:eastAsia="zh-CN"/>
        </w:rPr>
        <w:t>、《</w:t>
      </w:r>
      <w:r>
        <w:rPr>
          <w:rFonts w:hint="eastAsia" w:ascii="宋体" w:hAnsi="宋体"/>
          <w:kern w:val="28"/>
          <w:sz w:val="24"/>
          <w:highlight w:val="none"/>
          <w:lang w:val="en-US" w:eastAsia="zh-CN"/>
        </w:rPr>
        <w:t>应急演练总结报告</w:t>
      </w:r>
      <w:r>
        <w:rPr>
          <w:rFonts w:hint="eastAsia" w:ascii="宋体" w:hAnsi="宋体"/>
          <w:kern w:val="28"/>
          <w:sz w:val="24"/>
          <w:highlight w:val="none"/>
          <w:lang w:eastAsia="zh-CN"/>
        </w:rPr>
        <w:t>》</w:t>
      </w:r>
      <w:r>
        <w:rPr>
          <w:rFonts w:hint="eastAsia" w:ascii="宋体" w:hAnsi="宋体"/>
          <w:kern w:val="28"/>
          <w:sz w:val="24"/>
          <w:highlight w:val="none"/>
        </w:rPr>
        <w:t>。</w:t>
      </w:r>
    </w:p>
    <w:p w14:paraId="6A37B6EB">
      <w:pPr>
        <w:spacing w:before="114" w:line="360" w:lineRule="auto"/>
        <w:ind w:left="122" w:firstLine="482" w:firstLineChars="200"/>
        <w:rPr>
          <w:rFonts w:ascii="宋体" w:hAnsi="宋体"/>
          <w:b/>
          <w:bCs/>
          <w:kern w:val="28"/>
          <w:sz w:val="24"/>
          <w:highlight w:val="none"/>
        </w:rPr>
      </w:pPr>
      <w:r>
        <w:rPr>
          <w:rFonts w:hint="eastAsia" w:ascii="宋体" w:hAnsi="宋体"/>
          <w:b/>
          <w:bCs/>
          <w:kern w:val="28"/>
          <w:sz w:val="24"/>
          <w:highlight w:val="none"/>
        </w:rPr>
        <w:t>10)安全驻场服务</w:t>
      </w:r>
    </w:p>
    <w:p w14:paraId="0E093F17">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提供商提供1名安全服务工程师，配合采购人完成日常安全运行工作，保障业务系统安全稳定运行，不限于安全系统/设备的版本（或规则库、漏洞库、特征库）的更新升级、漏洞整改跟踪、安全日志备份维护、安全策略调整优化、资产台账日常维护、重要时期安全自查和安全值守、安全日志分析及其他采购人交办的网络安全工作。</w:t>
      </w:r>
    </w:p>
    <w:p w14:paraId="621A0E32">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服务成果交付：《重要时期值守日报》、《安全日志分析报告》。</w:t>
      </w:r>
    </w:p>
    <w:p w14:paraId="75FBC71E">
      <w:pPr>
        <w:spacing w:before="114" w:line="360" w:lineRule="auto"/>
        <w:ind w:left="122" w:firstLine="562" w:firstLineChars="200"/>
        <w:rPr>
          <w:rFonts w:ascii="宋体" w:hAnsi="宋体"/>
          <w:b/>
          <w:bCs/>
          <w:kern w:val="28"/>
          <w:sz w:val="28"/>
          <w:szCs w:val="28"/>
          <w:highlight w:val="none"/>
        </w:rPr>
      </w:pPr>
      <w:r>
        <w:rPr>
          <w:rFonts w:hint="eastAsia" w:ascii="宋体" w:hAnsi="宋体"/>
          <w:b/>
          <w:bCs/>
          <w:kern w:val="28"/>
          <w:sz w:val="28"/>
          <w:szCs w:val="28"/>
          <w:highlight w:val="none"/>
        </w:rPr>
        <w:t>二、项目组织与质量保证要求</w:t>
      </w:r>
    </w:p>
    <w:p w14:paraId="48946672">
      <w:pPr>
        <w:spacing w:before="114" w:line="360" w:lineRule="auto"/>
        <w:ind w:left="122" w:firstLine="562" w:firstLineChars="200"/>
        <w:rPr>
          <w:rFonts w:ascii="宋体" w:hAnsi="宋体"/>
          <w:b/>
          <w:bCs/>
          <w:kern w:val="28"/>
          <w:sz w:val="28"/>
          <w:szCs w:val="28"/>
          <w:highlight w:val="none"/>
        </w:rPr>
      </w:pPr>
      <w:r>
        <w:rPr>
          <w:rFonts w:hint="eastAsia" w:ascii="宋体" w:hAnsi="宋体"/>
          <w:b/>
          <w:bCs/>
          <w:kern w:val="28"/>
          <w:sz w:val="28"/>
          <w:szCs w:val="28"/>
          <w:highlight w:val="none"/>
        </w:rPr>
        <w:t>1、服务人员要求</w:t>
      </w:r>
    </w:p>
    <w:p w14:paraId="28C4960F">
      <w:pPr>
        <w:spacing w:before="114" w:line="360" w:lineRule="auto"/>
        <w:ind w:left="122" w:firstLine="482" w:firstLineChars="200"/>
        <w:rPr>
          <w:rFonts w:ascii="宋体" w:hAnsi="宋体"/>
          <w:b/>
          <w:bCs/>
          <w:kern w:val="28"/>
          <w:sz w:val="24"/>
          <w:highlight w:val="none"/>
        </w:rPr>
      </w:pPr>
      <w:r>
        <w:rPr>
          <w:rFonts w:hint="eastAsia" w:ascii="宋体" w:hAnsi="宋体"/>
          <w:b/>
          <w:bCs/>
          <w:kern w:val="28"/>
          <w:sz w:val="24"/>
          <w:highlight w:val="none"/>
        </w:rPr>
        <w:t>线上安全服务人员要求</w:t>
      </w:r>
    </w:p>
    <w:p w14:paraId="7C935F95">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（1）项目经理：安全服务支持厂商需派项目经理1名。</w:t>
      </w:r>
    </w:p>
    <w:p w14:paraId="7D9EC89C">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（2）安全服务支持厂商针对本项目提供至少3人的实施团队。</w:t>
      </w:r>
    </w:p>
    <w:p w14:paraId="086D242C">
      <w:pPr>
        <w:spacing w:before="114" w:line="360" w:lineRule="auto"/>
        <w:ind w:left="122" w:firstLine="482" w:firstLineChars="200"/>
        <w:rPr>
          <w:rFonts w:ascii="宋体" w:hAnsi="宋体"/>
          <w:b/>
          <w:bCs/>
          <w:kern w:val="28"/>
          <w:sz w:val="24"/>
          <w:highlight w:val="none"/>
        </w:rPr>
      </w:pPr>
      <w:r>
        <w:rPr>
          <w:rFonts w:hint="eastAsia" w:ascii="宋体" w:hAnsi="宋体"/>
          <w:b/>
          <w:bCs/>
          <w:kern w:val="28"/>
          <w:sz w:val="24"/>
          <w:highlight w:val="none"/>
        </w:rPr>
        <w:t>线下安全服务人员要求</w:t>
      </w:r>
    </w:p>
    <w:p w14:paraId="7567B8E2">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服务提供商承诺并按照本项目要求提供服务，服务提供商为本项目配备团队人员2人，其中驻场服务人员1人，非驻场高级安全专家1 人。本项目中涉及的人员必须为服务提供商公司员工，与项目实际服务团队一致，不允许服务人员外包，否则按虚假应答认定,取消服务提供商资格并追究落实相关责任。</w:t>
      </w:r>
    </w:p>
    <w:p w14:paraId="75AF7264">
      <w:pPr>
        <w:spacing w:before="114" w:line="360" w:lineRule="auto"/>
        <w:ind w:left="122" w:firstLine="482" w:firstLineChars="200"/>
        <w:rPr>
          <w:rFonts w:ascii="宋体" w:hAnsi="宋体"/>
          <w:b/>
          <w:bCs/>
          <w:kern w:val="28"/>
          <w:sz w:val="24"/>
          <w:highlight w:val="none"/>
        </w:rPr>
      </w:pPr>
      <w:r>
        <w:rPr>
          <w:rFonts w:hint="eastAsia" w:ascii="宋体" w:hAnsi="宋体"/>
          <w:b/>
          <w:bCs/>
          <w:kern w:val="28"/>
          <w:sz w:val="24"/>
          <w:highlight w:val="none"/>
        </w:rPr>
        <w:t>人员其他要求</w:t>
      </w:r>
    </w:p>
    <w:p w14:paraId="7E3A4EBF">
      <w:pPr>
        <w:spacing w:before="114" w:line="360" w:lineRule="auto"/>
        <w:ind w:left="122" w:firstLine="480" w:firstLineChars="200"/>
        <w:rPr>
          <w:rFonts w:ascii="宋体" w:hAnsi="宋体"/>
          <w:kern w:val="28"/>
          <w:sz w:val="24"/>
          <w:highlight w:val="none"/>
        </w:rPr>
      </w:pPr>
      <w:r>
        <w:rPr>
          <w:rFonts w:hint="eastAsia" w:ascii="宋体" w:hAnsi="宋体"/>
          <w:kern w:val="28"/>
          <w:sz w:val="24"/>
          <w:highlight w:val="none"/>
        </w:rPr>
        <w:t>在必要的情况下，采购人有权要求</w:t>
      </w:r>
      <w:r>
        <w:rPr>
          <w:rFonts w:hint="eastAsia" w:ascii="宋体" w:hAnsi="宋体"/>
          <w:kern w:val="28"/>
          <w:sz w:val="24"/>
          <w:highlight w:val="none"/>
          <w:lang w:val="en-US" w:eastAsia="zh-CN"/>
        </w:rPr>
        <w:t>供应商</w:t>
      </w:r>
      <w:r>
        <w:rPr>
          <w:rFonts w:hint="eastAsia" w:ascii="宋体" w:hAnsi="宋体"/>
          <w:kern w:val="28"/>
          <w:sz w:val="24"/>
          <w:highlight w:val="none"/>
        </w:rPr>
        <w:t>重新选派技术人员。服务提供商如需对现场工程师进行调配和调动，须经过采购人的同意。如服务提供商有变更，必须提前1个月通知采购人，并获取同意后方能更换。</w:t>
      </w:r>
    </w:p>
    <w:p w14:paraId="44AD649E">
      <w:pPr>
        <w:spacing w:before="114" w:line="360" w:lineRule="auto"/>
        <w:ind w:left="122" w:firstLine="562" w:firstLineChars="200"/>
        <w:rPr>
          <w:rFonts w:ascii="宋体" w:hAnsi="宋体"/>
          <w:b/>
          <w:bCs/>
          <w:kern w:val="28"/>
          <w:sz w:val="28"/>
          <w:szCs w:val="28"/>
          <w:highlight w:val="none"/>
        </w:rPr>
      </w:pPr>
      <w:r>
        <w:rPr>
          <w:rFonts w:hint="eastAsia" w:ascii="宋体" w:hAnsi="宋体"/>
          <w:b/>
          <w:bCs/>
          <w:kern w:val="28"/>
          <w:sz w:val="28"/>
          <w:szCs w:val="28"/>
          <w:highlight w:val="none"/>
        </w:rPr>
        <w:t>2、服务工具</w:t>
      </w:r>
    </w:p>
    <w:p w14:paraId="674B6998">
      <w:pPr>
        <w:spacing w:before="114" w:line="360" w:lineRule="auto"/>
        <w:ind w:left="122" w:firstLine="480" w:firstLineChars="200"/>
        <w:rPr>
          <w:rFonts w:ascii="宋体" w:hAnsi="宋体"/>
          <w:kern w:val="28"/>
          <w:sz w:val="24"/>
        </w:rPr>
      </w:pPr>
      <w:r>
        <w:rPr>
          <w:rFonts w:hint="eastAsia" w:ascii="宋体" w:hAnsi="宋体"/>
          <w:kern w:val="28"/>
          <w:sz w:val="24"/>
          <w:highlight w:val="none"/>
        </w:rPr>
        <w:t>为保证现场安全服务开展质量，服务提供商在服务期间需提供以下安全工具供驻场人员使用，协助安全工作的开展，切实提高驻场人员工作效率。</w:t>
      </w:r>
      <w:r>
        <w:rPr>
          <w:rFonts w:hint="eastAsia" w:ascii="宋体" w:hAnsi="宋体"/>
          <w:b/>
          <w:bCs/>
          <w:kern w:val="28"/>
          <w:sz w:val="24"/>
          <w:highlight w:val="none"/>
        </w:rPr>
        <w:t>需要提供工具截图进</w:t>
      </w:r>
      <w:r>
        <w:rPr>
          <w:rFonts w:hint="eastAsia" w:ascii="宋体" w:hAnsi="宋体"/>
          <w:b/>
          <w:bCs/>
          <w:kern w:val="28"/>
          <w:sz w:val="24"/>
        </w:rPr>
        <w:t>行证明。</w:t>
      </w:r>
    </w:p>
    <w:p w14:paraId="6F4AB8E7">
      <w:pPr>
        <w:spacing w:before="114" w:line="360" w:lineRule="auto"/>
        <w:ind w:left="122" w:firstLine="482" w:firstLineChars="200"/>
        <w:rPr>
          <w:rFonts w:ascii="宋体" w:hAnsi="宋体"/>
          <w:b/>
          <w:bCs/>
          <w:kern w:val="28"/>
          <w:sz w:val="24"/>
        </w:rPr>
      </w:pPr>
      <w:r>
        <w:rPr>
          <w:rFonts w:hint="eastAsia" w:ascii="宋体" w:hAnsi="宋体"/>
          <w:b/>
          <w:bCs/>
          <w:kern w:val="28"/>
          <w:sz w:val="24"/>
        </w:rPr>
        <w:t>2.1、漏洞扫描工具</w:t>
      </w:r>
    </w:p>
    <w:p w14:paraId="037D026D">
      <w:pPr>
        <w:spacing w:before="114" w:line="360" w:lineRule="auto"/>
        <w:ind w:left="122" w:firstLine="480" w:firstLineChars="200"/>
        <w:rPr>
          <w:rFonts w:ascii="宋体" w:hAnsi="宋体"/>
          <w:kern w:val="28"/>
          <w:sz w:val="24"/>
        </w:rPr>
      </w:pPr>
      <w:r>
        <w:rPr>
          <w:rFonts w:hint="eastAsia" w:ascii="宋体" w:hAnsi="宋体"/>
          <w:kern w:val="28"/>
          <w:sz w:val="24"/>
        </w:rPr>
        <w:t>工具详细要求：</w:t>
      </w:r>
    </w:p>
    <w:tbl>
      <w:tblPr>
        <w:tblStyle w:val="2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8453"/>
      </w:tblGrid>
      <w:tr w14:paraId="493A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2E4D830B">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序号</w:t>
            </w:r>
          </w:p>
        </w:tc>
        <w:tc>
          <w:tcPr>
            <w:tcW w:w="7399" w:type="dxa"/>
            <w:vAlign w:val="center"/>
          </w:tcPr>
          <w:p w14:paraId="6D39B2F0">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功能要求</w:t>
            </w:r>
          </w:p>
        </w:tc>
      </w:tr>
      <w:tr w14:paraId="0672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50037FCD">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1</w:t>
            </w:r>
          </w:p>
        </w:tc>
        <w:tc>
          <w:tcPr>
            <w:tcW w:w="7399" w:type="dxa"/>
            <w:vAlign w:val="center"/>
          </w:tcPr>
          <w:p w14:paraId="1EF9BD41">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该工具需具备计算机软件著作权登记证书、CVE兼容性证书、国家信息安全漏洞库兼容性资质、中国国家信息安全产品认证证书、EAL3+资质证书。</w:t>
            </w:r>
          </w:p>
        </w:tc>
      </w:tr>
      <w:tr w14:paraId="5255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1BD2E58E">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2</w:t>
            </w:r>
          </w:p>
        </w:tc>
        <w:tc>
          <w:tcPr>
            <w:tcW w:w="7399" w:type="dxa"/>
            <w:vAlign w:val="center"/>
          </w:tcPr>
          <w:p w14:paraId="7446D348">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支持首页全面展示风险分布及趋势图表，包括主机风险分布、站点风险分布、漏洞风险分布、漏洞top10、资产风险值趋势、资产风险分布趋势。</w:t>
            </w:r>
          </w:p>
        </w:tc>
      </w:tr>
      <w:tr w14:paraId="0EB7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1D5CA231">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3</w:t>
            </w:r>
          </w:p>
        </w:tc>
        <w:tc>
          <w:tcPr>
            <w:tcW w:w="7399" w:type="dxa"/>
            <w:vAlign w:val="center"/>
          </w:tcPr>
          <w:p w14:paraId="1E496E13">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支持扫描系统漏洞数量大于370000种，Web漏洞数量大于5000种，数据库漏洞大于3000种。</w:t>
            </w:r>
          </w:p>
        </w:tc>
      </w:tr>
      <w:tr w14:paraId="49EF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2394CA74">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4</w:t>
            </w:r>
          </w:p>
        </w:tc>
        <w:tc>
          <w:tcPr>
            <w:tcW w:w="7399" w:type="dxa"/>
            <w:vAlign w:val="center"/>
          </w:tcPr>
          <w:p w14:paraId="7F96B15C">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产品漏洞库应涵盖目前的安全漏洞和攻击特征，漏洞库具备至少CVE、CNCVE、CNVD、BUGTRAQ、CNNVD编号。</w:t>
            </w:r>
          </w:p>
        </w:tc>
      </w:tr>
      <w:tr w14:paraId="7F0C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16E4FA0A">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5</w:t>
            </w:r>
          </w:p>
        </w:tc>
        <w:tc>
          <w:tcPr>
            <w:tcW w:w="7399" w:type="dxa"/>
            <w:vAlign w:val="center"/>
          </w:tcPr>
          <w:p w14:paraId="76621838">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支持扫描主流操作系统、web服务器、数据库、网络主机、移动设备、应用及软件的安全漏洞。</w:t>
            </w:r>
          </w:p>
        </w:tc>
      </w:tr>
      <w:tr w14:paraId="35A2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712C07BD">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6</w:t>
            </w:r>
          </w:p>
        </w:tc>
        <w:tc>
          <w:tcPr>
            <w:tcW w:w="7399" w:type="dxa"/>
            <w:vAlign w:val="center"/>
          </w:tcPr>
          <w:p w14:paraId="0760D8F1">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扫描目标支持ip、域名、网段、子网的组合配置。</w:t>
            </w:r>
          </w:p>
        </w:tc>
      </w:tr>
      <w:tr w14:paraId="46D0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vAlign w:val="center"/>
          </w:tcPr>
          <w:p w14:paraId="745A7435">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7</w:t>
            </w:r>
          </w:p>
        </w:tc>
        <w:tc>
          <w:tcPr>
            <w:tcW w:w="7399" w:type="dxa"/>
            <w:vAlign w:val="center"/>
          </w:tcPr>
          <w:p w14:paraId="62963E85">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支持在线报表，可详细展示任务综述信息、站点列表、漏洞列表、对比分析及参考标准，漏洞分布支持风险等级过滤查看。</w:t>
            </w:r>
          </w:p>
        </w:tc>
      </w:tr>
    </w:tbl>
    <w:p w14:paraId="3320DA85">
      <w:pPr>
        <w:spacing w:before="114" w:line="360" w:lineRule="auto"/>
        <w:ind w:left="122" w:firstLine="482" w:firstLineChars="200"/>
        <w:rPr>
          <w:rFonts w:ascii="宋体" w:hAnsi="宋体"/>
          <w:b/>
          <w:bCs/>
          <w:kern w:val="28"/>
          <w:sz w:val="24"/>
        </w:rPr>
      </w:pPr>
      <w:r>
        <w:rPr>
          <w:rFonts w:hint="eastAsia" w:ascii="宋体" w:hAnsi="宋体"/>
          <w:b/>
          <w:bCs/>
          <w:kern w:val="28"/>
          <w:sz w:val="24"/>
        </w:rPr>
        <w:t>2.2、应急响应工具</w:t>
      </w:r>
    </w:p>
    <w:p w14:paraId="5B8DDF85">
      <w:pPr>
        <w:spacing w:before="114" w:line="360" w:lineRule="auto"/>
        <w:ind w:left="122" w:firstLine="480" w:firstLineChars="200"/>
        <w:rPr>
          <w:rFonts w:ascii="宋体" w:hAnsi="宋体"/>
          <w:kern w:val="28"/>
          <w:sz w:val="24"/>
        </w:rPr>
      </w:pPr>
      <w:r>
        <w:rPr>
          <w:rFonts w:hint="eastAsia" w:ascii="宋体" w:hAnsi="宋体"/>
          <w:kern w:val="28"/>
          <w:sz w:val="24"/>
        </w:rPr>
        <w:t>工具详细要求：</w:t>
      </w:r>
    </w:p>
    <w:tbl>
      <w:tblPr>
        <w:tblStyle w:val="2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8329"/>
      </w:tblGrid>
      <w:tr w14:paraId="5DC0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711D8628">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序号</w:t>
            </w:r>
          </w:p>
        </w:tc>
        <w:tc>
          <w:tcPr>
            <w:tcW w:w="7291" w:type="dxa"/>
            <w:vAlign w:val="center"/>
          </w:tcPr>
          <w:p w14:paraId="2EC986C1">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功能要求</w:t>
            </w:r>
          </w:p>
        </w:tc>
      </w:tr>
      <w:tr w14:paraId="27BA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7C442FE5">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1</w:t>
            </w:r>
          </w:p>
        </w:tc>
        <w:tc>
          <w:tcPr>
            <w:tcW w:w="7291" w:type="dxa"/>
            <w:vAlign w:val="center"/>
          </w:tcPr>
          <w:p w14:paraId="5FC300AD">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内置800种以上常见勒索病毒规则及解决办法。</w:t>
            </w:r>
          </w:p>
        </w:tc>
      </w:tr>
      <w:tr w14:paraId="56E6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619FD233">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2</w:t>
            </w:r>
          </w:p>
        </w:tc>
        <w:tc>
          <w:tcPr>
            <w:tcW w:w="7291" w:type="dxa"/>
            <w:vAlign w:val="center"/>
          </w:tcPr>
          <w:p w14:paraId="1168D7B7">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具备对应急响应事件集中管理的功能，工具目前最少处理过400件应急响应事件。</w:t>
            </w:r>
          </w:p>
        </w:tc>
      </w:tr>
      <w:tr w14:paraId="0BE1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30D800C6">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3</w:t>
            </w:r>
          </w:p>
        </w:tc>
        <w:tc>
          <w:tcPr>
            <w:tcW w:w="7291" w:type="dxa"/>
            <w:vAlign w:val="center"/>
          </w:tcPr>
          <w:p w14:paraId="3E038197">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平台应支持对收集的应用日志进行分析，可分析攻击行为至少包括webshell，sql注入，xss，反序列化，扫描攻击等。</w:t>
            </w:r>
          </w:p>
        </w:tc>
      </w:tr>
      <w:tr w14:paraId="4ECE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5" w:type="dxa"/>
            <w:vAlign w:val="center"/>
          </w:tcPr>
          <w:p w14:paraId="32DE72DE">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4</w:t>
            </w:r>
          </w:p>
        </w:tc>
        <w:tc>
          <w:tcPr>
            <w:tcW w:w="7291" w:type="dxa"/>
            <w:vAlign w:val="center"/>
          </w:tcPr>
          <w:p w14:paraId="2BF0F936">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平台需支持对主机信息，主机文件，历史操作，主机进程，主机后门，webshell，java内存马等进行检查，其中：</w:t>
            </w:r>
          </w:p>
          <w:p w14:paraId="5B512A0C">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（1）主机后门检查应至少包括对定时任务，LD_PRELOAD，PROMPT_COMMAND等十几种常见后门的检查；</w:t>
            </w:r>
          </w:p>
          <w:p w14:paraId="3B4E53C3">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（2）主机文件检查应至少包括对近期改动文件、敏感文件、隐藏文件的检查。</w:t>
            </w:r>
          </w:p>
        </w:tc>
      </w:tr>
    </w:tbl>
    <w:p w14:paraId="0C17395C">
      <w:pPr>
        <w:spacing w:before="114" w:line="360" w:lineRule="auto"/>
        <w:ind w:left="122" w:firstLine="482" w:firstLineChars="200"/>
        <w:rPr>
          <w:rFonts w:ascii="宋体" w:hAnsi="宋体"/>
          <w:b/>
          <w:bCs/>
          <w:kern w:val="28"/>
          <w:sz w:val="24"/>
        </w:rPr>
      </w:pPr>
      <w:r>
        <w:rPr>
          <w:rFonts w:hint="eastAsia" w:ascii="宋体" w:hAnsi="宋体"/>
          <w:b/>
          <w:bCs/>
          <w:kern w:val="28"/>
          <w:sz w:val="24"/>
        </w:rPr>
        <w:t>2.3、基线核查工具</w:t>
      </w:r>
    </w:p>
    <w:p w14:paraId="70DAE935">
      <w:pPr>
        <w:spacing w:before="114" w:line="360" w:lineRule="auto"/>
        <w:ind w:left="122" w:firstLine="480" w:firstLineChars="200"/>
        <w:rPr>
          <w:rFonts w:ascii="宋体" w:hAnsi="宋体"/>
          <w:kern w:val="28"/>
          <w:sz w:val="24"/>
        </w:rPr>
      </w:pPr>
      <w:r>
        <w:rPr>
          <w:rFonts w:hint="eastAsia" w:ascii="宋体" w:hAnsi="宋体"/>
          <w:kern w:val="28"/>
          <w:sz w:val="24"/>
        </w:rPr>
        <w:t>工具详细要求：</w:t>
      </w:r>
    </w:p>
    <w:tbl>
      <w:tblPr>
        <w:tblStyle w:val="2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8329"/>
      </w:tblGrid>
      <w:tr w14:paraId="44D7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3365E009">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序号</w:t>
            </w:r>
          </w:p>
        </w:tc>
        <w:tc>
          <w:tcPr>
            <w:tcW w:w="7291" w:type="dxa"/>
            <w:vAlign w:val="center"/>
          </w:tcPr>
          <w:p w14:paraId="1A8157BB">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功能要求</w:t>
            </w:r>
          </w:p>
        </w:tc>
      </w:tr>
      <w:tr w14:paraId="74CB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4A7085E3">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1</w:t>
            </w:r>
          </w:p>
        </w:tc>
        <w:tc>
          <w:tcPr>
            <w:tcW w:w="7291" w:type="dxa"/>
            <w:vAlign w:val="center"/>
          </w:tcPr>
          <w:p w14:paraId="1F0D3A03">
            <w:pPr>
              <w:spacing w:before="114" w:line="360" w:lineRule="auto"/>
              <w:ind w:left="122"/>
              <w:jc w:val="left"/>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支持在IPv6环境中部署。</w:t>
            </w:r>
          </w:p>
        </w:tc>
      </w:tr>
      <w:tr w14:paraId="7E38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58BF93B7">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2</w:t>
            </w:r>
          </w:p>
        </w:tc>
        <w:tc>
          <w:tcPr>
            <w:tcW w:w="7291" w:type="dxa"/>
            <w:vAlign w:val="center"/>
          </w:tcPr>
          <w:p w14:paraId="43FC5357">
            <w:pPr>
              <w:spacing w:before="114" w:line="360" w:lineRule="auto"/>
              <w:ind w:left="122"/>
              <w:jc w:val="left"/>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产品允许并发扫描≥30个IP地址每分钟。</w:t>
            </w:r>
          </w:p>
        </w:tc>
      </w:tr>
      <w:tr w14:paraId="7F67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vAlign w:val="center"/>
          </w:tcPr>
          <w:p w14:paraId="0EF55E2A">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3</w:t>
            </w:r>
          </w:p>
        </w:tc>
        <w:tc>
          <w:tcPr>
            <w:tcW w:w="7291" w:type="dxa"/>
            <w:vAlign w:val="center"/>
          </w:tcPr>
          <w:p w14:paraId="1805EE13">
            <w:pPr>
              <w:spacing w:before="114" w:line="360" w:lineRule="auto"/>
              <w:ind w:left="122"/>
              <w:jc w:val="left"/>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支持跳板机方式，在线扫描网络不可直达的设备。</w:t>
            </w:r>
          </w:p>
        </w:tc>
      </w:tr>
      <w:tr w14:paraId="01C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5" w:type="dxa"/>
            <w:vAlign w:val="center"/>
          </w:tcPr>
          <w:p w14:paraId="63AC7867">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4</w:t>
            </w:r>
          </w:p>
        </w:tc>
        <w:tc>
          <w:tcPr>
            <w:tcW w:w="7291" w:type="dxa"/>
            <w:vAlign w:val="center"/>
          </w:tcPr>
          <w:p w14:paraId="1C671B9B">
            <w:pPr>
              <w:spacing w:before="114" w:line="360" w:lineRule="auto"/>
              <w:ind w:left="122"/>
              <w:jc w:val="left"/>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支持在多任务情况下，对同一目标设备仅做一次配置采集，减少对其相应IT资源及网络的负载。</w:t>
            </w:r>
          </w:p>
        </w:tc>
      </w:tr>
      <w:tr w14:paraId="4DD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5" w:type="dxa"/>
            <w:vAlign w:val="center"/>
          </w:tcPr>
          <w:p w14:paraId="3B012148">
            <w:pPr>
              <w:spacing w:before="114" w:line="360" w:lineRule="auto"/>
              <w:ind w:left="122"/>
              <w:jc w:val="center"/>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5</w:t>
            </w:r>
          </w:p>
        </w:tc>
        <w:tc>
          <w:tcPr>
            <w:tcW w:w="7291" w:type="dxa"/>
            <w:vAlign w:val="center"/>
          </w:tcPr>
          <w:p w14:paraId="26909E27">
            <w:pPr>
              <w:spacing w:before="114" w:line="360" w:lineRule="auto"/>
              <w:ind w:left="122"/>
              <w:jc w:val="left"/>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支持Canal、Elasticsearch、Flume、HBase、ZooKeeper、Spark、HDFS、Kafka、Hive、Oozie、Sqoop、Yarn-MR、Openstack_Cinder、Openstack_Glance、Openstack_Horizon、Openstack_Keystone、Openstack_Nova、Pig、Storm等诸多组件的基线管理。</w:t>
            </w:r>
          </w:p>
        </w:tc>
      </w:tr>
    </w:tbl>
    <w:p w14:paraId="75DFC623">
      <w:pPr>
        <w:spacing w:before="114" w:line="360" w:lineRule="auto"/>
        <w:ind w:left="122" w:firstLine="482" w:firstLineChars="200"/>
        <w:rPr>
          <w:rFonts w:ascii="宋体" w:hAnsi="宋体"/>
          <w:b/>
          <w:bCs/>
          <w:kern w:val="28"/>
          <w:sz w:val="24"/>
        </w:rPr>
      </w:pPr>
      <w:r>
        <w:rPr>
          <w:rFonts w:hint="eastAsia" w:ascii="宋体" w:hAnsi="宋体"/>
          <w:b/>
          <w:bCs/>
          <w:kern w:val="28"/>
          <w:sz w:val="24"/>
        </w:rPr>
        <w:t>2.4、渗透测试工具</w:t>
      </w:r>
    </w:p>
    <w:p w14:paraId="7F9DE136">
      <w:pPr>
        <w:spacing w:before="114" w:line="360" w:lineRule="auto"/>
        <w:ind w:left="122" w:firstLine="480" w:firstLineChars="200"/>
        <w:rPr>
          <w:rFonts w:ascii="宋体" w:hAnsi="宋体"/>
          <w:kern w:val="28"/>
          <w:sz w:val="24"/>
        </w:rPr>
      </w:pPr>
      <w:r>
        <w:rPr>
          <w:rFonts w:hint="eastAsia" w:ascii="宋体" w:hAnsi="宋体"/>
          <w:kern w:val="28"/>
          <w:sz w:val="24"/>
        </w:rPr>
        <w:t>工具详细要求：</w:t>
      </w:r>
    </w:p>
    <w:tbl>
      <w:tblPr>
        <w:tblStyle w:val="28"/>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8327"/>
      </w:tblGrid>
      <w:tr w14:paraId="4E0E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7" w:type="dxa"/>
            <w:vAlign w:val="center"/>
          </w:tcPr>
          <w:p w14:paraId="623D3028">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序号</w:t>
            </w:r>
          </w:p>
        </w:tc>
        <w:tc>
          <w:tcPr>
            <w:tcW w:w="7764" w:type="dxa"/>
            <w:vAlign w:val="center"/>
          </w:tcPr>
          <w:p w14:paraId="07A44F84">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功能要求</w:t>
            </w:r>
          </w:p>
        </w:tc>
      </w:tr>
      <w:tr w14:paraId="5061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7" w:type="dxa"/>
            <w:vAlign w:val="center"/>
          </w:tcPr>
          <w:p w14:paraId="74CC71E2">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1</w:t>
            </w:r>
          </w:p>
        </w:tc>
        <w:tc>
          <w:tcPr>
            <w:tcW w:w="7764" w:type="dxa"/>
            <w:vAlign w:val="center"/>
          </w:tcPr>
          <w:p w14:paraId="134826A1">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支持漏洞扫描功能，包含操作系统漏洞、WEB漏洞、应用程序漏洞、数据库漏洞、中间件漏洞、网路设备漏洞、安全设备漏洞、虚拟平台漏洞、数据组件漏洞等。</w:t>
            </w:r>
          </w:p>
        </w:tc>
      </w:tr>
      <w:tr w14:paraId="2C59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7" w:type="dxa"/>
            <w:vAlign w:val="center"/>
          </w:tcPr>
          <w:p w14:paraId="0B67A21D">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2</w:t>
            </w:r>
          </w:p>
        </w:tc>
        <w:tc>
          <w:tcPr>
            <w:tcW w:w="7764" w:type="dxa"/>
            <w:vAlign w:val="center"/>
          </w:tcPr>
          <w:p w14:paraId="370A2D3C">
            <w:pPr>
              <w:spacing w:before="114" w:line="360" w:lineRule="auto"/>
              <w:ind w:left="122"/>
              <w:rPr>
                <w:rFonts w:ascii="宋体" w:hAnsi="宋体" w:eastAsiaTheme="minorEastAsia"/>
                <w:kern w:val="28"/>
                <w:sz w:val="24"/>
                <w14:ligatures w14:val="standardContextual"/>
              </w:rPr>
            </w:pPr>
            <w:bookmarkStart w:id="10" w:name="_Hlk204350445"/>
            <w:r>
              <w:rPr>
                <w:rFonts w:hint="eastAsia" w:ascii="宋体" w:hAnsi="宋体" w:eastAsiaTheme="minorEastAsia"/>
                <w:kern w:val="28"/>
                <w:sz w:val="24"/>
                <w14:ligatures w14:val="standardContextual"/>
              </w:rPr>
              <w:t>支持任务场景化配置，根据渗透的业务场景提前编排好渗透的场景模板，创建任务时只要输入渗透目标即可发起渗透。</w:t>
            </w:r>
            <w:bookmarkEnd w:id="10"/>
          </w:p>
        </w:tc>
      </w:tr>
      <w:tr w14:paraId="4C1E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7" w:type="dxa"/>
            <w:vAlign w:val="center"/>
          </w:tcPr>
          <w:p w14:paraId="0894F9A4">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3</w:t>
            </w:r>
          </w:p>
        </w:tc>
        <w:tc>
          <w:tcPr>
            <w:tcW w:w="7764" w:type="dxa"/>
            <w:vAlign w:val="center"/>
          </w:tcPr>
          <w:p w14:paraId="1AAF83D1">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任务支持快速的分析关联的攻击路径，通过图谱展示攻击路径；支持通过图谱快速定位到目标攻击路径，攻击路径列表支持快速发起渗透任务。</w:t>
            </w:r>
          </w:p>
        </w:tc>
      </w:tr>
      <w:tr w14:paraId="54AB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7" w:type="dxa"/>
            <w:vAlign w:val="center"/>
          </w:tcPr>
          <w:p w14:paraId="7BF16718">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4</w:t>
            </w:r>
          </w:p>
        </w:tc>
        <w:tc>
          <w:tcPr>
            <w:tcW w:w="7764" w:type="dxa"/>
            <w:vAlign w:val="center"/>
          </w:tcPr>
          <w:p w14:paraId="71E4A425">
            <w:pPr>
              <w:spacing w:before="114" w:line="360" w:lineRule="auto"/>
              <w:ind w:left="122"/>
              <w:rPr>
                <w:rFonts w:ascii="宋体" w:hAnsi="宋体" w:eastAsiaTheme="minorEastAsia"/>
                <w:kern w:val="28"/>
                <w:sz w:val="24"/>
                <w14:ligatures w14:val="standardContextual"/>
              </w:rPr>
            </w:pPr>
            <w:r>
              <w:rPr>
                <w:rFonts w:hint="eastAsia" w:ascii="宋体" w:hAnsi="宋体" w:eastAsiaTheme="minorEastAsia"/>
                <w:kern w:val="28"/>
                <w:sz w:val="24"/>
                <w14:ligatures w14:val="standardContextual"/>
              </w:rPr>
              <w:t>支持攻击技战图谱展示，图谱分类至少包含应用软件、web、操作系统、交换机、路由器、中间件、数据库等类型，从攻击点、验证脚本、利用脚本、攻击载荷、后渗透多个维度进行数量统计。</w:t>
            </w:r>
          </w:p>
        </w:tc>
      </w:tr>
    </w:tbl>
    <w:p w14:paraId="443D6E64">
      <w:pPr>
        <w:spacing w:before="114" w:line="360" w:lineRule="auto"/>
        <w:ind w:left="122" w:firstLine="562" w:firstLineChars="200"/>
        <w:rPr>
          <w:rFonts w:hint="eastAsia" w:ascii="宋体" w:hAnsi="宋体"/>
          <w:b/>
          <w:bCs/>
          <w:kern w:val="28"/>
          <w:sz w:val="28"/>
          <w:szCs w:val="28"/>
        </w:rPr>
      </w:pPr>
    </w:p>
    <w:p w14:paraId="3826255F">
      <w:pPr>
        <w:spacing w:before="114" w:line="360" w:lineRule="auto"/>
        <w:ind w:left="122" w:firstLine="562" w:firstLineChars="200"/>
        <w:rPr>
          <w:rFonts w:ascii="宋体" w:hAnsi="宋体"/>
          <w:b/>
          <w:bCs/>
          <w:kern w:val="28"/>
          <w:sz w:val="28"/>
          <w:szCs w:val="28"/>
        </w:rPr>
      </w:pPr>
      <w:r>
        <w:rPr>
          <w:rFonts w:hint="eastAsia" w:ascii="宋体" w:hAnsi="宋体"/>
          <w:b/>
          <w:bCs/>
          <w:kern w:val="28"/>
          <w:sz w:val="28"/>
          <w:szCs w:val="28"/>
        </w:rPr>
        <w:t>三、商务要求</w:t>
      </w:r>
    </w:p>
    <w:p w14:paraId="5181ABAC">
      <w:pPr>
        <w:spacing w:before="114" w:line="360" w:lineRule="auto"/>
        <w:ind w:left="122" w:firstLine="562" w:firstLineChars="200"/>
        <w:rPr>
          <w:rFonts w:ascii="宋体" w:hAnsi="宋体"/>
          <w:b/>
          <w:bCs/>
          <w:kern w:val="28"/>
          <w:sz w:val="28"/>
          <w:szCs w:val="28"/>
        </w:rPr>
      </w:pPr>
      <w:r>
        <w:rPr>
          <w:rFonts w:hint="eastAsia" w:ascii="宋体" w:hAnsi="宋体"/>
          <w:b/>
          <w:bCs/>
          <w:kern w:val="28"/>
          <w:sz w:val="28"/>
          <w:szCs w:val="28"/>
        </w:rPr>
        <w:t>1、服务期限和服务时间</w:t>
      </w:r>
    </w:p>
    <w:p w14:paraId="41240F3D">
      <w:pPr>
        <w:pStyle w:val="10"/>
        <w:spacing w:before="253" w:line="360" w:lineRule="auto"/>
        <w:ind w:left="215" w:right="864" w:firstLine="519"/>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自合同生效之日起1年。合同期满后，甲方将对乙方的服务质量进行考核，根据考评结果及满意度决定是否续签合同，总服务期不超过三年（含本年度），年度服务金额不超过本合同价格。</w:t>
      </w:r>
    </w:p>
    <w:p w14:paraId="4179B73D">
      <w:pPr>
        <w:spacing w:before="114" w:line="360" w:lineRule="auto"/>
        <w:ind w:left="122" w:firstLine="480" w:firstLineChars="200"/>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2、验收要求</w:t>
      </w:r>
    </w:p>
    <w:p w14:paraId="23101105">
      <w:pPr>
        <w:spacing w:line="360" w:lineRule="auto"/>
        <w:ind w:firstLine="480" w:firstLineChars="200"/>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合同签订后，服务期满半年后，供应商向院方提交验收申请，院方在收到通知后10个工作日内，根据服务内容对服务进行半年期验收；服务期满后，供应商向院方提交验收申请，院方在收到通知后10个工作日内，根据服务内容对服务进行验收。</w:t>
      </w:r>
    </w:p>
    <w:p w14:paraId="76432376">
      <w:pPr>
        <w:spacing w:before="114" w:line="360" w:lineRule="auto"/>
        <w:ind w:left="122" w:firstLine="480" w:firstLineChars="200"/>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3、付款方式</w:t>
      </w:r>
    </w:p>
    <w:p w14:paraId="2F3FC160">
      <w:pPr>
        <w:pStyle w:val="10"/>
        <w:spacing w:before="253" w:line="360" w:lineRule="auto"/>
        <w:ind w:left="215" w:right="864" w:firstLine="519"/>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付款条件1：服务期满半年后；乙方提交《验收申请》，甲方验收合格并收到乙方开具的全额增值税发票</w:t>
      </w:r>
    </w:p>
    <w:p w14:paraId="50A270AC">
      <w:pPr>
        <w:spacing w:line="360" w:lineRule="auto"/>
        <w:ind w:firstLine="480" w:firstLineChars="200"/>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达到“付款条件1”30工作日内，支付合同总金额50%。</w:t>
      </w:r>
    </w:p>
    <w:p w14:paraId="37F712D7">
      <w:pPr>
        <w:pStyle w:val="10"/>
        <w:spacing w:before="253" w:line="360" w:lineRule="auto"/>
        <w:ind w:left="215" w:right="864" w:firstLine="519"/>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付款条件2：服务期满后；对该服务期内服务验收合格，乙方提交《验收申请》及全部《安全报告》</w:t>
      </w:r>
    </w:p>
    <w:p w14:paraId="1BEF8528">
      <w:pPr>
        <w:spacing w:line="360" w:lineRule="auto"/>
        <w:ind w:firstLine="480" w:firstLineChars="200"/>
        <w:rPr>
          <w:rFonts w:ascii="宋体" w:hAnsi="宋体"/>
          <w:sz w:val="24"/>
        </w:rPr>
      </w:pPr>
      <w:r>
        <w:rPr>
          <w:rFonts w:hint="eastAsia" w:ascii="宋体" w:hAnsi="宋体" w:eastAsia="宋体" w:cs="宋体"/>
          <w:kern w:val="28"/>
          <w:sz w:val="24"/>
          <w:szCs w:val="24"/>
          <w:highlight w:val="none"/>
          <w:lang w:val="en-US" w:eastAsia="zh-CN" w:bidi="ar-SA"/>
        </w:rPr>
        <w:t>达到“付款条件2”30工作日内，乙方提出付款申请，支付合同总金额50%。</w:t>
      </w:r>
    </w:p>
    <w:p w14:paraId="3E9DD5F4">
      <w:pPr>
        <w:spacing w:before="114" w:line="360" w:lineRule="auto"/>
        <w:ind w:left="122"/>
        <w:rPr>
          <w:rFonts w:ascii="宋体" w:hAnsi="宋体"/>
          <w:kern w:val="28"/>
          <w:sz w:val="24"/>
        </w:rPr>
      </w:pPr>
    </w:p>
    <w:p w14:paraId="06750DE1">
      <w:pPr>
        <w:spacing w:before="114" w:line="225" w:lineRule="auto"/>
        <w:ind w:left="122"/>
        <w:rPr>
          <w:rFonts w:ascii="宋体" w:hAnsi="宋体"/>
          <w:b/>
          <w:bCs/>
          <w:spacing w:val="9"/>
          <w:sz w:val="52"/>
          <w:szCs w:val="52"/>
        </w:rPr>
      </w:pPr>
    </w:p>
    <w:p w14:paraId="29316C50">
      <w:pPr>
        <w:spacing w:before="114" w:line="225" w:lineRule="auto"/>
        <w:ind w:left="122"/>
        <w:rPr>
          <w:rFonts w:ascii="宋体" w:hAnsi="宋体"/>
          <w:b/>
          <w:bCs/>
          <w:spacing w:val="9"/>
          <w:sz w:val="52"/>
          <w:szCs w:val="52"/>
        </w:rPr>
      </w:pPr>
    </w:p>
    <w:p w14:paraId="55C14E50">
      <w:pPr>
        <w:spacing w:before="114" w:line="225" w:lineRule="auto"/>
        <w:ind w:left="122"/>
        <w:rPr>
          <w:rFonts w:ascii="宋体" w:hAnsi="宋体"/>
          <w:b/>
          <w:bCs/>
          <w:spacing w:val="9"/>
          <w:sz w:val="52"/>
          <w:szCs w:val="52"/>
        </w:rPr>
      </w:pPr>
    </w:p>
    <w:p w14:paraId="43793BD2">
      <w:pPr>
        <w:spacing w:before="114" w:line="225" w:lineRule="auto"/>
        <w:ind w:left="122"/>
        <w:rPr>
          <w:rFonts w:ascii="宋体" w:hAnsi="宋体"/>
          <w:b/>
          <w:bCs/>
          <w:spacing w:val="9"/>
          <w:sz w:val="52"/>
          <w:szCs w:val="52"/>
        </w:rPr>
      </w:pPr>
    </w:p>
    <w:p w14:paraId="246F15FC">
      <w:pPr>
        <w:spacing w:before="114" w:line="225" w:lineRule="auto"/>
        <w:ind w:left="122"/>
        <w:rPr>
          <w:rFonts w:ascii="宋体" w:hAnsi="宋体"/>
          <w:b/>
          <w:bCs/>
          <w:spacing w:val="9"/>
          <w:sz w:val="52"/>
          <w:szCs w:val="52"/>
        </w:rPr>
      </w:pPr>
    </w:p>
    <w:p w14:paraId="720E64F5">
      <w:pPr>
        <w:spacing w:before="114" w:line="225" w:lineRule="auto"/>
        <w:ind w:left="122"/>
        <w:rPr>
          <w:rFonts w:ascii="宋体" w:hAnsi="宋体"/>
          <w:b/>
          <w:bCs/>
          <w:spacing w:val="9"/>
          <w:sz w:val="52"/>
          <w:szCs w:val="52"/>
        </w:rPr>
      </w:pPr>
    </w:p>
    <w:p w14:paraId="1EEBD06A">
      <w:pPr>
        <w:spacing w:before="114" w:line="225" w:lineRule="auto"/>
        <w:rPr>
          <w:rFonts w:ascii="宋体" w:hAnsi="宋体"/>
          <w:b/>
          <w:bCs/>
          <w:spacing w:val="9"/>
          <w:sz w:val="52"/>
          <w:szCs w:val="52"/>
        </w:rPr>
      </w:pPr>
    </w:p>
    <w:p w14:paraId="20C7D086">
      <w:pPr>
        <w:spacing w:before="114" w:line="225" w:lineRule="auto"/>
        <w:ind w:left="122"/>
        <w:rPr>
          <w:rFonts w:ascii="宋体" w:hAnsi="宋体"/>
          <w:b/>
          <w:bCs/>
          <w:spacing w:val="9"/>
          <w:sz w:val="52"/>
          <w:szCs w:val="52"/>
        </w:rPr>
      </w:pPr>
    </w:p>
    <w:p w14:paraId="6D5933E5">
      <w:pPr>
        <w:spacing w:before="114" w:line="225" w:lineRule="auto"/>
        <w:ind w:left="122"/>
        <w:rPr>
          <w:rFonts w:ascii="宋体" w:hAnsi="宋体"/>
          <w:b/>
          <w:bCs/>
          <w:spacing w:val="9"/>
          <w:sz w:val="52"/>
          <w:szCs w:val="52"/>
        </w:rPr>
      </w:pPr>
    </w:p>
    <w:p w14:paraId="30B1C9F2">
      <w:pPr>
        <w:spacing w:before="114" w:line="225" w:lineRule="auto"/>
        <w:ind w:left="122"/>
        <w:rPr>
          <w:rFonts w:ascii="宋体" w:hAnsi="宋体"/>
          <w:b/>
          <w:bCs/>
          <w:spacing w:val="9"/>
          <w:sz w:val="52"/>
          <w:szCs w:val="52"/>
        </w:rPr>
      </w:pPr>
    </w:p>
    <w:p w14:paraId="4F4B6C47">
      <w:pPr>
        <w:spacing w:before="114" w:line="225" w:lineRule="auto"/>
        <w:ind w:left="122"/>
        <w:rPr>
          <w:rFonts w:ascii="宋体" w:hAnsi="宋体"/>
          <w:b/>
          <w:bCs/>
          <w:sz w:val="52"/>
          <w:szCs w:val="52"/>
        </w:rPr>
      </w:pPr>
      <w:r>
        <w:rPr>
          <w:rFonts w:ascii="宋体" w:hAnsi="宋体"/>
          <w:b/>
          <w:bCs/>
          <w:spacing w:val="9"/>
          <w:sz w:val="52"/>
          <w:szCs w:val="52"/>
        </w:rPr>
        <w:t>第</w:t>
      </w:r>
      <w:r>
        <w:rPr>
          <w:rFonts w:hint="eastAsia" w:ascii="宋体" w:hAnsi="宋体"/>
          <w:b/>
          <w:bCs/>
          <w:spacing w:val="7"/>
          <w:sz w:val="52"/>
          <w:szCs w:val="52"/>
        </w:rPr>
        <w:t>三</w:t>
      </w:r>
      <w:r>
        <w:rPr>
          <w:rFonts w:ascii="宋体" w:hAnsi="宋体"/>
          <w:b/>
          <w:bCs/>
          <w:spacing w:val="7"/>
          <w:sz w:val="52"/>
          <w:szCs w:val="52"/>
        </w:rPr>
        <w:t>部分</w:t>
      </w:r>
    </w:p>
    <w:p w14:paraId="66890BEC">
      <w:pPr>
        <w:spacing w:before="113" w:line="224" w:lineRule="auto"/>
        <w:ind w:right="420"/>
        <w:jc w:val="right"/>
        <w:rPr>
          <w:rFonts w:ascii="宋体" w:hAnsi="宋体"/>
          <w:b/>
          <w:bCs/>
          <w:sz w:val="52"/>
          <w:szCs w:val="52"/>
        </w:rPr>
      </w:pPr>
      <w:r>
        <w:rPr>
          <w:b/>
          <w:bCs/>
          <w:sz w:val="52"/>
        </w:rPr>
        <mc:AlternateContent>
          <mc:Choice Requires="wps">
            <w:drawing>
              <wp:anchor distT="0" distB="0" distL="114300" distR="114300" simplePos="0" relativeHeight="251666432"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5pt;margin-top:16.85pt;height:0.05pt;width:450pt;z-index:251666432;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EOc/T&#10;AAAACAEAAA8AAAAAAAAAAQAgAAAAIgAAAGRycy9kb3ducmV2LnhtbFBLAQIUABQAAAAIAIdO4kAM&#10;5JXo7AEAAN0DAAAOAAAAAAAAAAEAIAAAACIBAABkcnMvZTJvRG9jLnhtbFBLBQYAAAAABgAGAFkB&#10;AACABQAAAAA=&#10;">
                <v:fill on="f" focussize="0,0"/>
                <v:stroke weight="1.5pt" color="#000000" joinstyle="round"/>
                <v:imagedata o:title=""/>
                <o:lock v:ext="edit" aspectratio="f"/>
              </v:line>
            </w:pict>
          </mc:Fallback>
        </mc:AlternateContent>
      </w:r>
    </w:p>
    <w:p w14:paraId="6996805B">
      <w:pPr>
        <w:spacing w:before="113" w:line="224" w:lineRule="auto"/>
        <w:ind w:right="420"/>
        <w:jc w:val="right"/>
        <w:rPr>
          <w:rFonts w:ascii="宋体" w:hAnsi="宋体"/>
          <w:b/>
          <w:bCs/>
          <w:sz w:val="35"/>
          <w:szCs w:val="35"/>
        </w:rPr>
      </w:pPr>
      <w:r>
        <w:rPr>
          <w:rFonts w:hint="eastAsia" w:ascii="宋体" w:hAnsi="宋体"/>
          <w:b/>
          <w:bCs/>
          <w:sz w:val="52"/>
          <w:szCs w:val="52"/>
        </w:rPr>
        <w:t>供应商须知</w:t>
      </w:r>
    </w:p>
    <w:p w14:paraId="65AF5526">
      <w:pPr>
        <w:rPr>
          <w:rFonts w:ascii="黑体" w:hAnsi="黑体" w:eastAsia="黑体" w:cs="黑体"/>
          <w:b/>
          <w:bCs/>
          <w:sz w:val="32"/>
          <w:szCs w:val="32"/>
        </w:rPr>
      </w:pPr>
      <w:r>
        <w:rPr>
          <w:rFonts w:hint="eastAsia" w:ascii="黑体" w:hAnsi="黑体" w:eastAsia="黑体" w:cs="黑体"/>
          <w:b/>
          <w:bCs/>
          <w:sz w:val="32"/>
          <w:szCs w:val="32"/>
        </w:rPr>
        <w:br w:type="page"/>
      </w:r>
    </w:p>
    <w:p w14:paraId="0ADA4A48">
      <w:pPr>
        <w:pStyle w:val="2"/>
        <w:keepNext w:val="0"/>
        <w:keepLines w:val="0"/>
        <w:spacing w:line="480" w:lineRule="exact"/>
        <w:rPr>
          <w:rFonts w:ascii="宋体" w:hAnsi="宋体"/>
          <w:sz w:val="32"/>
          <w:szCs w:val="32"/>
        </w:rPr>
      </w:pPr>
      <w:bookmarkStart w:id="11" w:name="_Toc19716"/>
      <w:r>
        <w:rPr>
          <w:rFonts w:hint="eastAsia" w:ascii="黑体" w:hAnsi="黑体" w:eastAsia="黑体" w:cs="黑体"/>
          <w:b/>
          <w:bCs/>
          <w:sz w:val="32"/>
          <w:szCs w:val="32"/>
        </w:rPr>
        <w:t>第三部分 供应商须知</w:t>
      </w:r>
      <w:bookmarkEnd w:id="11"/>
    </w:p>
    <w:p w14:paraId="60DBDECB">
      <w:pPr>
        <w:tabs>
          <w:tab w:val="left" w:pos="240"/>
        </w:tabs>
        <w:spacing w:line="480" w:lineRule="exact"/>
        <w:ind w:left="-120" w:leftChars="-57"/>
        <w:jc w:val="center"/>
        <w:rPr>
          <w:rFonts w:ascii="宋体" w:hAnsi="宋体"/>
          <w:b/>
          <w:sz w:val="30"/>
          <w:szCs w:val="30"/>
        </w:rPr>
      </w:pPr>
      <w:r>
        <w:rPr>
          <w:rFonts w:hint="eastAsia" w:ascii="宋体" w:hAnsi="宋体"/>
          <w:b/>
          <w:sz w:val="30"/>
          <w:szCs w:val="30"/>
        </w:rPr>
        <w:t>供应商须知前附表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618"/>
        <w:gridCol w:w="5953"/>
      </w:tblGrid>
      <w:tr w14:paraId="0EEE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D95C866">
            <w:pPr>
              <w:pStyle w:val="13"/>
              <w:spacing w:line="440" w:lineRule="exact"/>
              <w:jc w:val="center"/>
              <w:rPr>
                <w:rFonts w:hAnsi="宋体"/>
              </w:rPr>
            </w:pPr>
            <w:r>
              <w:rPr>
                <w:rFonts w:hint="eastAsia" w:hAnsi="宋体"/>
              </w:rPr>
              <w:t>序号</w:t>
            </w:r>
          </w:p>
        </w:tc>
        <w:tc>
          <w:tcPr>
            <w:tcW w:w="2618" w:type="dxa"/>
            <w:vAlign w:val="center"/>
          </w:tcPr>
          <w:p w14:paraId="4B6E8AEA">
            <w:pPr>
              <w:pStyle w:val="13"/>
              <w:spacing w:line="440" w:lineRule="exact"/>
              <w:jc w:val="center"/>
              <w:rPr>
                <w:rFonts w:hAnsi="宋体"/>
              </w:rPr>
            </w:pPr>
            <w:r>
              <w:rPr>
                <w:rFonts w:hint="eastAsia" w:hAnsi="宋体"/>
              </w:rPr>
              <w:t>名称</w:t>
            </w:r>
          </w:p>
        </w:tc>
        <w:tc>
          <w:tcPr>
            <w:tcW w:w="5953" w:type="dxa"/>
            <w:vAlign w:val="center"/>
          </w:tcPr>
          <w:p w14:paraId="560639C8">
            <w:pPr>
              <w:pStyle w:val="13"/>
              <w:spacing w:line="440" w:lineRule="exact"/>
              <w:jc w:val="center"/>
              <w:rPr>
                <w:rFonts w:hAnsi="宋体" w:cs="MingLiU_HKSCS"/>
              </w:rPr>
            </w:pPr>
            <w:r>
              <w:rPr>
                <w:rFonts w:hint="eastAsia" w:hAnsi="宋体"/>
              </w:rPr>
              <w:t>具体内容和要求</w:t>
            </w:r>
          </w:p>
        </w:tc>
      </w:tr>
      <w:tr w14:paraId="3586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14:paraId="2408D5FD">
            <w:pPr>
              <w:pStyle w:val="13"/>
              <w:numPr>
                <w:ilvl w:val="0"/>
                <w:numId w:val="2"/>
              </w:numPr>
              <w:spacing w:line="440" w:lineRule="exact"/>
              <w:ind w:left="284" w:right="-67" w:rightChars="-32"/>
              <w:jc w:val="center"/>
              <w:rPr>
                <w:rFonts w:hAnsi="宋体"/>
              </w:rPr>
            </w:pPr>
          </w:p>
        </w:tc>
        <w:tc>
          <w:tcPr>
            <w:tcW w:w="2618" w:type="dxa"/>
            <w:vAlign w:val="center"/>
          </w:tcPr>
          <w:p w14:paraId="564218DA">
            <w:pPr>
              <w:pStyle w:val="13"/>
              <w:spacing w:line="440" w:lineRule="exact"/>
              <w:jc w:val="left"/>
              <w:rPr>
                <w:rFonts w:hAnsi="宋体"/>
              </w:rPr>
            </w:pPr>
            <w:r>
              <w:rPr>
                <w:rFonts w:hint="eastAsia" w:hAnsi="宋体"/>
              </w:rPr>
              <w:t>采购项目</w:t>
            </w:r>
          </w:p>
        </w:tc>
        <w:tc>
          <w:tcPr>
            <w:tcW w:w="5953" w:type="dxa"/>
            <w:vAlign w:val="center"/>
          </w:tcPr>
          <w:p w14:paraId="4EF41DB5">
            <w:pPr>
              <w:pStyle w:val="13"/>
              <w:spacing w:line="440" w:lineRule="exact"/>
              <w:jc w:val="left"/>
              <w:rPr>
                <w:rFonts w:hint="eastAsia" w:hAnsi="宋体" w:eastAsia="宋体" w:cs="MingLiU_HKSCS"/>
                <w:lang w:eastAsia="zh-CN"/>
              </w:rPr>
            </w:pPr>
            <w:r>
              <w:rPr>
                <w:rFonts w:hint="eastAsia" w:hAnsi="宋体" w:cs="MingLiU_HKSCS"/>
                <w:lang w:eastAsia="zh-CN"/>
              </w:rPr>
              <w:t>网络安全服务项目</w:t>
            </w:r>
          </w:p>
        </w:tc>
      </w:tr>
      <w:tr w14:paraId="3847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C7AAE3D">
            <w:pPr>
              <w:pStyle w:val="13"/>
              <w:numPr>
                <w:ilvl w:val="0"/>
                <w:numId w:val="2"/>
              </w:numPr>
              <w:spacing w:line="440" w:lineRule="exact"/>
              <w:ind w:left="284" w:right="-67" w:rightChars="-32"/>
              <w:jc w:val="center"/>
              <w:rPr>
                <w:rFonts w:hAnsi="宋体"/>
              </w:rPr>
            </w:pPr>
          </w:p>
        </w:tc>
        <w:tc>
          <w:tcPr>
            <w:tcW w:w="2618" w:type="dxa"/>
            <w:vAlign w:val="center"/>
          </w:tcPr>
          <w:p w14:paraId="0D34FE0A">
            <w:pPr>
              <w:pStyle w:val="13"/>
              <w:spacing w:line="440" w:lineRule="exact"/>
              <w:jc w:val="left"/>
              <w:rPr>
                <w:rFonts w:hAnsi="宋体"/>
              </w:rPr>
            </w:pPr>
            <w:r>
              <w:rPr>
                <w:rFonts w:hint="eastAsia" w:hAnsi="宋体"/>
              </w:rPr>
              <w:t>采购预算</w:t>
            </w:r>
          </w:p>
        </w:tc>
        <w:tc>
          <w:tcPr>
            <w:tcW w:w="5953" w:type="dxa"/>
            <w:vAlign w:val="center"/>
          </w:tcPr>
          <w:p w14:paraId="334F6AF0">
            <w:pPr>
              <w:pStyle w:val="13"/>
              <w:spacing w:line="440" w:lineRule="exact"/>
              <w:jc w:val="left"/>
              <w:rPr>
                <w:rFonts w:hAnsi="宋体"/>
              </w:rPr>
            </w:pPr>
            <w:r>
              <w:rPr>
                <w:rFonts w:hint="eastAsia" w:hAnsi="宋体"/>
              </w:rPr>
              <w:t>400,000.00元</w:t>
            </w:r>
          </w:p>
        </w:tc>
      </w:tr>
      <w:tr w14:paraId="5AAE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634E42B0">
            <w:pPr>
              <w:pStyle w:val="13"/>
              <w:numPr>
                <w:ilvl w:val="0"/>
                <w:numId w:val="2"/>
              </w:numPr>
              <w:spacing w:line="440" w:lineRule="exact"/>
              <w:ind w:left="284" w:right="-67" w:rightChars="-32"/>
              <w:jc w:val="center"/>
              <w:rPr>
                <w:rFonts w:hAnsi="宋体"/>
              </w:rPr>
            </w:pPr>
          </w:p>
        </w:tc>
        <w:tc>
          <w:tcPr>
            <w:tcW w:w="2618" w:type="dxa"/>
            <w:vAlign w:val="center"/>
          </w:tcPr>
          <w:p w14:paraId="0940047A">
            <w:pPr>
              <w:pStyle w:val="13"/>
              <w:spacing w:line="440" w:lineRule="exact"/>
              <w:jc w:val="left"/>
              <w:rPr>
                <w:rFonts w:hAnsi="宋体"/>
              </w:rPr>
            </w:pPr>
            <w:r>
              <w:rPr>
                <w:rFonts w:hint="eastAsia" w:hAnsi="宋体"/>
              </w:rPr>
              <w:t>最高限价</w:t>
            </w:r>
          </w:p>
        </w:tc>
        <w:tc>
          <w:tcPr>
            <w:tcW w:w="5953" w:type="dxa"/>
            <w:vAlign w:val="center"/>
          </w:tcPr>
          <w:p w14:paraId="3F0BD1F5">
            <w:pPr>
              <w:pStyle w:val="13"/>
              <w:spacing w:line="440" w:lineRule="exact"/>
              <w:jc w:val="left"/>
              <w:rPr>
                <w:rFonts w:hAnsi="宋体"/>
              </w:rPr>
            </w:pPr>
            <w:r>
              <w:rPr>
                <w:rFonts w:hint="eastAsia" w:hAnsi="宋体"/>
              </w:rPr>
              <w:t>400,000.00元</w:t>
            </w:r>
          </w:p>
        </w:tc>
      </w:tr>
      <w:tr w14:paraId="68F7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551337F3">
            <w:pPr>
              <w:pStyle w:val="13"/>
              <w:numPr>
                <w:ilvl w:val="0"/>
                <w:numId w:val="2"/>
              </w:numPr>
              <w:spacing w:line="440" w:lineRule="exact"/>
              <w:ind w:left="284" w:right="-67" w:rightChars="-32"/>
              <w:jc w:val="center"/>
              <w:rPr>
                <w:rFonts w:hAnsi="宋体"/>
              </w:rPr>
            </w:pPr>
          </w:p>
        </w:tc>
        <w:tc>
          <w:tcPr>
            <w:tcW w:w="2618" w:type="dxa"/>
            <w:vAlign w:val="center"/>
          </w:tcPr>
          <w:p w14:paraId="6F33442D">
            <w:pPr>
              <w:pStyle w:val="13"/>
              <w:spacing w:line="440" w:lineRule="exact"/>
              <w:jc w:val="left"/>
              <w:rPr>
                <w:rFonts w:hAnsi="宋体"/>
              </w:rPr>
            </w:pPr>
            <w:r>
              <w:rPr>
                <w:rFonts w:hint="eastAsia" w:hAnsi="宋体"/>
              </w:rPr>
              <w:t>公告媒体</w:t>
            </w:r>
          </w:p>
        </w:tc>
        <w:tc>
          <w:tcPr>
            <w:tcW w:w="5953" w:type="dxa"/>
            <w:vAlign w:val="center"/>
          </w:tcPr>
          <w:p w14:paraId="0C2FC911">
            <w:pPr>
              <w:pStyle w:val="13"/>
              <w:spacing w:line="440" w:lineRule="exact"/>
              <w:jc w:val="left"/>
              <w:rPr>
                <w:rFonts w:hAnsi="宋体" w:cs="MingLiU_HKSCS"/>
              </w:rPr>
            </w:pPr>
            <w:r>
              <w:rPr>
                <w:rFonts w:hint="eastAsia" w:hAnsi="宋体" w:cs="MingLiU_HKSCS"/>
              </w:rPr>
              <w:t>陕西省政府采购网</w:t>
            </w:r>
          </w:p>
        </w:tc>
      </w:tr>
      <w:tr w14:paraId="3B78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5DA18697">
            <w:pPr>
              <w:pStyle w:val="13"/>
              <w:numPr>
                <w:ilvl w:val="0"/>
                <w:numId w:val="2"/>
              </w:numPr>
              <w:spacing w:line="440" w:lineRule="exact"/>
              <w:ind w:left="284" w:right="-67" w:rightChars="-32"/>
              <w:jc w:val="center"/>
              <w:rPr>
                <w:rFonts w:hAnsi="宋体"/>
              </w:rPr>
            </w:pPr>
          </w:p>
        </w:tc>
        <w:tc>
          <w:tcPr>
            <w:tcW w:w="2618" w:type="dxa"/>
            <w:vAlign w:val="center"/>
          </w:tcPr>
          <w:p w14:paraId="7CC5620C">
            <w:pPr>
              <w:pStyle w:val="13"/>
              <w:spacing w:line="440" w:lineRule="exact"/>
              <w:jc w:val="left"/>
              <w:rPr>
                <w:rFonts w:hAnsi="宋体"/>
              </w:rPr>
            </w:pPr>
            <w:r>
              <w:rPr>
                <w:rFonts w:hint="eastAsia" w:hAnsi="宋体"/>
              </w:rPr>
              <w:t>采购人</w:t>
            </w:r>
          </w:p>
        </w:tc>
        <w:tc>
          <w:tcPr>
            <w:tcW w:w="5953" w:type="dxa"/>
            <w:vAlign w:val="center"/>
          </w:tcPr>
          <w:p w14:paraId="6D31C6AA">
            <w:pPr>
              <w:pStyle w:val="13"/>
              <w:spacing w:line="440" w:lineRule="exact"/>
              <w:contextualSpacing/>
              <w:jc w:val="left"/>
              <w:rPr>
                <w:rFonts w:hAnsi="宋体"/>
              </w:rPr>
            </w:pPr>
            <w:r>
              <w:rPr>
                <w:rFonts w:hint="eastAsia" w:hAnsi="宋体"/>
              </w:rPr>
              <w:t>1.名称：陕西省结核病防治院</w:t>
            </w:r>
          </w:p>
          <w:p w14:paraId="2F6B3EB0">
            <w:pPr>
              <w:pStyle w:val="13"/>
              <w:spacing w:line="440" w:lineRule="exact"/>
              <w:contextualSpacing/>
              <w:jc w:val="left"/>
              <w:rPr>
                <w:rFonts w:hAnsi="宋体"/>
              </w:rPr>
            </w:pPr>
            <w:r>
              <w:rPr>
                <w:rFonts w:hint="eastAsia" w:hAnsi="宋体"/>
              </w:rPr>
              <w:t>2.地址：陕西省西安市长安区太乙宫镇上湾村甲字1号</w:t>
            </w:r>
          </w:p>
          <w:p w14:paraId="3FDB6649">
            <w:pPr>
              <w:pStyle w:val="13"/>
              <w:spacing w:line="440" w:lineRule="exact"/>
              <w:contextualSpacing/>
              <w:jc w:val="left"/>
              <w:rPr>
                <w:rFonts w:hAnsi="宋体"/>
              </w:rPr>
            </w:pPr>
            <w:r>
              <w:rPr>
                <w:rFonts w:hint="eastAsia" w:hAnsi="宋体"/>
              </w:rPr>
              <w:t>3.电话：029-85899294</w:t>
            </w:r>
          </w:p>
          <w:p w14:paraId="036E30C3">
            <w:pPr>
              <w:pStyle w:val="13"/>
              <w:spacing w:line="440" w:lineRule="exact"/>
              <w:jc w:val="left"/>
              <w:rPr>
                <w:rFonts w:hAnsi="宋体"/>
              </w:rPr>
            </w:pPr>
            <w:r>
              <w:rPr>
                <w:rFonts w:hint="eastAsia" w:hAnsi="宋体"/>
              </w:rPr>
              <w:t>4.联系人</w:t>
            </w:r>
            <w:r>
              <w:rPr>
                <w:rFonts w:hint="eastAsia" w:hAnsi="宋体"/>
                <w:lang w:eastAsia="zh-CN"/>
              </w:rPr>
              <w:t>：</w:t>
            </w:r>
            <w:r>
              <w:rPr>
                <w:rFonts w:hint="eastAsia"/>
                <w:highlight w:val="none"/>
              </w:rPr>
              <w:t>高红</w:t>
            </w:r>
          </w:p>
        </w:tc>
      </w:tr>
      <w:tr w14:paraId="347D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0660E042">
            <w:pPr>
              <w:pStyle w:val="13"/>
              <w:numPr>
                <w:ilvl w:val="0"/>
                <w:numId w:val="2"/>
              </w:numPr>
              <w:spacing w:line="440" w:lineRule="exact"/>
              <w:ind w:left="284" w:right="-67" w:rightChars="-32"/>
              <w:jc w:val="center"/>
              <w:rPr>
                <w:rFonts w:hAnsi="宋体"/>
              </w:rPr>
            </w:pPr>
          </w:p>
        </w:tc>
        <w:tc>
          <w:tcPr>
            <w:tcW w:w="2618" w:type="dxa"/>
            <w:vAlign w:val="center"/>
          </w:tcPr>
          <w:p w14:paraId="738C674C">
            <w:pPr>
              <w:pStyle w:val="13"/>
              <w:spacing w:line="440" w:lineRule="exact"/>
              <w:jc w:val="left"/>
              <w:rPr>
                <w:rFonts w:hAnsi="宋体"/>
              </w:rPr>
            </w:pPr>
            <w:r>
              <w:rPr>
                <w:rFonts w:hint="eastAsia" w:hAnsi="宋体"/>
              </w:rPr>
              <w:t>采购代理机构</w:t>
            </w:r>
          </w:p>
        </w:tc>
        <w:tc>
          <w:tcPr>
            <w:tcW w:w="5953" w:type="dxa"/>
            <w:vAlign w:val="center"/>
          </w:tcPr>
          <w:p w14:paraId="44C58093">
            <w:pPr>
              <w:pStyle w:val="13"/>
              <w:spacing w:line="440" w:lineRule="exact"/>
              <w:contextualSpacing/>
              <w:jc w:val="left"/>
              <w:rPr>
                <w:rFonts w:hAnsi="宋体"/>
              </w:rPr>
            </w:pPr>
            <w:r>
              <w:rPr>
                <w:rFonts w:hint="eastAsia" w:hAnsi="宋体"/>
              </w:rPr>
              <w:t>1.名称：陕西德勤招标有限公司</w:t>
            </w:r>
          </w:p>
          <w:p w14:paraId="1BD0CD7D">
            <w:pPr>
              <w:pStyle w:val="13"/>
              <w:spacing w:line="440" w:lineRule="exact"/>
              <w:contextualSpacing/>
              <w:jc w:val="left"/>
              <w:rPr>
                <w:rFonts w:hAnsi="宋体"/>
              </w:rPr>
            </w:pPr>
            <w:r>
              <w:rPr>
                <w:rFonts w:hAnsi="宋体"/>
              </w:rPr>
              <w:t>2</w:t>
            </w:r>
            <w:r>
              <w:rPr>
                <w:rFonts w:hint="eastAsia" w:hAnsi="宋体"/>
              </w:rPr>
              <w:t>.地址：陕西省西安市高新区丈八一路1号汇鑫中心D座2206室</w:t>
            </w:r>
          </w:p>
          <w:p w14:paraId="34765801">
            <w:pPr>
              <w:pStyle w:val="13"/>
              <w:spacing w:line="440" w:lineRule="exact"/>
              <w:contextualSpacing/>
              <w:jc w:val="left"/>
              <w:rPr>
                <w:rFonts w:hAnsi="宋体"/>
              </w:rPr>
            </w:pPr>
            <w:r>
              <w:rPr>
                <w:rFonts w:hAnsi="宋体"/>
              </w:rPr>
              <w:t>3</w:t>
            </w:r>
            <w:r>
              <w:rPr>
                <w:rFonts w:hint="eastAsia" w:hAnsi="宋体"/>
              </w:rPr>
              <w:t>.电话：029-81169855</w:t>
            </w:r>
          </w:p>
          <w:p w14:paraId="60662567">
            <w:pPr>
              <w:pStyle w:val="13"/>
              <w:spacing w:line="440" w:lineRule="exact"/>
              <w:jc w:val="left"/>
              <w:rPr>
                <w:rFonts w:hAnsi="宋体"/>
              </w:rPr>
            </w:pPr>
            <w:r>
              <w:rPr>
                <w:rFonts w:hint="eastAsia" w:hAnsi="宋体"/>
              </w:rPr>
              <w:t>4.联系人：贾旭鸣</w:t>
            </w:r>
          </w:p>
        </w:tc>
      </w:tr>
      <w:tr w14:paraId="682D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7B09E753">
            <w:pPr>
              <w:pStyle w:val="13"/>
              <w:numPr>
                <w:ilvl w:val="0"/>
                <w:numId w:val="2"/>
              </w:numPr>
              <w:spacing w:line="440" w:lineRule="exact"/>
              <w:ind w:left="284" w:right="-67" w:rightChars="-32"/>
              <w:jc w:val="center"/>
              <w:rPr>
                <w:rFonts w:hAnsi="宋体"/>
              </w:rPr>
            </w:pPr>
          </w:p>
        </w:tc>
        <w:tc>
          <w:tcPr>
            <w:tcW w:w="2618" w:type="dxa"/>
            <w:vAlign w:val="center"/>
          </w:tcPr>
          <w:p w14:paraId="04F8274D">
            <w:pPr>
              <w:pStyle w:val="13"/>
              <w:spacing w:line="440" w:lineRule="exact"/>
              <w:jc w:val="left"/>
              <w:rPr>
                <w:rFonts w:hAnsi="宋体"/>
              </w:rPr>
            </w:pPr>
            <w:r>
              <w:rPr>
                <w:rFonts w:hint="eastAsia" w:hAnsi="宋体"/>
              </w:rPr>
              <w:t>供应商资格条件</w:t>
            </w:r>
          </w:p>
        </w:tc>
        <w:tc>
          <w:tcPr>
            <w:tcW w:w="5953" w:type="dxa"/>
            <w:vAlign w:val="center"/>
          </w:tcPr>
          <w:p w14:paraId="1918C7E5">
            <w:pPr>
              <w:spacing w:line="360" w:lineRule="auto"/>
              <w:rPr>
                <w:rFonts w:ascii="宋体" w:hAnsi="宋体"/>
                <w:szCs w:val="21"/>
              </w:rPr>
            </w:pPr>
            <w:r>
              <w:rPr>
                <w:rFonts w:hint="eastAsia" w:ascii="宋体" w:hAnsi="宋体"/>
                <w:szCs w:val="21"/>
              </w:rPr>
              <w:t>1.满足《中华人民共和国政府采购法》第二十二条规定;</w:t>
            </w:r>
          </w:p>
          <w:p w14:paraId="3D80E5D5">
            <w:pPr>
              <w:spacing w:line="440" w:lineRule="exact"/>
              <w:rPr>
                <w:rFonts w:ascii="宋体" w:hAnsi="宋体"/>
                <w:szCs w:val="21"/>
              </w:rPr>
            </w:pPr>
            <w:r>
              <w:rPr>
                <w:rFonts w:hint="eastAsia" w:ascii="宋体" w:hAnsi="宋体"/>
                <w:szCs w:val="21"/>
              </w:rPr>
              <w:t>1.1</w:t>
            </w:r>
            <w:bookmarkStart w:id="135" w:name="_GoBack"/>
            <w:bookmarkEnd w:id="135"/>
            <w:r>
              <w:rPr>
                <w:rFonts w:hint="eastAsia" w:ascii="宋体" w:hAnsi="宋体"/>
                <w:szCs w:val="21"/>
                <w:lang w:eastAsia="zh-CN"/>
              </w:rPr>
              <w:t>营业执照等主体资格证明文件：提供营业执照/事业单位法人证书/专业服务机构执业许可证/民办非企业单位登记证书等其他主体资格证明文件。</w:t>
            </w:r>
          </w:p>
          <w:p w14:paraId="1537F4DF">
            <w:pPr>
              <w:spacing w:line="360" w:lineRule="auto"/>
              <w:rPr>
                <w:rFonts w:ascii="宋体" w:hAnsi="宋体"/>
                <w:szCs w:val="21"/>
              </w:rPr>
            </w:pPr>
            <w:r>
              <w:rPr>
                <w:rFonts w:hint="eastAsia" w:ascii="宋体" w:hAnsi="宋体"/>
                <w:szCs w:val="21"/>
              </w:rPr>
              <w:t>1.2财务状况报告：提供2024年度或2025年度经审计的财务报告，报告须具有注册会计师行业统一监管平台赋予的验证码(成立时间至提交响应文件截止时间不足一年的可提供成立后任意时段的资产负债表)，或其开标前三个月内基本开户银行出具的资信证明，或信用担保机构出具的投标担保函(以上三种形式的资料提供任何一种即可)（以上三种形式的资料提供任何一种即可）。</w:t>
            </w:r>
          </w:p>
          <w:p w14:paraId="1A7719C6">
            <w:pPr>
              <w:spacing w:line="360" w:lineRule="auto"/>
              <w:rPr>
                <w:rFonts w:ascii="宋体" w:hAnsi="宋体"/>
                <w:szCs w:val="21"/>
              </w:rPr>
            </w:pPr>
            <w:r>
              <w:rPr>
                <w:rFonts w:hint="eastAsia" w:ascii="宋体" w:hAnsi="宋体"/>
                <w:szCs w:val="21"/>
              </w:rPr>
              <w:t>1.3书面声明：提供书面声明，包括声明具有履行合同所必需的设备和专业技术能力。</w:t>
            </w:r>
          </w:p>
          <w:p w14:paraId="0B5E35C3">
            <w:pPr>
              <w:spacing w:line="360" w:lineRule="auto"/>
              <w:rPr>
                <w:rFonts w:ascii="宋体" w:hAnsi="宋体"/>
                <w:szCs w:val="21"/>
              </w:rPr>
            </w:pPr>
            <w:r>
              <w:rPr>
                <w:rFonts w:hint="eastAsia" w:ascii="宋体" w:hAnsi="宋体"/>
                <w:szCs w:val="21"/>
              </w:rPr>
              <w:t>1.4社保缴纳证明：提供递交响应文件截止之日前一年内任意一个月的社会保障资金缴存单据或社保机构开具的社会保险参保缴费情况证明。依法不需要缴纳社会保障资金的供应商应提供相关文件证明。</w:t>
            </w:r>
          </w:p>
          <w:p w14:paraId="38F760C6">
            <w:pPr>
              <w:spacing w:line="360" w:lineRule="auto"/>
              <w:rPr>
                <w:rFonts w:ascii="宋体" w:hAnsi="宋体"/>
                <w:szCs w:val="21"/>
              </w:rPr>
            </w:pPr>
            <w:r>
              <w:rPr>
                <w:rFonts w:hint="eastAsia" w:ascii="宋体" w:hAnsi="宋体"/>
                <w:szCs w:val="21"/>
              </w:rPr>
              <w:t>1.5税收缴纳证明：提供递交响应文件截止之日前一年内任意一个月的依法缴纳税收的相关凭据（时间以税款所属日期为准），凭据应有税务机关或代收机关的公章或业务专用章。依法免税或无须缴纳税收的供应商，应提供相应证明文件。</w:t>
            </w:r>
          </w:p>
          <w:p w14:paraId="30E3FAC3">
            <w:pPr>
              <w:spacing w:line="360" w:lineRule="auto"/>
              <w:rPr>
                <w:rFonts w:ascii="宋体" w:hAnsi="宋体"/>
                <w:szCs w:val="21"/>
              </w:rPr>
            </w:pPr>
            <w:r>
              <w:rPr>
                <w:rFonts w:hint="eastAsia" w:ascii="宋体" w:hAnsi="宋体"/>
                <w:szCs w:val="21"/>
              </w:rPr>
              <w:t>1.6近三年无重大违法、违纪书面声明：提供《近三年无重大违法、违纪书面声明》。</w:t>
            </w:r>
          </w:p>
          <w:p w14:paraId="68A78DBF">
            <w:pPr>
              <w:spacing w:line="360" w:lineRule="auto"/>
              <w:rPr>
                <w:rFonts w:hint="eastAsia" w:ascii="宋体" w:hAnsi="宋体"/>
                <w:szCs w:val="21"/>
              </w:rPr>
            </w:pPr>
            <w:r>
              <w:rPr>
                <w:rFonts w:hint="eastAsia" w:ascii="宋体" w:hAnsi="宋体"/>
                <w:szCs w:val="21"/>
              </w:rPr>
              <w:t>2.落实政府采购政策需满足的资格要求：</w:t>
            </w:r>
          </w:p>
          <w:p w14:paraId="3F242B40">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无。</w:t>
            </w:r>
          </w:p>
          <w:p w14:paraId="2C0BF03E">
            <w:pPr>
              <w:spacing w:line="360" w:lineRule="auto"/>
              <w:rPr>
                <w:rFonts w:ascii="宋体" w:hAnsi="宋体"/>
                <w:szCs w:val="21"/>
                <w:highlight w:val="none"/>
              </w:rPr>
            </w:pPr>
            <w:r>
              <w:rPr>
                <w:rFonts w:hint="eastAsia" w:ascii="宋体" w:hAnsi="宋体"/>
                <w:szCs w:val="21"/>
                <w:highlight w:val="none"/>
              </w:rPr>
              <w:t>3.本项目的特定资格要求：</w:t>
            </w:r>
          </w:p>
          <w:p w14:paraId="7098B2BE">
            <w:pPr>
              <w:spacing w:line="360" w:lineRule="auto"/>
              <w:rPr>
                <w:rFonts w:ascii="宋体" w:hAnsi="宋体"/>
                <w:szCs w:val="21"/>
              </w:rPr>
            </w:pPr>
            <w:r>
              <w:rPr>
                <w:rFonts w:hint="eastAsia" w:ascii="宋体" w:hAnsi="宋体"/>
                <w:szCs w:val="21"/>
                <w:highlight w:val="none"/>
              </w:rPr>
              <w:t>3.1信用记录：供应商未被列入“信用中</w:t>
            </w:r>
            <w:r>
              <w:rPr>
                <w:rFonts w:hint="eastAsia" w:ascii="宋体" w:hAnsi="宋体"/>
                <w:szCs w:val="21"/>
              </w:rPr>
              <w:t>国”网站记录的“失信被执行人”或“重大税收违法失信主体”名单；不处于“中国政府采购网”记录的“政府采购严重违法失信行为记录名单”中的禁止参加政府采购活动期间。（以采购人或采购代理机构开标当天查询结果为准）；</w:t>
            </w:r>
          </w:p>
          <w:p w14:paraId="49E86055">
            <w:pPr>
              <w:spacing w:line="360" w:lineRule="auto"/>
              <w:rPr>
                <w:rFonts w:ascii="宋体" w:hAnsi="宋体"/>
                <w:szCs w:val="21"/>
              </w:rPr>
            </w:pPr>
            <w:r>
              <w:rPr>
                <w:rFonts w:hint="eastAsia" w:ascii="宋体" w:hAnsi="宋体"/>
                <w:szCs w:val="21"/>
              </w:rPr>
              <w:t>3.2控股管理关系：提供直接控股和管理关系清单。若与其他供应商存在单位负责人为同一人或者存在直接控股、管理关系的，则响应无效。</w:t>
            </w:r>
          </w:p>
          <w:p w14:paraId="01CF28A6">
            <w:pPr>
              <w:spacing w:line="360" w:lineRule="auto"/>
              <w:rPr>
                <w:rFonts w:ascii="宋体" w:hAnsi="宋体"/>
                <w:szCs w:val="21"/>
              </w:rPr>
            </w:pPr>
            <w:r>
              <w:rPr>
                <w:rFonts w:hint="eastAsia" w:ascii="宋体" w:hAnsi="宋体"/>
                <w:szCs w:val="21"/>
              </w:rPr>
              <w:t>3.3法定代表人授权委托书：法定代表人参加磋商的，须提供本人身份证复印件（附在响应文件中）；法定代表人授权他人参加磋商的，须提供法定代表人授权委托书。磋商文件中凡是需要法定代表人盖章之处，非法人单位的负责人均参照执行。</w:t>
            </w:r>
          </w:p>
          <w:p w14:paraId="1BD4439F">
            <w:pPr>
              <w:spacing w:line="360" w:lineRule="auto"/>
              <w:rPr>
                <w:rFonts w:ascii="宋体" w:hAnsi="宋体"/>
                <w:szCs w:val="21"/>
              </w:rPr>
            </w:pPr>
            <w:r>
              <w:rPr>
                <w:rFonts w:hint="eastAsia" w:ascii="宋体" w:hAnsi="宋体"/>
                <w:szCs w:val="21"/>
              </w:rPr>
              <w:t>法人的分支机构参与磋商时，除提供《法定代表人授权委托书》外，还须同时提供法人给分支机构出具的授权书。</w:t>
            </w:r>
          </w:p>
          <w:p w14:paraId="020B03E3">
            <w:pPr>
              <w:spacing w:line="360" w:lineRule="auto"/>
              <w:rPr>
                <w:rFonts w:ascii="宋体" w:hAnsi="宋体"/>
                <w:szCs w:val="21"/>
              </w:rPr>
            </w:pPr>
            <w:r>
              <w:rPr>
                <w:rFonts w:hint="eastAsia" w:ascii="宋体" w:hAnsi="宋体"/>
                <w:szCs w:val="21"/>
              </w:rPr>
              <w:t>3.4本项目不接受联合体磋商，不允许分包。供应商应提供《非联合体不分包磋商声明》，视为独立磋商，不分包。</w:t>
            </w:r>
          </w:p>
          <w:p w14:paraId="15EFC598">
            <w:pPr>
              <w:pStyle w:val="13"/>
              <w:spacing w:line="360" w:lineRule="auto"/>
              <w:jc w:val="left"/>
              <w:rPr>
                <w:rFonts w:hAnsi="宋体" w:cs="仿宋"/>
                <w:b/>
                <w:bCs/>
              </w:rPr>
            </w:pPr>
            <w:r>
              <w:rPr>
                <w:rFonts w:hint="eastAsia" w:hAnsi="宋体" w:cs="仿宋"/>
                <w:b/>
                <w:bCs/>
              </w:rPr>
              <w:t>备注：</w:t>
            </w:r>
          </w:p>
          <w:p w14:paraId="7CC91BCA">
            <w:pPr>
              <w:pStyle w:val="13"/>
              <w:spacing w:line="360" w:lineRule="auto"/>
              <w:jc w:val="left"/>
              <w:rPr>
                <w:rFonts w:hAnsi="宋体"/>
              </w:rPr>
            </w:pPr>
            <w:r>
              <w:rPr>
                <w:rFonts w:hint="eastAsia" w:hAnsi="宋体"/>
              </w:rPr>
              <w:t>1.除注明原件外，均为复印件加盖供应商公章；身份证原件须随响应文件一并递交。</w:t>
            </w:r>
          </w:p>
          <w:p w14:paraId="5DFFDF19">
            <w:pPr>
              <w:pStyle w:val="13"/>
              <w:spacing w:line="360" w:lineRule="auto"/>
              <w:jc w:val="left"/>
              <w:rPr>
                <w:rFonts w:hAnsi="宋体"/>
              </w:rPr>
            </w:pPr>
            <w:r>
              <w:rPr>
                <w:rFonts w:hint="eastAsia" w:hAnsi="宋体"/>
              </w:rPr>
              <w:t>2.分支机构参与磋商时，响应文件中应附法人出具的授权书。法人只能授权一家分支机构参与磋商，且不能与分支机构同时参与磋商。分支机构须提供自己的资格要求证明文件。</w:t>
            </w:r>
          </w:p>
          <w:p w14:paraId="7ECD2472">
            <w:pPr>
              <w:pStyle w:val="13"/>
              <w:spacing w:line="360" w:lineRule="auto"/>
              <w:jc w:val="left"/>
              <w:rPr>
                <w:rFonts w:hAnsi="宋体"/>
              </w:rPr>
            </w:pPr>
            <w:r>
              <w:rPr>
                <w:rFonts w:hint="eastAsia" w:hAnsi="宋体"/>
              </w:rPr>
              <w:t>3.事业单位法人参与磋商可不提供财务状况报告、社会保障资金缴纳证明及税收缴纳证明。</w:t>
            </w:r>
          </w:p>
          <w:p w14:paraId="4C03F8B3">
            <w:pPr>
              <w:pStyle w:val="13"/>
              <w:spacing w:line="360" w:lineRule="auto"/>
              <w:jc w:val="left"/>
              <w:rPr>
                <w:rFonts w:hAnsi="宋体"/>
              </w:rPr>
            </w:pPr>
            <w:r>
              <w:rPr>
                <w:rFonts w:hint="eastAsia" w:hAnsi="宋体"/>
              </w:rPr>
              <w:t>4.单位负责人为同一人或存在直接控股、管理关系的不同单位，不得同时参加本项目采购活动。</w:t>
            </w:r>
          </w:p>
          <w:p w14:paraId="41D4896C">
            <w:pPr>
              <w:pStyle w:val="13"/>
              <w:spacing w:line="360" w:lineRule="auto"/>
              <w:jc w:val="left"/>
              <w:rPr>
                <w:rFonts w:hAnsi="宋体"/>
              </w:rPr>
            </w:pPr>
            <w:r>
              <w:rPr>
                <w:rFonts w:hint="eastAsia" w:hAnsi="宋体"/>
              </w:rPr>
              <w:t>5.磋商文件中要求签字或盖章之处，非法人单位均参照执行。</w:t>
            </w:r>
          </w:p>
        </w:tc>
      </w:tr>
      <w:tr w14:paraId="6BCA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1C3D3795">
            <w:pPr>
              <w:pStyle w:val="13"/>
              <w:numPr>
                <w:ilvl w:val="0"/>
                <w:numId w:val="2"/>
              </w:numPr>
              <w:spacing w:line="440" w:lineRule="exact"/>
              <w:ind w:left="284" w:right="-67" w:rightChars="-32"/>
              <w:jc w:val="center"/>
              <w:rPr>
                <w:rFonts w:hAnsi="宋体"/>
              </w:rPr>
            </w:pPr>
          </w:p>
        </w:tc>
        <w:tc>
          <w:tcPr>
            <w:tcW w:w="2618" w:type="dxa"/>
            <w:vAlign w:val="center"/>
          </w:tcPr>
          <w:p w14:paraId="5B7DB763">
            <w:pPr>
              <w:pStyle w:val="13"/>
              <w:spacing w:line="440" w:lineRule="exact"/>
              <w:rPr>
                <w:rFonts w:hAnsi="宋体"/>
              </w:rPr>
            </w:pPr>
            <w:r>
              <w:rPr>
                <w:rFonts w:hint="eastAsia" w:hAnsi="宋体"/>
              </w:rPr>
              <w:t>本项目</w:t>
            </w:r>
            <w:r>
              <w:rPr>
                <w:rFonts w:hAnsi="宋体"/>
              </w:rPr>
              <w:t>是否接受联合体</w:t>
            </w:r>
            <w:r>
              <w:rPr>
                <w:rFonts w:hint="eastAsia" w:hAnsi="宋体"/>
              </w:rPr>
              <w:t>磋商</w:t>
            </w:r>
          </w:p>
        </w:tc>
        <w:tc>
          <w:tcPr>
            <w:tcW w:w="5953" w:type="dxa"/>
            <w:vAlign w:val="center"/>
          </w:tcPr>
          <w:p w14:paraId="5360AAB8">
            <w:pPr>
              <w:pStyle w:val="13"/>
              <w:spacing w:line="440" w:lineRule="exact"/>
              <w:jc w:val="left"/>
              <w:rPr>
                <w:rFonts w:hAnsi="宋体"/>
              </w:rPr>
            </w:pPr>
            <w:r>
              <w:rPr>
                <w:rFonts w:hAnsi="宋体"/>
              </w:rPr>
              <w:t>□</w:t>
            </w:r>
            <w:r>
              <w:rPr>
                <w:rFonts w:hint="eastAsia" w:hAnsi="宋体"/>
              </w:rPr>
              <w:t>是/</w:t>
            </w: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w:instrText>
            </w:r>
            <w:r>
              <w:rPr>
                <w:rFonts w:hAnsi="宋体"/>
              </w:rPr>
              <w:fldChar w:fldCharType="end"/>
            </w:r>
            <w:r>
              <w:rPr>
                <w:rFonts w:hint="eastAsia" w:hAnsi="宋体"/>
              </w:rPr>
              <w:t>否</w:t>
            </w:r>
          </w:p>
        </w:tc>
      </w:tr>
      <w:tr w14:paraId="056E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5" w:type="dxa"/>
            <w:vAlign w:val="center"/>
          </w:tcPr>
          <w:p w14:paraId="71D39351">
            <w:pPr>
              <w:pStyle w:val="13"/>
              <w:numPr>
                <w:ilvl w:val="0"/>
                <w:numId w:val="2"/>
              </w:numPr>
              <w:spacing w:line="440" w:lineRule="exact"/>
              <w:ind w:left="284" w:right="-67" w:rightChars="-32"/>
              <w:jc w:val="center"/>
              <w:rPr>
                <w:rFonts w:hAnsi="宋体"/>
              </w:rPr>
            </w:pPr>
          </w:p>
        </w:tc>
        <w:tc>
          <w:tcPr>
            <w:tcW w:w="2618" w:type="dxa"/>
            <w:vAlign w:val="center"/>
          </w:tcPr>
          <w:p w14:paraId="364A23AD">
            <w:pPr>
              <w:pStyle w:val="13"/>
              <w:spacing w:line="440" w:lineRule="exact"/>
              <w:rPr>
                <w:rFonts w:hAnsi="宋体"/>
              </w:rPr>
            </w:pPr>
            <w:r>
              <w:rPr>
                <w:rFonts w:hint="eastAsia" w:hAnsi="宋体"/>
              </w:rPr>
              <w:t>响应文件</w:t>
            </w:r>
            <w:r>
              <w:rPr>
                <w:rFonts w:hAnsi="宋体"/>
              </w:rPr>
              <w:t>有效期</w:t>
            </w:r>
          </w:p>
        </w:tc>
        <w:tc>
          <w:tcPr>
            <w:tcW w:w="5953" w:type="dxa"/>
            <w:vAlign w:val="center"/>
          </w:tcPr>
          <w:p w14:paraId="23BF3A43">
            <w:pPr>
              <w:pStyle w:val="13"/>
              <w:spacing w:line="440" w:lineRule="exact"/>
              <w:jc w:val="left"/>
              <w:rPr>
                <w:rFonts w:hAnsi="宋体"/>
              </w:rPr>
            </w:pPr>
            <w:r>
              <w:rPr>
                <w:rFonts w:hint="eastAsia" w:hAnsi="宋体"/>
              </w:rPr>
              <w:t>响应文件有效期为自磋商之日起算90个日历日</w:t>
            </w:r>
          </w:p>
        </w:tc>
      </w:tr>
      <w:tr w14:paraId="2D34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14:paraId="66C096FF">
            <w:pPr>
              <w:pStyle w:val="13"/>
              <w:numPr>
                <w:ilvl w:val="0"/>
                <w:numId w:val="2"/>
              </w:numPr>
              <w:spacing w:line="440" w:lineRule="exact"/>
              <w:ind w:left="284" w:right="-67" w:rightChars="-32"/>
              <w:jc w:val="center"/>
              <w:rPr>
                <w:rFonts w:hAnsi="宋体"/>
                <w:highlight w:val="none"/>
              </w:rPr>
            </w:pPr>
          </w:p>
        </w:tc>
        <w:tc>
          <w:tcPr>
            <w:tcW w:w="2618" w:type="dxa"/>
            <w:vAlign w:val="center"/>
          </w:tcPr>
          <w:p w14:paraId="09FF0903">
            <w:pPr>
              <w:pStyle w:val="13"/>
              <w:spacing w:line="440" w:lineRule="exact"/>
              <w:jc w:val="left"/>
              <w:rPr>
                <w:rFonts w:hAnsi="宋体"/>
                <w:highlight w:val="none"/>
              </w:rPr>
            </w:pPr>
            <w:r>
              <w:rPr>
                <w:rFonts w:hint="eastAsia" w:hAnsi="宋体"/>
                <w:highlight w:val="none"/>
              </w:rPr>
              <w:t>现场踏勘</w:t>
            </w:r>
          </w:p>
        </w:tc>
        <w:tc>
          <w:tcPr>
            <w:tcW w:w="5953" w:type="dxa"/>
            <w:vAlign w:val="center"/>
          </w:tcPr>
          <w:p w14:paraId="27EA7685">
            <w:pPr>
              <w:pStyle w:val="13"/>
              <w:spacing w:line="440" w:lineRule="exact"/>
              <w:jc w:val="left"/>
              <w:rPr>
                <w:rFonts w:hAnsi="宋体"/>
                <w:highlight w:val="none"/>
              </w:rPr>
            </w:pPr>
            <w:r>
              <w:rPr>
                <w:rFonts w:hint="eastAsia" w:hAnsi="宋体"/>
                <w:highlight w:val="none"/>
              </w:rPr>
              <w:t>是否组织踏勘：</w:t>
            </w:r>
            <w:r>
              <w:rPr>
                <w:rFonts w:hAnsi="宋体"/>
                <w:highlight w:val="none"/>
              </w:rPr>
              <w:fldChar w:fldCharType="begin"/>
            </w:r>
            <w:r>
              <w:rPr>
                <w:rFonts w:hAnsi="宋体"/>
                <w:highlight w:val="none"/>
              </w:rPr>
              <w:instrText xml:space="preserve"> </w:instrText>
            </w:r>
            <w:r>
              <w:rPr>
                <w:rFonts w:hint="eastAsia" w:hAnsi="宋体"/>
                <w:highlight w:val="none"/>
              </w:rPr>
              <w:instrText xml:space="preserve">eq \o\ac(</w:instrText>
            </w:r>
            <w:r>
              <w:rPr>
                <w:rFonts w:hint="eastAsia" w:hAnsi="宋体"/>
                <w:position w:val="-4"/>
                <w:sz w:val="31"/>
                <w:highlight w:val="none"/>
              </w:rPr>
              <w:instrText xml:space="preserve">□</w:instrText>
            </w:r>
            <w:r>
              <w:rPr>
                <w:rFonts w:hint="eastAsia" w:hAnsi="宋体"/>
                <w:highlight w:val="none"/>
              </w:rPr>
              <w:instrText xml:space="preserve">)</w:instrText>
            </w:r>
            <w:r>
              <w:rPr>
                <w:rFonts w:hAnsi="宋体"/>
                <w:highlight w:val="none"/>
              </w:rPr>
              <w:fldChar w:fldCharType="end"/>
            </w:r>
            <w:r>
              <w:rPr>
                <w:rFonts w:hint="eastAsia" w:hAnsi="宋体"/>
                <w:highlight w:val="none"/>
              </w:rPr>
              <w:t>组织/</w:t>
            </w:r>
            <w:r>
              <w:rPr>
                <w:rFonts w:hAnsi="宋体"/>
                <w:highlight w:val="none"/>
              </w:rPr>
              <w:fldChar w:fldCharType="begin"/>
            </w:r>
            <w:r>
              <w:rPr>
                <w:rFonts w:hAnsi="宋体"/>
                <w:highlight w:val="none"/>
              </w:rPr>
              <w:instrText xml:space="preserve"> </w:instrText>
            </w:r>
            <w:r>
              <w:rPr>
                <w:rFonts w:hint="eastAsia" w:hAnsi="宋体"/>
                <w:highlight w:val="none"/>
              </w:rPr>
              <w:instrText xml:space="preserve">eq \o\ac(</w:instrText>
            </w:r>
            <w:r>
              <w:rPr>
                <w:rFonts w:hint="eastAsia" w:hAnsi="宋体"/>
                <w:position w:val="-4"/>
                <w:sz w:val="31"/>
                <w:highlight w:val="none"/>
              </w:rPr>
              <w:instrText xml:space="preserve">□</w:instrText>
            </w:r>
            <w:r>
              <w:rPr>
                <w:rFonts w:hint="eastAsia" w:hAnsi="宋体"/>
                <w:highlight w:val="none"/>
              </w:rPr>
              <w:instrText xml:space="preserve">,√)</w:instrText>
            </w:r>
            <w:r>
              <w:rPr>
                <w:rFonts w:hAnsi="宋体"/>
                <w:highlight w:val="none"/>
              </w:rPr>
              <w:fldChar w:fldCharType="end"/>
            </w:r>
            <w:r>
              <w:rPr>
                <w:rFonts w:hint="eastAsia" w:hAnsi="宋体"/>
                <w:highlight w:val="none"/>
              </w:rPr>
              <w:t>不组织</w:t>
            </w:r>
          </w:p>
        </w:tc>
      </w:tr>
      <w:tr w14:paraId="12E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restart"/>
            <w:vAlign w:val="center"/>
          </w:tcPr>
          <w:p w14:paraId="795A4907">
            <w:pPr>
              <w:pStyle w:val="13"/>
              <w:numPr>
                <w:ilvl w:val="0"/>
                <w:numId w:val="2"/>
              </w:numPr>
              <w:spacing w:line="440" w:lineRule="exact"/>
              <w:ind w:left="284" w:right="-67" w:rightChars="-32"/>
              <w:jc w:val="center"/>
              <w:rPr>
                <w:rFonts w:hAnsi="宋体"/>
                <w:highlight w:val="none"/>
              </w:rPr>
            </w:pPr>
          </w:p>
        </w:tc>
        <w:tc>
          <w:tcPr>
            <w:tcW w:w="2618" w:type="dxa"/>
            <w:vMerge w:val="restart"/>
            <w:vAlign w:val="center"/>
          </w:tcPr>
          <w:p w14:paraId="3D128B29">
            <w:pPr>
              <w:pStyle w:val="13"/>
              <w:spacing w:line="440" w:lineRule="exact"/>
              <w:jc w:val="left"/>
              <w:rPr>
                <w:rFonts w:hAnsi="宋体"/>
                <w:highlight w:val="none"/>
              </w:rPr>
            </w:pPr>
            <w:r>
              <w:rPr>
                <w:rFonts w:hint="eastAsia" w:hAnsi="宋体"/>
                <w:highlight w:val="none"/>
              </w:rPr>
              <w:t>支持中小企业</w:t>
            </w:r>
          </w:p>
        </w:tc>
        <w:tc>
          <w:tcPr>
            <w:tcW w:w="5953" w:type="dxa"/>
            <w:vAlign w:val="center"/>
          </w:tcPr>
          <w:p w14:paraId="781FE500">
            <w:pPr>
              <w:pStyle w:val="13"/>
              <w:spacing w:line="440" w:lineRule="exact"/>
              <w:jc w:val="left"/>
              <w:rPr>
                <w:rFonts w:hAnsi="宋体" w:cs="Times New Roman"/>
                <w:highlight w:val="none"/>
              </w:rPr>
            </w:pPr>
            <w:r>
              <w:rPr>
                <w:rFonts w:hint="eastAsia" w:hAnsi="宋体" w:cs="Times New Roman"/>
                <w:highlight w:val="none"/>
              </w:rPr>
              <w:t>本项目是否为专门面向中小企业采购项目：</w:t>
            </w:r>
            <w:r>
              <w:rPr>
                <w:rFonts w:hAnsi="宋体"/>
                <w:highlight w:val="none"/>
              </w:rPr>
              <w:fldChar w:fldCharType="begin"/>
            </w:r>
            <w:r>
              <w:rPr>
                <w:rFonts w:hAnsi="宋体"/>
                <w:highlight w:val="none"/>
              </w:rPr>
              <w:instrText xml:space="preserve"> </w:instrText>
            </w:r>
            <w:r>
              <w:rPr>
                <w:rFonts w:hint="eastAsia" w:hAnsi="宋体"/>
                <w:highlight w:val="none"/>
              </w:rPr>
              <w:instrText xml:space="preserve">eq \o\ac(</w:instrText>
            </w:r>
            <w:r>
              <w:rPr>
                <w:rFonts w:hint="eastAsia" w:hAnsi="宋体"/>
                <w:position w:val="-4"/>
                <w:sz w:val="31"/>
                <w:highlight w:val="none"/>
              </w:rPr>
              <w:instrText xml:space="preserve">□</w:instrText>
            </w:r>
            <w:r>
              <w:rPr>
                <w:rFonts w:hint="eastAsia" w:hAnsi="宋体"/>
                <w:highlight w:val="none"/>
              </w:rPr>
              <w:instrText xml:space="preserve">)</w:instrText>
            </w:r>
            <w:r>
              <w:rPr>
                <w:rFonts w:hAnsi="宋体"/>
                <w:highlight w:val="none"/>
              </w:rPr>
              <w:fldChar w:fldCharType="end"/>
            </w:r>
            <w:r>
              <w:rPr>
                <w:rFonts w:hint="eastAsia" w:hAnsi="宋体"/>
                <w:highlight w:val="none"/>
              </w:rPr>
              <w:t>是/</w:t>
            </w:r>
            <w:r>
              <w:rPr>
                <w:rFonts w:hAnsi="宋体"/>
                <w:highlight w:val="none"/>
              </w:rPr>
              <w:fldChar w:fldCharType="begin"/>
            </w:r>
            <w:r>
              <w:rPr>
                <w:rFonts w:hAnsi="宋体"/>
                <w:highlight w:val="none"/>
              </w:rPr>
              <w:instrText xml:space="preserve"> </w:instrText>
            </w:r>
            <w:r>
              <w:rPr>
                <w:rFonts w:hint="eastAsia" w:hAnsi="宋体"/>
                <w:highlight w:val="none"/>
              </w:rPr>
              <w:instrText xml:space="preserve">eq \o\ac(</w:instrText>
            </w:r>
            <w:r>
              <w:rPr>
                <w:rFonts w:hint="eastAsia" w:hAnsi="宋体"/>
                <w:position w:val="-4"/>
                <w:sz w:val="31"/>
                <w:highlight w:val="none"/>
              </w:rPr>
              <w:instrText xml:space="preserve">□</w:instrText>
            </w:r>
            <w:r>
              <w:rPr>
                <w:rFonts w:hint="eastAsia" w:hAnsi="宋体"/>
                <w:position w:val="-4"/>
                <w:sz w:val="31"/>
                <w:highlight w:val="none"/>
                <w:lang w:eastAsia="zh-CN"/>
              </w:rPr>
              <w:instrText xml:space="preserve">,</w:instrText>
            </w:r>
            <w:r>
              <w:rPr>
                <w:rFonts w:hint="eastAsia" w:hAnsi="宋体"/>
                <w:position w:val="0"/>
                <w:sz w:val="21"/>
                <w:highlight w:val="none"/>
                <w:lang w:eastAsia="zh-CN"/>
              </w:rPr>
              <w:instrText xml:space="preserve">√</w:instrText>
            </w:r>
            <w:r>
              <w:rPr>
                <w:rFonts w:hint="eastAsia" w:hAnsi="宋体"/>
                <w:highlight w:val="none"/>
              </w:rPr>
              <w:instrText xml:space="preserve">)</w:instrText>
            </w:r>
            <w:r>
              <w:rPr>
                <w:rFonts w:hAnsi="宋体"/>
                <w:highlight w:val="none"/>
              </w:rPr>
              <w:fldChar w:fldCharType="end"/>
            </w:r>
            <w:r>
              <w:rPr>
                <w:rFonts w:hint="eastAsia" w:hAnsi="宋体"/>
                <w:highlight w:val="none"/>
              </w:rPr>
              <w:t>否</w:t>
            </w:r>
          </w:p>
        </w:tc>
      </w:tr>
      <w:tr w14:paraId="7733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15" w:type="dxa"/>
            <w:vMerge w:val="continue"/>
            <w:vAlign w:val="center"/>
          </w:tcPr>
          <w:p w14:paraId="3A7D298F">
            <w:pPr>
              <w:pStyle w:val="13"/>
              <w:spacing w:line="440" w:lineRule="exact"/>
              <w:ind w:left="284" w:right="-67" w:rightChars="-32"/>
              <w:jc w:val="center"/>
              <w:rPr>
                <w:rFonts w:hAnsi="宋体"/>
                <w:highlight w:val="none"/>
              </w:rPr>
            </w:pPr>
          </w:p>
        </w:tc>
        <w:tc>
          <w:tcPr>
            <w:tcW w:w="2618" w:type="dxa"/>
            <w:vMerge w:val="continue"/>
            <w:vAlign w:val="center"/>
          </w:tcPr>
          <w:p w14:paraId="1E6E0416">
            <w:pPr>
              <w:pStyle w:val="13"/>
              <w:spacing w:line="440" w:lineRule="exact"/>
              <w:jc w:val="left"/>
              <w:rPr>
                <w:rFonts w:hAnsi="宋体"/>
                <w:highlight w:val="none"/>
              </w:rPr>
            </w:pPr>
          </w:p>
        </w:tc>
        <w:tc>
          <w:tcPr>
            <w:tcW w:w="5953" w:type="dxa"/>
            <w:vAlign w:val="center"/>
          </w:tcPr>
          <w:p w14:paraId="39B71394">
            <w:pPr>
              <w:pStyle w:val="13"/>
              <w:spacing w:line="440" w:lineRule="exact"/>
              <w:jc w:val="left"/>
              <w:rPr>
                <w:rFonts w:hAnsi="宋体" w:cs="Times New Roman"/>
                <w:highlight w:val="none"/>
              </w:rPr>
            </w:pPr>
            <w:r>
              <w:rPr>
                <w:rFonts w:hint="eastAsia" w:hAnsi="宋体" w:cs="Times New Roman"/>
                <w:highlight w:val="none"/>
              </w:rPr>
              <w:t>采购标的对应的中小企业划分标准所属行业：</w:t>
            </w:r>
          </w:p>
          <w:p w14:paraId="0BAC73FB">
            <w:pPr>
              <w:pStyle w:val="13"/>
              <w:spacing w:line="440" w:lineRule="exact"/>
              <w:jc w:val="left"/>
              <w:rPr>
                <w:rFonts w:hAnsi="宋体" w:cs="Times New Roman"/>
                <w:highlight w:val="none"/>
              </w:rPr>
            </w:pPr>
            <w:r>
              <w:rPr>
                <w:rFonts w:hint="eastAsia" w:hAnsi="宋体" w:cs="Times New Roman"/>
                <w:highlight w:val="none"/>
              </w:rPr>
              <w:t>软件和信息技术服务业</w:t>
            </w:r>
          </w:p>
        </w:tc>
      </w:tr>
      <w:tr w14:paraId="76BA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5" w:type="dxa"/>
            <w:vAlign w:val="center"/>
          </w:tcPr>
          <w:p w14:paraId="737C8420">
            <w:pPr>
              <w:pStyle w:val="13"/>
              <w:numPr>
                <w:ilvl w:val="0"/>
                <w:numId w:val="2"/>
              </w:numPr>
              <w:spacing w:line="440" w:lineRule="exact"/>
              <w:ind w:left="284" w:right="-67" w:rightChars="-32"/>
              <w:jc w:val="center"/>
              <w:rPr>
                <w:rFonts w:hAnsi="宋体"/>
                <w:highlight w:val="none"/>
              </w:rPr>
            </w:pPr>
          </w:p>
        </w:tc>
        <w:tc>
          <w:tcPr>
            <w:tcW w:w="2618" w:type="dxa"/>
            <w:vAlign w:val="center"/>
          </w:tcPr>
          <w:p w14:paraId="003DF97B">
            <w:pPr>
              <w:pStyle w:val="13"/>
              <w:spacing w:line="440" w:lineRule="exact"/>
              <w:jc w:val="left"/>
              <w:rPr>
                <w:rFonts w:hAnsi="宋体"/>
                <w:highlight w:val="none"/>
              </w:rPr>
            </w:pPr>
            <w:r>
              <w:rPr>
                <w:rFonts w:hint="eastAsia" w:hAnsi="宋体"/>
                <w:highlight w:val="none"/>
              </w:rPr>
              <w:t>支持监狱企业</w:t>
            </w:r>
          </w:p>
        </w:tc>
        <w:tc>
          <w:tcPr>
            <w:tcW w:w="5953" w:type="dxa"/>
            <w:vAlign w:val="center"/>
          </w:tcPr>
          <w:p w14:paraId="5E827DF0">
            <w:pPr>
              <w:pStyle w:val="13"/>
              <w:spacing w:line="440" w:lineRule="exact"/>
              <w:jc w:val="left"/>
              <w:rPr>
                <w:rFonts w:hAnsi="宋体" w:cs="Times New Roman"/>
                <w:highlight w:val="none"/>
              </w:rPr>
            </w:pPr>
            <w:r>
              <w:rPr>
                <w:rFonts w:hint="eastAsia" w:hAnsi="宋体" w:cs="Times New Roman"/>
                <w:highlight w:val="none"/>
              </w:rPr>
              <w:t>非专门面向监狱企业采购项目(价格扣除)：监狱企业可视同小微企业在价格评审时给予10%的扣除，用扣除后的价格参与评审。但应满足下列条件：</w:t>
            </w:r>
          </w:p>
          <w:p w14:paraId="212CDAFF">
            <w:pPr>
              <w:pStyle w:val="13"/>
              <w:spacing w:line="440" w:lineRule="exact"/>
              <w:jc w:val="left"/>
              <w:rPr>
                <w:rFonts w:hAnsi="宋体"/>
                <w:highlight w:val="none"/>
              </w:rPr>
            </w:pPr>
            <w:r>
              <w:rPr>
                <w:rFonts w:hint="eastAsia" w:hAnsi="宋体" w:cs="Times New Roman"/>
                <w:highlight w:val="none"/>
              </w:rPr>
              <w:t>监狱企业须提供由省级以上监狱管理局、戒毒管理局（含新疆生产建设兵团）出具的属于监狱企业的证明文件，否则不予认定。</w:t>
            </w:r>
          </w:p>
        </w:tc>
      </w:tr>
      <w:tr w14:paraId="22D8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15" w:type="dxa"/>
            <w:vAlign w:val="center"/>
          </w:tcPr>
          <w:p w14:paraId="7AA20591">
            <w:pPr>
              <w:pStyle w:val="13"/>
              <w:numPr>
                <w:ilvl w:val="0"/>
                <w:numId w:val="2"/>
              </w:numPr>
              <w:spacing w:line="440" w:lineRule="exact"/>
              <w:ind w:left="284" w:right="-67" w:rightChars="-32"/>
              <w:jc w:val="center"/>
              <w:rPr>
                <w:rFonts w:hAnsi="宋体"/>
                <w:highlight w:val="none"/>
              </w:rPr>
            </w:pPr>
          </w:p>
        </w:tc>
        <w:tc>
          <w:tcPr>
            <w:tcW w:w="2618" w:type="dxa"/>
            <w:vAlign w:val="center"/>
          </w:tcPr>
          <w:p w14:paraId="10E97D01">
            <w:pPr>
              <w:pStyle w:val="13"/>
              <w:spacing w:line="440" w:lineRule="exact"/>
              <w:jc w:val="left"/>
              <w:rPr>
                <w:rFonts w:hAnsi="宋体"/>
                <w:highlight w:val="none"/>
              </w:rPr>
            </w:pPr>
            <w:r>
              <w:rPr>
                <w:rFonts w:hint="eastAsia" w:hAnsi="宋体"/>
                <w:highlight w:val="none"/>
              </w:rPr>
              <w:t>支持残疾人福利性单位</w:t>
            </w:r>
          </w:p>
        </w:tc>
        <w:tc>
          <w:tcPr>
            <w:tcW w:w="5953" w:type="dxa"/>
            <w:vAlign w:val="center"/>
          </w:tcPr>
          <w:p w14:paraId="4D9476CA">
            <w:pPr>
              <w:pStyle w:val="13"/>
              <w:spacing w:line="440" w:lineRule="exact"/>
              <w:jc w:val="left"/>
              <w:rPr>
                <w:rFonts w:hAnsi="宋体"/>
                <w:highlight w:val="none"/>
              </w:rPr>
            </w:pPr>
            <w:r>
              <w:rPr>
                <w:rFonts w:hint="eastAsia" w:hAnsi="宋体"/>
                <w:highlight w:val="none"/>
              </w:rPr>
              <w:t>非专门面向残疾人福利性单位采购项目</w:t>
            </w:r>
            <w:r>
              <w:rPr>
                <w:rFonts w:hAnsi="宋体"/>
                <w:highlight w:val="none"/>
              </w:rPr>
              <w:t>(</w:t>
            </w:r>
            <w:r>
              <w:rPr>
                <w:rFonts w:hint="eastAsia" w:hAnsi="宋体"/>
                <w:highlight w:val="none"/>
              </w:rPr>
              <w:t>价格扣除</w:t>
            </w:r>
            <w:r>
              <w:rPr>
                <w:rFonts w:hAnsi="宋体"/>
                <w:highlight w:val="none"/>
              </w:rPr>
              <w:t>)</w:t>
            </w:r>
            <w:r>
              <w:rPr>
                <w:rFonts w:hint="eastAsia" w:hAnsi="宋体"/>
                <w:highlight w:val="none"/>
              </w:rPr>
              <w:t>：</w:t>
            </w:r>
          </w:p>
          <w:p w14:paraId="152C3999">
            <w:pPr>
              <w:pStyle w:val="13"/>
              <w:spacing w:line="440" w:lineRule="exact"/>
              <w:jc w:val="left"/>
              <w:rPr>
                <w:rFonts w:hAnsi="宋体"/>
                <w:highlight w:val="none"/>
              </w:rPr>
            </w:pPr>
            <w:r>
              <w:rPr>
                <w:rFonts w:hint="eastAsia" w:hAnsi="宋体"/>
                <w:highlight w:val="none"/>
              </w:rPr>
              <w:t>残疾人福利性单位可视同小微企业在价格评审时给予10</w:t>
            </w:r>
            <w:r>
              <w:rPr>
                <w:rFonts w:hAnsi="宋体"/>
                <w:highlight w:val="none"/>
              </w:rPr>
              <w:t>%</w:t>
            </w:r>
            <w:r>
              <w:rPr>
                <w:rFonts w:hint="eastAsia" w:hAnsi="宋体"/>
                <w:highlight w:val="none"/>
              </w:rPr>
              <w:t>的扣除，用扣除后的价格参与评审。</w:t>
            </w:r>
          </w:p>
          <w:p w14:paraId="4FBF716B">
            <w:pPr>
              <w:pStyle w:val="13"/>
              <w:spacing w:line="440" w:lineRule="exact"/>
              <w:jc w:val="left"/>
              <w:rPr>
                <w:rFonts w:hAnsi="宋体"/>
                <w:highlight w:val="none"/>
              </w:rPr>
            </w:pPr>
            <w:r>
              <w:rPr>
                <w:rFonts w:hint="eastAsia" w:hAnsi="宋体"/>
                <w:highlight w:val="none"/>
              </w:rPr>
              <w:t>但应满足下列条件：</w:t>
            </w:r>
          </w:p>
          <w:p w14:paraId="30F9FF0A">
            <w:pPr>
              <w:pStyle w:val="13"/>
              <w:spacing w:line="440" w:lineRule="exact"/>
              <w:jc w:val="left"/>
              <w:rPr>
                <w:rFonts w:hAnsi="宋体"/>
                <w:highlight w:val="none"/>
              </w:rPr>
            </w:pPr>
            <w:r>
              <w:rPr>
                <w:rFonts w:hint="eastAsia" w:hAnsi="宋体"/>
                <w:highlight w:val="none"/>
              </w:rPr>
              <w:t>残疾人福利性单位应符合《财政部、民政部、中国残疾人联合会关于促进残疾人就业政府采购政策的通知》（财库[2017]141号）文件规定，并提供《残疾人福利性单位声明函》。</w:t>
            </w:r>
          </w:p>
        </w:tc>
      </w:tr>
      <w:tr w14:paraId="12C1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71B002B8">
            <w:pPr>
              <w:pStyle w:val="13"/>
              <w:numPr>
                <w:ilvl w:val="0"/>
                <w:numId w:val="2"/>
              </w:numPr>
              <w:spacing w:line="440" w:lineRule="exact"/>
              <w:ind w:left="284" w:right="-67" w:rightChars="-32"/>
              <w:jc w:val="center"/>
              <w:rPr>
                <w:rFonts w:hAnsi="宋体"/>
              </w:rPr>
            </w:pPr>
          </w:p>
        </w:tc>
        <w:tc>
          <w:tcPr>
            <w:tcW w:w="2618" w:type="dxa"/>
            <w:vAlign w:val="center"/>
          </w:tcPr>
          <w:p w14:paraId="44D63BA2">
            <w:pPr>
              <w:pStyle w:val="13"/>
              <w:spacing w:line="440" w:lineRule="exact"/>
              <w:jc w:val="left"/>
              <w:rPr>
                <w:rFonts w:hAnsi="宋体"/>
              </w:rPr>
            </w:pPr>
            <w:r>
              <w:rPr>
                <w:rFonts w:hint="eastAsia" w:hAnsi="宋体"/>
              </w:rPr>
              <w:t>不重复享受价格扣除政策的情形</w:t>
            </w:r>
          </w:p>
        </w:tc>
        <w:tc>
          <w:tcPr>
            <w:tcW w:w="5953" w:type="dxa"/>
            <w:vAlign w:val="center"/>
          </w:tcPr>
          <w:p w14:paraId="53C380E9">
            <w:pPr>
              <w:pStyle w:val="13"/>
              <w:spacing w:line="440" w:lineRule="exact"/>
              <w:jc w:val="left"/>
              <w:rPr>
                <w:rFonts w:hAnsi="宋体"/>
              </w:rPr>
            </w:pPr>
            <w:r>
              <w:rPr>
                <w:rFonts w:hint="eastAsia" w:hAnsi="宋体"/>
              </w:rPr>
              <w:t>监狱企业、残疾人福利性单位属于小型、微型企业的，不重复享受政策。</w:t>
            </w:r>
          </w:p>
        </w:tc>
      </w:tr>
      <w:tr w14:paraId="45E7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15" w:type="dxa"/>
            <w:vAlign w:val="center"/>
          </w:tcPr>
          <w:p w14:paraId="3E31AF27">
            <w:pPr>
              <w:pStyle w:val="13"/>
              <w:numPr>
                <w:ilvl w:val="0"/>
                <w:numId w:val="2"/>
              </w:numPr>
              <w:spacing w:line="440" w:lineRule="exact"/>
              <w:ind w:left="284" w:right="-67" w:rightChars="-32"/>
              <w:jc w:val="center"/>
              <w:rPr>
                <w:rFonts w:hAnsi="宋体"/>
              </w:rPr>
            </w:pPr>
          </w:p>
        </w:tc>
        <w:tc>
          <w:tcPr>
            <w:tcW w:w="2618" w:type="dxa"/>
            <w:vAlign w:val="center"/>
          </w:tcPr>
          <w:p w14:paraId="65BD4F54">
            <w:pPr>
              <w:pStyle w:val="13"/>
              <w:spacing w:line="440" w:lineRule="exact"/>
              <w:jc w:val="left"/>
              <w:rPr>
                <w:rFonts w:hAnsi="宋体"/>
              </w:rPr>
            </w:pPr>
            <w:r>
              <w:rPr>
                <w:rFonts w:hint="eastAsia" w:hAnsi="宋体"/>
              </w:rPr>
              <w:t>递交响应文件的截止时间和地点</w:t>
            </w:r>
          </w:p>
        </w:tc>
        <w:tc>
          <w:tcPr>
            <w:tcW w:w="5953" w:type="dxa"/>
            <w:vAlign w:val="center"/>
          </w:tcPr>
          <w:p w14:paraId="64D5BE90">
            <w:pPr>
              <w:widowControl/>
              <w:spacing w:line="440" w:lineRule="exact"/>
              <w:jc w:val="left"/>
              <w:rPr>
                <w:rFonts w:ascii="宋体" w:hAnsi="宋体" w:cs="Helvetica"/>
                <w:kern w:val="0"/>
                <w:szCs w:val="21"/>
              </w:rPr>
            </w:pPr>
            <w:r>
              <w:rPr>
                <w:rFonts w:hint="eastAsia" w:ascii="宋体" w:hAnsi="宋体" w:cs="Helvetica"/>
                <w:kern w:val="0"/>
                <w:szCs w:val="21"/>
              </w:rPr>
              <w:t>1.时间：2026年</w:t>
            </w:r>
            <w:r>
              <w:rPr>
                <w:rFonts w:hint="eastAsia" w:ascii="宋体" w:hAnsi="宋体" w:cs="Helvetica"/>
                <w:kern w:val="0"/>
                <w:szCs w:val="21"/>
                <w:lang w:val="en-US" w:eastAsia="zh-CN"/>
              </w:rPr>
              <w:t>05</w:t>
            </w:r>
            <w:r>
              <w:rPr>
                <w:rFonts w:hint="eastAsia" w:ascii="宋体" w:hAnsi="宋体" w:cs="Helvetica"/>
                <w:kern w:val="0"/>
                <w:szCs w:val="21"/>
              </w:rPr>
              <w:t>月</w:t>
            </w:r>
            <w:r>
              <w:rPr>
                <w:rFonts w:hint="eastAsia" w:ascii="宋体" w:hAnsi="宋体" w:cs="Helvetica"/>
                <w:kern w:val="0"/>
                <w:szCs w:val="21"/>
                <w:lang w:val="en-US" w:eastAsia="zh-CN"/>
              </w:rPr>
              <w:t>09</w:t>
            </w:r>
            <w:r>
              <w:rPr>
                <w:rFonts w:hint="eastAsia" w:ascii="宋体" w:hAnsi="宋体" w:cs="Helvetica"/>
                <w:kern w:val="0"/>
                <w:szCs w:val="21"/>
              </w:rPr>
              <w:t xml:space="preserve">日 </w:t>
            </w:r>
            <w:r>
              <w:rPr>
                <w:rFonts w:hint="eastAsia" w:ascii="宋体" w:hAnsi="宋体" w:cs="Helvetica"/>
                <w:kern w:val="0"/>
                <w:szCs w:val="21"/>
                <w:lang w:val="en-US" w:eastAsia="zh-CN"/>
              </w:rPr>
              <w:t>09</w:t>
            </w:r>
            <w:r>
              <w:rPr>
                <w:rFonts w:hint="eastAsia" w:ascii="宋体" w:hAnsi="宋体" w:cs="Helvetica"/>
                <w:kern w:val="0"/>
                <w:szCs w:val="21"/>
              </w:rPr>
              <w:t>时</w:t>
            </w:r>
            <w:r>
              <w:rPr>
                <w:rFonts w:hint="eastAsia" w:ascii="宋体" w:hAnsi="宋体" w:cs="Helvetica"/>
                <w:kern w:val="0"/>
                <w:szCs w:val="21"/>
                <w:lang w:val="en-US" w:eastAsia="zh-CN"/>
              </w:rPr>
              <w:t>30</w:t>
            </w:r>
            <w:r>
              <w:rPr>
                <w:rFonts w:hint="eastAsia" w:ascii="宋体" w:hAnsi="宋体" w:cs="Helvetica"/>
                <w:kern w:val="0"/>
                <w:szCs w:val="21"/>
              </w:rPr>
              <w:t>分00秒</w:t>
            </w:r>
          </w:p>
          <w:p w14:paraId="04C34863">
            <w:pPr>
              <w:pStyle w:val="13"/>
              <w:spacing w:line="440" w:lineRule="exact"/>
              <w:jc w:val="left"/>
              <w:rPr>
                <w:rFonts w:hAnsi="宋体"/>
              </w:rPr>
            </w:pPr>
            <w:r>
              <w:rPr>
                <w:rFonts w:hint="eastAsia" w:hAnsi="宋体" w:cs="Helvetica"/>
                <w:kern w:val="0"/>
              </w:rPr>
              <w:t>2.地点：</w:t>
            </w:r>
            <w:r>
              <w:rPr>
                <w:rFonts w:hint="eastAsia" w:hAnsi="宋体"/>
              </w:rPr>
              <w:t>陕西省西安市高新区丈八一路1号汇鑫中心D座2206室陕西德勤招标有限公司第一会议室</w:t>
            </w:r>
          </w:p>
        </w:tc>
      </w:tr>
      <w:tr w14:paraId="77D8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14:paraId="06C60FD2">
            <w:pPr>
              <w:pStyle w:val="13"/>
              <w:numPr>
                <w:ilvl w:val="0"/>
                <w:numId w:val="2"/>
              </w:numPr>
              <w:spacing w:line="440" w:lineRule="exact"/>
              <w:ind w:left="284" w:right="-67" w:rightChars="-32"/>
              <w:jc w:val="center"/>
              <w:rPr>
                <w:rFonts w:hAnsi="宋体"/>
              </w:rPr>
            </w:pPr>
          </w:p>
        </w:tc>
        <w:tc>
          <w:tcPr>
            <w:tcW w:w="2618" w:type="dxa"/>
            <w:vAlign w:val="center"/>
          </w:tcPr>
          <w:p w14:paraId="15AFDB1B">
            <w:pPr>
              <w:pStyle w:val="13"/>
              <w:spacing w:line="440" w:lineRule="exact"/>
              <w:jc w:val="left"/>
              <w:rPr>
                <w:rFonts w:hAnsi="宋体"/>
              </w:rPr>
            </w:pPr>
            <w:r>
              <w:rPr>
                <w:rFonts w:hint="eastAsia" w:hAnsi="宋体"/>
              </w:rPr>
              <w:t>磋商时间和地点</w:t>
            </w:r>
          </w:p>
        </w:tc>
        <w:tc>
          <w:tcPr>
            <w:tcW w:w="5953" w:type="dxa"/>
            <w:vAlign w:val="center"/>
          </w:tcPr>
          <w:p w14:paraId="6A40CEEF">
            <w:pPr>
              <w:widowControl/>
              <w:spacing w:line="440" w:lineRule="exact"/>
              <w:jc w:val="left"/>
              <w:rPr>
                <w:rFonts w:ascii="宋体" w:hAnsi="宋体" w:cs="Helvetica"/>
                <w:kern w:val="0"/>
                <w:szCs w:val="21"/>
              </w:rPr>
            </w:pPr>
            <w:r>
              <w:rPr>
                <w:rFonts w:hint="eastAsia" w:ascii="宋体" w:hAnsi="宋体" w:cs="Helvetica"/>
                <w:kern w:val="0"/>
                <w:szCs w:val="21"/>
              </w:rPr>
              <w:t>1.时间：2026年</w:t>
            </w:r>
            <w:r>
              <w:rPr>
                <w:rFonts w:hint="eastAsia" w:ascii="宋体" w:hAnsi="宋体" w:cs="Helvetica"/>
                <w:kern w:val="0"/>
                <w:szCs w:val="21"/>
                <w:lang w:val="en-US" w:eastAsia="zh-CN"/>
              </w:rPr>
              <w:t>05</w:t>
            </w:r>
            <w:r>
              <w:rPr>
                <w:rFonts w:hint="eastAsia" w:ascii="宋体" w:hAnsi="宋体" w:cs="Helvetica"/>
                <w:kern w:val="0"/>
                <w:szCs w:val="21"/>
              </w:rPr>
              <w:t>月</w:t>
            </w:r>
            <w:r>
              <w:rPr>
                <w:rFonts w:hint="eastAsia" w:ascii="宋体" w:hAnsi="宋体" w:cs="Helvetica"/>
                <w:kern w:val="0"/>
                <w:szCs w:val="21"/>
                <w:lang w:val="en-US" w:eastAsia="zh-CN"/>
              </w:rPr>
              <w:t>09</w:t>
            </w:r>
            <w:r>
              <w:rPr>
                <w:rFonts w:hint="eastAsia" w:ascii="宋体" w:hAnsi="宋体" w:cs="Helvetica"/>
                <w:kern w:val="0"/>
                <w:szCs w:val="21"/>
              </w:rPr>
              <w:t xml:space="preserve">日 </w:t>
            </w:r>
            <w:r>
              <w:rPr>
                <w:rFonts w:hint="eastAsia" w:ascii="宋体" w:hAnsi="宋体" w:cs="Helvetica"/>
                <w:kern w:val="0"/>
                <w:szCs w:val="21"/>
                <w:lang w:val="en-US" w:eastAsia="zh-CN"/>
              </w:rPr>
              <w:t>09</w:t>
            </w:r>
            <w:r>
              <w:rPr>
                <w:rFonts w:hint="eastAsia" w:ascii="宋体" w:hAnsi="宋体" w:cs="Helvetica"/>
                <w:kern w:val="0"/>
                <w:szCs w:val="21"/>
              </w:rPr>
              <w:t>时</w:t>
            </w:r>
            <w:r>
              <w:rPr>
                <w:rFonts w:hint="eastAsia" w:ascii="宋体" w:hAnsi="宋体" w:cs="Helvetica"/>
                <w:kern w:val="0"/>
                <w:szCs w:val="21"/>
                <w:lang w:val="en-US" w:eastAsia="zh-CN"/>
              </w:rPr>
              <w:t>30</w:t>
            </w:r>
            <w:r>
              <w:rPr>
                <w:rFonts w:hint="eastAsia" w:ascii="宋体" w:hAnsi="宋体" w:cs="Helvetica"/>
                <w:kern w:val="0"/>
                <w:szCs w:val="21"/>
              </w:rPr>
              <w:t>分00秒</w:t>
            </w:r>
          </w:p>
          <w:p w14:paraId="692B87F8">
            <w:pPr>
              <w:pStyle w:val="13"/>
              <w:spacing w:line="440" w:lineRule="exact"/>
              <w:jc w:val="left"/>
              <w:rPr>
                <w:rFonts w:hAnsi="宋体"/>
              </w:rPr>
            </w:pPr>
            <w:r>
              <w:rPr>
                <w:rFonts w:hint="eastAsia" w:hAnsi="宋体" w:cs="Helvetica"/>
                <w:kern w:val="0"/>
              </w:rPr>
              <w:t>2.地点：</w:t>
            </w:r>
            <w:r>
              <w:rPr>
                <w:rFonts w:hint="eastAsia" w:hAnsi="宋体"/>
              </w:rPr>
              <w:t>陕西省西安市高新区丈八一路1号汇鑫中心D座2206室陕西德勤招标有限公司第一会议室</w:t>
            </w:r>
          </w:p>
        </w:tc>
      </w:tr>
      <w:tr w14:paraId="20DA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5" w:type="dxa"/>
            <w:vAlign w:val="center"/>
          </w:tcPr>
          <w:p w14:paraId="20F0D7EE">
            <w:pPr>
              <w:pStyle w:val="13"/>
              <w:numPr>
                <w:ilvl w:val="0"/>
                <w:numId w:val="2"/>
              </w:numPr>
              <w:spacing w:line="440" w:lineRule="exact"/>
              <w:ind w:left="284" w:right="-67" w:rightChars="-32"/>
              <w:jc w:val="center"/>
              <w:rPr>
                <w:rFonts w:hAnsi="宋体"/>
              </w:rPr>
            </w:pPr>
          </w:p>
        </w:tc>
        <w:tc>
          <w:tcPr>
            <w:tcW w:w="2618" w:type="dxa"/>
            <w:vAlign w:val="center"/>
          </w:tcPr>
          <w:p w14:paraId="2B10F2D6">
            <w:pPr>
              <w:pStyle w:val="13"/>
              <w:spacing w:line="440" w:lineRule="exact"/>
              <w:jc w:val="left"/>
              <w:rPr>
                <w:rFonts w:hAnsi="宋体"/>
              </w:rPr>
            </w:pPr>
            <w:r>
              <w:rPr>
                <w:rFonts w:hint="eastAsia" w:hAnsi="宋体"/>
              </w:rPr>
              <w:t>磋商保证金</w:t>
            </w:r>
          </w:p>
        </w:tc>
        <w:tc>
          <w:tcPr>
            <w:tcW w:w="5953" w:type="dxa"/>
            <w:vAlign w:val="center"/>
          </w:tcPr>
          <w:p w14:paraId="4B71B17D">
            <w:pPr>
              <w:kinsoku w:val="0"/>
              <w:spacing w:line="440" w:lineRule="exact"/>
              <w:rPr>
                <w:rFonts w:ascii="宋体" w:hAnsi="宋体"/>
                <w:szCs w:val="21"/>
              </w:rPr>
            </w:pPr>
            <w:r>
              <w:rPr>
                <w:rFonts w:hint="eastAsia" w:ascii="宋体" w:hAnsi="宋体"/>
                <w:szCs w:val="21"/>
              </w:rPr>
              <w:t>1.本次磋商活动须交纳保证金为：</w:t>
            </w:r>
          </w:p>
          <w:p w14:paraId="17A2CE0B">
            <w:pPr>
              <w:kinsoku w:val="0"/>
              <w:spacing w:line="440" w:lineRule="exact"/>
              <w:ind w:firstLine="422" w:firstLineChars="200"/>
              <w:rPr>
                <w:rFonts w:ascii="宋体" w:hAnsi="宋体"/>
                <w:b/>
                <w:bCs/>
                <w:szCs w:val="21"/>
              </w:rPr>
            </w:pPr>
            <w:r>
              <w:rPr>
                <w:rFonts w:hint="eastAsia" w:ascii="宋体" w:hAnsi="宋体"/>
                <w:b/>
                <w:bCs/>
                <w:szCs w:val="21"/>
              </w:rPr>
              <w:fldChar w:fldCharType="begin"/>
            </w:r>
            <w:r>
              <w:rPr>
                <w:rFonts w:hint="eastAsia" w:ascii="宋体" w:hAnsi="宋体"/>
                <w:b/>
                <w:bCs/>
                <w:szCs w:val="21"/>
              </w:rPr>
              <w:instrText xml:space="preserve"> MERGEFIELD "（保证金金额）" </w:instrText>
            </w:r>
            <w:r>
              <w:rPr>
                <w:rFonts w:hint="eastAsia" w:ascii="宋体" w:hAnsi="宋体"/>
                <w:b/>
                <w:bCs/>
                <w:szCs w:val="21"/>
              </w:rPr>
              <w:fldChar w:fldCharType="separate"/>
            </w:r>
            <w:r>
              <w:rPr>
                <w:rFonts w:hint="eastAsia" w:ascii="宋体" w:hAnsi="宋体"/>
                <w:b/>
                <w:bCs/>
                <w:szCs w:val="21"/>
              </w:rPr>
              <w:t>捌仟元整（8000.00元）</w:t>
            </w:r>
            <w:r>
              <w:rPr>
                <w:rFonts w:hint="eastAsia" w:ascii="宋体" w:hAnsi="宋体"/>
                <w:b/>
                <w:bCs/>
                <w:szCs w:val="21"/>
              </w:rPr>
              <w:fldChar w:fldCharType="end"/>
            </w:r>
          </w:p>
          <w:p w14:paraId="0087373A">
            <w:pPr>
              <w:kinsoku w:val="0"/>
              <w:spacing w:line="440" w:lineRule="exact"/>
              <w:rPr>
                <w:rFonts w:ascii="宋体" w:hAnsi="宋体"/>
                <w:szCs w:val="21"/>
              </w:rPr>
            </w:pPr>
            <w:r>
              <w:rPr>
                <w:rFonts w:ascii="宋体" w:hAnsi="宋体"/>
                <w:szCs w:val="21"/>
              </w:rPr>
              <w:t>2</w:t>
            </w:r>
            <w:r>
              <w:rPr>
                <w:rFonts w:hint="eastAsia" w:ascii="宋体" w:hAnsi="宋体"/>
                <w:szCs w:val="21"/>
              </w:rPr>
              <w:t>.磋商</w:t>
            </w:r>
            <w:r>
              <w:rPr>
                <w:rFonts w:ascii="宋体" w:hAnsi="宋体"/>
                <w:szCs w:val="21"/>
              </w:rPr>
              <w:t>保证金应</w:t>
            </w:r>
            <w:r>
              <w:rPr>
                <w:rFonts w:hint="eastAsia" w:ascii="宋体" w:hAnsi="宋体"/>
                <w:szCs w:val="21"/>
              </w:rPr>
              <w:t>为</w:t>
            </w:r>
            <w:r>
              <w:rPr>
                <w:rFonts w:ascii="宋体" w:hAnsi="宋体"/>
                <w:szCs w:val="21"/>
              </w:rPr>
              <w:t>人民币，可采用下列任何一种形式支付</w:t>
            </w:r>
            <w:r>
              <w:rPr>
                <w:rFonts w:hint="eastAsia" w:ascii="宋体" w:hAnsi="宋体"/>
                <w:szCs w:val="21"/>
              </w:rPr>
              <w:t>：银行转账、支票、汇票、本票、保函等非现金形式交纳或提交保证金。</w:t>
            </w:r>
          </w:p>
          <w:p w14:paraId="51A673F7">
            <w:pPr>
              <w:spacing w:line="440" w:lineRule="exact"/>
              <w:rPr>
                <w:rFonts w:ascii="宋体" w:hAnsi="宋体"/>
                <w:szCs w:val="21"/>
              </w:rPr>
            </w:pPr>
            <w:r>
              <w:rPr>
                <w:rFonts w:hint="eastAsia" w:ascii="宋体" w:hAnsi="宋体"/>
                <w:szCs w:val="21"/>
              </w:rPr>
              <w:t>3.保证金汇款账号：</w:t>
            </w:r>
          </w:p>
          <w:p w14:paraId="7C092C79">
            <w:pPr>
              <w:kinsoku w:val="0"/>
              <w:spacing w:line="440" w:lineRule="exact"/>
              <w:rPr>
                <w:rFonts w:ascii="宋体" w:hAnsi="宋体"/>
                <w:szCs w:val="21"/>
              </w:rPr>
            </w:pPr>
            <w:r>
              <w:rPr>
                <w:rFonts w:hint="eastAsia" w:ascii="宋体" w:hAnsi="宋体"/>
                <w:szCs w:val="21"/>
              </w:rPr>
              <w:t>户    名：陕西德勤招标有限公司</w:t>
            </w:r>
          </w:p>
          <w:p w14:paraId="10AFF572">
            <w:pPr>
              <w:kinsoku w:val="0"/>
              <w:spacing w:line="440" w:lineRule="exact"/>
              <w:rPr>
                <w:rFonts w:ascii="宋体" w:hAnsi="宋体"/>
                <w:szCs w:val="21"/>
              </w:rPr>
            </w:pPr>
            <w:r>
              <w:rPr>
                <w:rFonts w:hint="eastAsia" w:ascii="宋体" w:hAnsi="宋体"/>
                <w:szCs w:val="21"/>
              </w:rPr>
              <w:t>开户银行：光大银行西安丈八东路支行</w:t>
            </w:r>
          </w:p>
          <w:p w14:paraId="54A7987E">
            <w:pPr>
              <w:pStyle w:val="13"/>
              <w:spacing w:line="440" w:lineRule="exact"/>
              <w:jc w:val="left"/>
              <w:rPr>
                <w:rFonts w:hAnsi="宋体"/>
              </w:rPr>
            </w:pPr>
            <w:r>
              <w:rPr>
                <w:rFonts w:hint="eastAsia" w:cs="Helvetica"/>
              </w:rPr>
              <w:t>账    号：52880188000155940</w:t>
            </w:r>
          </w:p>
          <w:p w14:paraId="21569371">
            <w:pPr>
              <w:pStyle w:val="13"/>
              <w:spacing w:line="440" w:lineRule="exact"/>
              <w:jc w:val="left"/>
              <w:rPr>
                <w:rFonts w:hAnsi="宋体"/>
              </w:rPr>
            </w:pPr>
            <w:r>
              <w:rPr>
                <w:rFonts w:hint="eastAsia" w:hAnsi="宋体"/>
              </w:rPr>
              <w:t>4.磋商保证金到账（保函提交）截止时间与磋商截止时间一致</w:t>
            </w:r>
            <w:r>
              <w:rPr>
                <w:rFonts w:hAnsi="宋体"/>
              </w:rPr>
              <w:t>。</w:t>
            </w:r>
          </w:p>
          <w:p w14:paraId="7E608449">
            <w:pPr>
              <w:pStyle w:val="13"/>
              <w:spacing w:line="440" w:lineRule="exact"/>
              <w:jc w:val="left"/>
              <w:rPr>
                <w:rFonts w:hAnsi="宋体"/>
                <w:b/>
                <w:bCs/>
              </w:rPr>
            </w:pPr>
            <w:r>
              <w:rPr>
                <w:rFonts w:hint="eastAsia" w:hAnsi="宋体"/>
                <w:b/>
                <w:bCs/>
              </w:rPr>
              <w:t>（温馨提示：由于转账当天不一定能够到账，为避免因保证金未到账或延迟到账而导致响应文件被拒绝，建议至少提前1个工作日到账；如提交保函，建议至少提前一个工作日将保函正本送至采购代理机构（如提供电子保函，应将电子保函发送至代理机构指定邮箱deqinjxm@126.com），保函须由专业担保机构出具。）</w:t>
            </w:r>
          </w:p>
          <w:p w14:paraId="47203A39">
            <w:pPr>
              <w:pStyle w:val="13"/>
              <w:spacing w:line="440" w:lineRule="exact"/>
              <w:jc w:val="left"/>
              <w:rPr>
                <w:rFonts w:hAnsi="宋体"/>
                <w:b/>
              </w:rPr>
            </w:pPr>
            <w:r>
              <w:rPr>
                <w:rFonts w:hint="eastAsia" w:hAnsi="宋体"/>
                <w:b/>
              </w:rPr>
              <w:t>备注：</w:t>
            </w:r>
          </w:p>
          <w:p w14:paraId="1E5A8A93">
            <w:pPr>
              <w:pStyle w:val="13"/>
              <w:spacing w:line="440" w:lineRule="exact"/>
              <w:jc w:val="left"/>
              <w:rPr>
                <w:rFonts w:hAnsi="宋体"/>
                <w:b/>
              </w:rPr>
            </w:pPr>
            <w:r>
              <w:rPr>
                <w:rFonts w:hint="eastAsia" w:hAnsi="宋体"/>
                <w:b/>
              </w:rPr>
              <w:t>1.磋商保证金以供应商名称汇款,如以个人汇款，视为无效。</w:t>
            </w:r>
          </w:p>
          <w:p w14:paraId="2E699045">
            <w:pPr>
              <w:pStyle w:val="13"/>
              <w:spacing w:line="440" w:lineRule="exact"/>
              <w:jc w:val="left"/>
              <w:rPr>
                <w:rFonts w:hAnsi="宋体"/>
                <w:b/>
              </w:rPr>
            </w:pPr>
            <w:r>
              <w:rPr>
                <w:rFonts w:hint="eastAsia" w:hAnsi="宋体"/>
                <w:b/>
              </w:rPr>
              <w:t>2.保证金交纳凭证/保函须标明项目编号。</w:t>
            </w:r>
          </w:p>
          <w:p w14:paraId="085324FB">
            <w:pPr>
              <w:pStyle w:val="13"/>
              <w:spacing w:line="440" w:lineRule="exact"/>
              <w:jc w:val="left"/>
              <w:rPr>
                <w:rFonts w:hAnsi="宋体"/>
                <w:b/>
              </w:rPr>
            </w:pPr>
            <w:r>
              <w:rPr>
                <w:rFonts w:hint="eastAsia" w:hAnsi="宋体"/>
                <w:b/>
              </w:rPr>
              <w:t>3.供应商未交纳、未足额交纳或未按规定时间交纳保证金（保函）的，将被视为自动放弃磋商权利。</w:t>
            </w:r>
          </w:p>
          <w:p w14:paraId="1817A44F">
            <w:pPr>
              <w:kinsoku w:val="0"/>
              <w:spacing w:line="440" w:lineRule="exact"/>
              <w:rPr>
                <w:rFonts w:hAnsi="宋体"/>
                <w:b/>
                <w:u w:val="single"/>
              </w:rPr>
            </w:pPr>
            <w:r>
              <w:rPr>
                <w:rFonts w:hint="eastAsia" w:hAnsi="宋体"/>
                <w:b/>
                <w:szCs w:val="21"/>
              </w:rPr>
              <w:t>4.磋商保证金的交付单位和供应商的名称必须一致，否则将视为无效响应。</w:t>
            </w:r>
          </w:p>
        </w:tc>
      </w:tr>
      <w:tr w14:paraId="32A4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715" w:type="dxa"/>
            <w:vAlign w:val="center"/>
          </w:tcPr>
          <w:p w14:paraId="6A812353">
            <w:pPr>
              <w:pStyle w:val="13"/>
              <w:numPr>
                <w:ilvl w:val="0"/>
                <w:numId w:val="2"/>
              </w:numPr>
              <w:spacing w:line="440" w:lineRule="exact"/>
              <w:ind w:left="284" w:right="-67" w:rightChars="-32"/>
              <w:jc w:val="center"/>
              <w:rPr>
                <w:rFonts w:hAnsi="宋体"/>
              </w:rPr>
            </w:pPr>
          </w:p>
        </w:tc>
        <w:tc>
          <w:tcPr>
            <w:tcW w:w="2618" w:type="dxa"/>
            <w:vAlign w:val="center"/>
          </w:tcPr>
          <w:p w14:paraId="4E5FD819">
            <w:pPr>
              <w:pStyle w:val="13"/>
              <w:spacing w:line="440" w:lineRule="exact"/>
              <w:jc w:val="left"/>
              <w:rPr>
                <w:rFonts w:hAnsi="宋体"/>
              </w:rPr>
            </w:pPr>
            <w:r>
              <w:rPr>
                <w:rFonts w:hint="eastAsia" w:hAnsi="宋体"/>
              </w:rPr>
              <w:t>响应文件份数</w:t>
            </w:r>
          </w:p>
        </w:tc>
        <w:tc>
          <w:tcPr>
            <w:tcW w:w="5953" w:type="dxa"/>
            <w:vAlign w:val="center"/>
          </w:tcPr>
          <w:p w14:paraId="42AE6BCB">
            <w:pPr>
              <w:pStyle w:val="13"/>
              <w:spacing w:line="440" w:lineRule="exact"/>
              <w:jc w:val="left"/>
              <w:rPr>
                <w:rFonts w:hAnsi="宋体"/>
              </w:rPr>
            </w:pPr>
            <w:r>
              <w:rPr>
                <w:rFonts w:hint="eastAsia" w:hAnsi="宋体"/>
              </w:rPr>
              <w:t>本次磋商需提交响应文件：</w:t>
            </w:r>
            <w:r>
              <w:rPr>
                <w:rFonts w:hAnsi="宋体"/>
              </w:rPr>
              <w:t>正本壹份，副本</w:t>
            </w:r>
            <w:r>
              <w:rPr>
                <w:rFonts w:hint="eastAsia" w:hAnsi="宋体"/>
              </w:rPr>
              <w:t>贰</w:t>
            </w:r>
            <w:r>
              <w:rPr>
                <w:rFonts w:hAnsi="宋体"/>
              </w:rPr>
              <w:t>份</w:t>
            </w:r>
            <w:r>
              <w:rPr>
                <w:rFonts w:hint="eastAsia" w:hAnsi="宋体"/>
              </w:rPr>
              <w:t>（副本可以为正本的复印件），电子版壹份（用U盘拷贝）。电子版响应文件提供响应文件正本的word版本及P</w:t>
            </w:r>
            <w:r>
              <w:rPr>
                <w:rFonts w:hAnsi="宋体"/>
              </w:rPr>
              <w:t>DF</w:t>
            </w:r>
            <w:r>
              <w:rPr>
                <w:rFonts w:hint="eastAsia" w:hAnsi="宋体"/>
              </w:rPr>
              <w:t>版本（P</w:t>
            </w:r>
            <w:r>
              <w:rPr>
                <w:rFonts w:hAnsi="宋体"/>
              </w:rPr>
              <w:t>DF</w:t>
            </w:r>
            <w:r>
              <w:rPr>
                <w:rFonts w:hint="eastAsia" w:hAnsi="宋体"/>
              </w:rPr>
              <w:t>文件为完整签字、盖章的正本扫描件）。响应文件的正本和所有的副本均须打印或用不褪色的蓝（黑）墨水填写，注明“正本”“副本”字样。统一胶装、编码，在每一页的正下方清楚标明共几页、第几页等字样。</w:t>
            </w:r>
          </w:p>
        </w:tc>
      </w:tr>
      <w:tr w14:paraId="75D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15" w:type="dxa"/>
            <w:vAlign w:val="center"/>
          </w:tcPr>
          <w:p w14:paraId="781B346D">
            <w:pPr>
              <w:pStyle w:val="13"/>
              <w:numPr>
                <w:ilvl w:val="0"/>
                <w:numId w:val="2"/>
              </w:numPr>
              <w:spacing w:line="440" w:lineRule="exact"/>
              <w:ind w:left="284" w:right="-67" w:rightChars="-32"/>
              <w:jc w:val="center"/>
              <w:rPr>
                <w:rFonts w:hAnsi="宋体"/>
              </w:rPr>
            </w:pPr>
          </w:p>
        </w:tc>
        <w:tc>
          <w:tcPr>
            <w:tcW w:w="2618" w:type="dxa"/>
            <w:vAlign w:val="center"/>
          </w:tcPr>
          <w:p w14:paraId="3D8D16F3">
            <w:pPr>
              <w:pStyle w:val="13"/>
              <w:spacing w:line="440" w:lineRule="exact"/>
              <w:jc w:val="left"/>
              <w:rPr>
                <w:rFonts w:hAnsi="宋体"/>
              </w:rPr>
            </w:pPr>
            <w:r>
              <w:rPr>
                <w:rFonts w:hint="eastAsia" w:hAnsi="宋体"/>
              </w:rPr>
              <w:t>提供服务的时间、地点等</w:t>
            </w:r>
          </w:p>
        </w:tc>
        <w:tc>
          <w:tcPr>
            <w:tcW w:w="5953" w:type="dxa"/>
            <w:vAlign w:val="center"/>
          </w:tcPr>
          <w:p w14:paraId="20853E79">
            <w:pPr>
              <w:pStyle w:val="13"/>
              <w:spacing w:line="440" w:lineRule="exact"/>
              <w:jc w:val="left"/>
              <w:rPr>
                <w:rFonts w:hAnsi="宋体"/>
              </w:rPr>
            </w:pPr>
            <w:r>
              <w:rPr>
                <w:rFonts w:hint="eastAsia" w:hAnsi="宋体"/>
              </w:rPr>
              <w:t>1.服务期限：自合同签订之日起一年</w:t>
            </w:r>
          </w:p>
          <w:p w14:paraId="5A7D3694">
            <w:pPr>
              <w:pStyle w:val="13"/>
              <w:spacing w:line="440" w:lineRule="exact"/>
              <w:jc w:val="left"/>
              <w:rPr>
                <w:rFonts w:hAnsi="宋体"/>
              </w:rPr>
            </w:pPr>
            <w:r>
              <w:rPr>
                <w:rFonts w:hint="eastAsia" w:hAnsi="宋体"/>
              </w:rPr>
              <w:t>2.服务地点：甲方指定地点</w:t>
            </w:r>
          </w:p>
        </w:tc>
      </w:tr>
      <w:tr w14:paraId="6057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15" w:type="dxa"/>
            <w:vAlign w:val="center"/>
          </w:tcPr>
          <w:p w14:paraId="6CBEA966">
            <w:pPr>
              <w:pStyle w:val="13"/>
              <w:numPr>
                <w:ilvl w:val="0"/>
                <w:numId w:val="2"/>
              </w:numPr>
              <w:spacing w:line="440" w:lineRule="exact"/>
              <w:ind w:left="284" w:right="-67" w:rightChars="-32"/>
              <w:jc w:val="center"/>
              <w:rPr>
                <w:rFonts w:hAnsi="宋体"/>
              </w:rPr>
            </w:pPr>
          </w:p>
        </w:tc>
        <w:tc>
          <w:tcPr>
            <w:tcW w:w="2618" w:type="dxa"/>
            <w:vAlign w:val="center"/>
          </w:tcPr>
          <w:p w14:paraId="1420F49C">
            <w:pPr>
              <w:pStyle w:val="13"/>
              <w:spacing w:line="440" w:lineRule="exact"/>
              <w:jc w:val="left"/>
              <w:rPr>
                <w:rFonts w:hAnsi="宋体"/>
              </w:rPr>
            </w:pPr>
            <w:r>
              <w:rPr>
                <w:rFonts w:hint="eastAsia" w:hAnsi="宋体"/>
              </w:rPr>
              <w:t>结算方式</w:t>
            </w:r>
          </w:p>
        </w:tc>
        <w:tc>
          <w:tcPr>
            <w:tcW w:w="5953" w:type="dxa"/>
            <w:vAlign w:val="center"/>
          </w:tcPr>
          <w:p w14:paraId="7D8036D0">
            <w:pPr>
              <w:tabs>
                <w:tab w:val="left" w:pos="840"/>
              </w:tabs>
              <w:spacing w:line="440" w:lineRule="exact"/>
              <w:rPr>
                <w:rFonts w:ascii="宋体" w:hAnsi="宋体"/>
                <w:szCs w:val="21"/>
                <w:highlight w:val="none"/>
              </w:rPr>
            </w:pPr>
            <w:r>
              <w:rPr>
                <w:rFonts w:hint="eastAsia" w:ascii="宋体" w:hAnsi="宋体"/>
                <w:szCs w:val="21"/>
                <w:highlight w:val="none"/>
              </w:rPr>
              <w:t>1.结算单位：采购人结算，在付款前，必须开具全额发票给采购人。</w:t>
            </w:r>
          </w:p>
          <w:p w14:paraId="08781774">
            <w:pPr>
              <w:spacing w:line="440" w:lineRule="exact"/>
              <w:rPr>
                <w:rFonts w:ascii="宋体" w:hAnsi="宋体"/>
                <w:szCs w:val="21"/>
                <w:highlight w:val="none"/>
              </w:rPr>
            </w:pPr>
            <w:r>
              <w:rPr>
                <w:rFonts w:hint="eastAsia" w:ascii="宋体" w:hAnsi="宋体"/>
                <w:szCs w:val="21"/>
                <w:highlight w:val="none"/>
              </w:rPr>
              <w:t>2.付款方式：服务期满半年后，乙方提交《验收申请》，甲方验收合格并收到乙方开具的全额增值税发票后30个工作日内，支付合同总金额的50%；合同期满后，乙方提交《验收申请》及全部《安全报告》，甲方验收合格后30个工作日内，乙方提交付款申请后，支付剩余50%。</w:t>
            </w:r>
          </w:p>
        </w:tc>
      </w:tr>
      <w:tr w14:paraId="3F05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219683C2">
            <w:pPr>
              <w:pStyle w:val="13"/>
              <w:numPr>
                <w:ilvl w:val="0"/>
                <w:numId w:val="2"/>
              </w:numPr>
              <w:spacing w:line="440" w:lineRule="exact"/>
              <w:ind w:left="284" w:right="-67" w:rightChars="-32"/>
              <w:jc w:val="center"/>
              <w:rPr>
                <w:rFonts w:hAnsi="宋体"/>
              </w:rPr>
            </w:pPr>
          </w:p>
        </w:tc>
        <w:tc>
          <w:tcPr>
            <w:tcW w:w="2618" w:type="dxa"/>
            <w:vAlign w:val="center"/>
          </w:tcPr>
          <w:p w14:paraId="6162F4D9">
            <w:pPr>
              <w:pStyle w:val="13"/>
              <w:spacing w:line="440" w:lineRule="exact"/>
              <w:jc w:val="left"/>
              <w:rPr>
                <w:rFonts w:hAnsi="宋体"/>
              </w:rPr>
            </w:pPr>
            <w:r>
              <w:rPr>
                <w:rFonts w:hint="eastAsia" w:hAnsi="宋体"/>
              </w:rPr>
              <w:t>履约保证金</w:t>
            </w:r>
          </w:p>
        </w:tc>
        <w:tc>
          <w:tcPr>
            <w:tcW w:w="5953" w:type="dxa"/>
            <w:vAlign w:val="center"/>
          </w:tcPr>
          <w:p w14:paraId="7E8C57A8">
            <w:pPr>
              <w:pStyle w:val="13"/>
              <w:spacing w:line="440" w:lineRule="exact"/>
              <w:jc w:val="left"/>
              <w:rPr>
                <w:rFonts w:hAnsi="宋体" w:cs="宋体-18030"/>
                <w:bCs/>
              </w:rPr>
            </w:pPr>
            <w:r>
              <w:rPr>
                <w:rFonts w:hint="eastAsia" w:hAnsi="宋体"/>
              </w:rPr>
              <w:t>是否要求提供履约保证金：□是/</w:t>
            </w: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w:instrText>
            </w:r>
            <w:r>
              <w:rPr>
                <w:rFonts w:hAnsi="宋体"/>
              </w:rPr>
              <w:fldChar w:fldCharType="end"/>
            </w:r>
            <w:r>
              <w:rPr>
                <w:rFonts w:hint="eastAsia" w:hAnsi="宋体"/>
              </w:rPr>
              <w:t>否</w:t>
            </w:r>
          </w:p>
        </w:tc>
      </w:tr>
      <w:tr w14:paraId="4B9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0857903C">
            <w:pPr>
              <w:pStyle w:val="13"/>
              <w:numPr>
                <w:ilvl w:val="0"/>
                <w:numId w:val="2"/>
              </w:numPr>
              <w:spacing w:line="440" w:lineRule="exact"/>
              <w:ind w:left="284" w:right="-67" w:rightChars="-32"/>
              <w:jc w:val="center"/>
              <w:rPr>
                <w:rFonts w:hAnsi="宋体"/>
              </w:rPr>
            </w:pPr>
          </w:p>
        </w:tc>
        <w:tc>
          <w:tcPr>
            <w:tcW w:w="2618" w:type="dxa"/>
            <w:vAlign w:val="center"/>
          </w:tcPr>
          <w:p w14:paraId="31A74B44">
            <w:pPr>
              <w:pStyle w:val="13"/>
              <w:spacing w:line="440" w:lineRule="exact"/>
              <w:jc w:val="left"/>
              <w:rPr>
                <w:rFonts w:hAnsi="宋体"/>
              </w:rPr>
            </w:pPr>
            <w:r>
              <w:rPr>
                <w:rFonts w:hint="eastAsia" w:hAnsi="宋体"/>
              </w:rPr>
              <w:t>成交服务费</w:t>
            </w:r>
          </w:p>
        </w:tc>
        <w:tc>
          <w:tcPr>
            <w:tcW w:w="5953" w:type="dxa"/>
            <w:vAlign w:val="center"/>
          </w:tcPr>
          <w:p w14:paraId="6499EE67">
            <w:pPr>
              <w:spacing w:line="440" w:lineRule="exact"/>
              <w:rPr>
                <w:szCs w:val="21"/>
              </w:rPr>
            </w:pPr>
            <w:r>
              <w:rPr>
                <w:rFonts w:hint="eastAsia" w:ascii="宋体" w:hAnsi="宋体"/>
                <w:kern w:val="28"/>
                <w:szCs w:val="21"/>
              </w:rPr>
              <w:t>采购代理服务费</w:t>
            </w:r>
            <w:r>
              <w:rPr>
                <w:rFonts w:hint="eastAsia"/>
                <w:szCs w:val="21"/>
              </w:rPr>
              <w:t>按约定由成交供应商支付。</w:t>
            </w:r>
          </w:p>
          <w:p w14:paraId="224E70E4">
            <w:pPr>
              <w:spacing w:line="360" w:lineRule="auto"/>
              <w:jc w:val="left"/>
              <w:rPr>
                <w:rFonts w:ascii="宋体" w:hAnsi="宋体"/>
                <w:kern w:val="28"/>
                <w:szCs w:val="21"/>
              </w:rPr>
            </w:pPr>
            <w:r>
              <w:rPr>
                <w:rFonts w:hint="eastAsia" w:ascii="宋体" w:hAnsi="宋体"/>
                <w:kern w:val="28"/>
                <w:szCs w:val="21"/>
              </w:rPr>
              <w:t>采购代理服务费按以下标准计取：</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14:paraId="3350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vAlign w:val="center"/>
                </w:tcPr>
                <w:p w14:paraId="60D875DC">
                  <w:pPr>
                    <w:tabs>
                      <w:tab w:val="left" w:pos="547"/>
                    </w:tabs>
                    <w:spacing w:line="360" w:lineRule="auto"/>
                    <w:jc w:val="center"/>
                    <w:rPr>
                      <w:rFonts w:ascii="宋体" w:hAnsi="宋体"/>
                      <w:szCs w:val="21"/>
                    </w:rPr>
                  </w:pPr>
                  <w:r>
                    <w:rPr>
                      <w:rFonts w:hint="eastAsia" w:ascii="宋体" w:hAnsi="宋体"/>
                      <w:szCs w:val="21"/>
                    </w:rPr>
                    <w:t>成交金额（万元）</w:t>
                  </w:r>
                </w:p>
              </w:tc>
              <w:tc>
                <w:tcPr>
                  <w:tcW w:w="1883" w:type="dxa"/>
                  <w:vAlign w:val="center"/>
                </w:tcPr>
                <w:p w14:paraId="40FBC96A">
                  <w:pPr>
                    <w:tabs>
                      <w:tab w:val="left" w:pos="547"/>
                    </w:tabs>
                    <w:spacing w:line="360" w:lineRule="auto"/>
                    <w:jc w:val="center"/>
                    <w:rPr>
                      <w:rFonts w:ascii="宋体" w:hAnsi="宋体"/>
                      <w:szCs w:val="21"/>
                    </w:rPr>
                  </w:pPr>
                  <w:r>
                    <w:rPr>
                      <w:rFonts w:hint="eastAsia" w:ascii="宋体" w:hAnsi="宋体"/>
                      <w:szCs w:val="21"/>
                    </w:rPr>
                    <w:t>费率</w:t>
                  </w:r>
                </w:p>
              </w:tc>
            </w:tr>
            <w:tr w14:paraId="5561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vAlign w:val="center"/>
                </w:tcPr>
                <w:p w14:paraId="7AB7C94C">
                  <w:pPr>
                    <w:tabs>
                      <w:tab w:val="left" w:pos="547"/>
                    </w:tabs>
                    <w:spacing w:line="360" w:lineRule="auto"/>
                    <w:jc w:val="center"/>
                    <w:rPr>
                      <w:rFonts w:ascii="宋体" w:hAnsi="宋体"/>
                      <w:szCs w:val="21"/>
                    </w:rPr>
                  </w:pPr>
                  <w:r>
                    <w:rPr>
                      <w:rFonts w:hint="eastAsia" w:ascii="宋体" w:hAnsi="宋体"/>
                      <w:szCs w:val="21"/>
                    </w:rPr>
                    <w:t>100以下</w:t>
                  </w:r>
                </w:p>
              </w:tc>
              <w:tc>
                <w:tcPr>
                  <w:tcW w:w="1883" w:type="dxa"/>
                  <w:vAlign w:val="center"/>
                </w:tcPr>
                <w:p w14:paraId="061CEAB9">
                  <w:pPr>
                    <w:tabs>
                      <w:tab w:val="left" w:pos="547"/>
                    </w:tabs>
                    <w:spacing w:line="360" w:lineRule="auto"/>
                    <w:jc w:val="center"/>
                    <w:rPr>
                      <w:rFonts w:ascii="宋体" w:hAnsi="宋体"/>
                      <w:szCs w:val="21"/>
                    </w:rPr>
                  </w:pPr>
                  <w:r>
                    <w:rPr>
                      <w:rFonts w:hint="eastAsia" w:ascii="宋体" w:hAnsi="宋体"/>
                      <w:szCs w:val="21"/>
                    </w:rPr>
                    <w:t>1.5%</w:t>
                  </w:r>
                </w:p>
              </w:tc>
            </w:tr>
          </w:tbl>
          <w:p w14:paraId="61B4FD84">
            <w:pPr>
              <w:spacing w:line="440" w:lineRule="exact"/>
              <w:rPr>
                <w:rFonts w:ascii="宋体" w:hAnsi="宋体"/>
                <w:szCs w:val="21"/>
              </w:rPr>
            </w:pPr>
            <w:r>
              <w:rPr>
                <w:rFonts w:hint="eastAsia" w:ascii="宋体" w:hAnsi="宋体"/>
                <w:kern w:val="28"/>
                <w:szCs w:val="21"/>
              </w:rPr>
              <w:t>注：采购代理服务费收费按差额定率累进法计算。</w:t>
            </w:r>
          </w:p>
        </w:tc>
      </w:tr>
      <w:tr w14:paraId="6DB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3927E764">
            <w:pPr>
              <w:pStyle w:val="13"/>
              <w:numPr>
                <w:ilvl w:val="0"/>
                <w:numId w:val="2"/>
              </w:numPr>
              <w:spacing w:line="440" w:lineRule="exact"/>
              <w:ind w:left="284" w:right="-67" w:rightChars="-32"/>
              <w:jc w:val="center"/>
              <w:rPr>
                <w:rFonts w:hAnsi="宋体"/>
              </w:rPr>
            </w:pPr>
          </w:p>
        </w:tc>
        <w:tc>
          <w:tcPr>
            <w:tcW w:w="2618" w:type="dxa"/>
            <w:vAlign w:val="center"/>
          </w:tcPr>
          <w:p w14:paraId="7680BE0B">
            <w:pPr>
              <w:pStyle w:val="13"/>
              <w:spacing w:line="440" w:lineRule="exact"/>
              <w:jc w:val="left"/>
              <w:rPr>
                <w:rFonts w:ascii="仿宋" w:hAnsi="仿宋"/>
              </w:rPr>
            </w:pPr>
            <w:r>
              <w:rPr>
                <w:rFonts w:hint="eastAsia" w:ascii="仿宋" w:hAnsi="仿宋"/>
              </w:rPr>
              <w:t>其他</w:t>
            </w:r>
          </w:p>
        </w:tc>
        <w:tc>
          <w:tcPr>
            <w:tcW w:w="5953" w:type="dxa"/>
            <w:vAlign w:val="center"/>
          </w:tcPr>
          <w:p w14:paraId="04E6334F">
            <w:pPr>
              <w:pStyle w:val="13"/>
              <w:spacing w:line="440" w:lineRule="exact"/>
              <w:jc w:val="left"/>
              <w:rPr>
                <w:rFonts w:ascii="仿宋" w:hAnsi="仿宋"/>
              </w:rPr>
            </w:pPr>
            <w:r>
              <w:rPr>
                <w:rFonts w:hint="eastAsia" w:ascii="仿宋" w:hAnsi="仿宋"/>
              </w:rPr>
              <w:t>正文与前附表表述不一致时，以供应商须知前附表为准。</w:t>
            </w:r>
          </w:p>
        </w:tc>
      </w:tr>
    </w:tbl>
    <w:p w14:paraId="062C924F">
      <w:pPr>
        <w:tabs>
          <w:tab w:val="left" w:pos="240"/>
        </w:tabs>
        <w:spacing w:line="480" w:lineRule="exact"/>
        <w:ind w:left="-120" w:leftChars="-57"/>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供应商须知正文</w:t>
      </w:r>
    </w:p>
    <w:p w14:paraId="1B7D0222">
      <w:pPr>
        <w:tabs>
          <w:tab w:val="left" w:pos="240"/>
        </w:tabs>
        <w:spacing w:line="480" w:lineRule="exact"/>
        <w:ind w:left="-120" w:leftChars="-57" w:firstLine="482" w:firstLineChars="200"/>
        <w:rPr>
          <w:rFonts w:ascii="宋体" w:hAnsi="宋体"/>
          <w:b/>
          <w:sz w:val="24"/>
        </w:rPr>
      </w:pPr>
      <w:r>
        <w:rPr>
          <w:rFonts w:hint="eastAsia" w:ascii="宋体" w:hAnsi="宋体"/>
          <w:b/>
          <w:sz w:val="24"/>
        </w:rPr>
        <w:t>一、总则</w:t>
      </w:r>
    </w:p>
    <w:p w14:paraId="351004BB">
      <w:pPr>
        <w:tabs>
          <w:tab w:val="left" w:pos="240"/>
        </w:tabs>
        <w:spacing w:line="480" w:lineRule="exact"/>
        <w:ind w:left="-120" w:leftChars="-57" w:firstLine="482" w:firstLineChars="200"/>
        <w:rPr>
          <w:rFonts w:ascii="宋体" w:hAnsi="宋体"/>
          <w:b/>
          <w:sz w:val="24"/>
        </w:rPr>
      </w:pPr>
      <w:r>
        <w:rPr>
          <w:rFonts w:hint="eastAsia" w:ascii="宋体" w:hAnsi="宋体"/>
          <w:b/>
          <w:sz w:val="24"/>
        </w:rPr>
        <w:t>1.名词解释</w:t>
      </w:r>
    </w:p>
    <w:p w14:paraId="54D813C7">
      <w:pPr>
        <w:tabs>
          <w:tab w:val="left" w:pos="240"/>
        </w:tabs>
        <w:spacing w:line="360" w:lineRule="auto"/>
        <w:ind w:left="-120" w:leftChars="-57" w:firstLine="480" w:firstLineChars="200"/>
        <w:rPr>
          <w:rFonts w:ascii="宋体" w:hAnsi="宋体"/>
          <w:sz w:val="24"/>
        </w:rPr>
      </w:pPr>
      <w:r>
        <w:rPr>
          <w:rFonts w:hint="eastAsia" w:ascii="宋体" w:hAnsi="宋体"/>
          <w:sz w:val="24"/>
        </w:rPr>
        <w:t>1.1采购人：陕西省结核病防治院</w:t>
      </w:r>
    </w:p>
    <w:p w14:paraId="6B233BD6">
      <w:pPr>
        <w:tabs>
          <w:tab w:val="left" w:pos="240"/>
        </w:tabs>
        <w:spacing w:line="360" w:lineRule="auto"/>
        <w:ind w:left="-120" w:leftChars="-57" w:firstLine="480" w:firstLineChars="200"/>
        <w:rPr>
          <w:rFonts w:ascii="宋体" w:hAnsi="宋体"/>
          <w:sz w:val="24"/>
        </w:rPr>
      </w:pPr>
      <w:r>
        <w:rPr>
          <w:rFonts w:hint="eastAsia" w:ascii="宋体" w:hAnsi="宋体"/>
          <w:sz w:val="24"/>
        </w:rPr>
        <w:t>1.2监督机构：采购人相关监督部门</w:t>
      </w:r>
    </w:p>
    <w:p w14:paraId="4E2E8CFA">
      <w:pPr>
        <w:tabs>
          <w:tab w:val="left" w:pos="240"/>
        </w:tabs>
        <w:spacing w:line="360" w:lineRule="auto"/>
        <w:ind w:left="-120" w:leftChars="-57" w:firstLine="480" w:firstLineChars="200"/>
        <w:rPr>
          <w:rFonts w:ascii="宋体" w:hAnsi="宋体"/>
          <w:sz w:val="24"/>
        </w:rPr>
      </w:pPr>
      <w:r>
        <w:rPr>
          <w:rFonts w:hint="eastAsia" w:ascii="宋体" w:hAnsi="宋体"/>
          <w:sz w:val="24"/>
        </w:rPr>
        <w:t>1.3采购代理机构：陕西德勤招标有限公司</w:t>
      </w:r>
    </w:p>
    <w:p w14:paraId="351AA8CE">
      <w:pPr>
        <w:tabs>
          <w:tab w:val="left" w:pos="240"/>
        </w:tabs>
        <w:spacing w:line="360" w:lineRule="auto"/>
        <w:ind w:left="-120" w:leftChars="-57" w:firstLine="480" w:firstLineChars="200"/>
        <w:rPr>
          <w:rFonts w:ascii="宋体" w:hAnsi="宋体"/>
          <w:sz w:val="24"/>
        </w:rPr>
      </w:pPr>
      <w:r>
        <w:rPr>
          <w:rFonts w:hint="eastAsia" w:ascii="宋体" w:hAnsi="宋体"/>
          <w:sz w:val="24"/>
        </w:rPr>
        <w:t>1.4供应商：满足本次磋商要求具有相应资格和完成项目能力的供应商</w:t>
      </w:r>
    </w:p>
    <w:p w14:paraId="4C2C7AD0">
      <w:pPr>
        <w:tabs>
          <w:tab w:val="left" w:pos="240"/>
        </w:tabs>
        <w:spacing w:line="360" w:lineRule="auto"/>
        <w:ind w:left="-120" w:leftChars="-57" w:firstLine="480" w:firstLineChars="200"/>
        <w:rPr>
          <w:rFonts w:ascii="宋体" w:hAnsi="宋体"/>
          <w:sz w:val="24"/>
        </w:rPr>
      </w:pPr>
      <w:r>
        <w:rPr>
          <w:rFonts w:hint="eastAsia" w:ascii="宋体" w:hAnsi="宋体"/>
          <w:sz w:val="24"/>
        </w:rPr>
        <w:t>1.5磋商文件：磋商文件与响应文件的统称</w:t>
      </w:r>
    </w:p>
    <w:p w14:paraId="57FC6D56">
      <w:pPr>
        <w:tabs>
          <w:tab w:val="left" w:pos="240"/>
        </w:tabs>
        <w:spacing w:line="480" w:lineRule="exact"/>
        <w:ind w:left="-120" w:leftChars="-57" w:firstLine="482" w:firstLineChars="200"/>
        <w:rPr>
          <w:rFonts w:ascii="宋体" w:hAnsi="宋体"/>
          <w:b/>
          <w:sz w:val="24"/>
        </w:rPr>
      </w:pPr>
      <w:r>
        <w:rPr>
          <w:rFonts w:hint="eastAsia" w:ascii="宋体" w:hAnsi="宋体"/>
          <w:b/>
          <w:sz w:val="24"/>
        </w:rPr>
        <w:t>二、供应商</w:t>
      </w:r>
    </w:p>
    <w:p w14:paraId="56BCAB5B">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2.合格供应商</w:t>
      </w:r>
    </w:p>
    <w:p w14:paraId="04BD6D9F">
      <w:pPr>
        <w:tabs>
          <w:tab w:val="left" w:pos="240"/>
        </w:tabs>
        <w:spacing w:line="360" w:lineRule="auto"/>
        <w:ind w:left="-120" w:leftChars="-57" w:firstLine="480" w:firstLineChars="200"/>
        <w:rPr>
          <w:rFonts w:ascii="宋体" w:hAnsi="宋体"/>
          <w:sz w:val="24"/>
        </w:rPr>
      </w:pPr>
      <w:r>
        <w:rPr>
          <w:rFonts w:hint="eastAsia" w:ascii="宋体" w:hAnsi="宋体"/>
          <w:sz w:val="24"/>
        </w:rPr>
        <w:t>2.1具有独立承担民事责任的能力</w:t>
      </w:r>
    </w:p>
    <w:p w14:paraId="77986AD2">
      <w:pPr>
        <w:tabs>
          <w:tab w:val="left" w:pos="240"/>
        </w:tabs>
        <w:spacing w:line="360" w:lineRule="auto"/>
        <w:ind w:left="-120" w:leftChars="-57" w:firstLine="480" w:firstLineChars="200"/>
        <w:rPr>
          <w:rFonts w:ascii="宋体" w:hAnsi="宋体"/>
          <w:sz w:val="24"/>
        </w:rPr>
      </w:pPr>
      <w:r>
        <w:rPr>
          <w:rFonts w:hint="eastAsia" w:ascii="宋体" w:hAnsi="宋体"/>
          <w:sz w:val="24"/>
        </w:rPr>
        <w:t>2.2具有良好的商业信誉和健全的财务会计制度</w:t>
      </w:r>
    </w:p>
    <w:p w14:paraId="2F02B1C1">
      <w:pPr>
        <w:tabs>
          <w:tab w:val="left" w:pos="240"/>
        </w:tabs>
        <w:spacing w:line="360" w:lineRule="auto"/>
        <w:ind w:left="-120" w:leftChars="-57" w:firstLine="480" w:firstLineChars="200"/>
        <w:rPr>
          <w:rFonts w:ascii="宋体" w:hAnsi="宋体"/>
          <w:sz w:val="24"/>
        </w:rPr>
      </w:pPr>
      <w:r>
        <w:rPr>
          <w:rFonts w:hint="eastAsia" w:ascii="宋体" w:hAnsi="宋体"/>
          <w:sz w:val="24"/>
        </w:rPr>
        <w:t>2.3具有履行合同所必需的产品和专业技术能力</w:t>
      </w:r>
    </w:p>
    <w:p w14:paraId="26B5515E">
      <w:pPr>
        <w:tabs>
          <w:tab w:val="left" w:pos="240"/>
        </w:tabs>
        <w:spacing w:line="360" w:lineRule="auto"/>
        <w:ind w:left="-120" w:leftChars="-57" w:firstLine="480" w:firstLineChars="200"/>
        <w:rPr>
          <w:rFonts w:ascii="宋体" w:hAnsi="宋体"/>
          <w:sz w:val="24"/>
        </w:rPr>
      </w:pPr>
      <w:r>
        <w:rPr>
          <w:rFonts w:hint="eastAsia" w:ascii="宋体" w:hAnsi="宋体"/>
          <w:sz w:val="24"/>
        </w:rPr>
        <w:t>2.4有依法缴纳税收和社会保障资金的良好记录</w:t>
      </w:r>
    </w:p>
    <w:p w14:paraId="2B36C6BA">
      <w:pPr>
        <w:tabs>
          <w:tab w:val="left" w:pos="240"/>
        </w:tabs>
        <w:spacing w:line="360" w:lineRule="auto"/>
        <w:ind w:left="-120" w:leftChars="-57" w:firstLine="480" w:firstLineChars="200"/>
        <w:rPr>
          <w:rFonts w:ascii="宋体" w:hAnsi="宋体"/>
          <w:sz w:val="24"/>
        </w:rPr>
      </w:pPr>
      <w:r>
        <w:rPr>
          <w:rFonts w:hint="eastAsia" w:ascii="宋体" w:hAnsi="宋体"/>
          <w:sz w:val="24"/>
        </w:rPr>
        <w:t>2.5参加政府采购活动前三年内，在经营活动中没有重大违法记录</w:t>
      </w:r>
    </w:p>
    <w:p w14:paraId="2A1CC090">
      <w:pPr>
        <w:tabs>
          <w:tab w:val="left" w:pos="240"/>
        </w:tabs>
        <w:spacing w:line="360" w:lineRule="auto"/>
        <w:ind w:left="-120" w:leftChars="-57" w:firstLine="480" w:firstLineChars="200"/>
        <w:rPr>
          <w:rFonts w:ascii="宋体" w:hAnsi="宋体"/>
          <w:sz w:val="24"/>
        </w:rPr>
      </w:pPr>
      <w:r>
        <w:rPr>
          <w:rFonts w:hint="eastAsia" w:ascii="宋体" w:hAnsi="宋体"/>
          <w:sz w:val="24"/>
        </w:rPr>
        <w:t>2.6法律、行政法规规定的其他条件</w:t>
      </w:r>
    </w:p>
    <w:p w14:paraId="5D4A1900">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3.供应商信用记录查询</w:t>
      </w:r>
    </w:p>
    <w:p w14:paraId="73CC56CD">
      <w:pPr>
        <w:tabs>
          <w:tab w:val="left" w:pos="240"/>
        </w:tabs>
        <w:spacing w:line="360" w:lineRule="auto"/>
        <w:ind w:left="-120" w:leftChars="-57" w:firstLine="480" w:firstLineChars="200"/>
        <w:rPr>
          <w:rFonts w:ascii="宋体" w:hAnsi="宋体"/>
          <w:sz w:val="24"/>
        </w:rPr>
      </w:pPr>
      <w:r>
        <w:rPr>
          <w:rFonts w:hint="eastAsia" w:ascii="宋体" w:hAnsi="宋体"/>
          <w:sz w:val="24"/>
        </w:rPr>
        <w:t>对列入“信用中国”网站(</w:t>
      </w:r>
      <w:r>
        <w:rPr>
          <w:rFonts w:hint="eastAsia" w:ascii="宋体" w:hAnsi="宋体"/>
          <w:sz w:val="24"/>
        </w:rPr>
        <w:fldChar w:fldCharType="begin"/>
      </w:r>
      <w:r>
        <w:rPr>
          <w:rFonts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)“记录失信被执行人或税收违法黑名单或政府采购严重违法失信行为”记录名单；中国政府采购网(</w:t>
      </w:r>
      <w:r>
        <w:rPr>
          <w:rFonts w:hint="eastAsia" w:ascii="宋体" w:hAnsi="宋体"/>
          <w:sz w:val="24"/>
        </w:rPr>
        <w:fldChar w:fldCharType="begin"/>
      </w:r>
      <w:r>
        <w:rPr>
          <w:rFonts w:ascii="宋体" w:hAnsi="宋体"/>
          <w:sz w:val="24"/>
        </w:rPr>
        <w:instrText xml:space="preserve"> HYPERLINK "http://www.ccgp.gov.cn/" </w:instrText>
      </w:r>
      <w:r>
        <w:rPr>
          <w:rFonts w:hint="eastAsia" w:ascii="宋体" w:hAnsi="宋体"/>
          <w:sz w:val="24"/>
        </w:rPr>
        <w:fldChar w:fldCharType="separate"/>
      </w:r>
      <w:r>
        <w:rPr>
          <w:rFonts w:hint="eastAsia" w:ascii="宋体" w:hAnsi="宋体"/>
          <w:sz w:val="24"/>
        </w:rPr>
        <w:t>www.ccgp.gov.cn</w:t>
      </w:r>
      <w:r>
        <w:rPr>
          <w:rFonts w:hint="eastAsia" w:ascii="宋体" w:hAnsi="宋体"/>
          <w:sz w:val="24"/>
        </w:rPr>
        <w:fldChar w:fldCharType="end"/>
      </w:r>
      <w:r>
        <w:rPr>
          <w:rFonts w:hint="eastAsia" w:ascii="宋体" w:hAnsi="宋体"/>
          <w:sz w:val="24"/>
        </w:rPr>
        <w:t>)“政府采购严重违法失信行为信息记录”的单位，应当拒绝参与政府采购活动，以采购人或采购代理机构开标现场查询结果为准。</w:t>
      </w:r>
    </w:p>
    <w:p w14:paraId="7B026982">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4.磋商委托</w:t>
      </w:r>
    </w:p>
    <w:p w14:paraId="084545A0">
      <w:pPr>
        <w:tabs>
          <w:tab w:val="left" w:pos="240"/>
        </w:tabs>
        <w:spacing w:line="360" w:lineRule="auto"/>
        <w:ind w:left="-120" w:leftChars="-57" w:firstLine="480" w:firstLineChars="200"/>
        <w:rPr>
          <w:rFonts w:ascii="宋体" w:hAnsi="宋体"/>
          <w:sz w:val="24"/>
        </w:rPr>
      </w:pPr>
      <w:r>
        <w:rPr>
          <w:rFonts w:hint="eastAsia" w:ascii="宋体" w:hAnsi="宋体"/>
          <w:sz w:val="24"/>
        </w:rPr>
        <w:t>如供应商代表不是法定代表人，须持有《法定代表人授权书》（原件）。</w:t>
      </w:r>
    </w:p>
    <w:p w14:paraId="3B039FA8">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5.磋商费用</w:t>
      </w:r>
    </w:p>
    <w:p w14:paraId="5C007929">
      <w:pPr>
        <w:tabs>
          <w:tab w:val="left" w:pos="240"/>
        </w:tabs>
        <w:spacing w:line="360" w:lineRule="auto"/>
        <w:ind w:left="-120" w:leftChars="-57" w:firstLine="480" w:firstLineChars="200"/>
        <w:rPr>
          <w:rFonts w:ascii="宋体" w:hAnsi="宋体"/>
          <w:sz w:val="24"/>
        </w:rPr>
      </w:pPr>
      <w:r>
        <w:rPr>
          <w:rFonts w:hint="eastAsia" w:ascii="宋体" w:hAnsi="宋体"/>
          <w:sz w:val="24"/>
        </w:rPr>
        <w:t>无论磋商结果如何，供应商自行承担参加磋商相关的全部费用。</w:t>
      </w:r>
    </w:p>
    <w:p w14:paraId="578CBBB4">
      <w:pPr>
        <w:tabs>
          <w:tab w:val="left" w:pos="240"/>
        </w:tabs>
        <w:spacing w:line="360" w:lineRule="auto"/>
        <w:ind w:left="-120" w:leftChars="-57" w:firstLine="482" w:firstLineChars="200"/>
        <w:rPr>
          <w:rFonts w:ascii="宋体" w:hAnsi="宋体"/>
          <w:sz w:val="24"/>
        </w:rPr>
      </w:pPr>
      <w:r>
        <w:rPr>
          <w:rFonts w:hint="eastAsia" w:ascii="宋体" w:hAnsi="宋体"/>
          <w:b/>
          <w:bCs/>
          <w:sz w:val="24"/>
        </w:rPr>
        <w:t>三、磋商文件</w:t>
      </w:r>
    </w:p>
    <w:p w14:paraId="0690D2D4">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6.磋商文件</w:t>
      </w:r>
    </w:p>
    <w:p w14:paraId="05D87ADF">
      <w:pPr>
        <w:tabs>
          <w:tab w:val="left" w:pos="240"/>
        </w:tabs>
        <w:spacing w:line="360" w:lineRule="auto"/>
        <w:ind w:left="-120" w:leftChars="-57" w:firstLine="480" w:firstLineChars="200"/>
        <w:rPr>
          <w:rFonts w:ascii="宋体" w:hAnsi="宋体"/>
          <w:sz w:val="24"/>
        </w:rPr>
      </w:pPr>
      <w:r>
        <w:rPr>
          <w:rFonts w:hint="eastAsia" w:ascii="宋体" w:hAnsi="宋体"/>
          <w:sz w:val="24"/>
        </w:rPr>
        <w:t>6.1磋商文件由磋商文件总目录所列内容组成；供应商应详细阅读磋商文件中所有的事项、条款和规范要求,在响应文件中对磋商文件的各方面都应做出实质性的响应，按照磋商文件的要求提交全部资料。</w:t>
      </w:r>
    </w:p>
    <w:p w14:paraId="149D8D37">
      <w:pPr>
        <w:tabs>
          <w:tab w:val="left" w:pos="240"/>
        </w:tabs>
        <w:spacing w:line="360" w:lineRule="auto"/>
        <w:ind w:left="-120" w:leftChars="-57" w:firstLine="480" w:firstLineChars="200"/>
        <w:rPr>
          <w:rFonts w:ascii="宋体" w:hAnsi="宋体"/>
          <w:sz w:val="24"/>
        </w:rPr>
      </w:pPr>
      <w:bookmarkStart w:id="12" w:name="_Toc3633"/>
      <w:r>
        <w:rPr>
          <w:rFonts w:hint="eastAsia" w:ascii="宋体" w:hAnsi="宋体"/>
          <w:sz w:val="24"/>
        </w:rPr>
        <w:t>6.2适用范围</w:t>
      </w:r>
      <w:bookmarkEnd w:id="12"/>
    </w:p>
    <w:p w14:paraId="14577426">
      <w:pPr>
        <w:tabs>
          <w:tab w:val="left" w:pos="240"/>
        </w:tabs>
        <w:spacing w:line="360" w:lineRule="auto"/>
        <w:ind w:left="-120" w:leftChars="-57" w:firstLine="480" w:firstLineChars="200"/>
        <w:rPr>
          <w:rFonts w:ascii="宋体" w:hAnsi="宋体"/>
          <w:sz w:val="24"/>
        </w:rPr>
      </w:pPr>
      <w:r>
        <w:rPr>
          <w:rFonts w:hint="eastAsia" w:ascii="宋体" w:hAnsi="宋体"/>
          <w:sz w:val="24"/>
        </w:rPr>
        <w:t>本次磋商依据采购人的采购计划，仅适用于本磋商文件中所叙述的项目。</w:t>
      </w:r>
    </w:p>
    <w:p w14:paraId="6B367153">
      <w:pPr>
        <w:tabs>
          <w:tab w:val="left" w:pos="240"/>
        </w:tabs>
        <w:spacing w:line="360" w:lineRule="auto"/>
        <w:ind w:left="-120" w:leftChars="-57" w:firstLine="480" w:firstLineChars="200"/>
        <w:rPr>
          <w:rFonts w:ascii="宋体" w:hAnsi="宋体"/>
          <w:sz w:val="24"/>
        </w:rPr>
      </w:pPr>
      <w:r>
        <w:rPr>
          <w:rFonts w:hint="eastAsia" w:ascii="宋体" w:hAnsi="宋体"/>
          <w:sz w:val="24"/>
        </w:rPr>
        <w:t>6.3磋商文件的购买：磋商公告发布后，供应商应从采购代理机构购买磋商文件，供应商自行转让或复制的磋商文件视为无效磋商文件；磋商文件一经售出，一律不退，仅作为本次磋商使用。</w:t>
      </w:r>
    </w:p>
    <w:p w14:paraId="59D0BEDC">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7.磋商文件的澄清及修改</w:t>
      </w:r>
    </w:p>
    <w:p w14:paraId="741B93B8">
      <w:pPr>
        <w:tabs>
          <w:tab w:val="left" w:pos="240"/>
        </w:tabs>
        <w:spacing w:line="360" w:lineRule="auto"/>
        <w:ind w:left="-120" w:leftChars="-57" w:firstLine="480" w:firstLineChars="200"/>
        <w:rPr>
          <w:rFonts w:ascii="宋体" w:hAnsi="宋体"/>
          <w:sz w:val="24"/>
        </w:rPr>
      </w:pPr>
      <w:r>
        <w:rPr>
          <w:rFonts w:hint="eastAsia" w:ascii="宋体" w:hAnsi="宋体"/>
          <w:sz w:val="24"/>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ascii="宋体" w:hAnsi="宋体"/>
          <w:sz w:val="24"/>
          <w:lang w:val="zh-CN"/>
        </w:rPr>
        <w:t>并对供应商具有约束力。供应商在收到上述通知后，</w:t>
      </w:r>
      <w:r>
        <w:rPr>
          <w:rFonts w:hint="eastAsia" w:ascii="宋体" w:hAnsi="宋体"/>
          <w:sz w:val="24"/>
        </w:rPr>
        <w:t>应当立即以书面形式向采购代理机构确认；不足五日的，采购代理机构应当顺延提交首次响应文件截止时间。</w:t>
      </w:r>
    </w:p>
    <w:p w14:paraId="4D081E70">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8.质疑提出与答复</w:t>
      </w:r>
    </w:p>
    <w:p w14:paraId="38EE5E8F">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8.1供应商认为采购文件、采购过程、成交结果使自己的权益受到损害的，可以在知道或者应知其权益受到损害之日起七个工作日内，以书面形式向采购代理机构提出（质疑函接收联系人、联系电话和通讯地址等详见磋商公告）。 </w:t>
      </w:r>
    </w:p>
    <w:p w14:paraId="59DAB803">
      <w:pPr>
        <w:tabs>
          <w:tab w:val="left" w:pos="240"/>
        </w:tabs>
        <w:spacing w:line="360" w:lineRule="auto"/>
        <w:ind w:left="-120" w:leftChars="-57" w:firstLine="480" w:firstLineChars="200"/>
        <w:rPr>
          <w:rFonts w:ascii="宋体" w:hAnsi="宋体"/>
          <w:sz w:val="24"/>
        </w:rPr>
      </w:pPr>
      <w:r>
        <w:rPr>
          <w:rFonts w:hint="eastAsia" w:ascii="宋体" w:hAnsi="宋体"/>
          <w:sz w:val="24"/>
        </w:rPr>
        <w:t>8.2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6B162B1C">
      <w:pPr>
        <w:tabs>
          <w:tab w:val="left" w:pos="240"/>
        </w:tabs>
        <w:spacing w:line="360" w:lineRule="auto"/>
        <w:ind w:left="-120" w:leftChars="-57" w:firstLine="480" w:firstLineChars="200"/>
        <w:rPr>
          <w:rFonts w:ascii="宋体" w:hAnsi="宋体"/>
          <w:sz w:val="24"/>
        </w:rPr>
      </w:pPr>
      <w:r>
        <w:rPr>
          <w:rFonts w:hint="eastAsia" w:ascii="宋体" w:hAnsi="宋体"/>
          <w:sz w:val="24"/>
        </w:rPr>
        <w:t>质疑函应当包括下列内容：</w:t>
      </w:r>
    </w:p>
    <w:p w14:paraId="7B7C734D">
      <w:pPr>
        <w:tabs>
          <w:tab w:val="left" w:pos="240"/>
        </w:tabs>
        <w:spacing w:line="360" w:lineRule="auto"/>
        <w:ind w:left="-120" w:leftChars="-57" w:firstLine="420" w:firstLineChars="200"/>
        <w:rPr>
          <w:rFonts w:ascii="宋体" w:hAnsi="宋体"/>
          <w:szCs w:val="21"/>
        </w:rPr>
      </w:pPr>
      <w:r>
        <w:rPr>
          <w:rFonts w:hint="eastAsia" w:ascii="宋体" w:hAnsi="宋体"/>
          <w:szCs w:val="21"/>
        </w:rPr>
        <w:t>1.供应商的姓名或者名称、地址、邮编、联系人及联系电话；</w:t>
      </w:r>
    </w:p>
    <w:p w14:paraId="5A4CBDCC">
      <w:pPr>
        <w:tabs>
          <w:tab w:val="left" w:pos="240"/>
        </w:tabs>
        <w:spacing w:line="360" w:lineRule="auto"/>
        <w:ind w:left="-120" w:leftChars="-57" w:firstLine="420" w:firstLineChars="200"/>
        <w:rPr>
          <w:rFonts w:ascii="宋体" w:hAnsi="宋体"/>
          <w:szCs w:val="21"/>
        </w:rPr>
      </w:pPr>
      <w:r>
        <w:rPr>
          <w:rFonts w:hint="eastAsia" w:ascii="宋体" w:hAnsi="宋体"/>
          <w:szCs w:val="21"/>
        </w:rPr>
        <w:t>2.质疑项目的名称、编号；</w:t>
      </w:r>
    </w:p>
    <w:p w14:paraId="6620EBEF">
      <w:pPr>
        <w:tabs>
          <w:tab w:val="left" w:pos="240"/>
        </w:tabs>
        <w:spacing w:line="360" w:lineRule="auto"/>
        <w:ind w:left="-120" w:leftChars="-57" w:firstLine="420" w:firstLineChars="200"/>
        <w:rPr>
          <w:rFonts w:ascii="宋体" w:hAnsi="宋体"/>
          <w:szCs w:val="21"/>
        </w:rPr>
      </w:pPr>
      <w:r>
        <w:rPr>
          <w:rFonts w:hint="eastAsia" w:ascii="宋体" w:hAnsi="宋体"/>
          <w:szCs w:val="21"/>
        </w:rPr>
        <w:t>3.具体、明确的质疑事项和与质疑事项相关的请求；</w:t>
      </w:r>
    </w:p>
    <w:p w14:paraId="194231D7">
      <w:pPr>
        <w:tabs>
          <w:tab w:val="left" w:pos="240"/>
        </w:tabs>
        <w:spacing w:line="360" w:lineRule="auto"/>
        <w:ind w:left="-120" w:leftChars="-57" w:firstLine="420" w:firstLineChars="200"/>
        <w:rPr>
          <w:rFonts w:ascii="宋体" w:hAnsi="宋体"/>
          <w:szCs w:val="21"/>
        </w:rPr>
      </w:pPr>
      <w:r>
        <w:rPr>
          <w:rFonts w:hint="eastAsia" w:ascii="宋体" w:hAnsi="宋体"/>
          <w:szCs w:val="21"/>
        </w:rPr>
        <w:t>4.事实依据；</w:t>
      </w:r>
    </w:p>
    <w:p w14:paraId="573F8CEE">
      <w:pPr>
        <w:tabs>
          <w:tab w:val="left" w:pos="240"/>
        </w:tabs>
        <w:spacing w:line="360" w:lineRule="auto"/>
        <w:ind w:left="-120" w:leftChars="-57" w:firstLine="420" w:firstLineChars="200"/>
        <w:rPr>
          <w:rFonts w:ascii="宋体" w:hAnsi="宋体"/>
          <w:szCs w:val="21"/>
        </w:rPr>
      </w:pPr>
      <w:r>
        <w:rPr>
          <w:rFonts w:hint="eastAsia" w:ascii="宋体" w:hAnsi="宋体"/>
          <w:szCs w:val="21"/>
        </w:rPr>
        <w:t>5.必要的法律依据；</w:t>
      </w:r>
    </w:p>
    <w:p w14:paraId="511AB093">
      <w:pPr>
        <w:tabs>
          <w:tab w:val="left" w:pos="240"/>
        </w:tabs>
        <w:spacing w:line="360" w:lineRule="auto"/>
        <w:ind w:left="-120" w:leftChars="-57" w:firstLine="420" w:firstLineChars="200"/>
        <w:rPr>
          <w:rFonts w:ascii="宋体" w:hAnsi="宋体"/>
          <w:szCs w:val="21"/>
        </w:rPr>
      </w:pPr>
      <w:r>
        <w:rPr>
          <w:rFonts w:hint="eastAsia" w:ascii="宋体" w:hAnsi="宋体"/>
          <w:szCs w:val="21"/>
        </w:rPr>
        <w:t xml:space="preserve">6.提出质疑的日期。 </w:t>
      </w:r>
    </w:p>
    <w:p w14:paraId="6180CDAE">
      <w:pPr>
        <w:tabs>
          <w:tab w:val="left" w:pos="240"/>
        </w:tabs>
        <w:spacing w:line="360" w:lineRule="auto"/>
        <w:ind w:left="-120" w:leftChars="-57" w:firstLine="422" w:firstLineChars="200"/>
        <w:rPr>
          <w:rFonts w:ascii="宋体" w:hAnsi="宋体"/>
          <w:b/>
          <w:bCs/>
          <w:sz w:val="24"/>
        </w:rPr>
      </w:pPr>
      <w:r>
        <w:rPr>
          <w:rFonts w:hint="eastAsia" w:ascii="宋体" w:hAnsi="宋体"/>
          <w:b/>
          <w:bCs/>
          <w:szCs w:val="21"/>
        </w:rPr>
        <w:t>备注：供应商须在法定质疑期内一次性提出针对同一采购程序环节的质疑。</w:t>
      </w:r>
    </w:p>
    <w:p w14:paraId="51493B5B">
      <w:pPr>
        <w:tabs>
          <w:tab w:val="left" w:pos="240"/>
        </w:tabs>
        <w:spacing w:line="360" w:lineRule="auto"/>
        <w:ind w:left="-120" w:leftChars="-57" w:firstLine="480" w:firstLineChars="200"/>
        <w:rPr>
          <w:rFonts w:ascii="宋体" w:hAnsi="宋体"/>
          <w:sz w:val="24"/>
        </w:rPr>
      </w:pPr>
      <w:r>
        <w:rPr>
          <w:rFonts w:hint="eastAsia" w:ascii="宋体" w:hAnsi="宋体"/>
          <w:sz w:val="24"/>
        </w:rPr>
        <w:t>8.3质疑有以下情形之一的，采购代理机构不予受理：</w:t>
      </w:r>
    </w:p>
    <w:p w14:paraId="5DAD7D65">
      <w:pPr>
        <w:tabs>
          <w:tab w:val="left" w:pos="240"/>
        </w:tabs>
        <w:spacing w:line="360" w:lineRule="auto"/>
        <w:ind w:left="-120" w:leftChars="-57" w:firstLine="420" w:firstLineChars="200"/>
        <w:rPr>
          <w:rFonts w:ascii="宋体" w:hAnsi="宋体"/>
          <w:szCs w:val="21"/>
        </w:rPr>
      </w:pPr>
      <w:r>
        <w:rPr>
          <w:rFonts w:hint="eastAsia" w:ascii="宋体" w:hAnsi="宋体"/>
          <w:szCs w:val="21"/>
        </w:rPr>
        <w:t>1.未按规定程序和渠道提出质疑的；</w:t>
      </w:r>
    </w:p>
    <w:p w14:paraId="31157939">
      <w:pPr>
        <w:tabs>
          <w:tab w:val="left" w:pos="240"/>
        </w:tabs>
        <w:spacing w:line="360" w:lineRule="auto"/>
        <w:ind w:left="-120" w:leftChars="-57" w:firstLine="420" w:firstLineChars="200"/>
        <w:rPr>
          <w:rFonts w:ascii="宋体" w:hAnsi="宋体"/>
          <w:szCs w:val="21"/>
        </w:rPr>
      </w:pPr>
      <w:r>
        <w:rPr>
          <w:rFonts w:hint="eastAsia" w:ascii="宋体" w:hAnsi="宋体"/>
          <w:szCs w:val="21"/>
        </w:rPr>
        <w:t xml:space="preserve">2.超过法定质疑期限的； </w:t>
      </w:r>
    </w:p>
    <w:p w14:paraId="464EBEC5">
      <w:pPr>
        <w:tabs>
          <w:tab w:val="left" w:pos="240"/>
        </w:tabs>
        <w:spacing w:line="360" w:lineRule="auto"/>
        <w:ind w:left="-120" w:leftChars="-57" w:firstLine="420" w:firstLineChars="200"/>
        <w:rPr>
          <w:rFonts w:ascii="宋体" w:hAnsi="宋体"/>
          <w:szCs w:val="21"/>
        </w:rPr>
      </w:pPr>
      <w:r>
        <w:rPr>
          <w:rFonts w:hint="eastAsia" w:ascii="宋体" w:hAnsi="宋体"/>
          <w:szCs w:val="21"/>
        </w:rPr>
        <w:t>3.书面质疑的形式和内容不符合上述要求的；</w:t>
      </w:r>
    </w:p>
    <w:p w14:paraId="442425C3">
      <w:pPr>
        <w:tabs>
          <w:tab w:val="left" w:pos="240"/>
        </w:tabs>
        <w:spacing w:line="360" w:lineRule="auto"/>
        <w:ind w:left="-120" w:leftChars="-57" w:firstLine="420" w:firstLineChars="200"/>
        <w:rPr>
          <w:rFonts w:ascii="宋体" w:hAnsi="宋体"/>
          <w:szCs w:val="21"/>
        </w:rPr>
      </w:pPr>
      <w:r>
        <w:rPr>
          <w:rFonts w:hint="eastAsia" w:ascii="宋体" w:hAnsi="宋体"/>
          <w:szCs w:val="21"/>
        </w:rPr>
        <w:t xml:space="preserve">4.提出的质疑事项已经明确答复的； </w:t>
      </w:r>
    </w:p>
    <w:p w14:paraId="5C3F93FC">
      <w:pPr>
        <w:tabs>
          <w:tab w:val="left" w:pos="240"/>
        </w:tabs>
        <w:spacing w:line="360" w:lineRule="auto"/>
        <w:ind w:left="-120" w:leftChars="-57" w:firstLine="420" w:firstLineChars="200"/>
        <w:rPr>
          <w:rFonts w:ascii="宋体" w:hAnsi="宋体"/>
          <w:szCs w:val="21"/>
        </w:rPr>
      </w:pPr>
      <w:r>
        <w:rPr>
          <w:rFonts w:hint="eastAsia" w:ascii="宋体" w:hAnsi="宋体"/>
          <w:szCs w:val="21"/>
        </w:rPr>
        <w:t>5.法律法规规定的其他不予受理的条件。</w:t>
      </w:r>
    </w:p>
    <w:p w14:paraId="3EFA491F">
      <w:pPr>
        <w:tabs>
          <w:tab w:val="left" w:pos="240"/>
        </w:tabs>
        <w:spacing w:line="360" w:lineRule="auto"/>
        <w:ind w:left="-120" w:leftChars="-57" w:firstLine="480" w:firstLineChars="200"/>
        <w:rPr>
          <w:rFonts w:ascii="宋体" w:hAnsi="宋体"/>
          <w:sz w:val="24"/>
        </w:rPr>
      </w:pPr>
      <w:r>
        <w:rPr>
          <w:rFonts w:hint="eastAsia" w:ascii="宋体" w:hAnsi="宋体"/>
          <w:sz w:val="24"/>
        </w:rPr>
        <w:t>8.4采购代理机构应当在收到质疑函后七个工作日内做出书面答复。答复内容同时通知与处理结果有关的供应商，但答复内容不得涉及供应商的商业秘密。</w:t>
      </w:r>
    </w:p>
    <w:p w14:paraId="5C163F2A">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9.磋商的处理依据</w:t>
      </w:r>
    </w:p>
    <w:p w14:paraId="26C79119">
      <w:pPr>
        <w:tabs>
          <w:tab w:val="left" w:pos="240"/>
        </w:tabs>
        <w:spacing w:line="360" w:lineRule="auto"/>
        <w:ind w:left="-120" w:leftChars="-57" w:firstLine="480" w:firstLineChars="200"/>
        <w:rPr>
          <w:rFonts w:ascii="宋体" w:hAnsi="宋体"/>
          <w:sz w:val="24"/>
        </w:rPr>
      </w:pPr>
      <w:r>
        <w:rPr>
          <w:rFonts w:hint="eastAsia" w:ascii="宋体" w:hAnsi="宋体"/>
          <w:sz w:val="24"/>
        </w:rPr>
        <w:t>磋商小组有权对在磋商过程中出现的一切问题，根据《中华人民共和国政府采购法》、《中华人民共和国政府采购实施条例》和《政府采购竞争性磋商采购方式管理暂行办法》的条款，本着公开、公平、公正的原则进行处理。</w:t>
      </w:r>
    </w:p>
    <w:p w14:paraId="49EDF887">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10.解释权归属</w:t>
      </w:r>
    </w:p>
    <w:p w14:paraId="28FE0AD1">
      <w:pPr>
        <w:spacing w:line="360" w:lineRule="auto"/>
        <w:ind w:firstLine="480" w:firstLineChars="200"/>
        <w:rPr>
          <w:rFonts w:ascii="宋体" w:hAnsi="宋体"/>
          <w:sz w:val="24"/>
        </w:rPr>
      </w:pPr>
      <w:r>
        <w:rPr>
          <w:rFonts w:hint="eastAsia" w:ascii="宋体" w:hAnsi="宋体"/>
          <w:sz w:val="24"/>
        </w:rPr>
        <w:t>本磋商文件的解释权归采购代理机构。</w:t>
      </w:r>
    </w:p>
    <w:p w14:paraId="45175B29">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四、磋商要求</w:t>
      </w:r>
    </w:p>
    <w:p w14:paraId="6EE720E2">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11.磋商内容</w:t>
      </w:r>
    </w:p>
    <w:p w14:paraId="689B3EA8">
      <w:pPr>
        <w:tabs>
          <w:tab w:val="left" w:pos="240"/>
        </w:tabs>
        <w:spacing w:line="360" w:lineRule="auto"/>
        <w:ind w:left="-120" w:leftChars="-57" w:firstLine="480" w:firstLineChars="200"/>
        <w:rPr>
          <w:rFonts w:ascii="宋体" w:hAnsi="宋体"/>
          <w:sz w:val="24"/>
        </w:rPr>
      </w:pPr>
      <w:r>
        <w:rPr>
          <w:rFonts w:hint="eastAsia" w:ascii="宋体" w:hAnsi="宋体"/>
          <w:sz w:val="24"/>
        </w:rPr>
        <w:t>本次磋商为：</w:t>
      </w:r>
      <w:r>
        <w:rPr>
          <w:rFonts w:hint="eastAsia" w:ascii="宋体" w:hAnsi="宋体"/>
          <w:sz w:val="24"/>
          <w:lang w:eastAsia="zh-CN"/>
        </w:rPr>
        <w:t>网络安全服务项目</w:t>
      </w:r>
      <w:r>
        <w:rPr>
          <w:rFonts w:hint="eastAsia" w:ascii="宋体" w:hAnsi="宋体"/>
          <w:sz w:val="24"/>
        </w:rPr>
        <w:t>。供应商可根据自身的资格情况和经营范围对本项目进行磋商，不得将其子目再行分解或只响应其中的一部分内容，否则磋商无效；开标、阅标、磋商、成交、签订合同均以项目为单位进行。</w:t>
      </w:r>
    </w:p>
    <w:p w14:paraId="3FC21819">
      <w:pPr>
        <w:tabs>
          <w:tab w:val="left" w:pos="240"/>
        </w:tabs>
        <w:spacing w:line="360" w:lineRule="auto"/>
        <w:ind w:left="-120" w:leftChars="-57" w:firstLine="482" w:firstLineChars="200"/>
        <w:rPr>
          <w:rFonts w:ascii="宋体" w:hAnsi="宋体"/>
          <w:sz w:val="24"/>
        </w:rPr>
      </w:pPr>
      <w:r>
        <w:rPr>
          <w:rFonts w:hint="eastAsia" w:ascii="宋体" w:hAnsi="宋体"/>
          <w:b/>
          <w:bCs/>
          <w:sz w:val="24"/>
        </w:rPr>
        <w:t>12.供应商资格条件：</w:t>
      </w:r>
      <w:r>
        <w:rPr>
          <w:rFonts w:hint="eastAsia" w:ascii="宋体" w:hAnsi="宋体"/>
          <w:sz w:val="24"/>
        </w:rPr>
        <w:t>应当符合供应商须知前附表中规定的资格条件。</w:t>
      </w:r>
    </w:p>
    <w:p w14:paraId="329B45C8">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13.响应文件的编制</w:t>
      </w:r>
    </w:p>
    <w:p w14:paraId="6938ED44">
      <w:pPr>
        <w:tabs>
          <w:tab w:val="left" w:pos="240"/>
        </w:tabs>
        <w:spacing w:line="360" w:lineRule="auto"/>
        <w:ind w:left="-120" w:leftChars="-57" w:firstLine="480" w:firstLineChars="200"/>
        <w:rPr>
          <w:rFonts w:ascii="宋体" w:hAnsi="宋体"/>
          <w:sz w:val="24"/>
        </w:rPr>
      </w:pPr>
      <w:r>
        <w:rPr>
          <w:rFonts w:hint="eastAsia" w:ascii="宋体" w:hAnsi="宋体"/>
          <w:sz w:val="24"/>
        </w:rPr>
        <w:t>响应文件以磋商文件的内容和要求编制，并对磋商文件做出实质性响应；具体内容包括</w:t>
      </w:r>
    </w:p>
    <w:p w14:paraId="04A9DFFF">
      <w:pPr>
        <w:tabs>
          <w:tab w:val="left" w:pos="240"/>
        </w:tabs>
        <w:spacing w:line="360" w:lineRule="auto"/>
        <w:ind w:left="-120" w:leftChars="-57" w:firstLine="480" w:firstLineChars="200"/>
        <w:rPr>
          <w:rFonts w:ascii="宋体" w:hAnsi="宋体"/>
          <w:sz w:val="24"/>
        </w:rPr>
      </w:pPr>
      <w:r>
        <w:rPr>
          <w:rFonts w:hint="eastAsia" w:ascii="宋体" w:hAnsi="宋体"/>
          <w:sz w:val="24"/>
        </w:rPr>
        <w:t>13.1按要求出具的资格条件证明文件；</w:t>
      </w:r>
    </w:p>
    <w:p w14:paraId="656C94FE">
      <w:pPr>
        <w:tabs>
          <w:tab w:val="left" w:pos="240"/>
        </w:tabs>
        <w:spacing w:line="360" w:lineRule="auto"/>
        <w:ind w:left="-120" w:leftChars="-57" w:firstLine="480" w:firstLineChars="200"/>
        <w:rPr>
          <w:rFonts w:ascii="宋体" w:hAnsi="宋体"/>
          <w:sz w:val="24"/>
        </w:rPr>
      </w:pPr>
      <w:r>
        <w:rPr>
          <w:rFonts w:hint="eastAsia" w:ascii="宋体" w:hAnsi="宋体"/>
          <w:sz w:val="24"/>
        </w:rPr>
        <w:t>13.2按要求出具的符合性证明文件；</w:t>
      </w:r>
    </w:p>
    <w:p w14:paraId="3B22BAAF">
      <w:pPr>
        <w:tabs>
          <w:tab w:val="left" w:pos="240"/>
        </w:tabs>
        <w:spacing w:line="360" w:lineRule="auto"/>
        <w:ind w:left="-120" w:leftChars="-57" w:firstLine="480" w:firstLineChars="200"/>
        <w:rPr>
          <w:rFonts w:ascii="宋体" w:hAnsi="宋体"/>
          <w:sz w:val="24"/>
        </w:rPr>
      </w:pPr>
      <w:r>
        <w:rPr>
          <w:rFonts w:hint="eastAsia" w:ascii="宋体" w:hAnsi="宋体"/>
          <w:sz w:val="24"/>
        </w:rPr>
        <w:t>13.3供应商的响应方案；</w:t>
      </w:r>
    </w:p>
    <w:p w14:paraId="5D53E549">
      <w:pPr>
        <w:tabs>
          <w:tab w:val="left" w:pos="240"/>
        </w:tabs>
        <w:spacing w:line="360" w:lineRule="auto"/>
        <w:ind w:left="-120" w:leftChars="-57" w:firstLine="480" w:firstLineChars="200"/>
        <w:rPr>
          <w:rFonts w:ascii="宋体" w:hAnsi="宋体"/>
          <w:sz w:val="24"/>
        </w:rPr>
      </w:pPr>
      <w:r>
        <w:rPr>
          <w:rFonts w:hint="eastAsia" w:ascii="宋体" w:hAnsi="宋体"/>
          <w:sz w:val="24"/>
        </w:rPr>
        <w:t>13.4其他附件。</w:t>
      </w:r>
    </w:p>
    <w:p w14:paraId="1AF530C6">
      <w:pPr>
        <w:numPr>
          <w:ilvl w:val="0"/>
          <w:numId w:val="3"/>
        </w:numPr>
        <w:tabs>
          <w:tab w:val="left" w:pos="240"/>
          <w:tab w:val="clear" w:pos="312"/>
        </w:tabs>
        <w:spacing w:line="360" w:lineRule="auto"/>
        <w:ind w:left="-120" w:leftChars="-57" w:firstLine="482" w:firstLineChars="200"/>
        <w:rPr>
          <w:rFonts w:ascii="宋体" w:hAnsi="宋体"/>
          <w:sz w:val="24"/>
        </w:rPr>
      </w:pPr>
      <w:r>
        <w:rPr>
          <w:rFonts w:hint="eastAsia" w:ascii="宋体" w:hAnsi="宋体"/>
          <w:b/>
          <w:bCs/>
          <w:sz w:val="24"/>
        </w:rPr>
        <w:t>响应报价</w:t>
      </w:r>
    </w:p>
    <w:p w14:paraId="15E23CE5">
      <w:pPr>
        <w:tabs>
          <w:tab w:val="left" w:pos="240"/>
        </w:tabs>
        <w:spacing w:line="360" w:lineRule="auto"/>
        <w:ind w:left="-120" w:leftChars="-57" w:firstLine="480" w:firstLineChars="200"/>
        <w:rPr>
          <w:rFonts w:ascii="宋体" w:hAnsi="宋体"/>
          <w:sz w:val="24"/>
        </w:rPr>
      </w:pPr>
      <w:r>
        <w:rPr>
          <w:rFonts w:hint="eastAsia" w:ascii="宋体" w:hAnsi="宋体"/>
          <w:sz w:val="24"/>
        </w:rPr>
        <w:t>14.1响应报价是指供应商响应采购项目要求的全部工作内容的价格体现，包括完成采购内容所需的直接费、间接费、利润、税金及其它相关的一切费用。以磋商文件的内容和要求作为响应依据。</w:t>
      </w:r>
    </w:p>
    <w:p w14:paraId="67A97E04">
      <w:pPr>
        <w:tabs>
          <w:tab w:val="left" w:pos="240"/>
        </w:tabs>
        <w:spacing w:line="360" w:lineRule="auto"/>
        <w:ind w:left="-120" w:leftChars="-57" w:firstLine="480" w:firstLineChars="200"/>
        <w:rPr>
          <w:rFonts w:ascii="宋体" w:hAnsi="宋体"/>
          <w:sz w:val="24"/>
        </w:rPr>
      </w:pPr>
      <w:r>
        <w:rPr>
          <w:rFonts w:hint="eastAsia" w:ascii="宋体" w:hAnsi="宋体"/>
          <w:sz w:val="24"/>
        </w:rPr>
        <w:t>14.2供应商应在响应文件中的响应报价表上，标明响应报价；任何有选择的报价不予接受；</w:t>
      </w:r>
    </w:p>
    <w:p w14:paraId="61025A64">
      <w:pPr>
        <w:tabs>
          <w:tab w:val="left" w:pos="240"/>
        </w:tabs>
        <w:spacing w:line="360" w:lineRule="auto"/>
        <w:ind w:left="-120" w:leftChars="-57" w:firstLine="480" w:firstLineChars="200"/>
        <w:rPr>
          <w:rFonts w:ascii="宋体" w:hAnsi="宋体"/>
          <w:sz w:val="24"/>
        </w:rPr>
      </w:pPr>
      <w:r>
        <w:rPr>
          <w:rFonts w:hint="eastAsia" w:ascii="宋体" w:hAnsi="宋体"/>
          <w:sz w:val="24"/>
        </w:rPr>
        <w:t>14.3响应报价即：元；</w:t>
      </w:r>
    </w:p>
    <w:p w14:paraId="7CEF30F4">
      <w:pPr>
        <w:tabs>
          <w:tab w:val="left" w:pos="240"/>
        </w:tabs>
        <w:spacing w:line="360" w:lineRule="auto"/>
        <w:ind w:left="-120" w:leftChars="-57" w:firstLine="480" w:firstLineChars="200"/>
        <w:rPr>
          <w:rFonts w:ascii="宋体" w:hAnsi="宋体"/>
          <w:sz w:val="24"/>
        </w:rPr>
      </w:pPr>
      <w:r>
        <w:rPr>
          <w:rFonts w:hint="eastAsia" w:ascii="宋体" w:hAnsi="宋体"/>
          <w:sz w:val="24"/>
        </w:rPr>
        <w:t>14.4磋商货币：人民币；单位：元（最多保留到小数点后两位）；</w:t>
      </w:r>
    </w:p>
    <w:p w14:paraId="21BE3FB6">
      <w:pPr>
        <w:tabs>
          <w:tab w:val="left" w:pos="240"/>
        </w:tabs>
        <w:spacing w:line="360" w:lineRule="auto"/>
        <w:ind w:left="-120" w:leftChars="-57" w:firstLine="480" w:firstLineChars="200"/>
        <w:rPr>
          <w:rFonts w:ascii="宋体" w:hAnsi="宋体"/>
          <w:sz w:val="24"/>
        </w:rPr>
      </w:pPr>
      <w:r>
        <w:rPr>
          <w:rFonts w:hint="eastAsia" w:ascii="宋体" w:hAnsi="宋体"/>
          <w:sz w:val="24"/>
        </w:rPr>
        <w:t>14.5响应报价表应有供应商公章及法定代表人或被授权人的签字；</w:t>
      </w:r>
    </w:p>
    <w:p w14:paraId="0915FD14">
      <w:pPr>
        <w:tabs>
          <w:tab w:val="left" w:pos="240"/>
        </w:tabs>
        <w:spacing w:line="360" w:lineRule="auto"/>
        <w:ind w:left="-120" w:leftChars="-57" w:firstLine="480" w:firstLineChars="200"/>
        <w:rPr>
          <w:rFonts w:ascii="宋体" w:hAnsi="宋体"/>
          <w:sz w:val="24"/>
        </w:rPr>
      </w:pPr>
      <w:r>
        <w:rPr>
          <w:rFonts w:hint="eastAsia" w:ascii="宋体" w:hAnsi="宋体"/>
          <w:sz w:val="24"/>
        </w:rPr>
        <w:t>14.6磋商文件中的响应报价表为一次报价，供应商磋商现场提交的二次报价为最终报价。</w:t>
      </w:r>
    </w:p>
    <w:p w14:paraId="11D03BB3">
      <w:pPr>
        <w:tabs>
          <w:tab w:val="left" w:pos="240"/>
        </w:tabs>
        <w:spacing w:line="360" w:lineRule="auto"/>
        <w:ind w:left="-120" w:leftChars="-57" w:firstLine="480" w:firstLineChars="200"/>
        <w:rPr>
          <w:rFonts w:ascii="宋体" w:hAnsi="宋体"/>
          <w:sz w:val="24"/>
        </w:rPr>
      </w:pPr>
      <w:r>
        <w:rPr>
          <w:rFonts w:hint="eastAsia" w:ascii="宋体" w:hAnsi="宋体"/>
          <w:sz w:val="24"/>
        </w:rPr>
        <w:t>14.7合同价格：经磋商小组确认的某一供应商的最终报价，在合同执行过程中是固定不变的，不受外汇汇率及市场价格变化的影响；</w:t>
      </w:r>
    </w:p>
    <w:p w14:paraId="105552E3">
      <w:pPr>
        <w:tabs>
          <w:tab w:val="left" w:pos="240"/>
        </w:tabs>
        <w:spacing w:line="360" w:lineRule="auto"/>
        <w:ind w:left="-120" w:leftChars="-57" w:firstLine="480" w:firstLineChars="200"/>
        <w:rPr>
          <w:rFonts w:ascii="宋体" w:hAnsi="宋体"/>
          <w:sz w:val="24"/>
        </w:rPr>
      </w:pPr>
      <w:r>
        <w:rPr>
          <w:rFonts w:hint="eastAsia" w:ascii="宋体" w:hAnsi="宋体"/>
          <w:sz w:val="24"/>
        </w:rPr>
        <w:t>14.8凡因供应商对磋商文件阅读不深、理解不透、误解、疏漏、或因市场行情了解不清造成的后果和风险均由供应商自负；</w:t>
      </w:r>
    </w:p>
    <w:p w14:paraId="28F23DDF">
      <w:pPr>
        <w:tabs>
          <w:tab w:val="left" w:pos="240"/>
        </w:tabs>
        <w:spacing w:line="360" w:lineRule="auto"/>
        <w:ind w:left="-120" w:leftChars="-57" w:firstLine="480" w:firstLineChars="200"/>
        <w:rPr>
          <w:rFonts w:ascii="宋体" w:hAnsi="宋体"/>
          <w:sz w:val="24"/>
        </w:rPr>
      </w:pPr>
      <w:r>
        <w:rPr>
          <w:rFonts w:hint="eastAsia" w:ascii="宋体" w:hAnsi="宋体"/>
          <w:sz w:val="24"/>
        </w:rPr>
        <w:t>14.9响应报价不是成交的唯一依据；</w:t>
      </w:r>
    </w:p>
    <w:p w14:paraId="20F5116E">
      <w:pPr>
        <w:tabs>
          <w:tab w:val="left" w:pos="240"/>
        </w:tabs>
        <w:spacing w:line="360" w:lineRule="auto"/>
        <w:ind w:left="-120" w:leftChars="-57" w:firstLine="480" w:firstLineChars="200"/>
        <w:rPr>
          <w:rFonts w:ascii="宋体" w:hAnsi="宋体"/>
          <w:sz w:val="24"/>
        </w:rPr>
      </w:pPr>
      <w:r>
        <w:rPr>
          <w:rFonts w:hint="eastAsia" w:ascii="宋体" w:hAnsi="宋体"/>
          <w:sz w:val="24"/>
        </w:rPr>
        <w:t>14.10响应供应商不得以低于成本的报价参加响应。评审中出现下列情形之一的，磋商小组将启动异常低价响应审查程序：</w:t>
      </w:r>
    </w:p>
    <w:p w14:paraId="76761F09">
      <w:pPr>
        <w:tabs>
          <w:tab w:val="left" w:pos="240"/>
        </w:tabs>
        <w:spacing w:line="360" w:lineRule="auto"/>
        <w:ind w:left="-120" w:leftChars="-57" w:firstLine="480" w:firstLineChars="200"/>
        <w:rPr>
          <w:rFonts w:ascii="宋体" w:hAnsi="宋体"/>
          <w:sz w:val="24"/>
        </w:rPr>
      </w:pPr>
      <w:r>
        <w:rPr>
          <w:rFonts w:hint="eastAsia" w:ascii="宋体" w:hAnsi="宋体"/>
          <w:sz w:val="24"/>
        </w:rPr>
        <w:t>14.10.1响应报价低于全部通过符合性审查供应商响应报价平均值65%的，即响应报价&lt;全部通过符合性审查供应商响应报价平均值×65%；</w:t>
      </w:r>
    </w:p>
    <w:p w14:paraId="3B4F4EEA">
      <w:pPr>
        <w:tabs>
          <w:tab w:val="left" w:pos="240"/>
        </w:tabs>
        <w:spacing w:line="360" w:lineRule="auto"/>
        <w:ind w:left="-120" w:leftChars="-57" w:firstLine="480" w:firstLineChars="200"/>
        <w:rPr>
          <w:rFonts w:ascii="宋体" w:hAnsi="宋体"/>
          <w:sz w:val="24"/>
        </w:rPr>
      </w:pPr>
      <w:r>
        <w:rPr>
          <w:rFonts w:hint="eastAsia" w:ascii="宋体" w:hAnsi="宋体"/>
          <w:sz w:val="24"/>
        </w:rPr>
        <w:t>14.10.2响应报价低于通过符合性审查的次低报价供应商响应报价65%的，即响应报价&lt;通过符合性审查的次低报价供应商响应报价×65%；</w:t>
      </w:r>
    </w:p>
    <w:p w14:paraId="4E72E4DE">
      <w:pPr>
        <w:tabs>
          <w:tab w:val="left" w:pos="240"/>
        </w:tabs>
        <w:spacing w:line="360" w:lineRule="auto"/>
        <w:ind w:left="-120" w:leftChars="-57" w:firstLine="480" w:firstLineChars="200"/>
        <w:rPr>
          <w:rFonts w:ascii="宋体" w:hAnsi="宋体"/>
          <w:sz w:val="24"/>
        </w:rPr>
      </w:pPr>
      <w:r>
        <w:rPr>
          <w:rFonts w:hint="eastAsia" w:ascii="宋体" w:hAnsi="宋体"/>
          <w:sz w:val="24"/>
        </w:rPr>
        <w:t>14.10.3响应报价低于采购项目最高限价65%的，即响应报价&lt;采购项目最高限价×65%；</w:t>
      </w:r>
    </w:p>
    <w:p w14:paraId="2AADFB62">
      <w:pPr>
        <w:tabs>
          <w:tab w:val="left" w:pos="240"/>
        </w:tabs>
        <w:spacing w:line="360" w:lineRule="auto"/>
        <w:ind w:left="-120" w:leftChars="-57" w:firstLine="480" w:firstLineChars="200"/>
        <w:rPr>
          <w:rFonts w:ascii="宋体" w:hAnsi="宋体"/>
          <w:sz w:val="24"/>
        </w:rPr>
      </w:pPr>
      <w:r>
        <w:rPr>
          <w:rFonts w:hint="eastAsia" w:ascii="宋体" w:hAnsi="宋体"/>
          <w:sz w:val="24"/>
        </w:rPr>
        <w:t>14.10.4磋商小组基于专业判断，认为供应商报价过低，有可能影响产品质量或者不能诚信履约的其他情形。</w:t>
      </w:r>
    </w:p>
    <w:p w14:paraId="69405BDA">
      <w:pPr>
        <w:tabs>
          <w:tab w:val="left" w:pos="240"/>
        </w:tabs>
        <w:spacing w:line="360" w:lineRule="auto"/>
        <w:ind w:left="-120" w:leftChars="-57" w:firstLine="480" w:firstLineChars="200"/>
        <w:rPr>
          <w:rFonts w:ascii="宋体" w:hAnsi="宋体"/>
          <w:sz w:val="24"/>
        </w:rPr>
      </w:pPr>
      <w:r>
        <w:rPr>
          <w:rFonts w:hint="eastAsia" w:ascii="宋体" w:hAnsi="宋体"/>
          <w:sz w:val="24"/>
        </w:rPr>
        <w:t>磋商小组启动异常低价响应审查后，属于前述第1项至第4项情形的，供应商应当在40分钟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2C247BC1">
      <w:pPr>
        <w:tabs>
          <w:tab w:val="left" w:pos="240"/>
        </w:tabs>
        <w:spacing w:line="360" w:lineRule="auto"/>
        <w:ind w:left="-120" w:leftChars="-57" w:firstLine="480" w:firstLineChars="200"/>
        <w:rPr>
          <w:rFonts w:ascii="宋体" w:hAnsi="宋体"/>
          <w:sz w:val="24"/>
        </w:rPr>
      </w:pPr>
      <w:r>
        <w:rPr>
          <w:rFonts w:hint="eastAsia" w:ascii="宋体" w:hAnsi="宋体"/>
          <w:sz w:val="24"/>
        </w:rPr>
        <w:t>响应供应商不能提供书面说明、证明材料，或者提供的书面说明、证明材料不能证明其报价合理性的，磋商小组将其作为无效响应处理。</w:t>
      </w:r>
    </w:p>
    <w:p w14:paraId="5E04B5AB">
      <w:pPr>
        <w:tabs>
          <w:tab w:val="left" w:pos="240"/>
        </w:tabs>
        <w:spacing w:line="360" w:lineRule="auto"/>
        <w:ind w:left="-120" w:leftChars="-57" w:firstLine="480" w:firstLineChars="200"/>
        <w:rPr>
          <w:rFonts w:ascii="宋体" w:hAnsi="宋体"/>
          <w:sz w:val="24"/>
        </w:rPr>
      </w:pPr>
      <w:r>
        <w:rPr>
          <w:rFonts w:hint="eastAsia" w:ascii="宋体" w:hAnsi="宋体"/>
          <w:sz w:val="24"/>
        </w:rPr>
        <w:t>14.11供应商对响应项目只允许有一个报价，否则视为无效响应。</w:t>
      </w:r>
    </w:p>
    <w:p w14:paraId="6230F043">
      <w:pPr>
        <w:tabs>
          <w:tab w:val="left" w:pos="240"/>
        </w:tabs>
        <w:spacing w:line="360" w:lineRule="auto"/>
        <w:ind w:left="-120" w:leftChars="-57" w:firstLine="482" w:firstLineChars="200"/>
        <w:rPr>
          <w:rFonts w:ascii="宋体" w:hAnsi="宋体"/>
          <w:sz w:val="24"/>
        </w:rPr>
      </w:pPr>
      <w:r>
        <w:rPr>
          <w:rFonts w:hint="eastAsia" w:ascii="宋体" w:hAnsi="宋体"/>
          <w:b/>
          <w:bCs/>
          <w:sz w:val="24"/>
        </w:rPr>
        <w:t>15.磋商保证金</w:t>
      </w:r>
    </w:p>
    <w:p w14:paraId="02E4B3F3">
      <w:pPr>
        <w:tabs>
          <w:tab w:val="left" w:pos="240"/>
        </w:tabs>
        <w:spacing w:line="360" w:lineRule="auto"/>
        <w:ind w:left="-120" w:leftChars="-57" w:firstLine="480" w:firstLineChars="200"/>
        <w:rPr>
          <w:rFonts w:ascii="宋体" w:hAnsi="宋体"/>
          <w:sz w:val="24"/>
        </w:rPr>
      </w:pPr>
      <w:r>
        <w:rPr>
          <w:rFonts w:hint="eastAsia" w:ascii="宋体" w:hAnsi="宋体"/>
          <w:sz w:val="24"/>
        </w:rPr>
        <w:t>磋商保证金的交纳详见供应商须知前附表中规定的要求。</w:t>
      </w:r>
    </w:p>
    <w:p w14:paraId="47E6CE87">
      <w:pPr>
        <w:tabs>
          <w:tab w:val="left" w:pos="240"/>
        </w:tabs>
        <w:spacing w:line="360" w:lineRule="auto"/>
        <w:ind w:left="-120" w:leftChars="-57" w:firstLine="480" w:firstLineChars="200"/>
        <w:rPr>
          <w:rFonts w:ascii="宋体" w:hAnsi="宋体"/>
          <w:sz w:val="24"/>
        </w:rPr>
      </w:pPr>
      <w:r>
        <w:rPr>
          <w:rFonts w:hint="eastAsia" w:ascii="宋体" w:hAnsi="宋体"/>
          <w:sz w:val="24"/>
        </w:rPr>
        <w:t>15.1磋商保证金退还：</w:t>
      </w:r>
    </w:p>
    <w:p w14:paraId="4732B822">
      <w:pPr>
        <w:tabs>
          <w:tab w:val="left" w:pos="240"/>
        </w:tabs>
        <w:spacing w:line="360" w:lineRule="auto"/>
        <w:ind w:left="-120" w:leftChars="-57" w:firstLine="480" w:firstLineChars="200"/>
        <w:rPr>
          <w:rFonts w:ascii="宋体" w:hAnsi="宋体"/>
          <w:sz w:val="24"/>
        </w:rPr>
      </w:pPr>
      <w:r>
        <w:rPr>
          <w:rFonts w:hint="eastAsia" w:ascii="宋体" w:hAnsi="宋体"/>
          <w:sz w:val="24"/>
        </w:rPr>
        <w:t>15.1.1未成交供应商：自成交通知书发出之日起5个工作日内退还未成交供应商的磋商保证金，无需亲自前来办理；</w:t>
      </w:r>
    </w:p>
    <w:p w14:paraId="082C1C6E">
      <w:pPr>
        <w:tabs>
          <w:tab w:val="left" w:pos="240"/>
        </w:tabs>
        <w:spacing w:line="360" w:lineRule="auto"/>
        <w:ind w:left="-120" w:leftChars="-57" w:firstLine="480" w:firstLineChars="200"/>
        <w:rPr>
          <w:rFonts w:ascii="宋体" w:hAnsi="宋体"/>
          <w:sz w:val="24"/>
        </w:rPr>
      </w:pPr>
      <w:r>
        <w:rPr>
          <w:rFonts w:hint="eastAsia" w:ascii="宋体" w:hAnsi="宋体"/>
          <w:sz w:val="24"/>
        </w:rPr>
        <w:t>15.1.2成交供应商：自采购合同签订之日起5个工作日内退还成交供应商的磋商保证金。（须携带合同原件、合同复印件（加盖单位鲜章）各一份，同时将合同扫描件发送至联系人邮箱），但因成交供应商自身原因导致无法及时退还的除外。</w:t>
      </w:r>
    </w:p>
    <w:p w14:paraId="1385AB2C">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15.2服务费缴纳：领取成交通知书前，成交供应商须缴纳足额的成交服务费（支付方式：银行转账或现金）。</w:t>
      </w:r>
    </w:p>
    <w:p w14:paraId="6B30EF24">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成交服务费查询请联系：029-81169855</w:t>
      </w:r>
    </w:p>
    <w:p w14:paraId="07283914">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15.3有下列情况之一的，采购代理机构不予退还其交纳的磋商保证金；情节严重的，由财政部门将其列入不良行为记录名单，在一至三年内禁止参加政府采购活动，并予以通报； </w:t>
      </w:r>
    </w:p>
    <w:p w14:paraId="741096E5">
      <w:pPr>
        <w:tabs>
          <w:tab w:val="left" w:pos="240"/>
        </w:tabs>
        <w:spacing w:line="360" w:lineRule="auto"/>
        <w:ind w:left="-120" w:leftChars="-57" w:firstLine="480" w:firstLineChars="200"/>
        <w:rPr>
          <w:rFonts w:ascii="宋体" w:hAnsi="宋体"/>
          <w:sz w:val="24"/>
        </w:rPr>
      </w:pPr>
      <w:r>
        <w:rPr>
          <w:rFonts w:hint="eastAsia" w:ascii="宋体" w:hAnsi="宋体"/>
          <w:sz w:val="24"/>
        </w:rPr>
        <w:t>15.3.1磋商后在磋商文件规定的响应有效期间，供应商撤回其响应文件的；</w:t>
      </w:r>
    </w:p>
    <w:p w14:paraId="4389098E">
      <w:pPr>
        <w:tabs>
          <w:tab w:val="left" w:pos="240"/>
        </w:tabs>
        <w:spacing w:line="360" w:lineRule="auto"/>
        <w:ind w:left="-120" w:leftChars="-57" w:firstLine="480" w:firstLineChars="200"/>
        <w:rPr>
          <w:rFonts w:ascii="宋体" w:hAnsi="宋体"/>
          <w:sz w:val="24"/>
        </w:rPr>
      </w:pPr>
      <w:r>
        <w:rPr>
          <w:rFonts w:hint="eastAsia" w:ascii="宋体" w:hAnsi="宋体"/>
          <w:sz w:val="24"/>
        </w:rPr>
        <w:t>15.3.2成交供应商无正当理由不与采购人签订合同的；</w:t>
      </w:r>
    </w:p>
    <w:p w14:paraId="46D6895B">
      <w:pPr>
        <w:tabs>
          <w:tab w:val="left" w:pos="240"/>
        </w:tabs>
        <w:spacing w:line="360" w:lineRule="auto"/>
        <w:ind w:left="-120" w:leftChars="-57" w:firstLine="480" w:firstLineChars="200"/>
        <w:rPr>
          <w:rFonts w:ascii="宋体" w:hAnsi="宋体"/>
          <w:sz w:val="24"/>
        </w:rPr>
      </w:pPr>
      <w:r>
        <w:rPr>
          <w:rFonts w:hint="eastAsia" w:ascii="宋体" w:hAnsi="宋体"/>
          <w:sz w:val="24"/>
        </w:rPr>
        <w:t>15.3.3成交供应商将成交项目转让给他人，或者在响应文件中未说明，且未经采购人同意，将成交项目分包给他人的；</w:t>
      </w:r>
    </w:p>
    <w:p w14:paraId="3033E824">
      <w:pPr>
        <w:tabs>
          <w:tab w:val="left" w:pos="240"/>
        </w:tabs>
        <w:spacing w:line="360" w:lineRule="auto"/>
        <w:ind w:left="-120" w:leftChars="-57" w:firstLine="480" w:firstLineChars="200"/>
        <w:rPr>
          <w:rFonts w:ascii="宋体" w:hAnsi="宋体"/>
          <w:sz w:val="24"/>
        </w:rPr>
      </w:pPr>
      <w:r>
        <w:rPr>
          <w:rFonts w:hint="eastAsia" w:ascii="宋体" w:hAnsi="宋体"/>
          <w:sz w:val="24"/>
        </w:rPr>
        <w:t>15.3.4成交供应商拒绝履行合同义务的；</w:t>
      </w:r>
    </w:p>
    <w:p w14:paraId="6D4623FE">
      <w:pPr>
        <w:tabs>
          <w:tab w:val="left" w:pos="240"/>
        </w:tabs>
        <w:spacing w:line="360" w:lineRule="auto"/>
        <w:ind w:left="-120" w:leftChars="-57" w:firstLine="480" w:firstLineChars="200"/>
        <w:rPr>
          <w:rFonts w:ascii="宋体" w:hAnsi="宋体"/>
          <w:sz w:val="24"/>
        </w:rPr>
      </w:pPr>
      <w:r>
        <w:rPr>
          <w:rFonts w:hint="eastAsia" w:ascii="宋体" w:hAnsi="宋体"/>
          <w:sz w:val="24"/>
        </w:rPr>
        <w:t>15.3.5成交供应商未按时缴付成交服务费的；</w:t>
      </w:r>
    </w:p>
    <w:p w14:paraId="6DA6B90D">
      <w:pPr>
        <w:tabs>
          <w:tab w:val="left" w:pos="240"/>
        </w:tabs>
        <w:spacing w:line="360" w:lineRule="auto"/>
        <w:ind w:left="-120" w:leftChars="-57" w:firstLine="480" w:firstLineChars="200"/>
        <w:rPr>
          <w:rFonts w:ascii="宋体" w:hAnsi="宋体"/>
          <w:sz w:val="24"/>
        </w:rPr>
      </w:pPr>
      <w:r>
        <w:rPr>
          <w:rFonts w:hint="eastAsia" w:ascii="宋体" w:hAnsi="宋体"/>
          <w:sz w:val="24"/>
        </w:rPr>
        <w:t>15.3.6由于成交供应商的原因导致成交无效的。</w:t>
      </w:r>
    </w:p>
    <w:p w14:paraId="61D3A82B">
      <w:pPr>
        <w:tabs>
          <w:tab w:val="left" w:pos="240"/>
        </w:tabs>
        <w:spacing w:line="360" w:lineRule="auto"/>
        <w:ind w:left="-120" w:leftChars="-57" w:firstLine="480" w:firstLineChars="200"/>
        <w:rPr>
          <w:rFonts w:ascii="宋体" w:hAnsi="宋体"/>
          <w:sz w:val="24"/>
        </w:rPr>
      </w:pPr>
      <w:r>
        <w:rPr>
          <w:rFonts w:hint="eastAsia" w:ascii="宋体" w:hAnsi="宋体"/>
          <w:sz w:val="24"/>
        </w:rPr>
        <w:t>15.4政府采购信用担保及信用融资政策</w:t>
      </w:r>
    </w:p>
    <w:p w14:paraId="231AA10C">
      <w:pPr>
        <w:tabs>
          <w:tab w:val="left" w:pos="240"/>
        </w:tabs>
        <w:spacing w:line="360" w:lineRule="auto"/>
        <w:ind w:left="-120" w:leftChars="-57" w:firstLine="480" w:firstLineChars="200"/>
        <w:rPr>
          <w:rFonts w:ascii="宋体" w:hAnsi="宋体"/>
          <w:sz w:val="24"/>
        </w:rPr>
      </w:pPr>
      <w:r>
        <w:rPr>
          <w:rFonts w:hint="eastAsia" w:ascii="宋体" w:hAnsi="宋体"/>
          <w:sz w:val="24"/>
        </w:rPr>
        <w:t>支持和促进中小企业发展，进一步发挥政府采购政策功能作用，有效缓解中小企业融资难、融资贵问题，根据《政府采购促进中小企业发展管理办法》（财库〔2020〕46号）及陕西省财政厅关于印发《陕西省中小企业政府采购信用融资办法》陕财办采〔2018〕23号规定，有需要的供应商可自行决定是否参加，并按信用融资办法的相关程序申请办理。</w:t>
      </w:r>
    </w:p>
    <w:p w14:paraId="58C2FB70">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16.响应文件的有效期</w:t>
      </w:r>
    </w:p>
    <w:p w14:paraId="62FA40FA">
      <w:pPr>
        <w:tabs>
          <w:tab w:val="left" w:pos="240"/>
        </w:tabs>
        <w:spacing w:line="360" w:lineRule="auto"/>
        <w:ind w:left="-120" w:leftChars="-57" w:firstLine="480" w:firstLineChars="200"/>
        <w:rPr>
          <w:rFonts w:ascii="宋体" w:hAnsi="宋体"/>
          <w:sz w:val="24"/>
        </w:rPr>
      </w:pPr>
      <w:r>
        <w:rPr>
          <w:rFonts w:hint="eastAsia" w:ascii="宋体" w:hAnsi="宋体"/>
          <w:sz w:val="24"/>
        </w:rPr>
        <w:t>响应文件有效期为自磋商之日起算90个日历日；响应文件无有效期或有效期短于磋商文件规定的有效期，按无效响应文件处理。成交供应商的响应文件有效期延长至合同执行完毕。</w:t>
      </w:r>
    </w:p>
    <w:p w14:paraId="603EE4CF">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17.响应文件的签署及规定</w:t>
      </w:r>
    </w:p>
    <w:p w14:paraId="4E595508">
      <w:pPr>
        <w:tabs>
          <w:tab w:val="left" w:pos="240"/>
        </w:tabs>
        <w:spacing w:line="360" w:lineRule="auto"/>
        <w:ind w:left="-120" w:leftChars="-57" w:firstLine="480" w:firstLineChars="200"/>
        <w:rPr>
          <w:rFonts w:ascii="宋体" w:hAnsi="宋体"/>
          <w:sz w:val="24"/>
        </w:rPr>
      </w:pPr>
      <w:r>
        <w:rPr>
          <w:rFonts w:hint="eastAsia" w:ascii="宋体" w:hAnsi="宋体"/>
          <w:sz w:val="24"/>
        </w:rPr>
        <w:t>17.1供应商须依据磋商文件内容和响应文件的要求编制响应文件；</w:t>
      </w:r>
    </w:p>
    <w:p w14:paraId="6742733E">
      <w:pPr>
        <w:tabs>
          <w:tab w:val="left" w:pos="240"/>
        </w:tabs>
        <w:spacing w:line="360" w:lineRule="auto"/>
        <w:ind w:left="-120" w:leftChars="-57" w:firstLine="480" w:firstLineChars="200"/>
        <w:rPr>
          <w:rFonts w:ascii="宋体" w:hAnsi="宋体"/>
          <w:sz w:val="24"/>
        </w:rPr>
      </w:pPr>
      <w:r>
        <w:rPr>
          <w:rFonts w:hint="eastAsia" w:ascii="宋体" w:hAnsi="宋体"/>
          <w:sz w:val="24"/>
        </w:rPr>
        <w:t>17.2本次磋商需提交的响应文件详见供应商须知前附表中规定的要求。</w:t>
      </w:r>
    </w:p>
    <w:p w14:paraId="1ABA8573">
      <w:pPr>
        <w:tabs>
          <w:tab w:val="left" w:pos="240"/>
        </w:tabs>
        <w:spacing w:line="360" w:lineRule="auto"/>
        <w:ind w:left="-120" w:leftChars="-57" w:firstLine="480" w:firstLineChars="200"/>
        <w:rPr>
          <w:rFonts w:ascii="宋体" w:hAnsi="宋体"/>
          <w:sz w:val="24"/>
        </w:rPr>
      </w:pPr>
      <w:r>
        <w:rPr>
          <w:rFonts w:hint="eastAsia" w:ascii="宋体" w:hAnsi="宋体"/>
          <w:sz w:val="24"/>
        </w:rPr>
        <w:t>17.3供应商在响应文件中指定的页面落款处，必须按磋商文件要求加盖公章或签字；</w:t>
      </w:r>
    </w:p>
    <w:p w14:paraId="56E8A623">
      <w:pPr>
        <w:tabs>
          <w:tab w:val="left" w:pos="240"/>
        </w:tabs>
        <w:spacing w:line="360" w:lineRule="auto"/>
        <w:ind w:left="-120" w:leftChars="-57" w:firstLine="480" w:firstLineChars="200"/>
        <w:rPr>
          <w:rFonts w:ascii="宋体" w:hAnsi="宋体"/>
          <w:sz w:val="24"/>
        </w:rPr>
      </w:pPr>
      <w:r>
        <w:rPr>
          <w:rFonts w:hint="eastAsia" w:ascii="宋体" w:hAnsi="宋体"/>
          <w:sz w:val="24"/>
        </w:rPr>
        <w:t>17.4供应商名称应填写全称，同时加盖公章；</w:t>
      </w:r>
    </w:p>
    <w:p w14:paraId="67801B35">
      <w:pPr>
        <w:tabs>
          <w:tab w:val="left" w:pos="240"/>
        </w:tabs>
        <w:spacing w:line="360" w:lineRule="auto"/>
        <w:ind w:left="-120" w:leftChars="-57" w:firstLine="480" w:firstLineChars="200"/>
        <w:rPr>
          <w:rFonts w:ascii="宋体" w:hAnsi="宋体"/>
          <w:sz w:val="24"/>
        </w:rPr>
      </w:pPr>
      <w:r>
        <w:rPr>
          <w:rFonts w:hint="eastAsia" w:ascii="宋体" w:hAnsi="宋体"/>
          <w:sz w:val="24"/>
        </w:rPr>
        <w:t>17.5响应文件的任何行间插字、涂改和增删，必须由法定代表人或被授权人在改动处旁签字方为有效；</w:t>
      </w:r>
    </w:p>
    <w:p w14:paraId="28B6E913">
      <w:pPr>
        <w:tabs>
          <w:tab w:val="left" w:pos="240"/>
        </w:tabs>
        <w:spacing w:line="360" w:lineRule="auto"/>
        <w:ind w:left="-120" w:leftChars="-57" w:firstLine="480" w:firstLineChars="200"/>
        <w:rPr>
          <w:rFonts w:ascii="宋体" w:hAnsi="宋体"/>
          <w:sz w:val="24"/>
        </w:rPr>
      </w:pPr>
      <w:r>
        <w:rPr>
          <w:rFonts w:hint="eastAsia" w:ascii="宋体" w:hAnsi="宋体"/>
          <w:sz w:val="24"/>
        </w:rPr>
        <w:t>17.6响应文件因字迹潦草或表达不清所引起的后果由供应商负责。</w:t>
      </w:r>
    </w:p>
    <w:p w14:paraId="3A8D1904">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17.7为倡导节约用纸，规范响应文件编制，文件应采用双面打印或复印，为避免个别供应商过于追求文件厚度而采用二号等超大号字体、超大字间距及行距等：</w:t>
      </w:r>
    </w:p>
    <w:p w14:paraId="6AE6DD0F">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17.7.1响应文件（除特殊规格的图纸外）统一按照A4规格纸张制作；</w:t>
      </w:r>
    </w:p>
    <w:p w14:paraId="6A889711">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17.7.2建议正文字体大小采用小四或不超过四号字体编制、小标题字体大小合理设置；</w:t>
      </w:r>
    </w:p>
    <w:p w14:paraId="6F6B82B5">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17.7.3合理设置段落间距，建议正文行距不超过2倍、段前段后不超过1行。</w:t>
      </w:r>
    </w:p>
    <w:p w14:paraId="5F79B4C0">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17.7.4响应文件超过200页应编制书脊，书脊内容包括但不限于项目编号+供应商名称。</w:t>
      </w:r>
    </w:p>
    <w:p w14:paraId="1DD92C02">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18.文字要求</w:t>
      </w:r>
    </w:p>
    <w:p w14:paraId="20CE38E3">
      <w:pPr>
        <w:tabs>
          <w:tab w:val="left" w:pos="240"/>
        </w:tabs>
        <w:spacing w:line="360" w:lineRule="auto"/>
        <w:ind w:left="-120" w:leftChars="-57" w:firstLine="480" w:firstLineChars="200"/>
        <w:rPr>
          <w:rFonts w:ascii="宋体" w:hAnsi="宋体"/>
          <w:sz w:val="24"/>
        </w:rPr>
      </w:pPr>
      <w:r>
        <w:rPr>
          <w:rFonts w:hint="eastAsia" w:ascii="宋体" w:hAnsi="宋体"/>
          <w:sz w:val="24"/>
        </w:rPr>
        <w:t>本次磋商只接受简体中文文字的响应文件。</w:t>
      </w:r>
    </w:p>
    <w:p w14:paraId="7D0F911C">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五、响应文件封装、递交</w:t>
      </w:r>
    </w:p>
    <w:p w14:paraId="0D616568">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19.响应文件的封装及标记</w:t>
      </w:r>
    </w:p>
    <w:p w14:paraId="5F72A4EE">
      <w:pPr>
        <w:tabs>
          <w:tab w:val="left" w:pos="240"/>
        </w:tabs>
        <w:spacing w:line="360" w:lineRule="auto"/>
        <w:ind w:left="-120" w:leftChars="-57" w:firstLine="480" w:firstLineChars="200"/>
        <w:rPr>
          <w:rFonts w:ascii="宋体" w:hAnsi="宋体"/>
          <w:sz w:val="24"/>
        </w:rPr>
      </w:pPr>
      <w:r>
        <w:rPr>
          <w:rFonts w:hint="eastAsia" w:ascii="宋体" w:hAnsi="宋体"/>
          <w:sz w:val="24"/>
        </w:rPr>
        <w:t>19.1响应文件封装：</w:t>
      </w:r>
    </w:p>
    <w:p w14:paraId="360CB013">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19.1.1供应商应将响应文件的正本、副本、电子版响应文件，用单独的封袋分装密封（封袋不得有破损），在封袋上标明“正本”、“副本”及“电子版响应文件”字样，封袋正面要粘贴标识并加盖供应商公章。响应文件正本中的法人授权书须为原件，其他资格条件证明文件为复印件加盖供应商公章；响应文件副本可以为正本的复印件； </w:t>
      </w:r>
    </w:p>
    <w:p w14:paraId="5E589D2F">
      <w:pPr>
        <w:tabs>
          <w:tab w:val="left" w:pos="240"/>
        </w:tabs>
        <w:spacing w:line="360" w:lineRule="auto"/>
        <w:ind w:left="-120" w:leftChars="-57" w:firstLine="480" w:firstLineChars="200"/>
        <w:rPr>
          <w:rFonts w:ascii="宋体" w:hAnsi="宋体"/>
          <w:sz w:val="24"/>
        </w:rPr>
      </w:pPr>
      <w:r>
        <w:rPr>
          <w:rFonts w:hint="eastAsia" w:ascii="宋体" w:hAnsi="宋体"/>
          <w:sz w:val="24"/>
        </w:rPr>
        <w:t>19.1.2封袋正面标识式样（参见格式）。</w:t>
      </w:r>
    </w:p>
    <w:p w14:paraId="771C2DD8">
      <w:pPr>
        <w:tabs>
          <w:tab w:val="left" w:pos="240"/>
        </w:tabs>
        <w:spacing w:line="360" w:lineRule="auto"/>
        <w:ind w:left="-120" w:leftChars="-57" w:firstLine="480" w:firstLineChars="200"/>
        <w:rPr>
          <w:rFonts w:ascii="宋体" w:hAnsi="宋体"/>
          <w:sz w:val="24"/>
        </w:rPr>
      </w:pPr>
      <w:r>
        <w:rPr>
          <w:rFonts w:hint="eastAsia" w:ascii="宋体" w:hAnsi="宋体"/>
          <w:sz w:val="24"/>
        </w:rPr>
        <w:t>19.2如果供应商未按上述要求密封及加写标记的响应文件、误投、过早启封的响应文件，采购代理机构将拒绝接收，并退回供应商。采购代理机构对响应文件的误投和提前启封概不负责。</w:t>
      </w:r>
    </w:p>
    <w:p w14:paraId="648FCC1C">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20.响应文件递交</w:t>
      </w:r>
    </w:p>
    <w:p w14:paraId="6A4698ED">
      <w:pPr>
        <w:tabs>
          <w:tab w:val="left" w:pos="240"/>
        </w:tabs>
        <w:spacing w:line="360" w:lineRule="auto"/>
        <w:ind w:left="-120" w:leftChars="-57" w:firstLine="480" w:firstLineChars="200"/>
        <w:rPr>
          <w:rFonts w:ascii="宋体" w:hAnsi="宋体"/>
          <w:sz w:val="24"/>
        </w:rPr>
      </w:pPr>
      <w:r>
        <w:rPr>
          <w:rFonts w:hint="eastAsia" w:ascii="宋体" w:hAnsi="宋体"/>
          <w:sz w:val="24"/>
        </w:rPr>
        <w:t>20.1供应商必须在磋商文件规定的时间和地点，将全部响应文件递交至磋商现场；</w:t>
      </w:r>
    </w:p>
    <w:p w14:paraId="1269C3E3">
      <w:pPr>
        <w:tabs>
          <w:tab w:val="left" w:pos="240"/>
        </w:tabs>
        <w:spacing w:line="360" w:lineRule="auto"/>
        <w:ind w:left="-120" w:leftChars="-57" w:firstLine="480" w:firstLineChars="200"/>
        <w:rPr>
          <w:rFonts w:ascii="宋体" w:hAnsi="宋体"/>
          <w:sz w:val="24"/>
        </w:rPr>
      </w:pPr>
      <w:r>
        <w:rPr>
          <w:rFonts w:hint="eastAsia" w:ascii="宋体" w:hAnsi="宋体"/>
          <w:sz w:val="24"/>
        </w:rPr>
        <w:t>20.2采购代理机构项目负责人在磋商文件规定的响应文件递交截止时间前，只负责响应文件的接收、清点、造册登记工作，并请法定代表人或被授权人签字确认，对其有效性不负任何责任；</w:t>
      </w:r>
    </w:p>
    <w:p w14:paraId="2D1F3510">
      <w:pPr>
        <w:tabs>
          <w:tab w:val="left" w:pos="240"/>
        </w:tabs>
        <w:spacing w:line="360" w:lineRule="auto"/>
        <w:ind w:left="-120" w:leftChars="-57" w:firstLine="480" w:firstLineChars="200"/>
        <w:rPr>
          <w:rFonts w:ascii="宋体" w:hAnsi="宋体"/>
          <w:sz w:val="24"/>
        </w:rPr>
      </w:pPr>
      <w:r>
        <w:rPr>
          <w:rFonts w:hint="eastAsia" w:ascii="宋体" w:hAnsi="宋体"/>
          <w:sz w:val="24"/>
        </w:rPr>
        <w:t>20.3采购代理机构在宣布递交响应文件时间截止之后，拒绝接收任何人送达、递交的响应文件；</w:t>
      </w:r>
    </w:p>
    <w:p w14:paraId="2C2E2692">
      <w:pPr>
        <w:tabs>
          <w:tab w:val="left" w:pos="240"/>
        </w:tabs>
        <w:spacing w:line="360" w:lineRule="auto"/>
        <w:ind w:left="-120" w:leftChars="-57" w:firstLine="480" w:firstLineChars="200"/>
        <w:rPr>
          <w:rFonts w:ascii="宋体" w:hAnsi="宋体"/>
          <w:sz w:val="24"/>
        </w:rPr>
      </w:pPr>
      <w:r>
        <w:rPr>
          <w:rFonts w:hint="eastAsia" w:ascii="宋体" w:hAnsi="宋体"/>
          <w:sz w:val="24"/>
        </w:rPr>
        <w:t>20.4无论供应商成交与否或者废标，其响应文件恕不退还。</w:t>
      </w:r>
    </w:p>
    <w:p w14:paraId="5E2D7900">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21.响应文件截止时间</w:t>
      </w:r>
    </w:p>
    <w:p w14:paraId="703A3E0C">
      <w:pPr>
        <w:tabs>
          <w:tab w:val="left" w:pos="240"/>
        </w:tabs>
        <w:spacing w:line="360" w:lineRule="auto"/>
        <w:ind w:left="-120" w:leftChars="-57" w:firstLine="480" w:firstLineChars="200"/>
        <w:rPr>
          <w:rFonts w:ascii="宋体" w:hAnsi="宋体"/>
          <w:sz w:val="24"/>
        </w:rPr>
      </w:pPr>
      <w:r>
        <w:rPr>
          <w:rFonts w:hint="eastAsia" w:ascii="宋体" w:hAnsi="宋体"/>
          <w:sz w:val="24"/>
        </w:rPr>
        <w:t>21.1供应商必须在磋商文件规定的递交截止时间之前递交响应文件，采购代理机构在截止时间后拒绝接收任何响应文件。</w:t>
      </w:r>
    </w:p>
    <w:p w14:paraId="3767219B">
      <w:pPr>
        <w:tabs>
          <w:tab w:val="left" w:pos="240"/>
        </w:tabs>
        <w:spacing w:line="360" w:lineRule="auto"/>
        <w:ind w:left="-120" w:leftChars="-57" w:firstLine="480" w:firstLineChars="200"/>
        <w:rPr>
          <w:rFonts w:ascii="宋体" w:hAnsi="宋体"/>
          <w:sz w:val="24"/>
        </w:rPr>
      </w:pPr>
      <w:r>
        <w:rPr>
          <w:rFonts w:hint="eastAsia" w:ascii="宋体" w:hAnsi="宋体"/>
          <w:sz w:val="24"/>
        </w:rPr>
        <w:t>21.2采购代理机构因采购人推迟磋商截止时间时，应以书面的形式，通知所有供应商；在这种情况下，采购代理机构和供应商的权利和义务将受到新的截止期的约束。</w:t>
      </w:r>
    </w:p>
    <w:p w14:paraId="37EED84C">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22.响应文件的修改和撤回</w:t>
      </w:r>
    </w:p>
    <w:p w14:paraId="37AD874B">
      <w:pPr>
        <w:tabs>
          <w:tab w:val="left" w:pos="240"/>
        </w:tabs>
        <w:spacing w:line="360" w:lineRule="auto"/>
        <w:ind w:left="-120" w:leftChars="-57" w:firstLine="480" w:firstLineChars="200"/>
        <w:rPr>
          <w:rFonts w:ascii="宋体" w:hAnsi="宋体"/>
          <w:sz w:val="24"/>
        </w:rPr>
      </w:pPr>
      <w:r>
        <w:rPr>
          <w:rFonts w:hint="eastAsia" w:ascii="宋体" w:hAnsi="宋体"/>
          <w:sz w:val="24"/>
        </w:rPr>
        <w:t>22.1响应文件递交后，如果供应商提出书面修改和撤回响应文件要求，在截止时间前以书面形式送达采购代理机构；</w:t>
      </w:r>
    </w:p>
    <w:p w14:paraId="3D22E9AE">
      <w:pPr>
        <w:tabs>
          <w:tab w:val="left" w:pos="240"/>
        </w:tabs>
        <w:spacing w:line="360" w:lineRule="auto"/>
        <w:ind w:left="-120" w:leftChars="-57" w:firstLine="480" w:firstLineChars="200"/>
        <w:rPr>
          <w:rFonts w:ascii="宋体" w:hAnsi="宋体"/>
          <w:sz w:val="24"/>
        </w:rPr>
      </w:pPr>
      <w:r>
        <w:rPr>
          <w:rFonts w:hint="eastAsia" w:ascii="宋体" w:hAnsi="宋体"/>
          <w:sz w:val="24"/>
        </w:rPr>
        <w:t>22.2供应商修改响应文件的书面材料，须密封送达采购代理机构，修改或补充的内容应按磋商文件要求签署、盖章、密封、标记，并作为响应文件的组成部分；</w:t>
      </w:r>
    </w:p>
    <w:p w14:paraId="0D598F4E">
      <w:pPr>
        <w:tabs>
          <w:tab w:val="left" w:pos="240"/>
        </w:tabs>
        <w:spacing w:line="360" w:lineRule="auto"/>
        <w:ind w:left="-120" w:leftChars="-57" w:firstLine="480" w:firstLineChars="200"/>
        <w:rPr>
          <w:rFonts w:ascii="宋体" w:hAnsi="宋体"/>
          <w:sz w:val="24"/>
        </w:rPr>
      </w:pPr>
      <w:r>
        <w:rPr>
          <w:rFonts w:hint="eastAsia" w:ascii="宋体" w:hAnsi="宋体"/>
          <w:sz w:val="24"/>
        </w:rPr>
        <w:t>22.3撤回响应文件应以书面的形式通知采购代理机构。采取书面形式撤回磋商响应文件，随后必须补充有法定代表人或被授权人签署的要求撤回磋商响应文件的正式文件；撤回磋商响应文件的时间以送达采购代理机构到达日期为准；</w:t>
      </w:r>
    </w:p>
    <w:p w14:paraId="0BD58455">
      <w:pPr>
        <w:tabs>
          <w:tab w:val="left" w:pos="240"/>
        </w:tabs>
        <w:spacing w:line="360" w:lineRule="auto"/>
        <w:ind w:left="-120" w:leftChars="-57" w:firstLine="480" w:firstLineChars="200"/>
        <w:rPr>
          <w:rFonts w:ascii="宋体" w:hAnsi="宋体"/>
          <w:sz w:val="24"/>
        </w:rPr>
      </w:pPr>
      <w:r>
        <w:rPr>
          <w:rFonts w:hint="eastAsia" w:ascii="宋体" w:hAnsi="宋体"/>
          <w:sz w:val="24"/>
        </w:rPr>
        <w:t>22.4在磋商截止时间后到磋商文件规定的磋商有效期满之间的这段时间内，供应商不得撤回其响应文件；</w:t>
      </w:r>
    </w:p>
    <w:p w14:paraId="69246686">
      <w:pPr>
        <w:tabs>
          <w:tab w:val="left" w:pos="240"/>
        </w:tabs>
        <w:spacing w:line="360" w:lineRule="auto"/>
        <w:ind w:left="-120" w:leftChars="-57" w:firstLine="480" w:firstLineChars="200"/>
        <w:rPr>
          <w:rFonts w:ascii="宋体" w:hAnsi="宋体"/>
          <w:sz w:val="24"/>
        </w:rPr>
      </w:pPr>
      <w:r>
        <w:rPr>
          <w:rFonts w:hint="eastAsia" w:ascii="宋体" w:hAnsi="宋体"/>
          <w:sz w:val="24"/>
        </w:rPr>
        <w:t>22.5供应商在响应文件递交截止时间后，不得对其响应文件做任何修改。</w:t>
      </w:r>
    </w:p>
    <w:p w14:paraId="583CEDD0">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六、磋商、澄清、成交</w:t>
      </w:r>
    </w:p>
    <w:p w14:paraId="1A43797C">
      <w:pPr>
        <w:tabs>
          <w:tab w:val="left" w:pos="240"/>
        </w:tabs>
        <w:spacing w:line="360" w:lineRule="auto"/>
        <w:ind w:left="-120" w:leftChars="-57" w:firstLine="482" w:firstLineChars="200"/>
        <w:rPr>
          <w:rFonts w:ascii="宋体" w:hAnsi="宋体"/>
          <w:sz w:val="24"/>
        </w:rPr>
      </w:pPr>
      <w:r>
        <w:rPr>
          <w:rFonts w:hint="eastAsia" w:ascii="宋体" w:hAnsi="宋体"/>
          <w:b/>
          <w:bCs/>
          <w:sz w:val="24"/>
          <w:u w:val="single"/>
        </w:rPr>
        <w:t>详见磋商文件第四部分。</w:t>
      </w:r>
    </w:p>
    <w:p w14:paraId="792CF5D8">
      <w:pPr>
        <w:tabs>
          <w:tab w:val="left" w:pos="240"/>
        </w:tabs>
        <w:spacing w:line="360" w:lineRule="auto"/>
        <w:ind w:left="-120" w:leftChars="-57" w:firstLine="482" w:firstLineChars="200"/>
        <w:rPr>
          <w:rFonts w:ascii="宋体" w:hAnsi="宋体"/>
          <w:b/>
          <w:bCs/>
          <w:sz w:val="24"/>
          <w:highlight w:val="none"/>
        </w:rPr>
      </w:pPr>
      <w:r>
        <w:rPr>
          <w:rFonts w:hint="eastAsia" w:ascii="宋体" w:hAnsi="宋体"/>
          <w:b/>
          <w:bCs/>
          <w:sz w:val="24"/>
          <w:highlight w:val="none"/>
        </w:rPr>
        <w:t>七、签订合同</w:t>
      </w:r>
    </w:p>
    <w:p w14:paraId="2CCFAD4A">
      <w:pPr>
        <w:tabs>
          <w:tab w:val="left" w:pos="240"/>
        </w:tabs>
        <w:spacing w:line="360" w:lineRule="auto"/>
        <w:ind w:left="-120" w:leftChars="-57" w:firstLine="480" w:firstLineChars="200"/>
        <w:rPr>
          <w:rFonts w:ascii="宋体" w:hAnsi="宋体"/>
          <w:sz w:val="24"/>
          <w:highlight w:val="none"/>
        </w:rPr>
      </w:pPr>
      <w:r>
        <w:rPr>
          <w:rFonts w:hint="eastAsia" w:ascii="宋体" w:hAnsi="宋体"/>
          <w:sz w:val="24"/>
          <w:highlight w:val="none"/>
        </w:rPr>
        <w:t>23.磋商文件、磋商文件的修改、补充文件,成交供应商的响应文件、补充或修改的文件及澄清或承诺文件等，均为双方签订《合同》的组成部分,并与《合同》一并作为本磋商文件所列采购项目的互补性法律文件,与《合同》具有同等法律效力。</w:t>
      </w:r>
    </w:p>
    <w:p w14:paraId="61C7C949">
      <w:pPr>
        <w:tabs>
          <w:tab w:val="left" w:pos="240"/>
        </w:tabs>
        <w:spacing w:line="360" w:lineRule="auto"/>
        <w:ind w:left="-120" w:leftChars="-57" w:firstLine="480" w:firstLineChars="200"/>
        <w:rPr>
          <w:rFonts w:ascii="宋体" w:hAnsi="宋体"/>
          <w:sz w:val="24"/>
          <w:highlight w:val="none"/>
        </w:rPr>
      </w:pPr>
      <w:r>
        <w:rPr>
          <w:rFonts w:hint="eastAsia" w:ascii="宋体" w:hAnsi="宋体"/>
          <w:sz w:val="24"/>
          <w:highlight w:val="none"/>
        </w:rPr>
        <w:t>24.采购人和成交供应商应当自成交通知书发出之日起</w:t>
      </w:r>
      <w:r>
        <w:rPr>
          <w:rFonts w:hint="eastAsia" w:ascii="宋体" w:hAnsi="宋体"/>
          <w:sz w:val="24"/>
          <w:highlight w:val="none"/>
          <w:lang w:val="en-US" w:eastAsia="zh-CN"/>
        </w:rPr>
        <w:t>25</w:t>
      </w:r>
      <w:r>
        <w:rPr>
          <w:rFonts w:hint="eastAsia" w:ascii="宋体" w:hAnsi="宋体"/>
          <w:sz w:val="24"/>
          <w:highlight w:val="none"/>
        </w:rPr>
        <w:t>个日历日内,根据磋商文件确定的事项和成交供应商的响应文件,参照本磋商文件《合同范本》订立书面合同。合同的标的、价款、质量、履行期限等主要条款应当与磋商文件和成交供应商的响应文件内容一致。 采购人或成交供应商不得拒绝或拖延与另一方签订合同,采购人和成交供应商不得再行订立背离磋商文件、响应文件实质性内容的其他协议或其他附加条件。</w:t>
      </w:r>
    </w:p>
    <w:p w14:paraId="0C5B86E0">
      <w:pPr>
        <w:tabs>
          <w:tab w:val="left" w:pos="240"/>
        </w:tabs>
        <w:spacing w:line="360" w:lineRule="auto"/>
        <w:ind w:left="-120" w:leftChars="-57" w:firstLine="480" w:firstLineChars="200"/>
        <w:rPr>
          <w:rFonts w:ascii="宋体" w:hAnsi="宋体"/>
          <w:sz w:val="24"/>
          <w:highlight w:val="none"/>
        </w:rPr>
      </w:pPr>
      <w:r>
        <w:rPr>
          <w:rFonts w:hint="eastAsia" w:ascii="宋体" w:hAnsi="宋体"/>
          <w:sz w:val="24"/>
          <w:highlight w:val="none"/>
        </w:rPr>
        <w:t>25.政府采购合同履行中，采购人需追加与合同标的相同的货物、工程或者服务的，在不改变合同其他条款的前提下，可以根据相关政策法规与成交供应商协商签订补充合同。</w:t>
      </w:r>
    </w:p>
    <w:p w14:paraId="1F292044">
      <w:pPr>
        <w:tabs>
          <w:tab w:val="left" w:pos="240"/>
        </w:tabs>
        <w:spacing w:line="360" w:lineRule="auto"/>
        <w:ind w:left="-120" w:leftChars="-57" w:firstLine="480" w:firstLineChars="200"/>
        <w:rPr>
          <w:rFonts w:ascii="宋体" w:hAnsi="宋体"/>
          <w:sz w:val="24"/>
        </w:rPr>
      </w:pPr>
      <w:r>
        <w:rPr>
          <w:rFonts w:hint="eastAsia" w:ascii="宋体" w:hAnsi="宋体"/>
          <w:sz w:val="24"/>
        </w:rPr>
        <w:t>26.成交供应商无正当理由拒签合同的,或接到成交通知书后在规定的时间内,借故拖延、拒签合同者,采购人取消其成交资格,其磋商保证金不予退还；给采购人造成的损失超过磋商保证金数额的, 成交供应商还应当对超过部分予以赔偿。同时报请政府采购监督机构通报全省,取消其进入政府采购市场的资格,并按规定予以处罚。</w:t>
      </w:r>
    </w:p>
    <w:p w14:paraId="04701A0A">
      <w:pPr>
        <w:tabs>
          <w:tab w:val="left" w:pos="240"/>
        </w:tabs>
        <w:spacing w:line="360" w:lineRule="auto"/>
        <w:ind w:left="-120" w:leftChars="-57" w:firstLine="480" w:firstLineChars="200"/>
        <w:rPr>
          <w:rFonts w:ascii="宋体" w:hAnsi="宋体"/>
          <w:sz w:val="24"/>
        </w:rPr>
      </w:pPr>
      <w:r>
        <w:rPr>
          <w:rFonts w:hint="eastAsia" w:ascii="宋体" w:hAnsi="宋体"/>
          <w:sz w:val="24"/>
        </w:rPr>
        <w:t>发出成交通知书后,采购人无正当理由拒签合同，给成交供应商造成损失的,应当赔偿损失。</w:t>
      </w:r>
    </w:p>
    <w:p w14:paraId="66A395C9">
      <w:pPr>
        <w:tabs>
          <w:tab w:val="left" w:pos="240"/>
        </w:tabs>
        <w:spacing w:line="360" w:lineRule="auto"/>
        <w:ind w:left="-120" w:leftChars="-57" w:firstLine="480" w:firstLineChars="200"/>
        <w:rPr>
          <w:rFonts w:ascii="宋体" w:hAnsi="宋体"/>
          <w:sz w:val="24"/>
        </w:rPr>
      </w:pPr>
      <w:r>
        <w:rPr>
          <w:rFonts w:hint="eastAsia" w:ascii="宋体" w:hAnsi="宋体"/>
          <w:sz w:val="24"/>
        </w:rPr>
        <w:t>逾期未签订合同,按照有关法律规定承担相应的法律责任。</w:t>
      </w:r>
    </w:p>
    <w:p w14:paraId="12685F06">
      <w:pPr>
        <w:tabs>
          <w:tab w:val="left" w:pos="240"/>
        </w:tabs>
        <w:spacing w:line="360" w:lineRule="auto"/>
        <w:ind w:left="-120" w:leftChars="-57" w:firstLine="480" w:firstLineChars="200"/>
        <w:rPr>
          <w:rFonts w:ascii="宋体" w:hAnsi="宋体"/>
          <w:sz w:val="24"/>
        </w:rPr>
      </w:pPr>
      <w:r>
        <w:rPr>
          <w:rFonts w:hint="eastAsia" w:ascii="宋体" w:hAnsi="宋体"/>
          <w:sz w:val="24"/>
        </w:rPr>
        <w:t>27.成交供应商应当按照合同约定履行义务，完成成交的项目。成交供应商不得向他人转让成交的项目。</w:t>
      </w:r>
    </w:p>
    <w:p w14:paraId="4458BAE7">
      <w:pPr>
        <w:tabs>
          <w:tab w:val="left" w:pos="240"/>
        </w:tabs>
        <w:spacing w:line="360" w:lineRule="auto"/>
        <w:ind w:left="-120" w:leftChars="-57" w:firstLine="480" w:firstLineChars="200"/>
        <w:rPr>
          <w:rFonts w:ascii="宋体" w:hAnsi="宋体"/>
          <w:sz w:val="24"/>
        </w:rPr>
      </w:pPr>
      <w:r>
        <w:rPr>
          <w:rFonts w:hint="eastAsia" w:ascii="宋体" w:hAnsi="宋体"/>
          <w:sz w:val="24"/>
        </w:rPr>
        <w:t>28.根据需要，采购代理机构可会同采购人负责监督、协调和处理履约过程中出现的问题；</w:t>
      </w:r>
    </w:p>
    <w:p w14:paraId="52517A32">
      <w:pPr>
        <w:tabs>
          <w:tab w:val="left" w:pos="240"/>
        </w:tabs>
        <w:spacing w:line="360" w:lineRule="auto"/>
        <w:ind w:left="-120" w:leftChars="-57" w:firstLine="480" w:firstLineChars="200"/>
        <w:rPr>
          <w:rFonts w:ascii="宋体" w:hAnsi="宋体"/>
          <w:sz w:val="24"/>
        </w:rPr>
      </w:pPr>
      <w:r>
        <w:rPr>
          <w:rFonts w:hint="eastAsia" w:ascii="宋体" w:hAnsi="宋体"/>
          <w:sz w:val="24"/>
        </w:rPr>
        <w:t>29.政府采购管理部门在合同履行期间以及履行期后，可以随时检查项目的执行情况，对采购标准、采购内容进行调查核实，并对发现的问题进行处理。</w:t>
      </w:r>
    </w:p>
    <w:p w14:paraId="29C83B2B">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八、成交服务费</w:t>
      </w:r>
    </w:p>
    <w:p w14:paraId="3D0224A9">
      <w:pPr>
        <w:tabs>
          <w:tab w:val="left" w:pos="240"/>
        </w:tabs>
        <w:spacing w:line="360" w:lineRule="auto"/>
        <w:ind w:left="-120" w:leftChars="-57" w:firstLine="480" w:firstLineChars="200"/>
        <w:rPr>
          <w:rFonts w:ascii="宋体" w:hAnsi="宋体"/>
          <w:sz w:val="24"/>
        </w:rPr>
      </w:pPr>
      <w:r>
        <w:rPr>
          <w:rFonts w:hint="eastAsia" w:ascii="宋体" w:hAnsi="宋体"/>
          <w:sz w:val="24"/>
        </w:rPr>
        <w:t>成交服务费缴纳详见供应商须知前附表中规定的要求。</w:t>
      </w:r>
    </w:p>
    <w:p w14:paraId="69935DE2">
      <w:pPr>
        <w:tabs>
          <w:tab w:val="left" w:pos="240"/>
        </w:tabs>
        <w:spacing w:line="360" w:lineRule="auto"/>
        <w:ind w:left="-120" w:leftChars="-57" w:firstLine="482" w:firstLineChars="200"/>
        <w:rPr>
          <w:rFonts w:ascii="宋体" w:hAnsi="宋体"/>
          <w:b/>
          <w:bCs/>
          <w:sz w:val="24"/>
        </w:rPr>
      </w:pPr>
      <w:r>
        <w:rPr>
          <w:rFonts w:hint="eastAsia" w:ascii="宋体" w:hAnsi="宋体"/>
          <w:b/>
          <w:bCs/>
          <w:sz w:val="24"/>
          <w:lang w:val="en-US" w:eastAsia="zh-CN"/>
        </w:rPr>
        <w:t>九</w:t>
      </w:r>
      <w:r>
        <w:rPr>
          <w:rFonts w:hint="eastAsia" w:ascii="宋体" w:hAnsi="宋体"/>
          <w:b/>
          <w:bCs/>
          <w:sz w:val="24"/>
        </w:rPr>
        <w:t>、其它事项</w:t>
      </w:r>
    </w:p>
    <w:p w14:paraId="0A7E27FB">
      <w:pPr>
        <w:tabs>
          <w:tab w:val="left" w:pos="240"/>
        </w:tabs>
        <w:spacing w:line="360" w:lineRule="auto"/>
        <w:ind w:left="-120" w:leftChars="-57" w:firstLine="480" w:firstLineChars="200"/>
        <w:rPr>
          <w:rFonts w:ascii="宋体" w:hAnsi="宋体"/>
          <w:sz w:val="24"/>
        </w:rPr>
      </w:pPr>
      <w:r>
        <w:rPr>
          <w:rFonts w:hint="eastAsia" w:ascii="宋体" w:hAnsi="宋体"/>
          <w:sz w:val="24"/>
        </w:rPr>
        <w:t>30.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14:paraId="53B67A7D">
      <w:pPr>
        <w:spacing w:line="360" w:lineRule="auto"/>
        <w:ind w:firstLine="480" w:firstLineChars="200"/>
        <w:rPr>
          <w:rFonts w:ascii="宋体" w:hAnsi="宋体"/>
          <w:sz w:val="24"/>
        </w:rPr>
      </w:pPr>
      <w:r>
        <w:rPr>
          <w:rFonts w:hint="eastAsia" w:ascii="宋体" w:hAnsi="宋体"/>
          <w:sz w:val="24"/>
        </w:rPr>
        <w:t>31.其他未尽事宜，按照《中华人民共和国政府采购法》、《中华人民共和国政府采购法实施条例》等法律法规的有关条款执行。</w:t>
      </w:r>
    </w:p>
    <w:p w14:paraId="7D1CFED7">
      <w:pPr>
        <w:rPr>
          <w:rFonts w:ascii="宋体" w:hAnsi="宋体"/>
          <w:sz w:val="24"/>
        </w:rPr>
      </w:pPr>
      <w:r>
        <w:rPr>
          <w:rFonts w:hint="eastAsia" w:ascii="宋体" w:hAnsi="宋体"/>
          <w:sz w:val="24"/>
        </w:rPr>
        <w:br w:type="page"/>
      </w:r>
    </w:p>
    <w:bookmarkEnd w:id="9"/>
    <w:p w14:paraId="184FA079">
      <w:pPr>
        <w:spacing w:before="114" w:line="225" w:lineRule="auto"/>
        <w:ind w:left="122"/>
        <w:rPr>
          <w:rStyle w:val="48"/>
          <w:rFonts w:ascii="黑体" w:hAnsi="黑体" w:eastAsia="黑体" w:cs="黑体"/>
          <w:sz w:val="32"/>
          <w:szCs w:val="32"/>
        </w:rPr>
      </w:pPr>
    </w:p>
    <w:p w14:paraId="14EA4566">
      <w:pPr>
        <w:spacing w:before="114" w:line="225" w:lineRule="auto"/>
        <w:ind w:left="122"/>
        <w:rPr>
          <w:rStyle w:val="48"/>
          <w:rFonts w:ascii="黑体" w:hAnsi="黑体" w:eastAsia="黑体" w:cs="黑体"/>
          <w:sz w:val="32"/>
          <w:szCs w:val="32"/>
        </w:rPr>
      </w:pPr>
    </w:p>
    <w:p w14:paraId="35534853">
      <w:pPr>
        <w:spacing w:before="114" w:line="225" w:lineRule="auto"/>
        <w:ind w:left="122"/>
        <w:rPr>
          <w:rStyle w:val="48"/>
          <w:rFonts w:ascii="黑体" w:hAnsi="黑体" w:eastAsia="黑体" w:cs="黑体"/>
          <w:sz w:val="32"/>
          <w:szCs w:val="32"/>
        </w:rPr>
      </w:pPr>
    </w:p>
    <w:p w14:paraId="7ED250D9">
      <w:pPr>
        <w:spacing w:before="114" w:line="225" w:lineRule="auto"/>
        <w:ind w:left="122"/>
        <w:rPr>
          <w:rStyle w:val="48"/>
          <w:rFonts w:ascii="黑体" w:hAnsi="黑体" w:eastAsia="黑体" w:cs="黑体"/>
          <w:sz w:val="32"/>
          <w:szCs w:val="32"/>
        </w:rPr>
      </w:pPr>
    </w:p>
    <w:p w14:paraId="3856537B">
      <w:pPr>
        <w:spacing w:before="114" w:line="225" w:lineRule="auto"/>
        <w:ind w:left="122"/>
        <w:rPr>
          <w:rStyle w:val="48"/>
          <w:rFonts w:ascii="黑体" w:hAnsi="黑体" w:eastAsia="黑体" w:cs="黑体"/>
          <w:sz w:val="32"/>
          <w:szCs w:val="32"/>
        </w:rPr>
      </w:pPr>
    </w:p>
    <w:p w14:paraId="4F53DDDB">
      <w:pPr>
        <w:spacing w:before="114" w:line="225" w:lineRule="auto"/>
        <w:ind w:left="122"/>
        <w:rPr>
          <w:rStyle w:val="48"/>
          <w:rFonts w:ascii="黑体" w:hAnsi="黑体" w:eastAsia="黑体" w:cs="黑体"/>
          <w:sz w:val="32"/>
          <w:szCs w:val="32"/>
        </w:rPr>
      </w:pPr>
    </w:p>
    <w:p w14:paraId="132194BB">
      <w:pPr>
        <w:spacing w:before="114" w:line="225" w:lineRule="auto"/>
        <w:ind w:left="122"/>
        <w:rPr>
          <w:rStyle w:val="48"/>
          <w:rFonts w:ascii="黑体" w:hAnsi="黑体" w:eastAsia="黑体" w:cs="黑体"/>
          <w:sz w:val="32"/>
          <w:szCs w:val="32"/>
        </w:rPr>
      </w:pPr>
    </w:p>
    <w:p w14:paraId="298D559E">
      <w:pPr>
        <w:spacing w:before="114" w:line="225" w:lineRule="auto"/>
        <w:ind w:left="122"/>
        <w:rPr>
          <w:rStyle w:val="48"/>
          <w:rFonts w:ascii="黑体" w:hAnsi="黑体" w:eastAsia="黑体" w:cs="黑体"/>
          <w:sz w:val="32"/>
          <w:szCs w:val="32"/>
        </w:rPr>
      </w:pPr>
    </w:p>
    <w:p w14:paraId="49D42104">
      <w:pPr>
        <w:spacing w:before="114" w:line="225" w:lineRule="auto"/>
        <w:ind w:left="122"/>
        <w:rPr>
          <w:rFonts w:ascii="宋体" w:hAnsi="宋体"/>
          <w:b/>
          <w:bCs/>
          <w:sz w:val="52"/>
          <w:szCs w:val="52"/>
        </w:rPr>
      </w:pPr>
      <w:r>
        <w:rPr>
          <w:rFonts w:ascii="宋体" w:hAnsi="宋体"/>
          <w:b/>
          <w:bCs/>
          <w:spacing w:val="9"/>
          <w:sz w:val="52"/>
          <w:szCs w:val="52"/>
        </w:rPr>
        <w:t>第</w:t>
      </w:r>
      <w:r>
        <w:rPr>
          <w:rFonts w:hint="eastAsia" w:ascii="宋体" w:hAnsi="宋体"/>
          <w:b/>
          <w:bCs/>
          <w:spacing w:val="7"/>
          <w:sz w:val="52"/>
          <w:szCs w:val="52"/>
        </w:rPr>
        <w:t>四</w:t>
      </w:r>
      <w:r>
        <w:rPr>
          <w:rFonts w:ascii="宋体" w:hAnsi="宋体"/>
          <w:b/>
          <w:bCs/>
          <w:spacing w:val="7"/>
          <w:sz w:val="52"/>
          <w:szCs w:val="52"/>
        </w:rPr>
        <w:t>部分</w:t>
      </w:r>
    </w:p>
    <w:p w14:paraId="08075EC6">
      <w:pPr>
        <w:spacing w:before="113" w:line="224" w:lineRule="auto"/>
        <w:ind w:right="420"/>
        <w:jc w:val="right"/>
        <w:rPr>
          <w:rFonts w:ascii="宋体" w:hAnsi="宋体"/>
          <w:b/>
          <w:bCs/>
          <w:sz w:val="52"/>
          <w:szCs w:val="52"/>
        </w:rPr>
      </w:pPr>
      <w:r>
        <w:rPr>
          <w:b/>
          <w:bCs/>
          <w:sz w:val="52"/>
        </w:rPr>
        <mc:AlternateContent>
          <mc:Choice Requires="wps">
            <w:drawing>
              <wp:anchor distT="0" distB="0" distL="114300" distR="114300" simplePos="0" relativeHeight="251667456"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5pt;margin-top:16.85pt;height:0.05pt;width:450pt;z-index:251667456;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xDnP&#10;0wAAAAgBAAAPAAAAAAAAAAEAIAAAACIAAABkcnMvZG93bnJldi54bWxQSwECFAAUAAAACACHTuJA&#10;s1nFYe0BAADdAwAADgAAAAAAAAABACAAAAAiAQAAZHJzL2Uyb0RvYy54bWxQSwUGAAAAAAYABgBZ&#10;AQAAgQUAAAAA&#10;">
                <v:fill on="f" focussize="0,0"/>
                <v:stroke weight="1.5pt" color="#000000" joinstyle="round"/>
                <v:imagedata o:title=""/>
                <o:lock v:ext="edit" aspectratio="f"/>
              </v:line>
            </w:pict>
          </mc:Fallback>
        </mc:AlternateContent>
      </w:r>
    </w:p>
    <w:p w14:paraId="1B01A0D0">
      <w:pPr>
        <w:spacing w:before="113" w:line="224" w:lineRule="auto"/>
        <w:ind w:right="420"/>
        <w:jc w:val="right"/>
        <w:rPr>
          <w:rFonts w:ascii="宋体" w:hAnsi="宋体"/>
          <w:b/>
          <w:bCs/>
          <w:sz w:val="35"/>
          <w:szCs w:val="35"/>
        </w:rPr>
      </w:pPr>
      <w:r>
        <w:rPr>
          <w:rFonts w:hint="eastAsia" w:ascii="宋体" w:hAnsi="宋体"/>
          <w:b/>
          <w:bCs/>
          <w:spacing w:val="7"/>
          <w:sz w:val="52"/>
          <w:szCs w:val="52"/>
        </w:rPr>
        <w:t>磋商、澄清、成交</w:t>
      </w:r>
    </w:p>
    <w:p w14:paraId="356C58E6">
      <w:pPr>
        <w:rPr>
          <w:rFonts w:ascii="黑体" w:hAnsi="黑体" w:eastAsia="黑体" w:cs="黑体"/>
          <w:sz w:val="32"/>
          <w:szCs w:val="32"/>
        </w:rPr>
      </w:pPr>
      <w:r>
        <w:rPr>
          <w:rFonts w:hint="eastAsia" w:ascii="黑体" w:hAnsi="黑体" w:eastAsia="黑体" w:cs="黑体"/>
          <w:sz w:val="32"/>
          <w:szCs w:val="32"/>
        </w:rPr>
        <w:br w:type="page"/>
      </w:r>
    </w:p>
    <w:p w14:paraId="21B37F70">
      <w:pPr>
        <w:spacing w:line="360" w:lineRule="auto"/>
        <w:jc w:val="center"/>
        <w:outlineLvl w:val="0"/>
        <w:rPr>
          <w:rFonts w:ascii="黑体" w:hAnsi="黑体" w:eastAsia="黑体" w:cs="黑体"/>
          <w:b/>
          <w:bCs/>
          <w:sz w:val="32"/>
          <w:szCs w:val="32"/>
        </w:rPr>
      </w:pPr>
      <w:bookmarkStart w:id="13" w:name="_Toc27347"/>
      <w:r>
        <w:rPr>
          <w:rFonts w:hint="eastAsia" w:ascii="黑体" w:hAnsi="黑体" w:eastAsia="黑体" w:cs="黑体"/>
          <w:b/>
          <w:bCs/>
          <w:sz w:val="32"/>
          <w:szCs w:val="32"/>
        </w:rPr>
        <w:t>第四部分</w:t>
      </w:r>
      <w:r>
        <w:rPr>
          <w:rFonts w:ascii="黑体" w:hAnsi="黑体" w:eastAsia="黑体" w:cs="黑体"/>
          <w:b/>
          <w:bCs/>
          <w:sz w:val="32"/>
          <w:szCs w:val="32"/>
        </w:rPr>
        <w:t xml:space="preserve"> </w:t>
      </w:r>
      <w:r>
        <w:rPr>
          <w:rFonts w:hint="eastAsia" w:ascii="黑体" w:hAnsi="黑体" w:eastAsia="黑体" w:cs="黑体"/>
          <w:b/>
          <w:bCs/>
          <w:sz w:val="32"/>
          <w:szCs w:val="32"/>
        </w:rPr>
        <w:t>磋商、澄清、成交</w:t>
      </w:r>
      <w:bookmarkEnd w:id="13"/>
    </w:p>
    <w:p w14:paraId="515888A1">
      <w:pPr>
        <w:tabs>
          <w:tab w:val="left" w:pos="240"/>
        </w:tabs>
        <w:spacing w:line="360" w:lineRule="auto"/>
        <w:ind w:left="-120" w:leftChars="-57" w:firstLine="482" w:firstLineChars="200"/>
        <w:rPr>
          <w:rFonts w:ascii="宋体" w:hAnsi="宋体"/>
          <w:sz w:val="24"/>
        </w:rPr>
      </w:pPr>
      <w:r>
        <w:rPr>
          <w:rFonts w:hint="eastAsia" w:ascii="宋体" w:hAnsi="宋体"/>
          <w:b/>
          <w:bCs/>
          <w:sz w:val="24"/>
        </w:rPr>
        <w:t>1.磋商</w:t>
      </w:r>
      <w:r>
        <w:rPr>
          <w:rFonts w:hint="eastAsia" w:ascii="宋体" w:hAnsi="宋体"/>
          <w:sz w:val="24"/>
        </w:rPr>
        <w:tab/>
      </w:r>
    </w:p>
    <w:p w14:paraId="5E0D61EA">
      <w:pPr>
        <w:tabs>
          <w:tab w:val="left" w:pos="240"/>
        </w:tabs>
        <w:spacing w:line="360" w:lineRule="auto"/>
        <w:ind w:left="-120" w:leftChars="-57" w:firstLine="480" w:firstLineChars="200"/>
        <w:rPr>
          <w:rFonts w:ascii="宋体" w:hAnsi="宋体"/>
          <w:sz w:val="24"/>
        </w:rPr>
      </w:pPr>
      <w:r>
        <w:rPr>
          <w:rFonts w:hint="eastAsia" w:ascii="宋体" w:hAnsi="宋体"/>
          <w:sz w:val="24"/>
        </w:rPr>
        <w:t>1.1采购代理机构按磋商文件规定的时间、地点组织磋商会议。</w:t>
      </w:r>
    </w:p>
    <w:p w14:paraId="37F766FC">
      <w:pPr>
        <w:tabs>
          <w:tab w:val="left" w:pos="240"/>
        </w:tabs>
        <w:spacing w:line="360" w:lineRule="auto"/>
        <w:ind w:left="-120" w:leftChars="-57" w:firstLine="480" w:firstLineChars="200"/>
        <w:rPr>
          <w:rFonts w:ascii="宋体" w:hAnsi="宋体"/>
          <w:sz w:val="24"/>
        </w:rPr>
      </w:pPr>
      <w:r>
        <w:rPr>
          <w:rFonts w:hint="eastAsia" w:ascii="宋体" w:hAnsi="宋体"/>
          <w:sz w:val="24"/>
        </w:rPr>
        <w:t>1.2磋商大会由采购代理机构主持，采购人参会人员、供应商代表及有关工作人员参加，参加磋商的人员应签名报到，以证明其出席。</w:t>
      </w:r>
    </w:p>
    <w:p w14:paraId="2BB72074">
      <w:pPr>
        <w:tabs>
          <w:tab w:val="left" w:pos="240"/>
        </w:tabs>
        <w:spacing w:line="360" w:lineRule="auto"/>
        <w:ind w:left="-120" w:leftChars="-57" w:firstLine="480" w:firstLineChars="200"/>
        <w:rPr>
          <w:rFonts w:ascii="宋体" w:hAnsi="宋体"/>
          <w:sz w:val="24"/>
        </w:rPr>
      </w:pPr>
      <w:r>
        <w:rPr>
          <w:rFonts w:hint="eastAsia" w:ascii="宋体" w:hAnsi="宋体"/>
          <w:sz w:val="24"/>
        </w:rPr>
        <w:t>1.3由供应商或者其推选的代表检查响应文件的密封情况。</w:t>
      </w:r>
    </w:p>
    <w:p w14:paraId="5710B599">
      <w:pPr>
        <w:spacing w:line="360" w:lineRule="auto"/>
        <w:ind w:firstLine="360" w:firstLineChars="150"/>
        <w:rPr>
          <w:rFonts w:ascii="宋体" w:hAnsi="宋体"/>
          <w:sz w:val="24"/>
        </w:rPr>
      </w:pPr>
      <w:r>
        <w:rPr>
          <w:rFonts w:hint="eastAsia" w:ascii="宋体" w:hAnsi="宋体"/>
          <w:sz w:val="24"/>
        </w:rPr>
        <w:t>1.4查验响应文件密封情况，确认无误后拆封，由采购代理机构工作人员负责将供应商的名称、磋商价格和磋商文件中规定的其他内容进行记录，签字确认后并存档备案。</w:t>
      </w:r>
    </w:p>
    <w:p w14:paraId="510AAD6F">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2.磋商小组组成与职责</w:t>
      </w:r>
    </w:p>
    <w:p w14:paraId="36DA770F">
      <w:pPr>
        <w:tabs>
          <w:tab w:val="left" w:pos="240"/>
        </w:tabs>
        <w:spacing w:line="360" w:lineRule="auto"/>
        <w:ind w:left="-120" w:leftChars="-57" w:firstLine="480" w:firstLineChars="200"/>
        <w:rPr>
          <w:rFonts w:ascii="宋体" w:hAnsi="宋体"/>
          <w:sz w:val="24"/>
        </w:rPr>
      </w:pPr>
      <w:r>
        <w:rPr>
          <w:rFonts w:hint="eastAsia" w:ascii="宋体" w:hAnsi="宋体"/>
          <w:sz w:val="24"/>
        </w:rPr>
        <w:t>为确保磋商工作公开、公平、公正，依法成立磋商小组。磋商小组由采购人代表及评审专家组成，成员人数为3人及以上单数，其中评审专家不少于磋商小组成员总数的三分之二，专家名单由有关人员在财政部门设立的政府采购评审专家库中随机抽取，磋商小组成员应当遵守并履行下列责任和义务：</w:t>
      </w:r>
    </w:p>
    <w:p w14:paraId="759E201E">
      <w:pPr>
        <w:tabs>
          <w:tab w:val="left" w:pos="240"/>
        </w:tabs>
        <w:spacing w:line="360" w:lineRule="auto"/>
        <w:ind w:left="-120" w:leftChars="-57" w:firstLine="480" w:firstLineChars="200"/>
        <w:rPr>
          <w:rFonts w:ascii="宋体" w:hAnsi="宋体"/>
          <w:sz w:val="24"/>
        </w:rPr>
      </w:pPr>
      <w:r>
        <w:rPr>
          <w:rFonts w:hint="eastAsia" w:ascii="宋体" w:hAnsi="宋体"/>
          <w:sz w:val="24"/>
        </w:rPr>
        <w:t>2.1要严格遵守政府采购相关法律制度，依法履行各自职责，公正、客观、审慎地组织和参与评审工作；</w:t>
      </w:r>
    </w:p>
    <w:p w14:paraId="750AF599">
      <w:pPr>
        <w:tabs>
          <w:tab w:val="left" w:pos="240"/>
        </w:tabs>
        <w:spacing w:line="360" w:lineRule="auto"/>
        <w:ind w:left="-120" w:leftChars="-57" w:firstLine="480" w:firstLineChars="200"/>
        <w:rPr>
          <w:rFonts w:ascii="宋体" w:hAnsi="宋体"/>
          <w:sz w:val="24"/>
        </w:rPr>
      </w:pPr>
      <w:r>
        <w:rPr>
          <w:rFonts w:hint="eastAsia" w:ascii="宋体" w:hAnsi="宋体"/>
          <w:sz w:val="24"/>
        </w:rPr>
        <w:t>2.2审查、评价响应文件是否符合磋商文件的商务、技术等实质性要求；</w:t>
      </w:r>
    </w:p>
    <w:p w14:paraId="09445100">
      <w:pPr>
        <w:tabs>
          <w:tab w:val="left" w:pos="240"/>
        </w:tabs>
        <w:spacing w:line="360" w:lineRule="auto"/>
        <w:ind w:left="-120" w:leftChars="-57" w:firstLine="480" w:firstLineChars="200"/>
        <w:rPr>
          <w:rFonts w:ascii="宋体" w:hAnsi="宋体"/>
          <w:sz w:val="24"/>
        </w:rPr>
      </w:pPr>
      <w:r>
        <w:rPr>
          <w:rFonts w:hint="eastAsia" w:ascii="宋体" w:hAnsi="宋体"/>
          <w:sz w:val="24"/>
        </w:rPr>
        <w:t>2.3要求供应商对响应文件有关事项作出澄清或说明；</w:t>
      </w:r>
    </w:p>
    <w:p w14:paraId="0D60AFA8">
      <w:pPr>
        <w:tabs>
          <w:tab w:val="left" w:pos="240"/>
        </w:tabs>
        <w:spacing w:line="360" w:lineRule="auto"/>
        <w:ind w:left="-120" w:leftChars="-57" w:firstLine="480" w:firstLineChars="200"/>
        <w:rPr>
          <w:rFonts w:ascii="宋体" w:hAnsi="宋体"/>
          <w:sz w:val="24"/>
        </w:rPr>
      </w:pPr>
      <w:r>
        <w:rPr>
          <w:rFonts w:hint="eastAsia" w:ascii="宋体" w:hAnsi="宋体"/>
          <w:sz w:val="24"/>
        </w:rPr>
        <w:t>2.4按磋商文件规定的评审方法和标准，对响应文件进行比较和评价；对供应商的客观评分项的评分应当一致；</w:t>
      </w:r>
    </w:p>
    <w:p w14:paraId="0E39EB20">
      <w:pPr>
        <w:tabs>
          <w:tab w:val="left" w:pos="240"/>
        </w:tabs>
        <w:spacing w:line="360" w:lineRule="auto"/>
        <w:ind w:left="-120" w:leftChars="-57" w:firstLine="480" w:firstLineChars="200"/>
        <w:rPr>
          <w:rFonts w:ascii="宋体" w:hAnsi="宋体"/>
          <w:sz w:val="24"/>
        </w:rPr>
      </w:pPr>
      <w:r>
        <w:rPr>
          <w:rFonts w:hint="eastAsia" w:ascii="宋体" w:hAnsi="宋体"/>
          <w:sz w:val="24"/>
        </w:rPr>
        <w:t>2.5要依法独立评审，按照磋商文件的要求和评标标准进行评标，推荐成交候选人名单，对评审意见承担个人责任；</w:t>
      </w:r>
    </w:p>
    <w:p w14:paraId="6A685162">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2.6对需要共同认定的事项存在争议的，按照少数服从多数的原则做出结论。持不同意见的磋商小组成员应当在评审报告上签署不同意见并说明理由，否则视为同意； </w:t>
      </w:r>
    </w:p>
    <w:p w14:paraId="06C1FC92">
      <w:pPr>
        <w:tabs>
          <w:tab w:val="left" w:pos="240"/>
        </w:tabs>
        <w:spacing w:line="360" w:lineRule="auto"/>
        <w:ind w:left="-120" w:leftChars="-57" w:firstLine="480" w:firstLineChars="200"/>
        <w:rPr>
          <w:rFonts w:ascii="宋体" w:hAnsi="宋体"/>
          <w:sz w:val="24"/>
        </w:rPr>
      </w:pPr>
      <w:r>
        <w:rPr>
          <w:rFonts w:hint="eastAsia" w:ascii="宋体" w:hAnsi="宋体"/>
          <w:sz w:val="24"/>
        </w:rPr>
        <w:t>2.7对评审情况以及在评审过程中获悉的国家秘密、商业秘密负有保密责任；</w:t>
      </w:r>
    </w:p>
    <w:p w14:paraId="425C3B5A">
      <w:pPr>
        <w:tabs>
          <w:tab w:val="left" w:pos="240"/>
        </w:tabs>
        <w:spacing w:line="360" w:lineRule="auto"/>
        <w:ind w:left="-120" w:leftChars="-57" w:firstLine="480" w:firstLineChars="200"/>
        <w:rPr>
          <w:rFonts w:ascii="宋体" w:hAnsi="宋体"/>
          <w:sz w:val="24"/>
        </w:rPr>
      </w:pPr>
      <w:r>
        <w:rPr>
          <w:rFonts w:hint="eastAsia" w:ascii="宋体" w:hAnsi="宋体"/>
          <w:sz w:val="24"/>
        </w:rPr>
        <w:t>2.8向采购人、采购代理机构或者有关部门报告评审中发现的违法行为；</w:t>
      </w:r>
    </w:p>
    <w:p w14:paraId="4B6D8F37">
      <w:pPr>
        <w:tabs>
          <w:tab w:val="left" w:pos="240"/>
        </w:tabs>
        <w:spacing w:line="360" w:lineRule="auto"/>
        <w:ind w:left="-120" w:leftChars="-57" w:firstLine="480" w:firstLineChars="200"/>
        <w:rPr>
          <w:rFonts w:ascii="宋体" w:hAnsi="宋体"/>
          <w:sz w:val="24"/>
        </w:rPr>
      </w:pPr>
      <w:r>
        <w:rPr>
          <w:rFonts w:hint="eastAsia" w:ascii="宋体" w:hAnsi="宋体"/>
          <w:sz w:val="24"/>
        </w:rPr>
        <w:t>2.9配合采购人、采购代理机构答复供应商提出的质疑；</w:t>
      </w:r>
    </w:p>
    <w:p w14:paraId="69379865">
      <w:pPr>
        <w:spacing w:line="360" w:lineRule="auto"/>
        <w:ind w:firstLine="360" w:firstLineChars="150"/>
        <w:rPr>
          <w:rFonts w:ascii="宋体" w:hAnsi="宋体"/>
          <w:sz w:val="24"/>
        </w:rPr>
      </w:pPr>
      <w:r>
        <w:rPr>
          <w:rFonts w:hint="eastAsia" w:ascii="宋体" w:hAnsi="宋体"/>
          <w:sz w:val="24"/>
        </w:rPr>
        <w:t>2.10配合财政部门处理投诉工作。</w:t>
      </w:r>
    </w:p>
    <w:p w14:paraId="780AC147">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3.响应文件的初审</w:t>
      </w:r>
    </w:p>
    <w:p w14:paraId="18AC3E89">
      <w:pPr>
        <w:tabs>
          <w:tab w:val="left" w:pos="240"/>
        </w:tabs>
        <w:spacing w:line="360" w:lineRule="auto"/>
        <w:ind w:left="-120" w:leftChars="-57" w:firstLine="480" w:firstLineChars="200"/>
        <w:rPr>
          <w:rFonts w:ascii="宋体" w:hAnsi="宋体"/>
          <w:sz w:val="24"/>
        </w:rPr>
      </w:pPr>
      <w:r>
        <w:rPr>
          <w:rFonts w:hint="eastAsia" w:ascii="宋体" w:hAnsi="宋体"/>
          <w:sz w:val="24"/>
        </w:rPr>
        <w:t>3.1初审分为资格性审查和符合性审查。</w:t>
      </w:r>
    </w:p>
    <w:p w14:paraId="1A878A46">
      <w:pPr>
        <w:tabs>
          <w:tab w:val="left" w:pos="240"/>
        </w:tabs>
        <w:spacing w:line="360" w:lineRule="auto"/>
        <w:ind w:left="-120" w:leftChars="-57" w:firstLine="480" w:firstLineChars="200"/>
        <w:rPr>
          <w:rFonts w:ascii="宋体" w:hAnsi="宋体"/>
          <w:sz w:val="24"/>
        </w:rPr>
      </w:pPr>
      <w:r>
        <w:rPr>
          <w:rFonts w:hint="eastAsia" w:ascii="宋体" w:hAnsi="宋体"/>
          <w:sz w:val="24"/>
        </w:rPr>
        <w:t>3.2资格性审查：依据磋商文件的规定，对供应商的资格证明文件进行审查，以确定供应商是否具备磋商资格。</w:t>
      </w:r>
    </w:p>
    <w:p w14:paraId="5F44643A">
      <w:pPr>
        <w:tabs>
          <w:tab w:val="left" w:pos="240"/>
        </w:tabs>
        <w:spacing w:line="360" w:lineRule="auto"/>
        <w:ind w:left="-120" w:leftChars="-57" w:firstLine="480" w:firstLineChars="200"/>
        <w:rPr>
          <w:rFonts w:ascii="宋体" w:hAnsi="宋体"/>
          <w:sz w:val="24"/>
        </w:rPr>
      </w:pPr>
      <w:r>
        <w:rPr>
          <w:rFonts w:hint="eastAsia" w:ascii="宋体" w:hAnsi="宋体"/>
          <w:sz w:val="24"/>
        </w:rPr>
        <w:t>3.3符合性审查：依据磋商文件规定，从响应文件的有效性、完整性和对磋商文件的响应程度进行审查。</w:t>
      </w:r>
    </w:p>
    <w:p w14:paraId="17EDC7D6">
      <w:pPr>
        <w:tabs>
          <w:tab w:val="left" w:pos="240"/>
        </w:tabs>
        <w:spacing w:line="360" w:lineRule="auto"/>
        <w:ind w:left="-120" w:leftChars="-57" w:firstLine="480" w:firstLineChars="200"/>
        <w:rPr>
          <w:rFonts w:ascii="宋体" w:hAnsi="宋体"/>
          <w:sz w:val="24"/>
        </w:rPr>
      </w:pPr>
      <w:r>
        <w:rPr>
          <w:rFonts w:hint="eastAsia" w:ascii="宋体" w:hAnsi="宋体"/>
          <w:sz w:val="24"/>
        </w:rPr>
        <w:t>3.4磋商时，响应文件中出现下列情况，修正原则为：</w:t>
      </w:r>
    </w:p>
    <w:p w14:paraId="72FF3616">
      <w:pPr>
        <w:tabs>
          <w:tab w:val="left" w:pos="240"/>
        </w:tabs>
        <w:spacing w:line="360" w:lineRule="auto"/>
        <w:ind w:left="-120" w:leftChars="-57" w:firstLine="480" w:firstLineChars="200"/>
        <w:rPr>
          <w:rFonts w:ascii="宋体" w:hAnsi="宋体"/>
          <w:sz w:val="24"/>
        </w:rPr>
      </w:pPr>
      <w:r>
        <w:rPr>
          <w:rFonts w:hint="eastAsia" w:ascii="宋体" w:hAnsi="宋体"/>
          <w:sz w:val="24"/>
        </w:rPr>
        <w:t>3.4.1响应文件中响应报价表内容与响应文件中相应内容不一致的，以响应报价表为准；</w:t>
      </w:r>
    </w:p>
    <w:p w14:paraId="60DE13A9">
      <w:pPr>
        <w:tabs>
          <w:tab w:val="left" w:pos="240"/>
        </w:tabs>
        <w:spacing w:line="360" w:lineRule="auto"/>
        <w:ind w:left="-120" w:leftChars="-57" w:firstLine="480" w:firstLineChars="200"/>
        <w:rPr>
          <w:rFonts w:ascii="宋体" w:hAnsi="宋体"/>
          <w:sz w:val="24"/>
        </w:rPr>
      </w:pPr>
      <w:r>
        <w:rPr>
          <w:rFonts w:hint="eastAsia" w:ascii="宋体" w:hAnsi="宋体"/>
          <w:sz w:val="24"/>
        </w:rPr>
        <w:t>3.4.2大写金额和小写金额不一致的，以大写金额为准；</w:t>
      </w:r>
    </w:p>
    <w:p w14:paraId="70D12548">
      <w:pPr>
        <w:tabs>
          <w:tab w:val="left" w:pos="240"/>
        </w:tabs>
        <w:spacing w:line="360" w:lineRule="auto"/>
        <w:ind w:left="-120" w:leftChars="-57" w:firstLine="480" w:firstLineChars="200"/>
        <w:rPr>
          <w:rFonts w:ascii="宋体" w:hAnsi="宋体"/>
          <w:sz w:val="24"/>
        </w:rPr>
      </w:pPr>
      <w:r>
        <w:rPr>
          <w:rFonts w:hint="eastAsia" w:ascii="宋体" w:hAnsi="宋体"/>
          <w:sz w:val="24"/>
        </w:rPr>
        <w:t>3.4.3单价金额小数点或者百分比有明显错位的，以响应报价表的总价为准，并修改单价；</w:t>
      </w:r>
    </w:p>
    <w:p w14:paraId="54ED7DB2">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3.4.4总价金额与按单价汇总金额不一致的，以单价金额计算结果为准； </w:t>
      </w:r>
    </w:p>
    <w:p w14:paraId="0215AA48">
      <w:pPr>
        <w:tabs>
          <w:tab w:val="left" w:pos="240"/>
        </w:tabs>
        <w:spacing w:line="360" w:lineRule="auto"/>
        <w:ind w:left="-120" w:leftChars="-57" w:firstLine="480" w:firstLineChars="200"/>
        <w:rPr>
          <w:rFonts w:ascii="宋体" w:hAnsi="宋体"/>
          <w:sz w:val="24"/>
        </w:rPr>
      </w:pPr>
      <w:r>
        <w:rPr>
          <w:rFonts w:hint="eastAsia" w:ascii="宋体" w:hAnsi="宋体"/>
          <w:sz w:val="24"/>
        </w:rPr>
        <w:t>3.4.5响应文件正本与副本不一致的，以正本为准；</w:t>
      </w:r>
    </w:p>
    <w:p w14:paraId="58B3CAEF">
      <w:pPr>
        <w:tabs>
          <w:tab w:val="left" w:pos="240"/>
        </w:tabs>
        <w:spacing w:line="360" w:lineRule="auto"/>
        <w:ind w:left="-120" w:leftChars="-57" w:firstLine="480" w:firstLineChars="200"/>
        <w:rPr>
          <w:rFonts w:ascii="宋体" w:hAnsi="宋体"/>
          <w:sz w:val="24"/>
        </w:rPr>
      </w:pPr>
      <w:r>
        <w:rPr>
          <w:rFonts w:hint="eastAsia" w:ascii="宋体" w:hAnsi="宋体"/>
          <w:sz w:val="24"/>
        </w:rPr>
        <w:t>3.4.6多处内容交叉不符的，以磋商小组评审结果为准；</w:t>
      </w:r>
    </w:p>
    <w:p w14:paraId="0CBB7422">
      <w:pPr>
        <w:tabs>
          <w:tab w:val="left" w:pos="240"/>
        </w:tabs>
        <w:spacing w:line="360" w:lineRule="auto"/>
        <w:ind w:left="-120" w:leftChars="-57" w:firstLine="480" w:firstLineChars="200"/>
        <w:rPr>
          <w:rFonts w:ascii="宋体" w:hAnsi="宋体"/>
          <w:sz w:val="24"/>
        </w:rPr>
      </w:pPr>
      <w:r>
        <w:rPr>
          <w:rFonts w:hint="eastAsia" w:ascii="宋体" w:hAnsi="宋体"/>
          <w:sz w:val="24"/>
        </w:rPr>
        <w:t>3.4.7文字与图表不符的，以文字为准。</w:t>
      </w:r>
    </w:p>
    <w:p w14:paraId="584222A1">
      <w:pPr>
        <w:tabs>
          <w:tab w:val="left" w:pos="240"/>
        </w:tabs>
        <w:spacing w:line="360" w:lineRule="auto"/>
        <w:ind w:left="-120" w:leftChars="-57"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43E20EB0">
      <w:pPr>
        <w:spacing w:line="360" w:lineRule="auto"/>
        <w:ind w:firstLine="360" w:firstLineChars="150"/>
        <w:rPr>
          <w:rFonts w:ascii="宋体" w:hAnsi="宋体"/>
          <w:sz w:val="24"/>
        </w:rPr>
      </w:pPr>
      <w:r>
        <w:rPr>
          <w:rFonts w:hint="eastAsia" w:ascii="宋体" w:hAnsi="宋体"/>
          <w:sz w:val="24"/>
        </w:rPr>
        <w:t>3.5磋商开始后，直到向成交供应商授予合同为止，凡审查、澄清、评价和比较磋商的有关资料及被授标意见等内容，磋商小组成员均不得向供应商及与磋商无关的其他人透露。</w:t>
      </w:r>
    </w:p>
    <w:p w14:paraId="335CDA83">
      <w:pPr>
        <w:tabs>
          <w:tab w:val="left" w:pos="240"/>
        </w:tabs>
        <w:spacing w:line="360" w:lineRule="auto"/>
        <w:ind w:left="-120" w:leftChars="-57" w:firstLine="482" w:firstLineChars="200"/>
        <w:rPr>
          <w:rFonts w:ascii="宋体" w:hAnsi="宋体"/>
          <w:sz w:val="24"/>
        </w:rPr>
      </w:pPr>
      <w:r>
        <w:rPr>
          <w:rFonts w:hint="eastAsia" w:ascii="宋体" w:hAnsi="宋体"/>
          <w:b/>
          <w:bCs/>
          <w:sz w:val="24"/>
        </w:rPr>
        <w:t>4.出现下列情况之一者（但不限于），按无效文件处理：</w:t>
      </w:r>
    </w:p>
    <w:p w14:paraId="12D880B9">
      <w:pPr>
        <w:tabs>
          <w:tab w:val="left" w:pos="240"/>
        </w:tabs>
        <w:spacing w:line="360" w:lineRule="auto"/>
        <w:ind w:left="-120" w:leftChars="-57" w:firstLine="480" w:firstLineChars="200"/>
        <w:rPr>
          <w:rFonts w:ascii="宋体" w:hAnsi="宋体"/>
          <w:sz w:val="24"/>
        </w:rPr>
      </w:pPr>
      <w:r>
        <w:rPr>
          <w:rFonts w:hint="eastAsia" w:ascii="宋体" w:hAnsi="宋体"/>
          <w:sz w:val="24"/>
        </w:rPr>
        <w:t>4.1供应商的响应报价超过采购预算的；</w:t>
      </w:r>
    </w:p>
    <w:p w14:paraId="3E5EF819">
      <w:pPr>
        <w:tabs>
          <w:tab w:val="left" w:pos="240"/>
        </w:tabs>
        <w:spacing w:line="360" w:lineRule="auto"/>
        <w:ind w:left="-120" w:leftChars="-57" w:firstLine="480" w:firstLineChars="200"/>
        <w:rPr>
          <w:rFonts w:ascii="宋体" w:hAnsi="宋体"/>
          <w:sz w:val="24"/>
        </w:rPr>
      </w:pPr>
      <w:r>
        <w:rPr>
          <w:rFonts w:hint="eastAsia" w:ascii="宋体" w:hAnsi="宋体"/>
          <w:sz w:val="24"/>
        </w:rPr>
        <w:t>4.2供应商未经过正常渠道购买磋商文件，或供应商名称与购买磋商文件时登记的供应商名称不符的；</w:t>
      </w:r>
    </w:p>
    <w:p w14:paraId="5D88B063">
      <w:pPr>
        <w:tabs>
          <w:tab w:val="left" w:pos="240"/>
        </w:tabs>
        <w:spacing w:line="360" w:lineRule="auto"/>
        <w:ind w:left="-120" w:leftChars="-57" w:firstLine="480" w:firstLineChars="200"/>
        <w:rPr>
          <w:rFonts w:ascii="宋体" w:hAnsi="宋体"/>
          <w:sz w:val="24"/>
        </w:rPr>
      </w:pPr>
      <w:r>
        <w:rPr>
          <w:rFonts w:hint="eastAsia" w:ascii="宋体" w:hAnsi="宋体"/>
          <w:sz w:val="24"/>
        </w:rPr>
        <w:t>4.3不同供应商单位负责人为同一人或者存在控股、管理关系的；</w:t>
      </w:r>
    </w:p>
    <w:p w14:paraId="65E469C9">
      <w:pPr>
        <w:tabs>
          <w:tab w:val="left" w:pos="240"/>
        </w:tabs>
        <w:spacing w:line="360" w:lineRule="auto"/>
        <w:ind w:left="-120" w:leftChars="-57" w:firstLine="480" w:firstLineChars="200"/>
        <w:rPr>
          <w:rFonts w:ascii="宋体" w:hAnsi="宋体"/>
          <w:sz w:val="24"/>
        </w:rPr>
      </w:pPr>
      <w:r>
        <w:rPr>
          <w:rFonts w:hint="eastAsia" w:ascii="宋体" w:hAnsi="宋体"/>
          <w:sz w:val="24"/>
        </w:rPr>
        <w:t>4.4响应文件的有效性和符合性不符合要求的；</w:t>
      </w:r>
    </w:p>
    <w:p w14:paraId="76E30F6A">
      <w:pPr>
        <w:tabs>
          <w:tab w:val="left" w:pos="240"/>
        </w:tabs>
        <w:spacing w:line="360" w:lineRule="auto"/>
        <w:ind w:left="-120" w:leftChars="-57" w:firstLine="480" w:firstLineChars="200"/>
        <w:rPr>
          <w:rFonts w:ascii="宋体" w:hAnsi="宋体"/>
          <w:sz w:val="24"/>
        </w:rPr>
      </w:pPr>
      <w:r>
        <w:rPr>
          <w:rFonts w:hint="eastAsia" w:ascii="宋体" w:hAnsi="宋体"/>
          <w:sz w:val="24"/>
        </w:rPr>
        <w:t>4.5实质性内容不满足或未响应的；</w:t>
      </w:r>
    </w:p>
    <w:p w14:paraId="0D143C19">
      <w:pPr>
        <w:tabs>
          <w:tab w:val="left" w:pos="240"/>
        </w:tabs>
        <w:spacing w:line="360" w:lineRule="auto"/>
        <w:ind w:left="-120" w:leftChars="-57" w:firstLine="480" w:firstLineChars="200"/>
        <w:rPr>
          <w:rFonts w:ascii="宋体" w:hAnsi="宋体"/>
          <w:sz w:val="24"/>
        </w:rPr>
      </w:pPr>
      <w:r>
        <w:rPr>
          <w:rFonts w:hint="eastAsia" w:ascii="宋体" w:hAnsi="宋体"/>
          <w:sz w:val="24"/>
        </w:rPr>
        <w:t>4.6响应文件未按磋商文件要求的数量、计量单位、报价货币及签字盖章的；</w:t>
      </w:r>
    </w:p>
    <w:p w14:paraId="25A77075">
      <w:pPr>
        <w:tabs>
          <w:tab w:val="left" w:pos="240"/>
        </w:tabs>
        <w:spacing w:line="360" w:lineRule="auto"/>
        <w:ind w:left="-120" w:leftChars="-57" w:firstLine="480" w:firstLineChars="200"/>
        <w:rPr>
          <w:rFonts w:ascii="宋体" w:hAnsi="宋体"/>
          <w:sz w:val="24"/>
        </w:rPr>
      </w:pPr>
      <w:r>
        <w:rPr>
          <w:rFonts w:hint="eastAsia" w:ascii="宋体" w:hAnsi="宋体"/>
          <w:sz w:val="24"/>
        </w:rPr>
        <w:t>4.7无磋商有效期或有效期达不到磋商文件要求的；</w:t>
      </w:r>
    </w:p>
    <w:p w14:paraId="514415C7">
      <w:pPr>
        <w:tabs>
          <w:tab w:val="left" w:pos="240"/>
        </w:tabs>
        <w:spacing w:line="360" w:lineRule="auto"/>
        <w:ind w:left="-120" w:leftChars="-57" w:firstLine="480" w:firstLineChars="200"/>
        <w:rPr>
          <w:rFonts w:ascii="宋体" w:hAnsi="宋体"/>
          <w:sz w:val="24"/>
        </w:rPr>
      </w:pPr>
      <w:r>
        <w:rPr>
          <w:rFonts w:hint="eastAsia" w:ascii="宋体" w:hAnsi="宋体"/>
          <w:sz w:val="24"/>
        </w:rPr>
        <w:t>4.8供应商针对同一项目递交两份或多份内容不同的响应文件，未书面声明哪一份是有效的或出现选择性报价的；</w:t>
      </w:r>
    </w:p>
    <w:p w14:paraId="43861722">
      <w:pPr>
        <w:tabs>
          <w:tab w:val="left" w:pos="240"/>
        </w:tabs>
        <w:spacing w:line="360" w:lineRule="auto"/>
        <w:ind w:left="-120" w:leftChars="-57" w:firstLine="480" w:firstLineChars="200"/>
        <w:rPr>
          <w:rFonts w:ascii="宋体" w:hAnsi="宋体"/>
          <w:sz w:val="24"/>
        </w:rPr>
      </w:pPr>
      <w:r>
        <w:rPr>
          <w:rFonts w:hint="eastAsia" w:ascii="宋体" w:hAnsi="宋体"/>
          <w:sz w:val="24"/>
        </w:rPr>
        <w:t>4.9供应商有串通投标、弄虚作假（包括但不限于虚假资质、虚假证明、虚假应答等）、行贿等违法行为的；</w:t>
      </w:r>
    </w:p>
    <w:p w14:paraId="1135D974">
      <w:pPr>
        <w:tabs>
          <w:tab w:val="left" w:pos="240"/>
        </w:tabs>
        <w:spacing w:line="360" w:lineRule="auto"/>
        <w:ind w:left="-120" w:leftChars="-57" w:firstLine="480" w:firstLineChars="200"/>
        <w:rPr>
          <w:rFonts w:ascii="宋体" w:hAnsi="宋体"/>
          <w:sz w:val="24"/>
        </w:rPr>
      </w:pPr>
      <w:r>
        <w:rPr>
          <w:rFonts w:hint="eastAsia" w:ascii="宋体" w:hAnsi="宋体"/>
          <w:sz w:val="24"/>
        </w:rPr>
        <w:t>4.10响应文件附加了采购人难以接受的条件或条款的；</w:t>
      </w:r>
    </w:p>
    <w:p w14:paraId="1102434E">
      <w:pPr>
        <w:tabs>
          <w:tab w:val="left" w:pos="240"/>
        </w:tabs>
        <w:spacing w:line="360" w:lineRule="auto"/>
        <w:ind w:left="-120" w:leftChars="-57" w:firstLine="480" w:firstLineChars="200"/>
        <w:rPr>
          <w:rFonts w:ascii="宋体" w:hAnsi="宋体"/>
          <w:sz w:val="24"/>
        </w:rPr>
      </w:pPr>
      <w:r>
        <w:rPr>
          <w:rFonts w:hint="eastAsia" w:ascii="宋体" w:hAnsi="宋体"/>
          <w:sz w:val="24"/>
        </w:rPr>
        <w:t>4.11在政府采购或其他重大项目履约过程中有不良记录，未能按期履约的；</w:t>
      </w:r>
    </w:p>
    <w:p w14:paraId="45E8F735">
      <w:pPr>
        <w:tabs>
          <w:tab w:val="left" w:pos="240"/>
        </w:tabs>
        <w:spacing w:line="360" w:lineRule="auto"/>
        <w:ind w:left="-120" w:leftChars="-57" w:firstLine="480" w:firstLineChars="200"/>
        <w:rPr>
          <w:rFonts w:ascii="宋体" w:hAnsi="宋体"/>
          <w:sz w:val="24"/>
        </w:rPr>
      </w:pPr>
      <w:r>
        <w:rPr>
          <w:rFonts w:hint="eastAsia" w:ascii="宋体" w:hAnsi="宋体"/>
          <w:sz w:val="24"/>
        </w:rPr>
        <w:t>4.12响应报价与市场价格偏离较大、低于成本、形成不正当竞争的；</w:t>
      </w:r>
    </w:p>
    <w:p w14:paraId="21C13138">
      <w:pPr>
        <w:tabs>
          <w:tab w:val="left" w:pos="240"/>
        </w:tabs>
        <w:spacing w:line="360" w:lineRule="auto"/>
        <w:ind w:left="-120" w:leftChars="-57" w:firstLine="480" w:firstLineChars="200"/>
        <w:rPr>
          <w:rFonts w:ascii="宋体" w:hAnsi="宋体"/>
          <w:sz w:val="24"/>
        </w:rPr>
      </w:pPr>
      <w:r>
        <w:rPr>
          <w:rFonts w:hint="eastAsia" w:ascii="宋体" w:hAnsi="宋体"/>
          <w:sz w:val="24"/>
        </w:rPr>
        <w:t>4.13报价子目出现漏项或报价数量与要求不符的；</w:t>
      </w:r>
    </w:p>
    <w:p w14:paraId="582C56D7">
      <w:pPr>
        <w:tabs>
          <w:tab w:val="left" w:pos="240"/>
        </w:tabs>
        <w:spacing w:line="360" w:lineRule="auto"/>
        <w:ind w:left="-120" w:leftChars="-57" w:firstLine="480" w:firstLineChars="200"/>
        <w:rPr>
          <w:rFonts w:ascii="宋体" w:hAnsi="宋体"/>
          <w:sz w:val="24"/>
        </w:rPr>
      </w:pPr>
      <w:r>
        <w:rPr>
          <w:rFonts w:hint="eastAsia" w:ascii="宋体" w:hAnsi="宋体"/>
          <w:sz w:val="24"/>
        </w:rPr>
        <w:t>4.14响应产品的技术参数、性能指标与磋商文件要求出现重大负偏差的；</w:t>
      </w:r>
    </w:p>
    <w:p w14:paraId="70457643">
      <w:pPr>
        <w:tabs>
          <w:tab w:val="left" w:pos="240"/>
        </w:tabs>
        <w:spacing w:line="360" w:lineRule="auto"/>
        <w:ind w:left="-120" w:leftChars="-57" w:firstLine="480" w:firstLineChars="200"/>
        <w:rPr>
          <w:rFonts w:ascii="宋体" w:hAnsi="宋体"/>
          <w:sz w:val="24"/>
        </w:rPr>
      </w:pPr>
      <w:r>
        <w:rPr>
          <w:rFonts w:hint="eastAsia" w:ascii="宋体" w:hAnsi="宋体"/>
          <w:sz w:val="24"/>
        </w:rPr>
        <w:t>4.15响应文件未实质性响应磋商文件要求的；</w:t>
      </w:r>
    </w:p>
    <w:p w14:paraId="13925683">
      <w:pPr>
        <w:spacing w:line="360" w:lineRule="auto"/>
        <w:ind w:firstLine="360" w:firstLineChars="150"/>
        <w:rPr>
          <w:rFonts w:ascii="宋体" w:hAnsi="宋体"/>
          <w:sz w:val="24"/>
        </w:rPr>
      </w:pPr>
      <w:r>
        <w:rPr>
          <w:rFonts w:hint="eastAsia" w:ascii="宋体" w:hAnsi="宋体"/>
          <w:sz w:val="24"/>
        </w:rPr>
        <w:t>4.16提供虚假技术性能指标的。</w:t>
      </w:r>
    </w:p>
    <w:p w14:paraId="63100713">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5.有下列情形之一的，视为供应商串通投标，磋商小组应当认定其响应文件无效：</w:t>
      </w:r>
    </w:p>
    <w:p w14:paraId="2571F3B8">
      <w:pPr>
        <w:tabs>
          <w:tab w:val="left" w:pos="240"/>
        </w:tabs>
        <w:spacing w:line="360" w:lineRule="auto"/>
        <w:ind w:left="-120" w:leftChars="-57" w:firstLine="480" w:firstLineChars="200"/>
        <w:rPr>
          <w:rFonts w:ascii="宋体" w:hAnsi="宋体"/>
          <w:sz w:val="24"/>
        </w:rPr>
      </w:pPr>
      <w:r>
        <w:rPr>
          <w:rFonts w:hint="eastAsia" w:ascii="宋体" w:hAnsi="宋体"/>
          <w:sz w:val="24"/>
        </w:rPr>
        <w:t>5.1不同供应商的响应文件由同一单位或者个人编制；</w:t>
      </w:r>
    </w:p>
    <w:p w14:paraId="759A55CF">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5.2不同供应商委托同一单位或者个人办理磋商事宜； </w:t>
      </w:r>
    </w:p>
    <w:p w14:paraId="028C9754">
      <w:pPr>
        <w:tabs>
          <w:tab w:val="left" w:pos="240"/>
        </w:tabs>
        <w:spacing w:line="360" w:lineRule="auto"/>
        <w:ind w:left="-120" w:leftChars="-57" w:firstLine="480" w:firstLineChars="200"/>
        <w:rPr>
          <w:rFonts w:ascii="宋体" w:hAnsi="宋体"/>
          <w:sz w:val="24"/>
        </w:rPr>
      </w:pPr>
      <w:r>
        <w:rPr>
          <w:rFonts w:hint="eastAsia" w:ascii="宋体" w:hAnsi="宋体"/>
          <w:sz w:val="24"/>
        </w:rPr>
        <w:t>5.3不同供应商的响应文件载明的项目管理成员或者联系人员为同一人；</w:t>
      </w:r>
    </w:p>
    <w:p w14:paraId="57CF0D8D">
      <w:pPr>
        <w:tabs>
          <w:tab w:val="left" w:pos="240"/>
        </w:tabs>
        <w:spacing w:line="360" w:lineRule="auto"/>
        <w:ind w:left="-120" w:leftChars="-57" w:firstLine="480" w:firstLineChars="200"/>
        <w:rPr>
          <w:rFonts w:ascii="宋体" w:hAnsi="宋体"/>
          <w:sz w:val="24"/>
        </w:rPr>
      </w:pPr>
      <w:r>
        <w:rPr>
          <w:rFonts w:hint="eastAsia" w:ascii="宋体" w:hAnsi="宋体"/>
          <w:sz w:val="24"/>
        </w:rPr>
        <w:t>5.4不同供应商的响应文件异常一致或者响应报价呈规律性差异；</w:t>
      </w:r>
    </w:p>
    <w:p w14:paraId="38E6C7DD">
      <w:pPr>
        <w:tabs>
          <w:tab w:val="left" w:pos="240"/>
        </w:tabs>
        <w:spacing w:line="360" w:lineRule="auto"/>
        <w:ind w:left="-120" w:leftChars="-57" w:firstLine="480" w:firstLineChars="200"/>
        <w:rPr>
          <w:rFonts w:ascii="宋体" w:hAnsi="宋体"/>
          <w:sz w:val="24"/>
        </w:rPr>
      </w:pPr>
      <w:r>
        <w:rPr>
          <w:rFonts w:hint="eastAsia" w:ascii="宋体" w:hAnsi="宋体"/>
          <w:sz w:val="24"/>
        </w:rPr>
        <w:t>5.5不同供应商的响应文件相互混装；</w:t>
      </w:r>
    </w:p>
    <w:p w14:paraId="7C5EB64C">
      <w:pPr>
        <w:spacing w:line="360" w:lineRule="auto"/>
        <w:ind w:firstLine="360" w:firstLineChars="150"/>
        <w:rPr>
          <w:rFonts w:ascii="宋体" w:hAnsi="宋体"/>
          <w:sz w:val="24"/>
        </w:rPr>
      </w:pPr>
      <w:r>
        <w:rPr>
          <w:rFonts w:hint="eastAsia" w:ascii="宋体" w:hAnsi="宋体"/>
          <w:sz w:val="24"/>
        </w:rPr>
        <w:t>5.6不同供应商的磋商保证金从同一单位或者个人的账户转出。</w:t>
      </w:r>
    </w:p>
    <w:p w14:paraId="02C16A9E">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6.澄清</w:t>
      </w:r>
    </w:p>
    <w:p w14:paraId="6AAED7FF">
      <w:pPr>
        <w:spacing w:line="360" w:lineRule="auto"/>
        <w:ind w:firstLine="360" w:firstLineChars="150"/>
        <w:rPr>
          <w:rFonts w:ascii="宋体" w:hAnsi="宋体"/>
          <w:sz w:val="24"/>
        </w:rPr>
      </w:pPr>
      <w:r>
        <w:rPr>
          <w:rFonts w:hint="eastAsia" w:ascii="宋体" w:hAnsi="宋体"/>
          <w:sz w:val="24"/>
        </w:rPr>
        <w:t>6.1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929190">
      <w:pPr>
        <w:spacing w:line="360" w:lineRule="auto"/>
        <w:ind w:firstLine="360" w:firstLineChars="150"/>
        <w:rPr>
          <w:rFonts w:ascii="宋体" w:hAnsi="宋体"/>
          <w:sz w:val="24"/>
        </w:rPr>
      </w:pPr>
      <w:r>
        <w:rPr>
          <w:rFonts w:hint="eastAsia" w:ascii="宋体" w:hAnsi="宋体"/>
          <w:sz w:val="24"/>
        </w:rPr>
        <w:t>6.2实质性内容包括但不限于：服务期限、付款方式、主要技术指标等。</w:t>
      </w:r>
    </w:p>
    <w:p w14:paraId="0F04572B">
      <w:pPr>
        <w:tabs>
          <w:tab w:val="left" w:pos="240"/>
        </w:tabs>
        <w:spacing w:line="360" w:lineRule="auto"/>
        <w:ind w:left="-120" w:leftChars="-57" w:firstLine="480" w:firstLineChars="200"/>
        <w:rPr>
          <w:rFonts w:ascii="宋体" w:hAnsi="宋体"/>
          <w:sz w:val="24"/>
        </w:rPr>
      </w:pPr>
      <w:r>
        <w:rPr>
          <w:rFonts w:hint="eastAsia" w:ascii="宋体" w:hAnsi="宋体"/>
          <w:sz w:val="24"/>
        </w:rPr>
        <w:t>6.3磋商小组要求供应商澄清、说明或者更正响应文件应当以书面形式作出，并由其法定代表人或被授权人签字。</w:t>
      </w:r>
    </w:p>
    <w:p w14:paraId="0B15914B">
      <w:pPr>
        <w:spacing w:line="360" w:lineRule="auto"/>
        <w:ind w:firstLine="360" w:firstLineChars="150"/>
        <w:rPr>
          <w:rFonts w:ascii="宋体" w:hAnsi="宋体"/>
          <w:sz w:val="24"/>
        </w:rPr>
      </w:pPr>
      <w:r>
        <w:rPr>
          <w:rFonts w:hint="eastAsia" w:ascii="宋体" w:hAnsi="宋体"/>
          <w:sz w:val="24"/>
        </w:rPr>
        <w:t>6.4在磋商过程中，磋商小组可以根据磋商文件和磋商情况实质性变动采购需求中的技术、服务要求以及合同草案条款，但不得变动磋商文件中的其他内容。实质性变动的内容，须经采购人代表确认。</w:t>
      </w:r>
    </w:p>
    <w:p w14:paraId="27C0382B">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7.评审方法及内容</w:t>
      </w:r>
    </w:p>
    <w:p w14:paraId="69D71F18">
      <w:pPr>
        <w:tabs>
          <w:tab w:val="left" w:pos="240"/>
        </w:tabs>
        <w:spacing w:line="360" w:lineRule="auto"/>
        <w:ind w:left="-120" w:leftChars="-57" w:firstLine="480" w:firstLineChars="200"/>
        <w:rPr>
          <w:rFonts w:ascii="宋体" w:hAnsi="宋体"/>
          <w:sz w:val="24"/>
        </w:rPr>
      </w:pPr>
      <w:r>
        <w:rPr>
          <w:rFonts w:hint="eastAsia" w:ascii="宋体" w:hAnsi="宋体"/>
          <w:sz w:val="24"/>
        </w:rPr>
        <w:t>7.1按照磋商文件规定的评审方法和标准，对资格性审查和符合性审查合格的响应文件进行商务和技术评审，综合比较和评价，最低报价不是成交的唯一依据。</w:t>
      </w:r>
    </w:p>
    <w:p w14:paraId="5F9A745E">
      <w:pPr>
        <w:spacing w:line="360" w:lineRule="auto"/>
        <w:ind w:firstLine="360" w:firstLineChars="150"/>
        <w:rPr>
          <w:rFonts w:ascii="宋体" w:hAnsi="宋体"/>
          <w:sz w:val="24"/>
        </w:rPr>
      </w:pPr>
      <w:r>
        <w:rPr>
          <w:rFonts w:hint="eastAsia" w:ascii="宋体" w:hAnsi="宋体"/>
          <w:sz w:val="24"/>
        </w:rPr>
        <w:t>7.2最终报价：二次报价为最终报价，在满足磋商文件所有实质性要求前提下，提交最终报价。如采购需求没有实质性变化，各供应商的二次报价不得超过一次报价，否则，按无效文件处理。各分项报价以最终报价降价标准同比例下浮。</w:t>
      </w:r>
    </w:p>
    <w:p w14:paraId="3EDCA64A">
      <w:pPr>
        <w:spacing w:line="360" w:lineRule="auto"/>
        <w:ind w:firstLine="360" w:firstLineChars="150"/>
        <w:rPr>
          <w:rFonts w:ascii="宋体" w:hAnsi="宋体"/>
          <w:sz w:val="24"/>
        </w:rPr>
      </w:pPr>
      <w:r>
        <w:rPr>
          <w:rFonts w:hint="eastAsia" w:ascii="宋体" w:hAnsi="宋体"/>
          <w:sz w:val="24"/>
        </w:rPr>
        <w:t>7.3采用综合评分法：磋商小组根据《评审要素及分值一览表》进行综合比较，独立评审、自主打分，按最后得分由高到低汇总排序，以项目为单位推荐三名成交候选供应商；磋商小组根据磋商结果写出磋商报告。如果磋商小组出现对磋商结果有不同意见的，应当按照少数服从多数的原则作出结论。持不同意见的磋商小组成员应当在报告上签署不同意见及理由。磋商小组拒绝在磋商意见中签字又不书面说明其不同意见和理由的，视为同意磋商结果。</w:t>
      </w:r>
    </w:p>
    <w:p w14:paraId="1C5841D0">
      <w:pPr>
        <w:spacing w:line="360" w:lineRule="auto"/>
        <w:ind w:firstLine="481"/>
        <w:jc w:val="left"/>
        <w:rPr>
          <w:rFonts w:ascii="宋体" w:hAnsi="宋体"/>
          <w:sz w:val="24"/>
        </w:rPr>
      </w:pPr>
      <w:r>
        <w:rPr>
          <w:rFonts w:hint="eastAsia" w:ascii="宋体" w:hAnsi="宋体"/>
          <w:sz w:val="24"/>
        </w:rPr>
        <w:t>7.4成交候选人推荐：将各有效供应商按其评审总得分由高到低顺序排列，排名第一的供应商为第一成交候选人，排名第二的供应商为第二成交候选人，以此类推。</w:t>
      </w:r>
    </w:p>
    <w:p w14:paraId="6FBF3F81">
      <w:pPr>
        <w:spacing w:line="360" w:lineRule="auto"/>
        <w:ind w:firstLine="360" w:firstLineChars="150"/>
        <w:rPr>
          <w:rFonts w:ascii="宋体" w:hAnsi="宋体"/>
          <w:sz w:val="24"/>
        </w:rPr>
      </w:pPr>
      <w:r>
        <w:rPr>
          <w:rFonts w:hint="eastAsia" w:ascii="宋体" w:hAnsi="宋体"/>
          <w:sz w:val="24"/>
        </w:rPr>
        <w:t>评审总得分相同的，按下列顺序比较确定：（1）响应报价（由低到高）；（2）技术评分（由高到低），如以上都相同的，名次由磋商小组抽签确定。</w:t>
      </w:r>
    </w:p>
    <w:p w14:paraId="7446578A">
      <w:pPr>
        <w:spacing w:line="360" w:lineRule="auto"/>
        <w:ind w:firstLine="360" w:firstLineChars="150"/>
        <w:rPr>
          <w:rFonts w:ascii="宋体" w:hAnsi="宋体"/>
          <w:sz w:val="24"/>
        </w:rPr>
      </w:pPr>
      <w:r>
        <w:rPr>
          <w:rFonts w:hint="eastAsia" w:ascii="宋体" w:hAnsi="宋体"/>
          <w:sz w:val="24"/>
        </w:rPr>
        <w:t>7.5磋商小组须对畸高、畸低的重大差异评分进行复核或书面说明理由。</w:t>
      </w:r>
    </w:p>
    <w:p w14:paraId="4D00D17C">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8.其他事项说明：（落实的相关政策）</w:t>
      </w:r>
    </w:p>
    <w:p w14:paraId="60E6914E">
      <w:pPr>
        <w:tabs>
          <w:tab w:val="left" w:pos="240"/>
        </w:tabs>
        <w:spacing w:line="360" w:lineRule="auto"/>
        <w:ind w:left="-120" w:leftChars="-57" w:firstLine="480" w:firstLineChars="200"/>
        <w:rPr>
          <w:rFonts w:ascii="宋体" w:hAnsi="宋体"/>
          <w:sz w:val="24"/>
        </w:rPr>
      </w:pPr>
      <w:r>
        <w:rPr>
          <w:rFonts w:hint="eastAsia" w:ascii="宋体" w:hAnsi="宋体"/>
          <w:sz w:val="24"/>
        </w:rPr>
        <w:t xml:space="preserve">采购项目需要落实的政府采购政策：依据《中华人民共和国政府采购法》、《中华人民共和国政府采购法实施条例》和《政府采购竞争性磋商采购方式管理暂行办法》的有关规定，落实政府采购政策。 </w:t>
      </w:r>
    </w:p>
    <w:p w14:paraId="5EC410DD">
      <w:pPr>
        <w:spacing w:line="360" w:lineRule="auto"/>
        <w:ind w:firstLine="360" w:firstLineChars="150"/>
        <w:rPr>
          <w:rFonts w:ascii="宋体" w:hAnsi="宋体"/>
          <w:sz w:val="24"/>
        </w:rPr>
      </w:pPr>
      <w:r>
        <w:rPr>
          <w:rFonts w:hint="eastAsia" w:ascii="宋体" w:hAnsi="宋体"/>
          <w:sz w:val="24"/>
        </w:rPr>
        <w:t>8.1《政府采购促进中小企业发展管理办法》的通知--财库〔2020〕46号</w:t>
      </w:r>
    </w:p>
    <w:p w14:paraId="5844CA59">
      <w:pPr>
        <w:spacing w:line="360" w:lineRule="auto"/>
        <w:ind w:firstLine="360" w:firstLineChars="150"/>
        <w:rPr>
          <w:rFonts w:ascii="宋体" w:hAnsi="宋体"/>
          <w:sz w:val="24"/>
        </w:rPr>
      </w:pPr>
      <w:r>
        <w:rPr>
          <w:rFonts w:hint="eastAsia" w:ascii="宋体" w:hAnsi="宋体"/>
          <w:sz w:val="24"/>
        </w:rPr>
        <w:t xml:space="preserve">8.2财政部司法部关于政府采购支持监狱企业发展有关问题的通知--财库[2014]68号 </w:t>
      </w:r>
    </w:p>
    <w:p w14:paraId="01B765AF">
      <w:pPr>
        <w:spacing w:line="360" w:lineRule="auto"/>
        <w:ind w:firstLine="360" w:firstLineChars="150"/>
        <w:rPr>
          <w:rFonts w:ascii="宋体" w:hAnsi="宋体"/>
          <w:sz w:val="24"/>
        </w:rPr>
      </w:pPr>
      <w:r>
        <w:rPr>
          <w:rFonts w:hint="eastAsia" w:ascii="宋体" w:hAnsi="宋体"/>
          <w:sz w:val="24"/>
        </w:rPr>
        <w:t>监狱、戒毒企业视同小微企业，享受政府采购相关政策；监狱和戒毒企业须提供由省级以上监狱管理局、戒毒管理局(含新疆生产建设兵团)出具的属于监狱企业的证明文件。</w:t>
      </w:r>
    </w:p>
    <w:p w14:paraId="43506E2C">
      <w:pPr>
        <w:spacing w:line="360" w:lineRule="auto"/>
        <w:ind w:firstLine="360" w:firstLineChars="150"/>
        <w:rPr>
          <w:rFonts w:ascii="宋体" w:hAnsi="宋体"/>
          <w:sz w:val="24"/>
        </w:rPr>
      </w:pPr>
      <w:r>
        <w:rPr>
          <w:rFonts w:hint="eastAsia" w:ascii="宋体" w:hAnsi="宋体"/>
          <w:sz w:val="24"/>
        </w:rPr>
        <w:t>8.3《财政部 发展改革委 生态环境部 市场监管总局关于调整优化节能产品 环境标志产品政府采购执行机制的通知》（财库〔2019〕9号）</w:t>
      </w:r>
    </w:p>
    <w:p w14:paraId="3796AF23">
      <w:pPr>
        <w:spacing w:line="360" w:lineRule="auto"/>
        <w:ind w:firstLine="360" w:firstLineChars="150"/>
        <w:rPr>
          <w:rFonts w:ascii="宋体" w:hAnsi="宋体"/>
          <w:sz w:val="24"/>
        </w:rPr>
      </w:pPr>
      <w:r>
        <w:rPr>
          <w:rFonts w:hint="eastAsia" w:ascii="宋体" w:hAnsi="宋体"/>
          <w:sz w:val="24"/>
        </w:rPr>
        <w:t>8.4《关于促进残疾人就业政府采购政策的通知》财库[2017]141号</w:t>
      </w:r>
    </w:p>
    <w:p w14:paraId="08CE7551">
      <w:pPr>
        <w:spacing w:line="360" w:lineRule="auto"/>
        <w:ind w:firstLine="360" w:firstLineChars="150"/>
        <w:rPr>
          <w:rFonts w:ascii="宋体" w:hAnsi="宋体"/>
          <w:sz w:val="24"/>
        </w:rPr>
      </w:pPr>
      <w:r>
        <w:rPr>
          <w:rFonts w:hint="eastAsia" w:ascii="宋体" w:hAnsi="宋体"/>
          <w:sz w:val="24"/>
        </w:rPr>
        <w:t>根据《财政部 民政部 中国残疾人联合会关于促进残疾人就业政府采购政策的通知》（财库〔2017〕，符合条件的残疾人福利性单位在参加政府采购活动时，应当提供本通知规定的《残疾人福利性单位声明函》（见响应文件格式），并对声明的真实性负责。</w:t>
      </w:r>
      <w:r>
        <w:rPr>
          <w:rFonts w:hint="eastAsia" w:ascii="宋体" w:hAnsi="宋体"/>
          <w:sz w:val="24"/>
          <w:lang w:val="en-US" w:eastAsia="zh-CN"/>
        </w:rPr>
        <w:t>中标/成交</w:t>
      </w:r>
      <w:r>
        <w:rPr>
          <w:rFonts w:hint="eastAsia" w:ascii="宋体" w:hAnsi="宋体"/>
          <w:sz w:val="24"/>
        </w:rPr>
        <w:t>人为残疾人福利性单位的，采购人或者其委托的采购代理机构应当随中标</w:t>
      </w:r>
      <w:r>
        <w:rPr>
          <w:rFonts w:hint="eastAsia" w:ascii="宋体" w:hAnsi="宋体"/>
          <w:sz w:val="24"/>
          <w:lang w:val="en-US" w:eastAsia="zh-CN"/>
        </w:rPr>
        <w:t>/</w:t>
      </w:r>
      <w:r>
        <w:rPr>
          <w:rFonts w:hint="eastAsia" w:ascii="宋体" w:hAnsi="宋体"/>
          <w:sz w:val="24"/>
        </w:rPr>
        <w:t>成交结果同时公告其《残疾人福利性单位声明函》，接受社会监督。供应商提供的《残疾人福利性单位声明函》与事实不符的，依照《政府采购法》第七十七条第一款的规定追究法律责任。</w:t>
      </w:r>
    </w:p>
    <w:p w14:paraId="30FE207B">
      <w:pPr>
        <w:spacing w:line="360" w:lineRule="auto"/>
        <w:ind w:firstLine="360" w:firstLineChars="150"/>
        <w:rPr>
          <w:rFonts w:ascii="宋体" w:hAnsi="宋体"/>
          <w:sz w:val="24"/>
        </w:rPr>
      </w:pPr>
      <w:r>
        <w:rPr>
          <w:rFonts w:hint="eastAsia" w:ascii="宋体" w:hAnsi="宋体"/>
          <w:sz w:val="24"/>
        </w:rPr>
        <w:t>8.5《陕西省财政厅关于加快推进我省中小企业政府采购信用融资工作的通知》（陕财办采〔2020〕15 号）</w:t>
      </w:r>
    </w:p>
    <w:p w14:paraId="16A59CBA">
      <w:pPr>
        <w:spacing w:line="360" w:lineRule="auto"/>
        <w:ind w:firstLine="360" w:firstLineChars="150"/>
        <w:rPr>
          <w:rFonts w:ascii="宋体" w:hAnsi="宋体"/>
          <w:sz w:val="24"/>
        </w:rPr>
      </w:pPr>
      <w:r>
        <w:rPr>
          <w:rFonts w:hint="eastAsia" w:ascii="宋体" w:hAnsi="宋体"/>
          <w:sz w:val="24"/>
        </w:rPr>
        <w:t>8.6《陕西省中小企业政府采购信用融资办法》陕财办采〔2018〕23号</w:t>
      </w:r>
    </w:p>
    <w:p w14:paraId="5148156A">
      <w:pPr>
        <w:spacing w:line="360" w:lineRule="auto"/>
        <w:ind w:firstLine="360" w:firstLineChars="150"/>
        <w:rPr>
          <w:rFonts w:ascii="宋体" w:hAnsi="宋体"/>
          <w:sz w:val="24"/>
        </w:rPr>
      </w:pPr>
      <w:r>
        <w:rPr>
          <w:rFonts w:hint="eastAsia" w:ascii="宋体" w:hAnsi="宋体" w:cs="Helvetica"/>
          <w:kern w:val="0"/>
          <w:sz w:val="24"/>
          <w:szCs w:val="21"/>
        </w:rPr>
        <w:t>8.7《关于推动解决政府采购异常低价问题的通知》（财库〔2026〕2号）。</w:t>
      </w:r>
    </w:p>
    <w:p w14:paraId="668B8938">
      <w:pPr>
        <w:tabs>
          <w:tab w:val="left" w:pos="240"/>
        </w:tabs>
        <w:spacing w:line="360" w:lineRule="auto"/>
        <w:ind w:left="-120" w:leftChars="-57" w:firstLine="482" w:firstLineChars="200"/>
        <w:rPr>
          <w:rFonts w:ascii="宋体" w:hAnsi="宋体"/>
          <w:b/>
          <w:bCs/>
          <w:sz w:val="24"/>
        </w:rPr>
      </w:pPr>
      <w:r>
        <w:rPr>
          <w:rFonts w:hint="eastAsia" w:ascii="宋体" w:hAnsi="宋体"/>
          <w:b/>
          <w:bCs/>
          <w:sz w:val="24"/>
        </w:rPr>
        <w:t>9.成交</w:t>
      </w:r>
    </w:p>
    <w:p w14:paraId="4D168216">
      <w:pPr>
        <w:tabs>
          <w:tab w:val="left" w:pos="240"/>
        </w:tabs>
        <w:spacing w:line="360" w:lineRule="auto"/>
        <w:ind w:left="-120" w:leftChars="-57" w:firstLine="480" w:firstLineChars="200"/>
        <w:rPr>
          <w:rFonts w:ascii="宋体" w:hAnsi="宋体"/>
          <w:sz w:val="24"/>
        </w:rPr>
      </w:pPr>
      <w:r>
        <w:rPr>
          <w:rFonts w:hint="eastAsia" w:ascii="宋体" w:hAnsi="宋体"/>
          <w:sz w:val="24"/>
        </w:rPr>
        <w:t>9.1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51BDE54A">
      <w:pPr>
        <w:spacing w:line="360" w:lineRule="auto"/>
        <w:ind w:firstLine="360" w:firstLineChars="150"/>
        <w:rPr>
          <w:rFonts w:ascii="宋体" w:hAnsi="宋体" w:cs="Helvetica"/>
          <w:kern w:val="0"/>
          <w:sz w:val="24"/>
        </w:rPr>
      </w:pPr>
      <w:r>
        <w:rPr>
          <w:rFonts w:hint="eastAsia" w:ascii="宋体" w:hAnsi="宋体"/>
          <w:sz w:val="24"/>
        </w:rPr>
        <w:t>9.2采购代理机构收到采购人“成交复函”后，二个工作日内在财政部门指定的政府采购信息媒体上发布公告，公示期无异议后，向成交供应商发出“成交通知书”。</w:t>
      </w:r>
    </w:p>
    <w:p w14:paraId="766FE640">
      <w:pPr>
        <w:rPr>
          <w:rFonts w:ascii="宋体" w:hAnsi="宋体"/>
          <w:sz w:val="24"/>
        </w:rPr>
      </w:pPr>
      <w:r>
        <w:rPr>
          <w:rFonts w:hint="eastAsia" w:ascii="宋体" w:hAnsi="宋体"/>
          <w:sz w:val="24"/>
        </w:rPr>
        <w:br w:type="page"/>
      </w:r>
    </w:p>
    <w:p w14:paraId="33F63A22">
      <w:pPr>
        <w:outlineLvl w:val="1"/>
        <w:rPr>
          <w:rFonts w:ascii="华文仿宋" w:eastAsia="黑体" w:cs="Times New Roman"/>
          <w:sz w:val="28"/>
          <w:szCs w:val="28"/>
        </w:rPr>
      </w:pPr>
      <w:bookmarkStart w:id="14" w:name="_Toc25409"/>
      <w:bookmarkStart w:id="15" w:name="_Toc4165"/>
      <w:r>
        <w:rPr>
          <w:rFonts w:hint="eastAsia" w:ascii="宋体" w:hAnsi="宋体" w:cs="Calibri"/>
          <w:b/>
          <w:sz w:val="24"/>
          <w:szCs w:val="21"/>
        </w:rPr>
        <w:t>附表一：资格审查表</w:t>
      </w:r>
      <w:bookmarkEnd w:id="14"/>
      <w:bookmarkEnd w:id="15"/>
    </w:p>
    <w:p w14:paraId="6B95DE6F">
      <w:pPr>
        <w:spacing w:line="500" w:lineRule="exact"/>
        <w:jc w:val="center"/>
        <w:rPr>
          <w:rFonts w:ascii="华文仿宋" w:cs="Times New Roman"/>
          <w:b/>
          <w:bCs/>
        </w:rPr>
      </w:pPr>
      <w:r>
        <w:rPr>
          <w:rFonts w:hint="eastAsia" w:ascii="华文仿宋" w:hAnsi="华文仿宋" w:cs="华文仿宋"/>
          <w:b/>
          <w:bCs/>
          <w:sz w:val="32"/>
          <w:szCs w:val="32"/>
        </w:rPr>
        <w:t>资格审查表</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1152"/>
      </w:tblGrid>
      <w:tr w14:paraId="2CFD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34274831">
            <w:pPr>
              <w:jc w:val="center"/>
              <w:rPr>
                <w:rFonts w:ascii="宋体" w:hAnsi="宋体"/>
                <w:b/>
                <w:bCs/>
                <w:szCs w:val="21"/>
              </w:rPr>
            </w:pPr>
            <w:bookmarkStart w:id="16" w:name="_Toc29773"/>
            <w:bookmarkStart w:id="17" w:name="_Toc22969"/>
            <w:bookmarkStart w:id="18" w:name="_Toc5945"/>
            <w:bookmarkStart w:id="19" w:name="_Toc3725"/>
            <w:bookmarkStart w:id="20" w:name="_Toc18735"/>
            <w:bookmarkStart w:id="21" w:name="_Toc8359"/>
            <w:bookmarkStart w:id="22" w:name="_Toc25181"/>
            <w:bookmarkStart w:id="23" w:name="_Toc2712"/>
            <w:bookmarkStart w:id="24" w:name="_Toc32718"/>
            <w:bookmarkStart w:id="25" w:name="_Toc28947"/>
            <w:bookmarkStart w:id="26" w:name="_Toc28896"/>
            <w:bookmarkStart w:id="27" w:name="_Toc27374"/>
            <w:bookmarkStart w:id="28" w:name="_Toc2809"/>
            <w:bookmarkStart w:id="29" w:name="_Toc26027"/>
            <w:bookmarkStart w:id="30" w:name="_Toc14358"/>
            <w:bookmarkStart w:id="31" w:name="_Toc16965"/>
            <w:bookmarkStart w:id="32" w:name="_Toc22102"/>
            <w:bookmarkStart w:id="33" w:name="_Toc3753"/>
            <w:bookmarkStart w:id="34" w:name="_Toc1559"/>
            <w:bookmarkStart w:id="35" w:name="_Toc3842"/>
            <w:bookmarkStart w:id="36" w:name="_Toc25093"/>
            <w:bookmarkStart w:id="37" w:name="_Toc1691"/>
            <w:r>
              <w:rPr>
                <w:rFonts w:hint="eastAsia" w:ascii="宋体" w:hAnsi="宋体"/>
                <w:b/>
                <w:bCs/>
                <w:szCs w:val="21"/>
              </w:rPr>
              <w:t>序号</w:t>
            </w:r>
          </w:p>
        </w:tc>
        <w:tc>
          <w:tcPr>
            <w:tcW w:w="1866" w:type="dxa"/>
            <w:noWrap/>
            <w:vAlign w:val="center"/>
          </w:tcPr>
          <w:p w14:paraId="57E34958">
            <w:pPr>
              <w:jc w:val="center"/>
              <w:rPr>
                <w:rFonts w:ascii="宋体" w:hAnsi="宋体"/>
                <w:b/>
                <w:bCs/>
                <w:kern w:val="28"/>
                <w:szCs w:val="21"/>
              </w:rPr>
            </w:pPr>
            <w:r>
              <w:rPr>
                <w:rFonts w:hint="eastAsia" w:ascii="宋体" w:hAnsi="宋体"/>
                <w:b/>
                <w:bCs/>
                <w:kern w:val="28"/>
                <w:szCs w:val="21"/>
              </w:rPr>
              <w:t>资格审查项</w:t>
            </w:r>
          </w:p>
        </w:tc>
        <w:tc>
          <w:tcPr>
            <w:tcW w:w="4583" w:type="dxa"/>
            <w:noWrap/>
            <w:vAlign w:val="center"/>
          </w:tcPr>
          <w:p w14:paraId="66DC9F69">
            <w:pPr>
              <w:jc w:val="center"/>
              <w:rPr>
                <w:rFonts w:ascii="宋体" w:hAnsi="宋体"/>
                <w:b/>
                <w:bCs/>
                <w:kern w:val="28"/>
                <w:szCs w:val="21"/>
              </w:rPr>
            </w:pPr>
            <w:r>
              <w:rPr>
                <w:rFonts w:hint="eastAsia" w:ascii="宋体" w:hAnsi="宋体"/>
                <w:b/>
                <w:bCs/>
                <w:kern w:val="28"/>
                <w:szCs w:val="21"/>
              </w:rPr>
              <w:t>通过条件</w:t>
            </w:r>
          </w:p>
        </w:tc>
        <w:tc>
          <w:tcPr>
            <w:tcW w:w="1152" w:type="dxa"/>
            <w:noWrap/>
            <w:vAlign w:val="center"/>
          </w:tcPr>
          <w:p w14:paraId="19F05D24">
            <w:pPr>
              <w:jc w:val="center"/>
              <w:rPr>
                <w:rFonts w:ascii="宋体" w:hAnsi="宋体"/>
                <w:b/>
                <w:bCs/>
                <w:szCs w:val="21"/>
              </w:rPr>
            </w:pPr>
            <w:r>
              <w:rPr>
                <w:rFonts w:hint="eastAsia" w:ascii="宋体" w:hAnsi="宋体"/>
                <w:b/>
                <w:bCs/>
                <w:kern w:val="28"/>
                <w:szCs w:val="21"/>
              </w:rPr>
              <w:t>备注</w:t>
            </w:r>
          </w:p>
        </w:tc>
      </w:tr>
      <w:tr w14:paraId="386E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3A126E99">
            <w:pPr>
              <w:jc w:val="center"/>
              <w:rPr>
                <w:rFonts w:ascii="宋体" w:hAnsi="宋体"/>
                <w:szCs w:val="21"/>
              </w:rPr>
            </w:pPr>
            <w:r>
              <w:rPr>
                <w:rFonts w:hint="eastAsia" w:ascii="宋体" w:hAnsi="宋体"/>
                <w:szCs w:val="21"/>
              </w:rPr>
              <w:t>1</w:t>
            </w:r>
          </w:p>
        </w:tc>
        <w:tc>
          <w:tcPr>
            <w:tcW w:w="1866" w:type="dxa"/>
            <w:noWrap/>
            <w:vAlign w:val="center"/>
          </w:tcPr>
          <w:p w14:paraId="0F3DDA25">
            <w:pPr>
              <w:jc w:val="center"/>
              <w:rPr>
                <w:rFonts w:ascii="宋体" w:hAnsi="宋体"/>
                <w:kern w:val="28"/>
                <w:szCs w:val="21"/>
              </w:rPr>
            </w:pPr>
            <w:r>
              <w:rPr>
                <w:rFonts w:hint="eastAsia" w:ascii="宋体" w:hAnsi="宋体"/>
                <w:kern w:val="28"/>
                <w:szCs w:val="21"/>
              </w:rPr>
              <w:t>营业执照等主体资格证明文件</w:t>
            </w:r>
          </w:p>
        </w:tc>
        <w:tc>
          <w:tcPr>
            <w:tcW w:w="4583" w:type="dxa"/>
            <w:noWrap/>
            <w:vAlign w:val="center"/>
          </w:tcPr>
          <w:p w14:paraId="37633338">
            <w:pPr>
              <w:rPr>
                <w:rFonts w:ascii="宋体" w:hAnsi="宋体"/>
                <w:kern w:val="28"/>
                <w:szCs w:val="21"/>
              </w:rPr>
            </w:pPr>
            <w:r>
              <w:rPr>
                <w:rFonts w:hint="eastAsia" w:ascii="宋体" w:hAnsi="宋体"/>
                <w:kern w:val="28"/>
                <w:szCs w:val="21"/>
              </w:rPr>
              <w:t>提供营业执照/事业单位法人证书/专业服务机构执业许可证/民办非企业单位登记证书等其他主体资格证明文件。</w:t>
            </w:r>
          </w:p>
        </w:tc>
        <w:tc>
          <w:tcPr>
            <w:tcW w:w="1152" w:type="dxa"/>
            <w:noWrap/>
            <w:vAlign w:val="center"/>
          </w:tcPr>
          <w:p w14:paraId="7F4FD6B3">
            <w:pPr>
              <w:rPr>
                <w:rFonts w:ascii="宋体" w:hAnsi="宋体"/>
                <w:b/>
                <w:bCs/>
                <w:szCs w:val="21"/>
              </w:rPr>
            </w:pPr>
          </w:p>
        </w:tc>
      </w:tr>
      <w:tr w14:paraId="4921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638D0F8F">
            <w:pPr>
              <w:jc w:val="center"/>
              <w:rPr>
                <w:rFonts w:ascii="宋体" w:hAnsi="宋体"/>
                <w:szCs w:val="21"/>
              </w:rPr>
            </w:pPr>
            <w:r>
              <w:rPr>
                <w:rFonts w:hint="eastAsia" w:ascii="宋体" w:hAnsi="宋体"/>
                <w:szCs w:val="21"/>
              </w:rPr>
              <w:t>2</w:t>
            </w:r>
          </w:p>
        </w:tc>
        <w:tc>
          <w:tcPr>
            <w:tcW w:w="1866" w:type="dxa"/>
            <w:noWrap/>
            <w:vAlign w:val="center"/>
          </w:tcPr>
          <w:p w14:paraId="1E101E5B">
            <w:pPr>
              <w:jc w:val="center"/>
              <w:rPr>
                <w:rFonts w:ascii="宋体" w:hAnsi="宋体"/>
                <w:kern w:val="28"/>
                <w:szCs w:val="21"/>
              </w:rPr>
            </w:pPr>
            <w:r>
              <w:rPr>
                <w:rFonts w:hint="eastAsia" w:ascii="宋体" w:hAnsi="宋体"/>
                <w:kern w:val="28"/>
                <w:szCs w:val="21"/>
              </w:rPr>
              <w:t>财务状况报告</w:t>
            </w:r>
          </w:p>
        </w:tc>
        <w:tc>
          <w:tcPr>
            <w:tcW w:w="4583" w:type="dxa"/>
            <w:noWrap/>
            <w:vAlign w:val="center"/>
          </w:tcPr>
          <w:p w14:paraId="5C8E2EC2">
            <w:pPr>
              <w:rPr>
                <w:rFonts w:ascii="宋体" w:hAnsi="宋体"/>
                <w:kern w:val="28"/>
                <w:szCs w:val="21"/>
              </w:rPr>
            </w:pPr>
            <w:r>
              <w:rPr>
                <w:rFonts w:hint="eastAsia" w:ascii="宋体" w:hAnsi="宋体"/>
                <w:kern w:val="28"/>
                <w:szCs w:val="21"/>
              </w:rPr>
              <w:t>提供2024年度或2025年度经审计的财务报告，报告须具有注册会计师行业统一监管平台赋予的验证码(成立时间至提交响应文件截止时间不足一年的可提供成立后任意时段的资产负债表)，或其开标前三个月内基本开户银行出具的资信证明，或信用担保机构出具的投标担保函(以上三种形式的资料提供任何一种即可)（以上三种形式的资料提供任何一种即可）。</w:t>
            </w:r>
          </w:p>
        </w:tc>
        <w:tc>
          <w:tcPr>
            <w:tcW w:w="1152" w:type="dxa"/>
            <w:noWrap/>
            <w:vAlign w:val="center"/>
          </w:tcPr>
          <w:p w14:paraId="3D78A6DC">
            <w:pPr>
              <w:rPr>
                <w:rFonts w:ascii="宋体" w:hAnsi="宋体"/>
                <w:b/>
                <w:bCs/>
                <w:szCs w:val="21"/>
              </w:rPr>
            </w:pPr>
          </w:p>
        </w:tc>
      </w:tr>
      <w:tr w14:paraId="42CC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1E02865B">
            <w:pPr>
              <w:jc w:val="center"/>
              <w:rPr>
                <w:rFonts w:ascii="宋体" w:hAnsi="宋体"/>
                <w:szCs w:val="21"/>
              </w:rPr>
            </w:pPr>
            <w:r>
              <w:rPr>
                <w:rFonts w:hint="eastAsia" w:ascii="宋体" w:hAnsi="宋体"/>
                <w:szCs w:val="21"/>
              </w:rPr>
              <w:t>3</w:t>
            </w:r>
          </w:p>
        </w:tc>
        <w:tc>
          <w:tcPr>
            <w:tcW w:w="1866" w:type="dxa"/>
            <w:noWrap/>
            <w:vAlign w:val="center"/>
          </w:tcPr>
          <w:p w14:paraId="5A72BB3A">
            <w:pPr>
              <w:jc w:val="center"/>
              <w:rPr>
                <w:rFonts w:ascii="宋体" w:hAnsi="宋体"/>
                <w:kern w:val="28"/>
                <w:szCs w:val="21"/>
              </w:rPr>
            </w:pPr>
            <w:r>
              <w:rPr>
                <w:rFonts w:hint="eastAsia" w:ascii="宋体" w:hAnsi="宋体"/>
                <w:kern w:val="28"/>
                <w:szCs w:val="21"/>
              </w:rPr>
              <w:t>书面声明</w:t>
            </w:r>
          </w:p>
        </w:tc>
        <w:tc>
          <w:tcPr>
            <w:tcW w:w="4583" w:type="dxa"/>
            <w:noWrap/>
            <w:vAlign w:val="center"/>
          </w:tcPr>
          <w:p w14:paraId="01F83D45">
            <w:pPr>
              <w:rPr>
                <w:rFonts w:ascii="宋体" w:hAnsi="宋体"/>
                <w:kern w:val="28"/>
                <w:szCs w:val="21"/>
              </w:rPr>
            </w:pPr>
            <w:r>
              <w:rPr>
                <w:rFonts w:hint="eastAsia" w:ascii="宋体" w:hAnsi="宋体"/>
                <w:kern w:val="28"/>
                <w:szCs w:val="21"/>
              </w:rPr>
              <w:t>提供书面声明，包括声明具有履行合同所必需的设备和专业技术能力。</w:t>
            </w:r>
          </w:p>
        </w:tc>
        <w:tc>
          <w:tcPr>
            <w:tcW w:w="1152" w:type="dxa"/>
            <w:noWrap/>
            <w:vAlign w:val="center"/>
          </w:tcPr>
          <w:p w14:paraId="57DFC4DF">
            <w:pPr>
              <w:rPr>
                <w:rFonts w:ascii="宋体" w:hAnsi="宋体"/>
                <w:b/>
                <w:bCs/>
                <w:szCs w:val="21"/>
              </w:rPr>
            </w:pPr>
          </w:p>
        </w:tc>
      </w:tr>
      <w:tr w14:paraId="79F2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38E399E5">
            <w:pPr>
              <w:jc w:val="center"/>
              <w:rPr>
                <w:rFonts w:ascii="宋体" w:hAnsi="宋体"/>
                <w:szCs w:val="21"/>
              </w:rPr>
            </w:pPr>
            <w:r>
              <w:rPr>
                <w:rFonts w:hint="eastAsia" w:ascii="宋体" w:hAnsi="宋体"/>
                <w:szCs w:val="21"/>
              </w:rPr>
              <w:t>4</w:t>
            </w:r>
          </w:p>
        </w:tc>
        <w:tc>
          <w:tcPr>
            <w:tcW w:w="1866" w:type="dxa"/>
            <w:noWrap/>
            <w:vAlign w:val="center"/>
          </w:tcPr>
          <w:p w14:paraId="2DF7A865">
            <w:pPr>
              <w:jc w:val="center"/>
              <w:rPr>
                <w:rFonts w:ascii="宋体" w:hAnsi="宋体"/>
                <w:kern w:val="28"/>
                <w:szCs w:val="21"/>
              </w:rPr>
            </w:pPr>
            <w:r>
              <w:rPr>
                <w:rFonts w:hint="eastAsia" w:ascii="宋体" w:hAnsi="宋体"/>
                <w:kern w:val="28"/>
                <w:szCs w:val="21"/>
              </w:rPr>
              <w:t>社保缴纳证明</w:t>
            </w:r>
          </w:p>
        </w:tc>
        <w:tc>
          <w:tcPr>
            <w:tcW w:w="4583" w:type="dxa"/>
            <w:noWrap/>
            <w:vAlign w:val="center"/>
          </w:tcPr>
          <w:p w14:paraId="0B38F86F">
            <w:pPr>
              <w:rPr>
                <w:rFonts w:ascii="宋体" w:hAnsi="宋体"/>
                <w:kern w:val="28"/>
                <w:szCs w:val="21"/>
              </w:rPr>
            </w:pPr>
            <w:r>
              <w:rPr>
                <w:rFonts w:hint="eastAsia" w:ascii="宋体" w:hAnsi="宋体"/>
                <w:kern w:val="28"/>
                <w:szCs w:val="21"/>
              </w:rPr>
              <w:t>提供递交响应文件截止之日前一年内任意一个月的社会保障资金缴存单据或社保机构开具的社会保险参保缴费情况证明。依法不需要缴纳社会保障资金的供应商应提供相关文件证明。</w:t>
            </w:r>
          </w:p>
        </w:tc>
        <w:tc>
          <w:tcPr>
            <w:tcW w:w="1152" w:type="dxa"/>
            <w:noWrap/>
            <w:vAlign w:val="center"/>
          </w:tcPr>
          <w:p w14:paraId="2FBAF5A0">
            <w:pPr>
              <w:rPr>
                <w:rFonts w:ascii="宋体" w:hAnsi="宋体"/>
                <w:b/>
                <w:bCs/>
                <w:szCs w:val="21"/>
              </w:rPr>
            </w:pPr>
          </w:p>
        </w:tc>
      </w:tr>
      <w:tr w14:paraId="16E1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7F024215">
            <w:pPr>
              <w:jc w:val="center"/>
              <w:rPr>
                <w:rFonts w:ascii="宋体" w:hAnsi="宋体"/>
                <w:szCs w:val="21"/>
              </w:rPr>
            </w:pPr>
            <w:r>
              <w:rPr>
                <w:rFonts w:hint="eastAsia" w:ascii="宋体" w:hAnsi="宋体"/>
                <w:szCs w:val="21"/>
              </w:rPr>
              <w:t>5</w:t>
            </w:r>
          </w:p>
        </w:tc>
        <w:tc>
          <w:tcPr>
            <w:tcW w:w="1866" w:type="dxa"/>
            <w:noWrap/>
            <w:vAlign w:val="center"/>
          </w:tcPr>
          <w:p w14:paraId="7BA3B354">
            <w:pPr>
              <w:jc w:val="center"/>
              <w:rPr>
                <w:rFonts w:ascii="宋体" w:hAnsi="宋体"/>
                <w:kern w:val="28"/>
                <w:szCs w:val="21"/>
              </w:rPr>
            </w:pPr>
            <w:r>
              <w:rPr>
                <w:rFonts w:hint="eastAsia" w:ascii="宋体" w:hAnsi="宋体"/>
                <w:kern w:val="28"/>
                <w:szCs w:val="21"/>
              </w:rPr>
              <w:t>税收缴纳证明</w:t>
            </w:r>
          </w:p>
        </w:tc>
        <w:tc>
          <w:tcPr>
            <w:tcW w:w="4583" w:type="dxa"/>
            <w:noWrap/>
            <w:vAlign w:val="center"/>
          </w:tcPr>
          <w:p w14:paraId="392FF8E7">
            <w:pPr>
              <w:rPr>
                <w:rFonts w:ascii="宋体" w:hAnsi="宋体"/>
                <w:kern w:val="28"/>
                <w:szCs w:val="21"/>
              </w:rPr>
            </w:pPr>
            <w:r>
              <w:rPr>
                <w:rFonts w:hint="eastAsia" w:ascii="宋体" w:hAnsi="宋体"/>
                <w:kern w:val="28"/>
                <w:szCs w:val="21"/>
              </w:rPr>
              <w:t>提供递交响应文件截止之日前一年内任意一个月的依法缴纳税收的相关凭据（时间以税款所属日期为准），凭据应有税务机关或代收机关的公章或业务专用章。依法免税或无须缴纳税收的供应商，应提供相应证明文件。</w:t>
            </w:r>
          </w:p>
        </w:tc>
        <w:tc>
          <w:tcPr>
            <w:tcW w:w="1152" w:type="dxa"/>
            <w:noWrap/>
            <w:vAlign w:val="center"/>
          </w:tcPr>
          <w:p w14:paraId="1ED77B04">
            <w:pPr>
              <w:rPr>
                <w:rFonts w:ascii="宋体" w:hAnsi="宋体"/>
                <w:b/>
                <w:bCs/>
                <w:szCs w:val="21"/>
              </w:rPr>
            </w:pPr>
          </w:p>
        </w:tc>
      </w:tr>
      <w:tr w14:paraId="2C23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613D7C47">
            <w:pPr>
              <w:jc w:val="center"/>
              <w:rPr>
                <w:rFonts w:ascii="宋体" w:hAnsi="宋体"/>
                <w:szCs w:val="21"/>
              </w:rPr>
            </w:pPr>
            <w:r>
              <w:rPr>
                <w:rFonts w:hint="eastAsia" w:ascii="宋体" w:hAnsi="宋体"/>
                <w:szCs w:val="21"/>
              </w:rPr>
              <w:t>6</w:t>
            </w:r>
          </w:p>
        </w:tc>
        <w:tc>
          <w:tcPr>
            <w:tcW w:w="1866" w:type="dxa"/>
            <w:noWrap/>
            <w:vAlign w:val="center"/>
          </w:tcPr>
          <w:p w14:paraId="1FD95C0B">
            <w:pPr>
              <w:jc w:val="center"/>
              <w:rPr>
                <w:rFonts w:ascii="宋体" w:hAnsi="宋体"/>
                <w:kern w:val="28"/>
                <w:szCs w:val="21"/>
              </w:rPr>
            </w:pPr>
            <w:r>
              <w:rPr>
                <w:rFonts w:hint="eastAsia" w:ascii="宋体" w:hAnsi="宋体" w:cs="Helvetica"/>
                <w:kern w:val="0"/>
                <w:szCs w:val="21"/>
              </w:rPr>
              <w:t>近三年无重大违法、违纪书面声明</w:t>
            </w:r>
          </w:p>
        </w:tc>
        <w:tc>
          <w:tcPr>
            <w:tcW w:w="4583" w:type="dxa"/>
            <w:noWrap/>
            <w:vAlign w:val="center"/>
          </w:tcPr>
          <w:p w14:paraId="7FD36147">
            <w:pPr>
              <w:rPr>
                <w:rFonts w:ascii="宋体" w:hAnsi="宋体"/>
                <w:kern w:val="28"/>
                <w:szCs w:val="21"/>
              </w:rPr>
            </w:pPr>
            <w:r>
              <w:rPr>
                <w:rFonts w:hint="eastAsia" w:ascii="宋体" w:hAnsi="宋体"/>
                <w:kern w:val="28"/>
                <w:szCs w:val="21"/>
              </w:rPr>
              <w:t>提供《</w:t>
            </w:r>
            <w:r>
              <w:rPr>
                <w:rFonts w:hint="eastAsia" w:ascii="宋体" w:hAnsi="宋体" w:cs="Helvetica"/>
                <w:kern w:val="0"/>
                <w:szCs w:val="21"/>
              </w:rPr>
              <w:t>近三年无重大违法、违纪书面声明</w:t>
            </w:r>
            <w:r>
              <w:rPr>
                <w:rFonts w:hint="eastAsia" w:ascii="宋体" w:hAnsi="宋体"/>
                <w:kern w:val="28"/>
                <w:szCs w:val="21"/>
              </w:rPr>
              <w:t>》。</w:t>
            </w:r>
          </w:p>
        </w:tc>
        <w:tc>
          <w:tcPr>
            <w:tcW w:w="1152" w:type="dxa"/>
            <w:noWrap/>
            <w:vAlign w:val="center"/>
          </w:tcPr>
          <w:p w14:paraId="2CC17C5D">
            <w:pPr>
              <w:rPr>
                <w:rFonts w:ascii="宋体" w:hAnsi="宋体"/>
                <w:b/>
                <w:bCs/>
                <w:szCs w:val="21"/>
              </w:rPr>
            </w:pPr>
          </w:p>
        </w:tc>
      </w:tr>
      <w:tr w14:paraId="72F3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732" w:type="dxa"/>
            <w:noWrap/>
            <w:vAlign w:val="center"/>
          </w:tcPr>
          <w:p w14:paraId="26BBF7BF">
            <w:pPr>
              <w:jc w:val="center"/>
              <w:rPr>
                <w:rFonts w:ascii="宋体" w:hAnsi="宋体"/>
                <w:szCs w:val="21"/>
              </w:rPr>
            </w:pPr>
            <w:r>
              <w:rPr>
                <w:rFonts w:hint="eastAsia" w:ascii="宋体" w:hAnsi="宋体"/>
                <w:szCs w:val="21"/>
              </w:rPr>
              <w:t>7</w:t>
            </w:r>
          </w:p>
        </w:tc>
        <w:tc>
          <w:tcPr>
            <w:tcW w:w="1866" w:type="dxa"/>
            <w:noWrap/>
            <w:vAlign w:val="center"/>
          </w:tcPr>
          <w:p w14:paraId="5B68818D">
            <w:pPr>
              <w:jc w:val="center"/>
              <w:rPr>
                <w:rFonts w:ascii="宋体" w:hAnsi="宋体" w:cs="Helvetica"/>
                <w:kern w:val="0"/>
                <w:szCs w:val="21"/>
              </w:rPr>
            </w:pPr>
            <w:r>
              <w:rPr>
                <w:rFonts w:hint="eastAsia" w:ascii="宋体" w:hAnsi="宋体"/>
                <w:kern w:val="28"/>
                <w:szCs w:val="21"/>
              </w:rPr>
              <w:t>信用记录</w:t>
            </w:r>
          </w:p>
        </w:tc>
        <w:tc>
          <w:tcPr>
            <w:tcW w:w="4583" w:type="dxa"/>
            <w:noWrap/>
            <w:vAlign w:val="center"/>
          </w:tcPr>
          <w:p w14:paraId="4714DDCF">
            <w:pPr>
              <w:rPr>
                <w:rFonts w:ascii="宋体" w:hAnsi="宋体"/>
                <w:kern w:val="28"/>
                <w:szCs w:val="21"/>
              </w:rPr>
            </w:pPr>
            <w:r>
              <w:rPr>
                <w:rFonts w:hint="eastAsia" w:ascii="宋体" w:hAnsi="宋体"/>
                <w:kern w:val="28"/>
                <w:szCs w:val="21"/>
              </w:rPr>
              <w:t>供应商未被列入“信用中国”网站记录的“失信被执行人”或“重大税收违法失信主体”名单；不处于“中国政府采购网”记录的“政府采购严重违法失信行为记录名单”中的禁止参加政府采购活动期间。（以采购人或采购代理机构开标当天查询结果为准）；</w:t>
            </w:r>
          </w:p>
        </w:tc>
        <w:tc>
          <w:tcPr>
            <w:tcW w:w="1152" w:type="dxa"/>
            <w:noWrap/>
            <w:vAlign w:val="center"/>
          </w:tcPr>
          <w:p w14:paraId="13F1C5D9">
            <w:pPr>
              <w:rPr>
                <w:rFonts w:ascii="宋体" w:hAnsi="宋体"/>
                <w:b/>
                <w:bCs/>
                <w:szCs w:val="21"/>
              </w:rPr>
            </w:pPr>
          </w:p>
        </w:tc>
      </w:tr>
      <w:tr w14:paraId="07F2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4D930458">
            <w:pPr>
              <w:jc w:val="center"/>
              <w:rPr>
                <w:rFonts w:ascii="宋体" w:hAnsi="宋体"/>
                <w:bCs/>
                <w:szCs w:val="21"/>
              </w:rPr>
            </w:pPr>
            <w:r>
              <w:rPr>
                <w:rFonts w:hint="eastAsia" w:ascii="宋体" w:hAnsi="宋体"/>
                <w:szCs w:val="21"/>
              </w:rPr>
              <w:t>8</w:t>
            </w:r>
          </w:p>
        </w:tc>
        <w:tc>
          <w:tcPr>
            <w:tcW w:w="1866" w:type="dxa"/>
            <w:noWrap/>
            <w:vAlign w:val="center"/>
          </w:tcPr>
          <w:p w14:paraId="7F8DA980">
            <w:pPr>
              <w:jc w:val="center"/>
              <w:rPr>
                <w:rFonts w:ascii="宋体" w:hAnsi="宋体"/>
                <w:kern w:val="28"/>
                <w:szCs w:val="21"/>
              </w:rPr>
            </w:pPr>
            <w:r>
              <w:rPr>
                <w:rFonts w:hint="eastAsia" w:ascii="宋体" w:hAnsi="宋体"/>
                <w:kern w:val="28"/>
                <w:szCs w:val="21"/>
              </w:rPr>
              <w:t>控股管理关系</w:t>
            </w:r>
          </w:p>
        </w:tc>
        <w:tc>
          <w:tcPr>
            <w:tcW w:w="4583" w:type="dxa"/>
            <w:noWrap/>
            <w:vAlign w:val="center"/>
          </w:tcPr>
          <w:p w14:paraId="31E8FA6D">
            <w:pPr>
              <w:rPr>
                <w:rFonts w:ascii="宋体" w:hAnsi="宋体"/>
                <w:kern w:val="28"/>
                <w:szCs w:val="21"/>
              </w:rPr>
            </w:pPr>
            <w:r>
              <w:rPr>
                <w:rFonts w:hint="eastAsia" w:ascii="宋体" w:hAnsi="宋体"/>
                <w:kern w:val="28"/>
                <w:szCs w:val="21"/>
              </w:rPr>
              <w:t>提供直接控股和管理关系清单。若与其他供应商存在单位负责人为同一人或者存在直接控股、管理关系的，则响应无效。</w:t>
            </w:r>
          </w:p>
        </w:tc>
        <w:tc>
          <w:tcPr>
            <w:tcW w:w="1152" w:type="dxa"/>
            <w:noWrap/>
            <w:vAlign w:val="center"/>
          </w:tcPr>
          <w:p w14:paraId="3F004438">
            <w:pPr>
              <w:rPr>
                <w:rFonts w:ascii="宋体" w:hAnsi="宋体"/>
                <w:b/>
                <w:bCs/>
                <w:szCs w:val="21"/>
              </w:rPr>
            </w:pPr>
          </w:p>
        </w:tc>
      </w:tr>
      <w:tr w14:paraId="3B01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52A3B2C6">
            <w:pPr>
              <w:jc w:val="center"/>
              <w:rPr>
                <w:rFonts w:ascii="宋体" w:hAnsi="宋体"/>
                <w:szCs w:val="21"/>
              </w:rPr>
            </w:pPr>
            <w:r>
              <w:rPr>
                <w:rFonts w:hint="eastAsia" w:ascii="宋体" w:hAnsi="宋体"/>
                <w:szCs w:val="21"/>
              </w:rPr>
              <w:t>9</w:t>
            </w:r>
          </w:p>
        </w:tc>
        <w:tc>
          <w:tcPr>
            <w:tcW w:w="1866" w:type="dxa"/>
            <w:noWrap/>
            <w:vAlign w:val="center"/>
          </w:tcPr>
          <w:p w14:paraId="1E9BDB84">
            <w:pPr>
              <w:jc w:val="center"/>
              <w:rPr>
                <w:rFonts w:ascii="宋体" w:hAnsi="宋体"/>
                <w:kern w:val="28"/>
                <w:szCs w:val="21"/>
              </w:rPr>
            </w:pPr>
            <w:r>
              <w:rPr>
                <w:rFonts w:hint="eastAsia" w:ascii="宋体" w:hAnsi="宋体"/>
                <w:kern w:val="28"/>
                <w:szCs w:val="21"/>
              </w:rPr>
              <w:t>法定代表人授权委托书</w:t>
            </w:r>
          </w:p>
        </w:tc>
        <w:tc>
          <w:tcPr>
            <w:tcW w:w="4583" w:type="dxa"/>
            <w:noWrap/>
            <w:vAlign w:val="center"/>
          </w:tcPr>
          <w:p w14:paraId="34164A93">
            <w:pPr>
              <w:rPr>
                <w:rFonts w:ascii="宋体" w:hAnsi="宋体"/>
                <w:kern w:val="28"/>
                <w:szCs w:val="21"/>
              </w:rPr>
            </w:pPr>
            <w:r>
              <w:rPr>
                <w:rFonts w:hint="eastAsia" w:ascii="宋体" w:hAnsi="宋体"/>
                <w:kern w:val="28"/>
                <w:szCs w:val="21"/>
              </w:rPr>
              <w:t>法定代表人参加磋商的，须提供本人身份证复印件（附在响应文件中）；法定代表人授权他人参加磋商的，须提供法定代表人授权委托书。磋商文件中凡是需要法定代表人盖章之处，非法人单位的负责人均参照执行。</w:t>
            </w:r>
          </w:p>
          <w:p w14:paraId="00C7E604">
            <w:pPr>
              <w:rPr>
                <w:rFonts w:ascii="宋体" w:hAnsi="宋体"/>
                <w:kern w:val="28"/>
                <w:szCs w:val="21"/>
              </w:rPr>
            </w:pPr>
            <w:r>
              <w:rPr>
                <w:rFonts w:hint="eastAsia" w:ascii="宋体" w:hAnsi="宋体"/>
                <w:kern w:val="28"/>
                <w:szCs w:val="21"/>
              </w:rPr>
              <w:t>法人的分支机构参与磋商时，除提供《法定代表人授权委托书》外，还须同时提供法人给分支机构出具的授权书。</w:t>
            </w:r>
          </w:p>
        </w:tc>
        <w:tc>
          <w:tcPr>
            <w:tcW w:w="1152" w:type="dxa"/>
            <w:noWrap/>
            <w:vAlign w:val="center"/>
          </w:tcPr>
          <w:p w14:paraId="5572EF00">
            <w:pPr>
              <w:rPr>
                <w:rFonts w:ascii="宋体" w:hAnsi="宋体"/>
                <w:b/>
                <w:bCs/>
                <w:szCs w:val="21"/>
              </w:rPr>
            </w:pPr>
          </w:p>
        </w:tc>
      </w:tr>
      <w:tr w14:paraId="5023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14:paraId="70B704F6">
            <w:pPr>
              <w:jc w:val="center"/>
              <w:rPr>
                <w:rFonts w:ascii="宋体" w:hAnsi="宋体"/>
                <w:szCs w:val="21"/>
              </w:rPr>
            </w:pPr>
            <w:r>
              <w:rPr>
                <w:rFonts w:hint="eastAsia" w:ascii="宋体" w:hAnsi="宋体"/>
                <w:szCs w:val="21"/>
              </w:rPr>
              <w:t>10</w:t>
            </w:r>
          </w:p>
        </w:tc>
        <w:tc>
          <w:tcPr>
            <w:tcW w:w="1866" w:type="dxa"/>
            <w:noWrap/>
            <w:vAlign w:val="center"/>
          </w:tcPr>
          <w:p w14:paraId="5D3AC396">
            <w:pPr>
              <w:jc w:val="center"/>
              <w:rPr>
                <w:rFonts w:ascii="宋体" w:hAnsi="宋体"/>
                <w:kern w:val="28"/>
                <w:szCs w:val="21"/>
              </w:rPr>
            </w:pPr>
            <w:r>
              <w:rPr>
                <w:rFonts w:hint="eastAsia" w:ascii="宋体" w:hAnsi="宋体"/>
                <w:kern w:val="28"/>
                <w:szCs w:val="21"/>
              </w:rPr>
              <w:t>本项目不接受联合体磋商，不允许分包</w:t>
            </w:r>
          </w:p>
        </w:tc>
        <w:tc>
          <w:tcPr>
            <w:tcW w:w="4583" w:type="dxa"/>
            <w:noWrap/>
            <w:vAlign w:val="center"/>
          </w:tcPr>
          <w:p w14:paraId="38A2D313">
            <w:pPr>
              <w:rPr>
                <w:rFonts w:ascii="宋体" w:hAnsi="宋体"/>
                <w:kern w:val="28"/>
                <w:szCs w:val="21"/>
              </w:rPr>
            </w:pPr>
            <w:r>
              <w:rPr>
                <w:rFonts w:hint="eastAsia" w:ascii="宋体" w:hAnsi="宋体"/>
                <w:kern w:val="28"/>
                <w:szCs w:val="21"/>
              </w:rPr>
              <w:t>供应商应提供《非联合体不分包磋商声明》，视为独立磋商，不分包。</w:t>
            </w:r>
          </w:p>
        </w:tc>
        <w:tc>
          <w:tcPr>
            <w:tcW w:w="1152" w:type="dxa"/>
            <w:noWrap/>
            <w:vAlign w:val="center"/>
          </w:tcPr>
          <w:p w14:paraId="1869224E">
            <w:pPr>
              <w:rPr>
                <w:rFonts w:ascii="宋体" w:hAnsi="宋体"/>
                <w:b/>
                <w:bCs/>
                <w:szCs w:val="21"/>
              </w:rPr>
            </w:pPr>
          </w:p>
        </w:tc>
      </w:tr>
      <w:tr w14:paraId="47F4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3" w:type="dxa"/>
            <w:gridSpan w:val="4"/>
            <w:noWrap/>
            <w:vAlign w:val="center"/>
          </w:tcPr>
          <w:p w14:paraId="15BA5446">
            <w:pPr>
              <w:pStyle w:val="13"/>
              <w:spacing w:line="440" w:lineRule="exact"/>
              <w:jc w:val="left"/>
              <w:rPr>
                <w:rFonts w:hAnsi="宋体"/>
              </w:rPr>
            </w:pPr>
            <w:r>
              <w:rPr>
                <w:rFonts w:hint="eastAsia" w:hAnsi="宋体"/>
              </w:rPr>
              <w:t>注：</w:t>
            </w:r>
          </w:p>
          <w:p w14:paraId="5462D688">
            <w:pPr>
              <w:pStyle w:val="13"/>
              <w:spacing w:line="440" w:lineRule="exact"/>
              <w:jc w:val="left"/>
              <w:rPr>
                <w:rFonts w:hAnsi="宋体"/>
              </w:rPr>
            </w:pPr>
            <w:r>
              <w:rPr>
                <w:rFonts w:hint="eastAsia" w:hAnsi="宋体"/>
              </w:rPr>
              <w:t>1.除注明原件外，均为复印件加盖供应商公章；身份证原件须随响应文件一并递交。</w:t>
            </w:r>
          </w:p>
          <w:p w14:paraId="2199D165">
            <w:pPr>
              <w:pStyle w:val="13"/>
              <w:spacing w:line="440" w:lineRule="exact"/>
              <w:jc w:val="left"/>
              <w:rPr>
                <w:rFonts w:hAnsi="宋体"/>
              </w:rPr>
            </w:pPr>
            <w:r>
              <w:rPr>
                <w:rFonts w:hint="eastAsia" w:hAnsi="宋体"/>
              </w:rPr>
              <w:t>2.分支机构参与磋商时，响应文件中应附法人出具的授权书。法人只能授权一家分支机构参与磋商，且不能与分支机构同时参与磋商。分支机构须提供自己的资格要求证明文件。</w:t>
            </w:r>
          </w:p>
          <w:p w14:paraId="5FA12CE4">
            <w:pPr>
              <w:pStyle w:val="13"/>
              <w:spacing w:line="440" w:lineRule="exact"/>
              <w:jc w:val="left"/>
              <w:rPr>
                <w:rFonts w:hAnsi="宋体"/>
              </w:rPr>
            </w:pPr>
            <w:r>
              <w:rPr>
                <w:rFonts w:hint="eastAsia" w:hAnsi="宋体"/>
              </w:rPr>
              <w:t>3.事业单位法人参与磋商可不提供财务状况报告、社会保障资金缴纳证明及税收缴纳证明。</w:t>
            </w:r>
          </w:p>
          <w:p w14:paraId="319A97BE">
            <w:pPr>
              <w:pStyle w:val="13"/>
              <w:spacing w:line="440" w:lineRule="exact"/>
              <w:jc w:val="left"/>
              <w:rPr>
                <w:rFonts w:hAnsi="宋体"/>
              </w:rPr>
            </w:pPr>
            <w:r>
              <w:rPr>
                <w:rFonts w:hint="eastAsia" w:hAnsi="宋体"/>
              </w:rPr>
              <w:t>4.单位负责人为同一人或存在直接控股、管理关系的不同单位，不得同时参加本项目采购活动。</w:t>
            </w:r>
          </w:p>
          <w:p w14:paraId="709C9DCA">
            <w:pPr>
              <w:rPr>
                <w:rFonts w:ascii="宋体" w:hAnsi="宋体"/>
                <w:b/>
                <w:bCs/>
                <w:szCs w:val="21"/>
              </w:rPr>
            </w:pPr>
            <w:r>
              <w:rPr>
                <w:rFonts w:hint="eastAsia" w:hAnsi="宋体"/>
                <w:szCs w:val="21"/>
              </w:rPr>
              <w:t>5.磋商文件中要求签字或盖章之处，非法人单位均参照执行。</w:t>
            </w:r>
          </w:p>
        </w:tc>
      </w:tr>
    </w:tbl>
    <w:p w14:paraId="22DF6AB7">
      <w:pPr>
        <w:outlineLvl w:val="1"/>
        <w:rPr>
          <w:rFonts w:ascii="华文仿宋" w:eastAsia="黑体" w:cs="Times New Roman"/>
          <w:sz w:val="28"/>
          <w:szCs w:val="28"/>
        </w:rPr>
      </w:pPr>
      <w:r>
        <w:rPr>
          <w:rFonts w:hint="eastAsia" w:ascii="宋体" w:hAnsi="宋体" w:cs="Calibri"/>
          <w:b/>
          <w:sz w:val="24"/>
          <w:szCs w:val="21"/>
        </w:rPr>
        <w:br w:type="page"/>
      </w:r>
      <w:bookmarkStart w:id="38" w:name="_Toc1108"/>
      <w:bookmarkStart w:id="39" w:name="_Toc17750"/>
      <w:r>
        <w:rPr>
          <w:rFonts w:hint="eastAsia" w:ascii="宋体" w:hAnsi="宋体" w:cs="Calibri"/>
          <w:b/>
          <w:sz w:val="24"/>
          <w:szCs w:val="21"/>
        </w:rPr>
        <w:t>附表二：符合性审查</w:t>
      </w:r>
      <w:bookmarkEnd w:id="38"/>
      <w:bookmarkEnd w:id="39"/>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7EB05C0F">
      <w:pPr>
        <w:spacing w:line="500" w:lineRule="exact"/>
        <w:jc w:val="center"/>
        <w:rPr>
          <w:rFonts w:ascii="华文仿宋" w:hAnsi="华文仿宋" w:cs="华文仿宋"/>
          <w:b/>
          <w:bCs/>
          <w:sz w:val="32"/>
          <w:szCs w:val="32"/>
        </w:rPr>
      </w:pPr>
      <w:r>
        <w:rPr>
          <w:rFonts w:hint="eastAsia" w:ascii="华文仿宋" w:hAnsi="华文仿宋" w:cs="华文仿宋"/>
          <w:b/>
          <w:bCs/>
          <w:sz w:val="32"/>
          <w:szCs w:val="32"/>
        </w:rPr>
        <w:t>符合性审查表</w:t>
      </w:r>
    </w:p>
    <w:tbl>
      <w:tblPr>
        <w:tblStyle w:val="27"/>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460"/>
        <w:gridCol w:w="4200"/>
        <w:gridCol w:w="1159"/>
      </w:tblGrid>
      <w:tr w14:paraId="2A79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5FBE8298">
            <w:pPr>
              <w:spacing w:line="320" w:lineRule="exact"/>
              <w:jc w:val="center"/>
              <w:rPr>
                <w:rFonts w:ascii="宋体" w:hAnsi="宋体"/>
                <w:b/>
                <w:bCs/>
                <w:kern w:val="0"/>
                <w:szCs w:val="21"/>
              </w:rPr>
            </w:pPr>
            <w:bookmarkStart w:id="40" w:name="_Toc12596"/>
            <w:bookmarkStart w:id="41" w:name="_Toc7523"/>
            <w:bookmarkStart w:id="42" w:name="_Toc7872"/>
            <w:bookmarkStart w:id="43" w:name="_Toc31415"/>
            <w:bookmarkStart w:id="44" w:name="_Toc18874"/>
            <w:bookmarkStart w:id="45" w:name="_Toc31150"/>
            <w:bookmarkStart w:id="46" w:name="_Toc20615"/>
            <w:bookmarkStart w:id="47" w:name="_Toc22846"/>
            <w:bookmarkStart w:id="48" w:name="_Toc32472"/>
            <w:bookmarkStart w:id="49" w:name="_Toc14948"/>
            <w:bookmarkStart w:id="50" w:name="_Toc2387"/>
            <w:bookmarkStart w:id="51" w:name="_Toc2503"/>
            <w:bookmarkStart w:id="52" w:name="_Toc21485"/>
            <w:bookmarkStart w:id="53" w:name="_Toc11613"/>
            <w:bookmarkStart w:id="54" w:name="_Toc4245"/>
            <w:bookmarkStart w:id="55" w:name="_Toc32092"/>
            <w:bookmarkStart w:id="56" w:name="_Toc13418"/>
            <w:bookmarkStart w:id="57" w:name="_Toc1938"/>
            <w:r>
              <w:rPr>
                <w:rFonts w:hint="eastAsia" w:ascii="宋体" w:hAnsi="宋体"/>
                <w:b/>
                <w:bCs/>
                <w:kern w:val="0"/>
                <w:szCs w:val="21"/>
              </w:rPr>
              <w:t>序号</w:t>
            </w:r>
          </w:p>
        </w:tc>
        <w:tc>
          <w:tcPr>
            <w:tcW w:w="2460" w:type="dxa"/>
            <w:noWrap/>
            <w:vAlign w:val="center"/>
          </w:tcPr>
          <w:p w14:paraId="1E7261D0">
            <w:pPr>
              <w:spacing w:line="320" w:lineRule="exact"/>
              <w:jc w:val="center"/>
              <w:rPr>
                <w:rFonts w:ascii="宋体" w:hAnsi="宋体"/>
                <w:b/>
                <w:bCs/>
                <w:kern w:val="0"/>
                <w:szCs w:val="21"/>
              </w:rPr>
            </w:pPr>
            <w:r>
              <w:rPr>
                <w:rFonts w:hint="eastAsia" w:ascii="宋体" w:hAnsi="宋体"/>
                <w:b/>
                <w:bCs/>
                <w:kern w:val="0"/>
                <w:szCs w:val="21"/>
              </w:rPr>
              <w:t>符合性审查项</w:t>
            </w:r>
          </w:p>
        </w:tc>
        <w:tc>
          <w:tcPr>
            <w:tcW w:w="4200" w:type="dxa"/>
            <w:noWrap/>
            <w:vAlign w:val="center"/>
          </w:tcPr>
          <w:p w14:paraId="491239B6">
            <w:pPr>
              <w:spacing w:line="320" w:lineRule="exact"/>
              <w:jc w:val="center"/>
              <w:rPr>
                <w:rFonts w:ascii="宋体" w:hAnsi="宋体"/>
                <w:b/>
                <w:bCs/>
                <w:kern w:val="0"/>
                <w:szCs w:val="21"/>
              </w:rPr>
            </w:pPr>
            <w:r>
              <w:rPr>
                <w:rFonts w:hint="eastAsia" w:ascii="宋体" w:hAnsi="宋体"/>
                <w:b/>
                <w:bCs/>
                <w:kern w:val="0"/>
                <w:szCs w:val="21"/>
              </w:rPr>
              <w:t>通过条件</w:t>
            </w:r>
          </w:p>
        </w:tc>
        <w:tc>
          <w:tcPr>
            <w:tcW w:w="1159" w:type="dxa"/>
            <w:noWrap/>
            <w:vAlign w:val="center"/>
          </w:tcPr>
          <w:p w14:paraId="658D951C">
            <w:pPr>
              <w:spacing w:line="320" w:lineRule="exact"/>
              <w:jc w:val="center"/>
              <w:rPr>
                <w:rFonts w:ascii="宋体" w:hAnsi="宋体"/>
                <w:b/>
                <w:bCs/>
                <w:kern w:val="0"/>
                <w:szCs w:val="21"/>
              </w:rPr>
            </w:pPr>
            <w:r>
              <w:rPr>
                <w:rFonts w:hint="eastAsia" w:ascii="宋体" w:hAnsi="宋体"/>
                <w:b/>
                <w:bCs/>
                <w:kern w:val="28"/>
                <w:szCs w:val="21"/>
              </w:rPr>
              <w:t>备注</w:t>
            </w:r>
          </w:p>
        </w:tc>
      </w:tr>
      <w:tr w14:paraId="2CF5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73" w:type="dxa"/>
            <w:noWrap/>
            <w:vAlign w:val="center"/>
          </w:tcPr>
          <w:p w14:paraId="22F7AD42">
            <w:pPr>
              <w:spacing w:line="320" w:lineRule="exact"/>
              <w:jc w:val="center"/>
              <w:rPr>
                <w:rFonts w:ascii="宋体" w:hAnsi="宋体"/>
                <w:kern w:val="0"/>
                <w:szCs w:val="21"/>
              </w:rPr>
            </w:pPr>
            <w:r>
              <w:rPr>
                <w:rFonts w:hint="eastAsia" w:ascii="宋体" w:hAnsi="宋体"/>
                <w:kern w:val="0"/>
                <w:szCs w:val="21"/>
              </w:rPr>
              <w:t>1</w:t>
            </w:r>
          </w:p>
        </w:tc>
        <w:tc>
          <w:tcPr>
            <w:tcW w:w="2460" w:type="dxa"/>
            <w:noWrap/>
            <w:vAlign w:val="center"/>
          </w:tcPr>
          <w:p w14:paraId="2EE4DEBE">
            <w:pPr>
              <w:spacing w:line="320" w:lineRule="exact"/>
              <w:jc w:val="left"/>
              <w:rPr>
                <w:rFonts w:ascii="宋体" w:hAnsi="宋体"/>
                <w:kern w:val="0"/>
                <w:szCs w:val="21"/>
              </w:rPr>
            </w:pPr>
            <w:r>
              <w:rPr>
                <w:rFonts w:hint="eastAsia" w:ascii="宋体" w:hAnsi="宋体"/>
                <w:kern w:val="0"/>
                <w:szCs w:val="21"/>
              </w:rPr>
              <w:t>响应文件语言及有效期</w:t>
            </w:r>
          </w:p>
        </w:tc>
        <w:tc>
          <w:tcPr>
            <w:tcW w:w="4200" w:type="dxa"/>
            <w:noWrap/>
            <w:vAlign w:val="center"/>
          </w:tcPr>
          <w:p w14:paraId="776186FB">
            <w:pPr>
              <w:spacing w:line="320" w:lineRule="exact"/>
              <w:jc w:val="left"/>
              <w:rPr>
                <w:rFonts w:ascii="宋体" w:hAnsi="宋体"/>
                <w:szCs w:val="21"/>
              </w:rPr>
            </w:pPr>
            <w:r>
              <w:rPr>
                <w:rFonts w:hint="eastAsia" w:ascii="宋体" w:hAnsi="宋体"/>
                <w:szCs w:val="21"/>
              </w:rPr>
              <w:t>响应文件语言及有效期符合磋商文件要求。</w:t>
            </w:r>
          </w:p>
        </w:tc>
        <w:tc>
          <w:tcPr>
            <w:tcW w:w="1159" w:type="dxa"/>
            <w:noWrap/>
            <w:vAlign w:val="center"/>
          </w:tcPr>
          <w:p w14:paraId="02EF4327">
            <w:pPr>
              <w:spacing w:line="320" w:lineRule="exact"/>
              <w:jc w:val="center"/>
              <w:rPr>
                <w:rFonts w:ascii="宋体" w:hAnsi="宋体"/>
                <w:b/>
                <w:bCs/>
                <w:kern w:val="0"/>
                <w:szCs w:val="21"/>
              </w:rPr>
            </w:pPr>
          </w:p>
        </w:tc>
      </w:tr>
      <w:tr w14:paraId="1752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3" w:type="dxa"/>
            <w:noWrap/>
            <w:vAlign w:val="center"/>
          </w:tcPr>
          <w:p w14:paraId="23E7ED80">
            <w:pPr>
              <w:spacing w:line="320" w:lineRule="exact"/>
              <w:jc w:val="center"/>
              <w:rPr>
                <w:rFonts w:ascii="宋体" w:hAnsi="宋体"/>
                <w:kern w:val="0"/>
                <w:szCs w:val="21"/>
              </w:rPr>
            </w:pPr>
            <w:r>
              <w:rPr>
                <w:rFonts w:hint="eastAsia" w:ascii="宋体" w:hAnsi="宋体"/>
                <w:kern w:val="0"/>
                <w:szCs w:val="21"/>
              </w:rPr>
              <w:t>2</w:t>
            </w:r>
          </w:p>
        </w:tc>
        <w:tc>
          <w:tcPr>
            <w:tcW w:w="2460" w:type="dxa"/>
            <w:noWrap/>
            <w:vAlign w:val="center"/>
          </w:tcPr>
          <w:p w14:paraId="0FCAD4B9">
            <w:pPr>
              <w:spacing w:line="320" w:lineRule="exact"/>
              <w:jc w:val="left"/>
              <w:rPr>
                <w:rFonts w:ascii="宋体" w:hAnsi="宋体"/>
                <w:kern w:val="0"/>
                <w:szCs w:val="21"/>
              </w:rPr>
            </w:pPr>
            <w:r>
              <w:rPr>
                <w:rFonts w:hint="eastAsia" w:ascii="宋体" w:hAnsi="宋体"/>
                <w:kern w:val="0"/>
                <w:szCs w:val="21"/>
              </w:rPr>
              <w:t>响应文件封面、响应函、法定代表人授权委托书三处的项目名称、项目编号</w:t>
            </w:r>
          </w:p>
        </w:tc>
        <w:tc>
          <w:tcPr>
            <w:tcW w:w="4200" w:type="dxa"/>
            <w:noWrap/>
            <w:vAlign w:val="center"/>
          </w:tcPr>
          <w:p w14:paraId="20F073F1">
            <w:pPr>
              <w:spacing w:line="320" w:lineRule="exact"/>
              <w:jc w:val="left"/>
              <w:rPr>
                <w:rFonts w:ascii="宋体" w:hAnsi="宋体"/>
                <w:kern w:val="0"/>
                <w:szCs w:val="21"/>
              </w:rPr>
            </w:pPr>
            <w:r>
              <w:rPr>
                <w:rFonts w:hint="eastAsia" w:ascii="宋体" w:hAnsi="宋体"/>
                <w:kern w:val="0"/>
                <w:szCs w:val="21"/>
              </w:rPr>
              <w:t>三处均无遗漏，且与所投项目名称、项目编号一致。</w:t>
            </w:r>
          </w:p>
        </w:tc>
        <w:tc>
          <w:tcPr>
            <w:tcW w:w="1159" w:type="dxa"/>
            <w:noWrap/>
            <w:vAlign w:val="center"/>
          </w:tcPr>
          <w:p w14:paraId="183FE299">
            <w:pPr>
              <w:spacing w:line="320" w:lineRule="exact"/>
              <w:jc w:val="center"/>
              <w:rPr>
                <w:rFonts w:ascii="宋体" w:hAnsi="宋体"/>
                <w:b/>
                <w:bCs/>
                <w:kern w:val="0"/>
                <w:szCs w:val="21"/>
              </w:rPr>
            </w:pPr>
          </w:p>
        </w:tc>
      </w:tr>
      <w:tr w14:paraId="4CE0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7DA6C5CA">
            <w:pPr>
              <w:spacing w:line="320" w:lineRule="exact"/>
              <w:jc w:val="center"/>
              <w:rPr>
                <w:rFonts w:ascii="宋体" w:hAnsi="宋体"/>
                <w:kern w:val="0"/>
                <w:szCs w:val="21"/>
              </w:rPr>
            </w:pPr>
            <w:r>
              <w:rPr>
                <w:rFonts w:hint="eastAsia" w:ascii="宋体" w:hAnsi="宋体"/>
                <w:kern w:val="0"/>
                <w:szCs w:val="21"/>
              </w:rPr>
              <w:t>3</w:t>
            </w:r>
          </w:p>
        </w:tc>
        <w:tc>
          <w:tcPr>
            <w:tcW w:w="2460" w:type="dxa"/>
            <w:noWrap/>
            <w:vAlign w:val="center"/>
          </w:tcPr>
          <w:p w14:paraId="613B08D5">
            <w:pPr>
              <w:spacing w:line="320" w:lineRule="exact"/>
              <w:jc w:val="left"/>
              <w:rPr>
                <w:rFonts w:ascii="宋体" w:hAnsi="宋体"/>
                <w:kern w:val="0"/>
                <w:szCs w:val="21"/>
              </w:rPr>
            </w:pPr>
            <w:r>
              <w:rPr>
                <w:rFonts w:hint="eastAsia" w:ascii="宋体" w:hAnsi="宋体"/>
                <w:kern w:val="0"/>
                <w:szCs w:val="21"/>
              </w:rPr>
              <w:t>响应文件签署、盖章</w:t>
            </w:r>
          </w:p>
        </w:tc>
        <w:tc>
          <w:tcPr>
            <w:tcW w:w="4200" w:type="dxa"/>
            <w:noWrap/>
            <w:vAlign w:val="center"/>
          </w:tcPr>
          <w:p w14:paraId="71CD7193">
            <w:pPr>
              <w:spacing w:line="320" w:lineRule="exact"/>
              <w:jc w:val="left"/>
              <w:rPr>
                <w:rFonts w:ascii="宋体" w:hAnsi="宋体"/>
                <w:kern w:val="0"/>
                <w:szCs w:val="21"/>
              </w:rPr>
            </w:pPr>
            <w:r>
              <w:rPr>
                <w:rFonts w:hint="eastAsia" w:ascii="宋体" w:hAnsi="宋体"/>
                <w:szCs w:val="21"/>
              </w:rPr>
              <w:t>均按磋商文件要求签字、盖章（评分标准中要求提供的证明材料除外）。</w:t>
            </w:r>
          </w:p>
        </w:tc>
        <w:tc>
          <w:tcPr>
            <w:tcW w:w="1159" w:type="dxa"/>
            <w:noWrap/>
            <w:vAlign w:val="center"/>
          </w:tcPr>
          <w:p w14:paraId="622DBA7E">
            <w:pPr>
              <w:spacing w:line="320" w:lineRule="exact"/>
              <w:jc w:val="center"/>
              <w:rPr>
                <w:rFonts w:ascii="宋体" w:hAnsi="宋体"/>
                <w:b/>
                <w:bCs/>
                <w:kern w:val="0"/>
                <w:szCs w:val="21"/>
              </w:rPr>
            </w:pPr>
          </w:p>
        </w:tc>
      </w:tr>
      <w:tr w14:paraId="4D8D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72F771A0">
            <w:pPr>
              <w:spacing w:line="320" w:lineRule="exact"/>
              <w:jc w:val="center"/>
              <w:rPr>
                <w:rFonts w:ascii="宋体" w:hAnsi="宋体"/>
                <w:kern w:val="0"/>
                <w:szCs w:val="21"/>
              </w:rPr>
            </w:pPr>
            <w:r>
              <w:rPr>
                <w:rFonts w:hint="eastAsia" w:ascii="宋体" w:hAnsi="宋体"/>
                <w:kern w:val="0"/>
                <w:szCs w:val="21"/>
              </w:rPr>
              <w:t>4</w:t>
            </w:r>
          </w:p>
        </w:tc>
        <w:tc>
          <w:tcPr>
            <w:tcW w:w="2460" w:type="dxa"/>
            <w:noWrap/>
            <w:vAlign w:val="center"/>
          </w:tcPr>
          <w:p w14:paraId="51892056">
            <w:pPr>
              <w:spacing w:line="320" w:lineRule="exact"/>
              <w:jc w:val="center"/>
              <w:rPr>
                <w:rFonts w:ascii="宋体" w:hAnsi="宋体"/>
                <w:kern w:val="0"/>
                <w:szCs w:val="21"/>
              </w:rPr>
            </w:pPr>
            <w:r>
              <w:rPr>
                <w:rFonts w:hint="eastAsia" w:ascii="宋体" w:hAnsi="宋体"/>
                <w:kern w:val="0"/>
                <w:szCs w:val="21"/>
              </w:rPr>
              <w:t>响应报价表</w:t>
            </w:r>
          </w:p>
        </w:tc>
        <w:tc>
          <w:tcPr>
            <w:tcW w:w="4200" w:type="dxa"/>
            <w:noWrap/>
            <w:vAlign w:val="center"/>
          </w:tcPr>
          <w:p w14:paraId="3FAF4784">
            <w:pPr>
              <w:spacing w:line="320" w:lineRule="exact"/>
              <w:rPr>
                <w:rFonts w:ascii="宋体" w:hAnsi="宋体"/>
                <w:kern w:val="0"/>
                <w:szCs w:val="21"/>
              </w:rPr>
            </w:pPr>
            <w:r>
              <w:rPr>
                <w:rFonts w:hint="eastAsia" w:ascii="宋体" w:hAnsi="宋体"/>
                <w:kern w:val="0"/>
                <w:szCs w:val="21"/>
              </w:rPr>
              <w:t>（1）响应报价符合唯一性要求：</w:t>
            </w:r>
          </w:p>
          <w:p w14:paraId="43DF5437">
            <w:pPr>
              <w:spacing w:line="320" w:lineRule="exact"/>
              <w:rPr>
                <w:rFonts w:ascii="宋体" w:hAnsi="宋体"/>
                <w:kern w:val="0"/>
                <w:szCs w:val="21"/>
              </w:rPr>
            </w:pPr>
            <w:r>
              <w:rPr>
                <w:rFonts w:hint="eastAsia" w:ascii="宋体" w:hAnsi="宋体"/>
                <w:kern w:val="0"/>
                <w:szCs w:val="21"/>
              </w:rPr>
              <w:t>（2）响应报价表填写符合要求；</w:t>
            </w:r>
          </w:p>
          <w:p w14:paraId="4B1D9E47">
            <w:pPr>
              <w:spacing w:line="320" w:lineRule="exact"/>
              <w:rPr>
                <w:rFonts w:ascii="宋体" w:hAnsi="宋体"/>
                <w:kern w:val="0"/>
                <w:szCs w:val="21"/>
              </w:rPr>
            </w:pPr>
            <w:r>
              <w:rPr>
                <w:rFonts w:hint="eastAsia" w:ascii="宋体" w:hAnsi="宋体"/>
                <w:kern w:val="0"/>
                <w:szCs w:val="21"/>
              </w:rPr>
              <w:t>（3）计量单位、报价货币均符合磋商文件要求；</w:t>
            </w:r>
          </w:p>
          <w:p w14:paraId="5AF60983">
            <w:pPr>
              <w:spacing w:line="320" w:lineRule="exact"/>
              <w:jc w:val="left"/>
              <w:rPr>
                <w:rFonts w:ascii="宋体" w:hAnsi="宋体"/>
                <w:szCs w:val="21"/>
              </w:rPr>
            </w:pPr>
            <w:r>
              <w:rPr>
                <w:rFonts w:hint="eastAsia" w:ascii="宋体" w:hAnsi="宋体"/>
                <w:kern w:val="0"/>
                <w:szCs w:val="21"/>
              </w:rPr>
              <w:t>（4）未超出采购预算或磋商文件规定的最高限价。</w:t>
            </w:r>
          </w:p>
        </w:tc>
        <w:tc>
          <w:tcPr>
            <w:tcW w:w="1159" w:type="dxa"/>
            <w:noWrap/>
            <w:vAlign w:val="center"/>
          </w:tcPr>
          <w:p w14:paraId="1D823020">
            <w:pPr>
              <w:spacing w:line="320" w:lineRule="exact"/>
              <w:jc w:val="center"/>
              <w:rPr>
                <w:rFonts w:ascii="宋体" w:hAnsi="宋体"/>
                <w:b/>
                <w:bCs/>
                <w:kern w:val="0"/>
                <w:szCs w:val="21"/>
              </w:rPr>
            </w:pPr>
          </w:p>
        </w:tc>
      </w:tr>
      <w:tr w14:paraId="6582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356E6707">
            <w:pPr>
              <w:spacing w:line="320" w:lineRule="exact"/>
              <w:jc w:val="center"/>
              <w:rPr>
                <w:rFonts w:ascii="宋体" w:hAnsi="宋体"/>
                <w:kern w:val="0"/>
                <w:szCs w:val="21"/>
              </w:rPr>
            </w:pPr>
            <w:r>
              <w:rPr>
                <w:rFonts w:hint="eastAsia" w:ascii="宋体" w:hAnsi="宋体"/>
                <w:kern w:val="0"/>
                <w:szCs w:val="21"/>
              </w:rPr>
              <w:t>5</w:t>
            </w:r>
          </w:p>
        </w:tc>
        <w:tc>
          <w:tcPr>
            <w:tcW w:w="2460" w:type="dxa"/>
            <w:noWrap/>
            <w:vAlign w:val="center"/>
          </w:tcPr>
          <w:p w14:paraId="2DB3BB24">
            <w:pPr>
              <w:spacing w:line="360" w:lineRule="exact"/>
              <w:jc w:val="center"/>
              <w:rPr>
                <w:rFonts w:ascii="宋体" w:hAnsi="宋体"/>
                <w:kern w:val="0"/>
                <w:szCs w:val="21"/>
              </w:rPr>
            </w:pPr>
            <w:r>
              <w:rPr>
                <w:rFonts w:hint="eastAsia" w:ascii="宋体" w:hAnsi="宋体"/>
                <w:kern w:val="0"/>
                <w:szCs w:val="21"/>
              </w:rPr>
              <w:t>磋商保证金</w:t>
            </w:r>
          </w:p>
        </w:tc>
        <w:tc>
          <w:tcPr>
            <w:tcW w:w="4200" w:type="dxa"/>
            <w:noWrap/>
            <w:vAlign w:val="center"/>
          </w:tcPr>
          <w:p w14:paraId="440CF53D">
            <w:pPr>
              <w:spacing w:line="370" w:lineRule="exact"/>
              <w:jc w:val="left"/>
              <w:rPr>
                <w:rFonts w:ascii="宋体" w:hAnsi="宋体"/>
                <w:kern w:val="0"/>
                <w:szCs w:val="21"/>
              </w:rPr>
            </w:pPr>
            <w:r>
              <w:rPr>
                <w:rFonts w:hint="eastAsia" w:ascii="宋体" w:hAnsi="宋体" w:cs="黑体"/>
                <w:bCs/>
                <w:szCs w:val="21"/>
              </w:rPr>
              <w:t>保证金交纳符合磋商文件要求。</w:t>
            </w:r>
          </w:p>
        </w:tc>
        <w:tc>
          <w:tcPr>
            <w:tcW w:w="1159" w:type="dxa"/>
            <w:noWrap/>
            <w:vAlign w:val="center"/>
          </w:tcPr>
          <w:p w14:paraId="545CB833">
            <w:pPr>
              <w:spacing w:line="320" w:lineRule="exact"/>
              <w:jc w:val="center"/>
              <w:rPr>
                <w:rFonts w:ascii="宋体" w:hAnsi="宋体"/>
                <w:b/>
                <w:bCs/>
                <w:kern w:val="0"/>
                <w:szCs w:val="21"/>
              </w:rPr>
            </w:pPr>
          </w:p>
        </w:tc>
      </w:tr>
      <w:tr w14:paraId="724E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68383802">
            <w:pPr>
              <w:spacing w:line="320" w:lineRule="exact"/>
              <w:jc w:val="center"/>
              <w:rPr>
                <w:rFonts w:ascii="宋体" w:hAnsi="宋体"/>
                <w:kern w:val="0"/>
                <w:szCs w:val="21"/>
              </w:rPr>
            </w:pPr>
            <w:r>
              <w:rPr>
                <w:rFonts w:hint="eastAsia" w:ascii="宋体" w:hAnsi="宋体"/>
                <w:kern w:val="0"/>
                <w:szCs w:val="21"/>
              </w:rPr>
              <w:t>6</w:t>
            </w:r>
          </w:p>
        </w:tc>
        <w:tc>
          <w:tcPr>
            <w:tcW w:w="2460" w:type="dxa"/>
            <w:noWrap/>
            <w:vAlign w:val="center"/>
          </w:tcPr>
          <w:p w14:paraId="33736A02">
            <w:pPr>
              <w:spacing w:line="360" w:lineRule="exact"/>
              <w:jc w:val="center"/>
              <w:rPr>
                <w:rFonts w:ascii="宋体" w:hAnsi="宋体"/>
                <w:szCs w:val="21"/>
              </w:rPr>
            </w:pPr>
            <w:r>
              <w:rPr>
                <w:rFonts w:hint="eastAsia" w:ascii="宋体" w:hAnsi="宋体"/>
                <w:szCs w:val="21"/>
              </w:rPr>
              <w:t>商务条款响应</w:t>
            </w:r>
          </w:p>
        </w:tc>
        <w:tc>
          <w:tcPr>
            <w:tcW w:w="4200" w:type="dxa"/>
            <w:noWrap/>
            <w:vAlign w:val="center"/>
          </w:tcPr>
          <w:p w14:paraId="02BD8740">
            <w:pPr>
              <w:spacing w:line="360" w:lineRule="exact"/>
              <w:jc w:val="left"/>
              <w:rPr>
                <w:rFonts w:ascii="宋体" w:hAnsi="宋体"/>
                <w:szCs w:val="21"/>
              </w:rPr>
            </w:pPr>
            <w:r>
              <w:rPr>
                <w:rFonts w:hint="eastAsia" w:ascii="宋体" w:hAnsi="宋体"/>
                <w:szCs w:val="21"/>
              </w:rPr>
              <w:t>完全理解接受并签署磋商文件商务条款响应表。</w:t>
            </w:r>
          </w:p>
        </w:tc>
        <w:tc>
          <w:tcPr>
            <w:tcW w:w="1159" w:type="dxa"/>
            <w:noWrap/>
            <w:vAlign w:val="center"/>
          </w:tcPr>
          <w:p w14:paraId="29D8DD56">
            <w:pPr>
              <w:spacing w:line="320" w:lineRule="exact"/>
              <w:jc w:val="center"/>
              <w:rPr>
                <w:rFonts w:ascii="宋体" w:hAnsi="宋体"/>
                <w:b/>
                <w:bCs/>
                <w:kern w:val="0"/>
                <w:szCs w:val="21"/>
              </w:rPr>
            </w:pPr>
          </w:p>
        </w:tc>
      </w:tr>
      <w:tr w14:paraId="7460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14:paraId="6E9C70EB">
            <w:pPr>
              <w:spacing w:line="320" w:lineRule="exact"/>
              <w:jc w:val="center"/>
              <w:rPr>
                <w:rFonts w:ascii="宋体" w:hAnsi="宋体"/>
                <w:kern w:val="0"/>
                <w:szCs w:val="21"/>
              </w:rPr>
            </w:pPr>
            <w:r>
              <w:rPr>
                <w:rFonts w:hint="eastAsia" w:ascii="宋体" w:hAnsi="宋体"/>
                <w:kern w:val="0"/>
                <w:szCs w:val="21"/>
              </w:rPr>
              <w:t>7</w:t>
            </w:r>
          </w:p>
        </w:tc>
        <w:tc>
          <w:tcPr>
            <w:tcW w:w="2460" w:type="dxa"/>
            <w:noWrap/>
            <w:vAlign w:val="center"/>
          </w:tcPr>
          <w:p w14:paraId="72891168">
            <w:pPr>
              <w:spacing w:line="360" w:lineRule="exact"/>
              <w:jc w:val="center"/>
              <w:rPr>
                <w:rFonts w:ascii="宋体" w:hAnsi="宋体"/>
                <w:kern w:val="0"/>
                <w:szCs w:val="21"/>
              </w:rPr>
            </w:pPr>
            <w:r>
              <w:rPr>
                <w:rFonts w:hint="eastAsia" w:ascii="宋体" w:hAnsi="宋体"/>
                <w:szCs w:val="21"/>
              </w:rPr>
              <w:t>无其他磋商文件或法规明确规定响应无效的事项</w:t>
            </w:r>
          </w:p>
        </w:tc>
        <w:tc>
          <w:tcPr>
            <w:tcW w:w="4200" w:type="dxa"/>
            <w:noWrap/>
            <w:vAlign w:val="center"/>
          </w:tcPr>
          <w:p w14:paraId="65702588">
            <w:pPr>
              <w:spacing w:line="370" w:lineRule="exact"/>
              <w:jc w:val="left"/>
              <w:rPr>
                <w:rFonts w:ascii="宋体" w:hAnsi="宋体"/>
                <w:kern w:val="0"/>
                <w:szCs w:val="21"/>
              </w:rPr>
            </w:pPr>
            <w:r>
              <w:rPr>
                <w:rFonts w:hint="eastAsia" w:ascii="宋体" w:hAnsi="宋体"/>
                <w:szCs w:val="21"/>
              </w:rPr>
              <w:t>没有不符合磋商文件规定的被视为无效响应的其他条款。</w:t>
            </w:r>
          </w:p>
        </w:tc>
        <w:tc>
          <w:tcPr>
            <w:tcW w:w="1159" w:type="dxa"/>
            <w:noWrap/>
            <w:vAlign w:val="center"/>
          </w:tcPr>
          <w:p w14:paraId="51DEF202">
            <w:pPr>
              <w:spacing w:line="320" w:lineRule="exact"/>
              <w:jc w:val="center"/>
              <w:rPr>
                <w:rFonts w:ascii="宋体" w:hAnsi="宋体"/>
                <w:b/>
                <w:bCs/>
                <w:kern w:val="0"/>
                <w:szCs w:val="21"/>
              </w:rPr>
            </w:pPr>
          </w:p>
        </w:tc>
      </w:tr>
    </w:tbl>
    <w:p w14:paraId="7BDEB55D">
      <w:pPr>
        <w:pStyle w:val="7"/>
      </w:pPr>
    </w:p>
    <w:p w14:paraId="75A4A671">
      <w:pPr>
        <w:outlineLvl w:val="1"/>
        <w:rPr>
          <w:rFonts w:ascii="华文仿宋" w:eastAsia="黑体" w:cs="Times New Roman"/>
          <w:sz w:val="28"/>
          <w:szCs w:val="28"/>
        </w:rPr>
      </w:pPr>
      <w:bookmarkStart w:id="58" w:name="_Toc27968"/>
      <w:bookmarkStart w:id="59" w:name="_Toc15518"/>
      <w:bookmarkStart w:id="60" w:name="_Toc31427"/>
      <w:bookmarkStart w:id="61" w:name="_Toc13365"/>
      <w:bookmarkStart w:id="62" w:name="_Toc16017"/>
      <w:r>
        <w:rPr>
          <w:rFonts w:hint="eastAsia" w:ascii="华文仿宋" w:hAnsi="华文仿宋" w:cs="华文仿宋"/>
          <w:sz w:val="28"/>
          <w:szCs w:val="28"/>
        </w:rPr>
        <w:br w:type="page"/>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17295"/>
      <w:bookmarkStart w:id="64" w:name="_Toc14892"/>
      <w:bookmarkStart w:id="65" w:name="_Toc8963"/>
      <w:bookmarkStart w:id="66" w:name="_Toc18007"/>
      <w:r>
        <w:rPr>
          <w:rFonts w:hint="eastAsia" w:ascii="宋体" w:hAnsi="宋体" w:cs="Calibri"/>
          <w:b/>
          <w:sz w:val="24"/>
          <w:szCs w:val="21"/>
        </w:rPr>
        <w:t>附表三：评审要素及分值一览表</w:t>
      </w:r>
      <w:bookmarkEnd w:id="63"/>
      <w:bookmarkEnd w:id="64"/>
    </w:p>
    <w:bookmarkEnd w:id="65"/>
    <w:bookmarkEnd w:id="66"/>
    <w:p w14:paraId="671092AF">
      <w:pPr>
        <w:spacing w:line="500" w:lineRule="exact"/>
        <w:jc w:val="center"/>
        <w:rPr>
          <w:rFonts w:ascii="华文仿宋" w:hAnsi="华文仿宋" w:cs="华文仿宋"/>
          <w:b/>
          <w:bCs/>
          <w:sz w:val="32"/>
          <w:szCs w:val="32"/>
        </w:rPr>
      </w:pPr>
      <w:r>
        <w:rPr>
          <w:rFonts w:hint="eastAsia" w:ascii="华文仿宋" w:hAnsi="华文仿宋" w:cs="华文仿宋"/>
          <w:b/>
          <w:bCs/>
          <w:sz w:val="32"/>
          <w:szCs w:val="32"/>
        </w:rPr>
        <w:t>评审要素及分值一览表</w:t>
      </w:r>
    </w:p>
    <w:tbl>
      <w:tblPr>
        <w:tblStyle w:val="27"/>
        <w:tblW w:w="8505" w:type="dxa"/>
        <w:jc w:val="center"/>
        <w:tblLayout w:type="fixed"/>
        <w:tblCellMar>
          <w:top w:w="0" w:type="dxa"/>
          <w:left w:w="108" w:type="dxa"/>
          <w:bottom w:w="0" w:type="dxa"/>
          <w:right w:w="108" w:type="dxa"/>
        </w:tblCellMar>
      </w:tblPr>
      <w:tblGrid>
        <w:gridCol w:w="1129"/>
        <w:gridCol w:w="1560"/>
        <w:gridCol w:w="5816"/>
      </w:tblGrid>
      <w:tr w14:paraId="47838A5E">
        <w:tblPrEx>
          <w:tblCellMar>
            <w:top w:w="0" w:type="dxa"/>
            <w:left w:w="108" w:type="dxa"/>
            <w:bottom w:w="0" w:type="dxa"/>
            <w:right w:w="108" w:type="dxa"/>
          </w:tblCellMar>
        </w:tblPrEx>
        <w:trPr>
          <w:trHeight w:val="52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5344">
            <w:pPr>
              <w:widowControl/>
              <w:spacing w:line="276" w:lineRule="auto"/>
              <w:jc w:val="center"/>
              <w:textAlignment w:val="center"/>
              <w:rPr>
                <w:rFonts w:ascii="宋体" w:hAnsi="宋体"/>
                <w:b/>
                <w:bCs/>
                <w:color w:val="000000"/>
                <w:szCs w:val="21"/>
              </w:rPr>
            </w:pPr>
            <w:r>
              <w:rPr>
                <w:rFonts w:hint="eastAsia" w:ascii="宋体" w:hAnsi="宋体"/>
                <w:b/>
                <w:bCs/>
                <w:color w:val="000000"/>
                <w:kern w:val="0"/>
                <w:szCs w:val="21"/>
                <w:lang w:bidi="ar"/>
              </w:rPr>
              <w:t>评审内容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6088">
            <w:pPr>
              <w:widowControl/>
              <w:spacing w:line="276" w:lineRule="auto"/>
              <w:jc w:val="center"/>
              <w:textAlignment w:val="center"/>
              <w:rPr>
                <w:rFonts w:ascii="宋体" w:hAnsi="宋体"/>
                <w:b/>
                <w:bCs/>
                <w:color w:val="000000"/>
                <w:szCs w:val="21"/>
              </w:rPr>
            </w:pPr>
            <w:r>
              <w:rPr>
                <w:rFonts w:hint="eastAsia" w:ascii="宋体" w:hAnsi="宋体"/>
                <w:b/>
                <w:bCs/>
                <w:color w:val="000000"/>
                <w:kern w:val="0"/>
                <w:szCs w:val="21"/>
                <w:lang w:bidi="ar"/>
              </w:rPr>
              <w:t>分值</w:t>
            </w:r>
          </w:p>
        </w:tc>
        <w:tc>
          <w:tcPr>
            <w:tcW w:w="5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DB77">
            <w:pPr>
              <w:widowControl/>
              <w:spacing w:line="276" w:lineRule="auto"/>
              <w:jc w:val="center"/>
              <w:textAlignment w:val="center"/>
              <w:rPr>
                <w:rFonts w:ascii="宋体" w:hAnsi="宋体"/>
                <w:b/>
                <w:bCs/>
                <w:color w:val="000000"/>
                <w:szCs w:val="21"/>
              </w:rPr>
            </w:pPr>
            <w:r>
              <w:rPr>
                <w:rFonts w:hint="eastAsia" w:ascii="宋体" w:hAnsi="宋体"/>
                <w:b/>
                <w:bCs/>
                <w:color w:val="000000"/>
                <w:kern w:val="0"/>
                <w:szCs w:val="21"/>
                <w:lang w:bidi="ar"/>
              </w:rPr>
              <w:t>评分原则与标准</w:t>
            </w:r>
          </w:p>
        </w:tc>
      </w:tr>
      <w:tr w14:paraId="74B5A1A5">
        <w:tblPrEx>
          <w:tblCellMar>
            <w:top w:w="0" w:type="dxa"/>
            <w:left w:w="108" w:type="dxa"/>
            <w:bottom w:w="0" w:type="dxa"/>
            <w:right w:w="108" w:type="dxa"/>
          </w:tblCellMar>
        </w:tblPrEx>
        <w:trPr>
          <w:trHeight w:val="1982" w:hRule="atLeast"/>
          <w:jc w:val="center"/>
        </w:trPr>
        <w:tc>
          <w:tcPr>
            <w:tcW w:w="1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52803A">
            <w:pPr>
              <w:widowControl/>
              <w:spacing w:line="276" w:lineRule="auto"/>
              <w:jc w:val="center"/>
              <w:textAlignment w:val="center"/>
              <w:rPr>
                <w:rFonts w:ascii="宋体" w:hAnsi="宋体"/>
                <w:color w:val="000000"/>
                <w:szCs w:val="21"/>
              </w:rPr>
            </w:pPr>
            <w:r>
              <w:rPr>
                <w:rFonts w:hint="eastAsia" w:ascii="宋体" w:hAnsi="宋体"/>
                <w:color w:val="000000"/>
                <w:kern w:val="0"/>
                <w:szCs w:val="21"/>
                <w:lang w:bidi="ar"/>
              </w:rPr>
              <w:t>响应报价</w:t>
            </w:r>
          </w:p>
        </w:tc>
        <w:tc>
          <w:tcPr>
            <w:tcW w:w="15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B2A48">
            <w:pPr>
              <w:widowControl/>
              <w:spacing w:line="276" w:lineRule="auto"/>
              <w:jc w:val="center"/>
              <w:textAlignment w:val="center"/>
              <w:rPr>
                <w:rFonts w:ascii="宋体" w:hAnsi="宋体"/>
                <w:color w:val="000000"/>
                <w:szCs w:val="21"/>
              </w:rPr>
            </w:pPr>
            <w:r>
              <w:rPr>
                <w:rFonts w:hint="eastAsia" w:ascii="宋体" w:hAnsi="宋体"/>
                <w:color w:val="auto"/>
                <w:kern w:val="0"/>
                <w:szCs w:val="21"/>
                <w:lang w:bidi="ar"/>
              </w:rPr>
              <w:t>15</w:t>
            </w:r>
          </w:p>
        </w:tc>
        <w:tc>
          <w:tcPr>
            <w:tcW w:w="5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ACD824A">
            <w:pPr>
              <w:spacing w:line="360" w:lineRule="auto"/>
              <w:rPr>
                <w:rFonts w:hint="eastAsia" w:ascii="宋体" w:hAnsi="宋体"/>
                <w:szCs w:val="21"/>
              </w:rPr>
            </w:pPr>
            <w:r>
              <w:rPr>
                <w:rFonts w:hint="eastAsia" w:ascii="宋体" w:hAnsi="宋体"/>
                <w:szCs w:val="21"/>
              </w:rPr>
              <w:t xml:space="preserve">价格分统一采用低价优先法计算，即满足磋商文件要求且最低的响应报价为基准价，其价格分为满分。其他供应商的价格分统一按照下列公式计算： </w:t>
            </w:r>
          </w:p>
          <w:p w14:paraId="09ED01B7">
            <w:pPr>
              <w:spacing w:line="360" w:lineRule="auto"/>
              <w:rPr>
                <w:rFonts w:hint="eastAsia" w:ascii="宋体" w:hAnsi="宋体"/>
                <w:szCs w:val="21"/>
              </w:rPr>
            </w:pPr>
            <w:r>
              <w:rPr>
                <w:rFonts w:hint="eastAsia" w:ascii="宋体" w:hAnsi="宋体"/>
                <w:szCs w:val="21"/>
              </w:rPr>
              <w:t>响应报价得分=(基准价／响应报价)×价格权值×100</w:t>
            </w:r>
          </w:p>
          <w:p w14:paraId="4377249D">
            <w:pPr>
              <w:spacing w:line="360" w:lineRule="auto"/>
              <w:rPr>
                <w:rFonts w:hint="eastAsia" w:ascii="宋体" w:hAnsi="宋体"/>
                <w:szCs w:val="21"/>
              </w:rPr>
            </w:pPr>
            <w:r>
              <w:rPr>
                <w:rFonts w:hint="eastAsia" w:ascii="宋体" w:hAnsi="宋体"/>
                <w:szCs w:val="21"/>
              </w:rPr>
              <w:t>计算分数时四舍五入取小数点后两位</w:t>
            </w:r>
          </w:p>
          <w:p w14:paraId="1562023A">
            <w:pPr>
              <w:spacing w:line="360" w:lineRule="auto"/>
              <w:rPr>
                <w:rFonts w:hint="eastAsia" w:ascii="宋体" w:hAnsi="宋体"/>
                <w:szCs w:val="21"/>
              </w:rPr>
            </w:pPr>
            <w:r>
              <w:rPr>
                <w:rFonts w:hint="eastAsia" w:ascii="宋体" w:hAnsi="宋体"/>
                <w:szCs w:val="21"/>
              </w:rPr>
              <w:t>注：（1）根据《政府采购促进中小企业发展管理办法》的通知--财库〔2020〕46号的相关规定，对小型和微型企业的价格给予10%的扣除，用扣除后的价格参与评审。</w:t>
            </w:r>
          </w:p>
          <w:p w14:paraId="081AE8BA">
            <w:pPr>
              <w:spacing w:line="360" w:lineRule="auto"/>
              <w:rPr>
                <w:rFonts w:hint="eastAsia" w:ascii="宋体" w:hAnsi="宋体"/>
                <w:szCs w:val="21"/>
              </w:rPr>
            </w:pPr>
            <w:r>
              <w:rPr>
                <w:rFonts w:hint="eastAsia" w:ascii="宋体" w:hAnsi="宋体"/>
                <w:szCs w:val="21"/>
              </w:rPr>
              <w:t>（2）根据《财政部民政部中国残疾人联合会关于促进残疾人就业政府采购政策的通知》（财库〔2017〕141号）的规定，对符合条件的残疾人福利性单位设备的价格给予10%的扣除，用扣除后的价格参与评审。</w:t>
            </w:r>
          </w:p>
          <w:p w14:paraId="5353E95E">
            <w:pPr>
              <w:spacing w:line="360" w:lineRule="auto"/>
              <w:rPr>
                <w:rFonts w:hint="eastAsia" w:ascii="宋体" w:hAnsi="宋体"/>
                <w:szCs w:val="21"/>
              </w:rPr>
            </w:pPr>
            <w:r>
              <w:rPr>
                <w:rFonts w:hint="eastAsia" w:ascii="宋体" w:hAnsi="宋体"/>
                <w:szCs w:val="21"/>
              </w:rPr>
              <w:t>小型、微型企业和监狱企业级符合财政部、民政部、中国残疾人联合会关于促进残疾人就业政府采购政策的通知，以上政策同时具备的仅对其进行一次10%的价格扣除，不重复扣除。</w:t>
            </w:r>
          </w:p>
          <w:p w14:paraId="49CDD517">
            <w:pPr>
              <w:spacing w:line="360" w:lineRule="auto"/>
              <w:rPr>
                <w:rFonts w:hint="eastAsia" w:ascii="宋体" w:hAnsi="宋体"/>
                <w:szCs w:val="21"/>
              </w:rPr>
            </w:pPr>
            <w:r>
              <w:rPr>
                <w:rFonts w:hint="eastAsia" w:ascii="宋体" w:hAnsi="宋体"/>
                <w:szCs w:val="21"/>
              </w:rPr>
              <w:t>（3）《关于进一步加大政府采购支持中小企业力度的通知》（财库〔2022〕19号）</w:t>
            </w:r>
          </w:p>
        </w:tc>
      </w:tr>
      <w:tr w14:paraId="29DD242D">
        <w:tblPrEx>
          <w:tblCellMar>
            <w:top w:w="0" w:type="dxa"/>
            <w:left w:w="108" w:type="dxa"/>
            <w:bottom w:w="0" w:type="dxa"/>
            <w:right w:w="108" w:type="dxa"/>
          </w:tblCellMar>
        </w:tblPrEx>
        <w:trPr>
          <w:trHeight w:val="9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7676">
            <w:pPr>
              <w:widowControl/>
              <w:spacing w:line="276" w:lineRule="auto"/>
              <w:jc w:val="center"/>
              <w:textAlignment w:val="center"/>
              <w:rPr>
                <w:rFonts w:ascii="宋体" w:hAnsi="宋体"/>
                <w:kern w:val="0"/>
                <w:szCs w:val="21"/>
                <w:lang w:bidi="ar"/>
              </w:rPr>
            </w:pPr>
            <w:r>
              <w:rPr>
                <w:rFonts w:ascii="宋体" w:hAnsi="宋体"/>
                <w:kern w:val="0"/>
                <w:szCs w:val="21"/>
                <w:lang w:bidi="ar"/>
              </w:rPr>
              <w:t>服务方案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EF7">
            <w:pPr>
              <w:widowControl/>
              <w:spacing w:line="276" w:lineRule="auto"/>
              <w:jc w:val="center"/>
              <w:textAlignment w:val="center"/>
              <w:rPr>
                <w:rFonts w:ascii="宋体" w:hAnsi="宋体"/>
                <w:kern w:val="0"/>
                <w:szCs w:val="21"/>
                <w:lang w:bidi="ar"/>
              </w:rPr>
            </w:pPr>
            <w:r>
              <w:rPr>
                <w:rFonts w:hint="eastAsia" w:ascii="宋体" w:hAnsi="宋体"/>
                <w:kern w:val="0"/>
                <w:szCs w:val="21"/>
                <w:lang w:bidi="ar"/>
              </w:rPr>
              <w:t>30</w:t>
            </w:r>
          </w:p>
        </w:tc>
        <w:tc>
          <w:tcPr>
            <w:tcW w:w="5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CE85">
            <w:pPr>
              <w:spacing w:line="360" w:lineRule="auto"/>
              <w:rPr>
                <w:rFonts w:ascii="宋体" w:hAnsi="宋体"/>
                <w:szCs w:val="21"/>
              </w:rPr>
            </w:pPr>
            <w:r>
              <w:rPr>
                <w:rFonts w:ascii="宋体" w:hAnsi="宋体"/>
                <w:szCs w:val="21"/>
              </w:rPr>
              <w:t>供应商根据本项目特点，提供服务方案。具体包括但不限于：①线上安全托管服务方案；②线下安全技术支撑服务方案；③应急保障服务方案；④安全驻场服务方案。</w:t>
            </w:r>
          </w:p>
          <w:p w14:paraId="134200B8">
            <w:pPr>
              <w:spacing w:line="360" w:lineRule="auto"/>
              <w:rPr>
                <w:rFonts w:ascii="宋体" w:hAnsi="宋体"/>
                <w:szCs w:val="21"/>
              </w:rPr>
            </w:pPr>
            <w:r>
              <w:rPr>
                <w:rFonts w:ascii="宋体" w:hAnsi="宋体"/>
                <w:szCs w:val="21"/>
              </w:rPr>
              <w:t xml:space="preserve">评审标准： </w:t>
            </w:r>
          </w:p>
          <w:p w14:paraId="37B4085F">
            <w:pPr>
              <w:spacing w:line="360" w:lineRule="auto"/>
              <w:rPr>
                <w:rFonts w:ascii="宋体" w:hAnsi="宋体"/>
                <w:szCs w:val="21"/>
              </w:rPr>
            </w:pPr>
            <w:r>
              <w:rPr>
                <w:rFonts w:ascii="宋体" w:hAnsi="宋体"/>
                <w:szCs w:val="21"/>
              </w:rPr>
              <w:t xml:space="preserve">1.完整性：实施方案须全面，思路清晰、分析透彻，内容完整、方案科学、合理； </w:t>
            </w:r>
          </w:p>
          <w:p w14:paraId="749804F6">
            <w:pPr>
              <w:spacing w:line="360" w:lineRule="auto"/>
              <w:rPr>
                <w:rFonts w:ascii="宋体" w:hAnsi="宋体"/>
                <w:szCs w:val="21"/>
              </w:rPr>
            </w:pPr>
            <w:r>
              <w:rPr>
                <w:rFonts w:ascii="宋体" w:hAnsi="宋体"/>
                <w:szCs w:val="21"/>
              </w:rPr>
              <w:t xml:space="preserve">2.可实施性；切合本项目实际情况，步骤明确、可操作性强； </w:t>
            </w:r>
          </w:p>
          <w:p w14:paraId="0EA68432">
            <w:pPr>
              <w:spacing w:line="360" w:lineRule="auto"/>
              <w:rPr>
                <w:rFonts w:ascii="宋体" w:hAnsi="宋体"/>
                <w:szCs w:val="21"/>
              </w:rPr>
            </w:pPr>
            <w:r>
              <w:rPr>
                <w:rFonts w:ascii="宋体" w:hAnsi="宋体"/>
                <w:szCs w:val="21"/>
              </w:rPr>
              <w:t xml:space="preserve">3.针对性：总体方案能够紧扣项目实际情况，专业性强、内容科学、合理。 </w:t>
            </w:r>
          </w:p>
          <w:p w14:paraId="525C627B">
            <w:pPr>
              <w:spacing w:line="360" w:lineRule="auto"/>
              <w:rPr>
                <w:rFonts w:ascii="宋体" w:hAnsi="宋体"/>
                <w:szCs w:val="21"/>
              </w:rPr>
            </w:pPr>
            <w:r>
              <w:rPr>
                <w:rFonts w:ascii="宋体" w:hAnsi="宋体"/>
                <w:szCs w:val="21"/>
              </w:rPr>
              <w:t>赋分标准</w:t>
            </w:r>
            <w:r>
              <w:rPr>
                <w:rFonts w:hint="eastAsia" w:ascii="宋体" w:hAnsi="宋体"/>
                <w:szCs w:val="21"/>
              </w:rPr>
              <w:t>（30分）</w:t>
            </w:r>
            <w:r>
              <w:rPr>
                <w:rFonts w:ascii="宋体" w:hAnsi="宋体"/>
                <w:szCs w:val="21"/>
              </w:rPr>
              <w:t>：</w:t>
            </w:r>
          </w:p>
          <w:p w14:paraId="4F46A879">
            <w:pPr>
              <w:spacing w:line="360" w:lineRule="auto"/>
              <w:rPr>
                <w:rFonts w:ascii="宋体" w:hAnsi="宋体"/>
                <w:szCs w:val="21"/>
              </w:rPr>
            </w:pPr>
            <w:r>
              <w:rPr>
                <w:rFonts w:ascii="宋体" w:hAnsi="宋体"/>
                <w:szCs w:val="21"/>
              </w:rPr>
              <w:t>①线上安全托管服务方案：每完全满足一个评审标准得</w:t>
            </w:r>
            <w:r>
              <w:rPr>
                <w:rFonts w:hint="eastAsia" w:ascii="宋体" w:hAnsi="宋体"/>
                <w:szCs w:val="21"/>
              </w:rPr>
              <w:t>2.5</w:t>
            </w:r>
            <w:r>
              <w:rPr>
                <w:rFonts w:ascii="宋体" w:hAnsi="宋体"/>
                <w:szCs w:val="21"/>
              </w:rPr>
              <w:t>分，内容存在表述不清楚、针对性不强、逻辑不清晰、有缺陷或不足之处的得</w:t>
            </w:r>
            <w:r>
              <w:rPr>
                <w:rFonts w:hint="eastAsia" w:ascii="宋体" w:hAnsi="宋体"/>
                <w:szCs w:val="21"/>
              </w:rPr>
              <w:t>1.25</w:t>
            </w:r>
            <w:r>
              <w:rPr>
                <w:rFonts w:ascii="宋体" w:hAnsi="宋体"/>
                <w:szCs w:val="21"/>
              </w:rPr>
              <w:t>分，满分</w:t>
            </w:r>
            <w:r>
              <w:rPr>
                <w:rFonts w:hint="eastAsia" w:ascii="宋体" w:hAnsi="宋体"/>
                <w:szCs w:val="21"/>
              </w:rPr>
              <w:t>7.5</w:t>
            </w:r>
            <w:r>
              <w:rPr>
                <w:rFonts w:ascii="宋体" w:hAnsi="宋体"/>
                <w:szCs w:val="21"/>
              </w:rPr>
              <w:t>分；</w:t>
            </w:r>
          </w:p>
          <w:p w14:paraId="3AC029EC">
            <w:pPr>
              <w:spacing w:line="360" w:lineRule="auto"/>
              <w:rPr>
                <w:rFonts w:ascii="宋体" w:hAnsi="宋体"/>
                <w:szCs w:val="21"/>
              </w:rPr>
            </w:pPr>
            <w:r>
              <w:rPr>
                <w:rFonts w:ascii="宋体" w:hAnsi="宋体"/>
                <w:szCs w:val="21"/>
              </w:rPr>
              <w:t>②线下安全技术支撑服务方案：每完全满足一个评审标准得</w:t>
            </w:r>
            <w:r>
              <w:rPr>
                <w:rFonts w:hint="eastAsia" w:ascii="宋体" w:hAnsi="宋体"/>
                <w:szCs w:val="21"/>
              </w:rPr>
              <w:t>2.5</w:t>
            </w:r>
            <w:r>
              <w:rPr>
                <w:rFonts w:ascii="宋体" w:hAnsi="宋体"/>
                <w:szCs w:val="21"/>
              </w:rPr>
              <w:t>分，内容存在表述不清楚、针对性不强、逻辑不清晰、有缺陷或不足之处的得</w:t>
            </w:r>
            <w:r>
              <w:rPr>
                <w:rFonts w:hint="eastAsia" w:ascii="宋体" w:hAnsi="宋体"/>
                <w:szCs w:val="21"/>
              </w:rPr>
              <w:t>1.25</w:t>
            </w:r>
            <w:r>
              <w:rPr>
                <w:rFonts w:ascii="宋体" w:hAnsi="宋体"/>
                <w:szCs w:val="21"/>
              </w:rPr>
              <w:t>分，满分</w:t>
            </w:r>
            <w:r>
              <w:rPr>
                <w:rFonts w:hint="eastAsia" w:ascii="宋体" w:hAnsi="宋体"/>
                <w:szCs w:val="21"/>
              </w:rPr>
              <w:t>7.5</w:t>
            </w:r>
            <w:r>
              <w:rPr>
                <w:rFonts w:ascii="宋体" w:hAnsi="宋体"/>
                <w:szCs w:val="21"/>
              </w:rPr>
              <w:t>分；</w:t>
            </w:r>
          </w:p>
          <w:p w14:paraId="547E4D84">
            <w:pPr>
              <w:spacing w:line="360" w:lineRule="auto"/>
              <w:rPr>
                <w:rFonts w:ascii="宋体" w:hAnsi="宋体"/>
                <w:szCs w:val="21"/>
              </w:rPr>
            </w:pPr>
            <w:r>
              <w:rPr>
                <w:rFonts w:ascii="宋体" w:hAnsi="宋体"/>
                <w:szCs w:val="21"/>
              </w:rPr>
              <w:t>③应急保障服务方案：每完全满足一个评审标准得</w:t>
            </w:r>
            <w:r>
              <w:rPr>
                <w:rFonts w:hint="eastAsia" w:ascii="宋体" w:hAnsi="宋体"/>
                <w:szCs w:val="21"/>
              </w:rPr>
              <w:t>2.5</w:t>
            </w:r>
            <w:r>
              <w:rPr>
                <w:rFonts w:ascii="宋体" w:hAnsi="宋体"/>
                <w:szCs w:val="21"/>
              </w:rPr>
              <w:t>分，内容存在表述不清楚、针对性不强、逻辑不清晰、有缺陷或不足之处的得</w:t>
            </w:r>
            <w:r>
              <w:rPr>
                <w:rFonts w:hint="eastAsia" w:ascii="宋体" w:hAnsi="宋体"/>
                <w:szCs w:val="21"/>
              </w:rPr>
              <w:t>1.25</w:t>
            </w:r>
            <w:r>
              <w:rPr>
                <w:rFonts w:ascii="宋体" w:hAnsi="宋体"/>
                <w:szCs w:val="21"/>
              </w:rPr>
              <w:t>分，满分</w:t>
            </w:r>
            <w:r>
              <w:rPr>
                <w:rFonts w:hint="eastAsia" w:ascii="宋体" w:hAnsi="宋体"/>
                <w:szCs w:val="21"/>
              </w:rPr>
              <w:t>7.5</w:t>
            </w:r>
            <w:r>
              <w:rPr>
                <w:rFonts w:ascii="宋体" w:hAnsi="宋体"/>
                <w:szCs w:val="21"/>
              </w:rPr>
              <w:t>分。</w:t>
            </w:r>
          </w:p>
          <w:p w14:paraId="113C0DC7">
            <w:pPr>
              <w:spacing w:line="360" w:lineRule="auto"/>
              <w:rPr>
                <w:rFonts w:ascii="宋体" w:hAnsi="宋体"/>
                <w:szCs w:val="21"/>
                <w:highlight w:val="red"/>
              </w:rPr>
            </w:pPr>
            <w:r>
              <w:rPr>
                <w:rFonts w:hint="eastAsia" w:ascii="宋体" w:hAnsi="宋体"/>
                <w:szCs w:val="21"/>
              </w:rPr>
              <w:t>④安全驻场服务方案</w:t>
            </w:r>
            <w:r>
              <w:rPr>
                <w:rFonts w:ascii="宋体" w:hAnsi="宋体"/>
                <w:szCs w:val="21"/>
              </w:rPr>
              <w:t>：每完全满足一个评审标准得</w:t>
            </w:r>
            <w:r>
              <w:rPr>
                <w:rFonts w:hint="eastAsia" w:ascii="宋体" w:hAnsi="宋体"/>
                <w:szCs w:val="21"/>
              </w:rPr>
              <w:t>2.5</w:t>
            </w:r>
            <w:r>
              <w:rPr>
                <w:rFonts w:ascii="宋体" w:hAnsi="宋体"/>
                <w:szCs w:val="21"/>
              </w:rPr>
              <w:t>分，内容存在表述不清楚、针对性不强、逻辑不清晰、有缺陷或不足之处的得</w:t>
            </w:r>
            <w:r>
              <w:rPr>
                <w:rFonts w:hint="eastAsia" w:ascii="宋体" w:hAnsi="宋体"/>
                <w:szCs w:val="21"/>
              </w:rPr>
              <w:t>1.25</w:t>
            </w:r>
            <w:r>
              <w:rPr>
                <w:rFonts w:ascii="宋体" w:hAnsi="宋体"/>
                <w:szCs w:val="21"/>
              </w:rPr>
              <w:t>分，满分</w:t>
            </w:r>
            <w:r>
              <w:rPr>
                <w:rFonts w:hint="eastAsia" w:ascii="宋体" w:hAnsi="宋体"/>
                <w:szCs w:val="21"/>
              </w:rPr>
              <w:t>7.5</w:t>
            </w:r>
            <w:r>
              <w:rPr>
                <w:rFonts w:ascii="宋体" w:hAnsi="宋体"/>
                <w:szCs w:val="21"/>
              </w:rPr>
              <w:t>分。</w:t>
            </w:r>
          </w:p>
        </w:tc>
      </w:tr>
      <w:tr w14:paraId="5B6FF98D">
        <w:tblPrEx>
          <w:tblCellMar>
            <w:top w:w="0" w:type="dxa"/>
            <w:left w:w="108" w:type="dxa"/>
            <w:bottom w:w="0" w:type="dxa"/>
            <w:right w:w="108" w:type="dxa"/>
          </w:tblCellMar>
        </w:tblPrEx>
        <w:trPr>
          <w:trHeight w:val="1293"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6E9C">
            <w:pPr>
              <w:widowControl/>
              <w:spacing w:line="276" w:lineRule="auto"/>
              <w:jc w:val="center"/>
              <w:textAlignment w:val="center"/>
              <w:rPr>
                <w:rFonts w:ascii="宋体" w:hAnsi="宋体"/>
                <w:kern w:val="0"/>
                <w:szCs w:val="21"/>
                <w:lang w:bidi="ar"/>
              </w:rPr>
            </w:pPr>
            <w:r>
              <w:rPr>
                <w:rFonts w:hint="eastAsia" w:ascii="宋体" w:hAnsi="宋体"/>
                <w:kern w:val="0"/>
                <w:szCs w:val="21"/>
                <w:lang w:bidi="ar"/>
              </w:rPr>
              <w:t>重要技术要求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9EAB">
            <w:pPr>
              <w:widowControl/>
              <w:spacing w:line="276" w:lineRule="auto"/>
              <w:jc w:val="center"/>
              <w:textAlignment w:val="center"/>
              <w:rPr>
                <w:rFonts w:ascii="宋体" w:hAnsi="宋体"/>
                <w:kern w:val="0"/>
                <w:szCs w:val="21"/>
                <w:lang w:bidi="ar"/>
              </w:rPr>
            </w:pPr>
            <w:r>
              <w:rPr>
                <w:rFonts w:hint="eastAsia" w:ascii="宋体" w:hAnsi="宋体"/>
                <w:kern w:val="0"/>
                <w:szCs w:val="21"/>
                <w:lang w:bidi="ar"/>
              </w:rPr>
              <w:t>3</w:t>
            </w:r>
          </w:p>
        </w:tc>
        <w:tc>
          <w:tcPr>
            <w:tcW w:w="5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1AB">
            <w:pPr>
              <w:spacing w:line="360" w:lineRule="auto"/>
              <w:rPr>
                <w:rFonts w:ascii="宋体" w:hAnsi="宋体"/>
                <w:szCs w:val="21"/>
              </w:rPr>
            </w:pPr>
            <w:r>
              <w:rPr>
                <w:rFonts w:hint="eastAsia" w:ascii="宋体" w:hAnsi="宋体"/>
                <w:szCs w:val="21"/>
              </w:rPr>
              <w:t>针对本项目“项目服务内容”中重要技术要求（标▲要求）提供承诺函等指定证明材料，完全响应得3分，每有一项重要技术要求负偏离扣1分，扣完为止。（未提供有效证明材料视为负偏离）</w:t>
            </w:r>
          </w:p>
        </w:tc>
      </w:tr>
      <w:tr w14:paraId="208377FD">
        <w:tblPrEx>
          <w:tblCellMar>
            <w:top w:w="0" w:type="dxa"/>
            <w:left w:w="108" w:type="dxa"/>
            <w:bottom w:w="0" w:type="dxa"/>
            <w:right w:w="108" w:type="dxa"/>
          </w:tblCellMar>
        </w:tblPrEx>
        <w:trPr>
          <w:trHeight w:val="9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E84B">
            <w:pPr>
              <w:widowControl/>
              <w:spacing w:line="276" w:lineRule="auto"/>
              <w:jc w:val="center"/>
              <w:textAlignment w:val="center"/>
              <w:rPr>
                <w:rFonts w:ascii="宋体" w:hAnsi="宋体"/>
                <w:color w:val="000000"/>
                <w:kern w:val="0"/>
                <w:szCs w:val="21"/>
                <w:lang w:bidi="ar"/>
              </w:rPr>
            </w:pPr>
            <w:r>
              <w:rPr>
                <w:rFonts w:hint="eastAsia" w:ascii="宋体" w:hAnsi="宋体"/>
                <w:color w:val="000000"/>
                <w:kern w:val="0"/>
                <w:szCs w:val="21"/>
                <w:lang w:bidi="ar"/>
              </w:rPr>
              <w:t>服务工具要求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610A">
            <w:pPr>
              <w:widowControl/>
              <w:spacing w:line="276" w:lineRule="auto"/>
              <w:jc w:val="center"/>
              <w:textAlignment w:val="center"/>
              <w:rPr>
                <w:rFonts w:ascii="宋体" w:hAnsi="宋体"/>
                <w:color w:val="000000"/>
                <w:kern w:val="0"/>
                <w:szCs w:val="21"/>
                <w:lang w:bidi="ar"/>
              </w:rPr>
            </w:pPr>
            <w:r>
              <w:rPr>
                <w:rFonts w:hint="eastAsia" w:ascii="宋体" w:hAnsi="宋体"/>
                <w:color w:val="000000"/>
                <w:kern w:val="0"/>
                <w:szCs w:val="21"/>
                <w:lang w:bidi="ar"/>
              </w:rPr>
              <w:t>20</w:t>
            </w:r>
          </w:p>
        </w:tc>
        <w:tc>
          <w:tcPr>
            <w:tcW w:w="5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2CDF">
            <w:pPr>
              <w:spacing w:line="360" w:lineRule="auto"/>
              <w:rPr>
                <w:rFonts w:ascii="宋体" w:hAnsi="宋体"/>
                <w:szCs w:val="21"/>
              </w:rPr>
            </w:pPr>
            <w:r>
              <w:rPr>
                <w:rFonts w:hint="eastAsia" w:ascii="宋体" w:hAnsi="宋体"/>
                <w:szCs w:val="21"/>
              </w:rPr>
              <w:t>供应商在安全运维服务期间，需自带服务工具。投标人自带的服务工具需满足“服务工具要求”中的所有功能项，完全满足得20分，有一项不满足的扣除1分，扣完为止。（备注：服务工具要求的所有功能项均需提供产品功能截图，并加盖供应商公章，不提供则视为不满足）</w:t>
            </w:r>
          </w:p>
        </w:tc>
      </w:tr>
      <w:tr w14:paraId="0FAF48D3">
        <w:tblPrEx>
          <w:tblCellMar>
            <w:top w:w="0" w:type="dxa"/>
            <w:left w:w="108" w:type="dxa"/>
            <w:bottom w:w="0" w:type="dxa"/>
            <w:right w:w="108" w:type="dxa"/>
          </w:tblCellMar>
        </w:tblPrEx>
        <w:trPr>
          <w:trHeight w:val="841"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90F1">
            <w:pPr>
              <w:adjustRightInd w:val="0"/>
              <w:snapToGrid w:val="0"/>
              <w:spacing w:line="360" w:lineRule="exact"/>
              <w:jc w:val="center"/>
              <w:rPr>
                <w:rFonts w:ascii="宋体" w:hAnsi="宋体"/>
                <w:color w:val="000000"/>
                <w:szCs w:val="21"/>
              </w:rPr>
            </w:pPr>
            <w:r>
              <w:rPr>
                <w:rFonts w:hint="eastAsia" w:ascii="宋体" w:hAnsi="宋体"/>
                <w:color w:val="000000"/>
                <w:szCs w:val="21"/>
              </w:rPr>
              <w:t>项目服务团队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556">
            <w:pPr>
              <w:adjustRightInd w:val="0"/>
              <w:snapToGrid w:val="0"/>
              <w:spacing w:line="3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20</w:t>
            </w:r>
          </w:p>
        </w:tc>
        <w:tc>
          <w:tcPr>
            <w:tcW w:w="5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BB44">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1、工作经验（</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p w14:paraId="3B89654B">
            <w:pPr>
              <w:widowControl/>
              <w:adjustRightInd w:val="0"/>
              <w:spacing w:line="4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线上安全服务人员：</w:t>
            </w:r>
          </w:p>
          <w:p w14:paraId="2125BF66">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（1）项目经理具备4年及以上相关工作经验，得2分；</w:t>
            </w:r>
          </w:p>
          <w:p w14:paraId="5264E568">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（2）其余团队成员每有一人具有4年及以上相关工作经验，得1分，最高得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p w14:paraId="551B94B5">
            <w:pPr>
              <w:widowControl/>
              <w:adjustRightInd w:val="0"/>
              <w:spacing w:line="4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线下安全服务人员：</w:t>
            </w:r>
          </w:p>
          <w:p w14:paraId="0C98FF60">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（1）驻场服务人员具备4年及以上相关工作经验，得2分；</w:t>
            </w:r>
          </w:p>
          <w:p w14:paraId="651645EF">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（2）非驻场高级安全专家具备4年及以上相关工作经验，得2分；</w:t>
            </w:r>
          </w:p>
          <w:p w14:paraId="54615108">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2、专业能力（12分）</w:t>
            </w:r>
          </w:p>
          <w:p w14:paraId="65880C4C">
            <w:pPr>
              <w:widowControl/>
              <w:adjustRightInd w:val="0"/>
              <w:spacing w:line="4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线上安全服务人员：</w:t>
            </w:r>
          </w:p>
          <w:p w14:paraId="0153EA62">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（1）项目经理具备CISP或CISSP 、CISA、NISP、CDSPC证书，得2分；</w:t>
            </w:r>
          </w:p>
          <w:p w14:paraId="315B77F2">
            <w:pPr>
              <w:widowControl/>
              <w:adjustRightIn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余团队成员具备计算机技术与软件专业技术资格（水平）考试中级证书或中级职称证书，每人得1分，具备计算机技术与软件专业技术资格（水平）考试高级证书或高级职称证书，每人得2分，本项最高得6分。</w:t>
            </w:r>
          </w:p>
          <w:p w14:paraId="6F5AB6A6">
            <w:pPr>
              <w:widowControl/>
              <w:adjustRightInd w:val="0"/>
              <w:spacing w:line="4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线下安全服务人员：</w:t>
            </w:r>
          </w:p>
          <w:p w14:paraId="3FF2206D">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（1）驻场服务人员具备计算机技术与软件专业技术资格（水平）考试中级证书或中级职称证书，得1分；具备计算机技术与软件专业技术资格（水平）考试高级证书或高级职称证书，得2分；</w:t>
            </w:r>
          </w:p>
          <w:p w14:paraId="33FFCADB">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（2）非驻场高级安全专家具备计算机技术与软件专业技术资格（水平）考试中级证书或中级职称证书，得1分；具备计算机技术与软件专业技术资格（水平）考试高级证书或高级职称证书，得2分；</w:t>
            </w:r>
          </w:p>
          <w:p w14:paraId="4A1D39BA">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07173523">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1、不满足本项目“服务人员要求”的基本要求，本项不得分；</w:t>
            </w:r>
          </w:p>
          <w:p w14:paraId="7686ADD7">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2、需提供相关人员真实有效的证书复印件或扫描件（加盖供应商公章）；一人持有多个不同证书，按最高得分计算，不重复计分。</w:t>
            </w:r>
          </w:p>
          <w:p w14:paraId="261E3CA3">
            <w:pPr>
              <w:widowControl/>
              <w:adjustRightIn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3、人员工作经验需提供相关证明材料（如工作证明或劳动合同等，并加盖供应商公章），不提供不得分。</w:t>
            </w:r>
          </w:p>
        </w:tc>
      </w:tr>
      <w:tr w14:paraId="24B8E5E0">
        <w:tblPrEx>
          <w:tblCellMar>
            <w:top w:w="0" w:type="dxa"/>
            <w:left w:w="108" w:type="dxa"/>
            <w:bottom w:w="0" w:type="dxa"/>
            <w:right w:w="108" w:type="dxa"/>
          </w:tblCellMar>
        </w:tblPrEx>
        <w:trPr>
          <w:trHeight w:val="841"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D51B">
            <w:pPr>
              <w:adjustRightInd w:val="0"/>
              <w:snapToGrid w:val="0"/>
              <w:spacing w:line="360" w:lineRule="exact"/>
              <w:jc w:val="center"/>
              <w:rPr>
                <w:rFonts w:ascii="宋体" w:hAnsi="宋体"/>
                <w:color w:val="000000"/>
                <w:szCs w:val="21"/>
              </w:rPr>
            </w:pPr>
            <w:r>
              <w:rPr>
                <w:rFonts w:hint="eastAsia" w:ascii="宋体" w:hAnsi="宋体"/>
                <w:color w:val="000000"/>
                <w:szCs w:val="21"/>
              </w:rPr>
              <w:t>企业实力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62FF">
            <w:pPr>
              <w:widowControl/>
              <w:adjustRightInd w:val="0"/>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5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677">
            <w:pPr>
              <w:widowControl/>
              <w:adjustRightIn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提供信息产业信息安全测评中心颁发的《网络安全专用产品安全检测证书》主机型入侵检测产品（增强级）资质证书，得3.5分；</w:t>
            </w:r>
          </w:p>
          <w:p w14:paraId="0BC210B6">
            <w:pPr>
              <w:widowControl/>
              <w:adjustRightIn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提供中国网络安全审查技术与认证中心颁发的软件安全开发类安全服务证书，得3.5分。</w:t>
            </w:r>
          </w:p>
          <w:p w14:paraId="72AC8EB3">
            <w:pPr>
              <w:widowControl/>
              <w:adjustRightIn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注：提供上述有效证书复印件或扫描件（加盖供应商公章）。</w:t>
            </w:r>
          </w:p>
        </w:tc>
      </w:tr>
      <w:tr w14:paraId="5D8A9A11">
        <w:tblPrEx>
          <w:tblCellMar>
            <w:top w:w="0" w:type="dxa"/>
            <w:left w:w="108" w:type="dxa"/>
            <w:bottom w:w="0" w:type="dxa"/>
            <w:right w:w="108" w:type="dxa"/>
          </w:tblCellMar>
        </w:tblPrEx>
        <w:trPr>
          <w:trHeight w:val="416"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2E03">
            <w:pPr>
              <w:widowControl/>
              <w:spacing w:line="276" w:lineRule="auto"/>
              <w:jc w:val="center"/>
              <w:textAlignment w:val="center"/>
              <w:rPr>
                <w:rFonts w:ascii="宋体" w:hAnsi="宋体"/>
                <w:color w:val="000000"/>
                <w:szCs w:val="21"/>
              </w:rPr>
            </w:pPr>
            <w:r>
              <w:rPr>
                <w:rFonts w:hint="eastAsia" w:ascii="宋体" w:hAnsi="宋体"/>
                <w:color w:val="000000"/>
                <w:kern w:val="0"/>
                <w:szCs w:val="21"/>
                <w:lang w:bidi="ar"/>
              </w:rPr>
              <w:t>业绩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AFB2">
            <w:pPr>
              <w:widowControl/>
              <w:adjustRightInd w:val="0"/>
              <w:spacing w:line="40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5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776">
            <w:pPr>
              <w:widowControl/>
              <w:adjustRightIn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提供安全服务支持厂商2023年1月1日以来类似项目业绩合同（网络安全服务、网络安全评估、网络安全技术支撑服务、驻场服务等），每提供一份得1分，最高得</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分。（加盖</w:t>
            </w:r>
            <w:r>
              <w:rPr>
                <w:rFonts w:hint="eastAsia" w:ascii="宋体" w:hAnsi="宋体"/>
                <w:color w:val="000000" w:themeColor="text1"/>
                <w:szCs w:val="21"/>
                <w:highlight w:val="none"/>
                <w:lang w:val="en-US" w:eastAsia="zh-CN"/>
                <w14:textFill>
                  <w14:solidFill>
                    <w14:schemeClr w14:val="tx1"/>
                  </w14:solidFill>
                </w14:textFill>
              </w:rPr>
              <w:t>安全服务支持厂商</w:t>
            </w:r>
            <w:r>
              <w:rPr>
                <w:rFonts w:hint="eastAsia" w:ascii="宋体" w:hAnsi="宋体"/>
                <w:color w:val="000000" w:themeColor="text1"/>
                <w:szCs w:val="21"/>
                <w:highlight w:val="none"/>
                <w14:textFill>
                  <w14:solidFill>
                    <w14:schemeClr w14:val="tx1"/>
                  </w14:solidFill>
                </w14:textFill>
              </w:rPr>
              <w:t>公章）。</w:t>
            </w:r>
          </w:p>
          <w:p w14:paraId="49FB3973">
            <w:pPr>
              <w:widowControl/>
              <w:adjustRightIn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注：业绩证明（以响应文件中的合同复印件为准）。</w:t>
            </w:r>
          </w:p>
        </w:tc>
      </w:tr>
      <w:tr w14:paraId="442748B6">
        <w:tblPrEx>
          <w:tblCellMar>
            <w:top w:w="0" w:type="dxa"/>
            <w:left w:w="108" w:type="dxa"/>
            <w:bottom w:w="0" w:type="dxa"/>
            <w:right w:w="108" w:type="dxa"/>
          </w:tblCellMar>
        </w:tblPrEx>
        <w:trPr>
          <w:trHeight w:val="155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06C3">
            <w:pPr>
              <w:spacing w:line="276" w:lineRule="auto"/>
              <w:jc w:val="center"/>
              <w:rPr>
                <w:rFonts w:ascii="宋体" w:hAnsi="宋体"/>
                <w:szCs w:val="21"/>
              </w:rPr>
            </w:pPr>
            <w:r>
              <w:rPr>
                <w:rFonts w:hint="eastAsia" w:ascii="宋体" w:hAnsi="宋体"/>
                <w:szCs w:val="21"/>
              </w:rPr>
              <w:t>说明</w:t>
            </w:r>
          </w:p>
        </w:tc>
        <w:tc>
          <w:tcPr>
            <w:tcW w:w="7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7FF6">
            <w:pPr>
              <w:spacing w:line="276" w:lineRule="auto"/>
              <w:rPr>
                <w:rFonts w:ascii="宋体" w:hAnsi="宋体"/>
                <w:szCs w:val="21"/>
              </w:rPr>
            </w:pPr>
            <w:r>
              <w:rPr>
                <w:rFonts w:hint="eastAsia" w:ascii="宋体" w:hAnsi="宋体"/>
                <w:szCs w:val="21"/>
              </w:rPr>
              <w:t>1．磋商小组必须按照本评审要素据实打分，各类数字计算均按“四舍五入”保留小数点后两位；</w:t>
            </w:r>
          </w:p>
          <w:p w14:paraId="584FFA04">
            <w:pPr>
              <w:spacing w:line="276" w:lineRule="auto"/>
              <w:rPr>
                <w:rFonts w:ascii="宋体" w:hAnsi="宋体"/>
                <w:szCs w:val="21"/>
              </w:rPr>
            </w:pPr>
            <w:r>
              <w:rPr>
                <w:rFonts w:hint="eastAsia" w:ascii="宋体" w:hAnsi="宋体" w:eastAsia="宋体" w:cs="宋体"/>
                <w:b w:val="0"/>
                <w:bCs/>
                <w:color w:val="auto"/>
                <w:sz w:val="21"/>
                <w:szCs w:val="21"/>
                <w:highlight w:val="none"/>
                <w:lang w:val="en-US" w:eastAsia="zh-CN"/>
              </w:rPr>
              <w:t>2.以上所有证明文件须提供清晰复印件加盖供应商公章装订于正、副本中。</w:t>
            </w:r>
          </w:p>
        </w:tc>
      </w:tr>
    </w:tbl>
    <w:p w14:paraId="3F45F51E">
      <w:pPr>
        <w:pStyle w:val="10"/>
      </w:pPr>
    </w:p>
    <w:p w14:paraId="5A31B1DE">
      <w:pPr>
        <w:rPr>
          <w:rStyle w:val="48"/>
          <w:rFonts w:hint="eastAsia" w:ascii="黑体" w:hAnsi="黑体" w:eastAsia="黑体" w:cs="黑体"/>
          <w:sz w:val="32"/>
          <w:szCs w:val="32"/>
        </w:rPr>
      </w:pPr>
      <w:bookmarkStart w:id="67" w:name="_Toc26233"/>
    </w:p>
    <w:p w14:paraId="2CA553B9">
      <w:pPr>
        <w:rPr>
          <w:rStyle w:val="48"/>
          <w:rFonts w:hint="eastAsia" w:ascii="黑体" w:hAnsi="黑体" w:eastAsia="黑体" w:cs="黑体"/>
          <w:sz w:val="32"/>
          <w:szCs w:val="32"/>
        </w:rPr>
      </w:pPr>
    </w:p>
    <w:p w14:paraId="1D25EEA7">
      <w:pPr>
        <w:rPr>
          <w:rStyle w:val="48"/>
          <w:rFonts w:hint="eastAsia" w:ascii="黑体" w:hAnsi="黑体" w:eastAsia="黑体" w:cs="黑体"/>
          <w:sz w:val="32"/>
          <w:szCs w:val="32"/>
        </w:rPr>
      </w:pPr>
    </w:p>
    <w:p w14:paraId="08E58322">
      <w:pPr>
        <w:rPr>
          <w:rStyle w:val="48"/>
          <w:rFonts w:hint="eastAsia" w:ascii="黑体" w:hAnsi="黑体" w:eastAsia="黑体" w:cs="黑体"/>
          <w:sz w:val="32"/>
          <w:szCs w:val="32"/>
        </w:rPr>
      </w:pPr>
      <w:r>
        <w:rPr>
          <w:rStyle w:val="48"/>
          <w:rFonts w:hint="eastAsia" w:ascii="黑体" w:hAnsi="黑体" w:eastAsia="黑体" w:cs="黑体"/>
          <w:sz w:val="32"/>
          <w:szCs w:val="32"/>
        </w:rPr>
        <w:br w:type="page"/>
      </w:r>
    </w:p>
    <w:p w14:paraId="06BD716F">
      <w:pPr>
        <w:rPr>
          <w:rStyle w:val="48"/>
          <w:rFonts w:hint="eastAsia" w:ascii="黑体" w:hAnsi="黑体" w:eastAsia="黑体" w:cs="黑体"/>
          <w:sz w:val="32"/>
          <w:szCs w:val="32"/>
        </w:rPr>
      </w:pPr>
    </w:p>
    <w:p w14:paraId="720C7889">
      <w:pPr>
        <w:rPr>
          <w:rStyle w:val="48"/>
          <w:rFonts w:hint="eastAsia" w:ascii="黑体" w:hAnsi="黑体" w:eastAsia="黑体" w:cs="黑体"/>
          <w:sz w:val="32"/>
          <w:szCs w:val="32"/>
        </w:rPr>
      </w:pPr>
    </w:p>
    <w:p w14:paraId="684A19DC">
      <w:pPr>
        <w:rPr>
          <w:rStyle w:val="48"/>
          <w:rFonts w:hint="eastAsia" w:ascii="黑体" w:hAnsi="黑体" w:eastAsia="黑体" w:cs="黑体"/>
          <w:sz w:val="32"/>
          <w:szCs w:val="32"/>
        </w:rPr>
      </w:pPr>
    </w:p>
    <w:p w14:paraId="4C9B1F82">
      <w:pPr>
        <w:rPr>
          <w:rStyle w:val="48"/>
          <w:rFonts w:hint="eastAsia" w:ascii="黑体" w:hAnsi="黑体" w:eastAsia="黑体" w:cs="黑体"/>
          <w:sz w:val="32"/>
          <w:szCs w:val="32"/>
        </w:rPr>
      </w:pPr>
    </w:p>
    <w:p w14:paraId="3348DFD3">
      <w:pPr>
        <w:rPr>
          <w:rStyle w:val="48"/>
          <w:rFonts w:hint="eastAsia" w:ascii="黑体" w:hAnsi="黑体" w:eastAsia="黑体" w:cs="黑体"/>
          <w:sz w:val="32"/>
          <w:szCs w:val="32"/>
        </w:rPr>
      </w:pPr>
    </w:p>
    <w:p w14:paraId="4320B69C">
      <w:pPr>
        <w:rPr>
          <w:rStyle w:val="48"/>
          <w:rFonts w:hint="eastAsia" w:ascii="黑体" w:hAnsi="黑体" w:eastAsia="黑体" w:cs="黑体"/>
          <w:sz w:val="32"/>
          <w:szCs w:val="32"/>
        </w:rPr>
      </w:pPr>
    </w:p>
    <w:p w14:paraId="135BB69A">
      <w:pPr>
        <w:rPr>
          <w:rStyle w:val="48"/>
          <w:rFonts w:hint="eastAsia" w:ascii="黑体" w:hAnsi="黑体" w:eastAsia="黑体" w:cs="黑体"/>
          <w:sz w:val="32"/>
          <w:szCs w:val="32"/>
        </w:rPr>
      </w:pPr>
    </w:p>
    <w:p w14:paraId="6F0A72FB">
      <w:pPr>
        <w:rPr>
          <w:rStyle w:val="48"/>
          <w:rFonts w:hint="eastAsia" w:ascii="黑体" w:hAnsi="黑体" w:eastAsia="黑体" w:cs="黑体"/>
          <w:sz w:val="32"/>
          <w:szCs w:val="32"/>
        </w:rPr>
      </w:pPr>
    </w:p>
    <w:p w14:paraId="4D62FC06">
      <w:pPr>
        <w:rPr>
          <w:rStyle w:val="48"/>
          <w:rFonts w:hint="eastAsia" w:ascii="黑体" w:hAnsi="黑体" w:eastAsia="黑体" w:cs="黑体"/>
          <w:sz w:val="32"/>
          <w:szCs w:val="32"/>
        </w:rPr>
      </w:pPr>
    </w:p>
    <w:p w14:paraId="2E3DE293">
      <w:pPr>
        <w:rPr>
          <w:rFonts w:ascii="宋体" w:hAnsi="宋体"/>
          <w:b/>
          <w:bCs/>
          <w:sz w:val="52"/>
          <w:szCs w:val="52"/>
        </w:rPr>
      </w:pPr>
      <w:r>
        <w:rPr>
          <w:rStyle w:val="48"/>
          <w:rFonts w:hint="eastAsia" w:ascii="黑体" w:hAnsi="黑体" w:eastAsia="黑体" w:cs="黑体"/>
          <w:sz w:val="32"/>
          <w:szCs w:val="32"/>
        </w:rPr>
        <w:t xml:space="preserve"> </w:t>
      </w:r>
      <w:r>
        <w:rPr>
          <w:rFonts w:ascii="宋体" w:hAnsi="宋体"/>
          <w:b/>
          <w:bCs/>
          <w:spacing w:val="9"/>
          <w:sz w:val="52"/>
          <w:szCs w:val="52"/>
        </w:rPr>
        <w:t>第</w:t>
      </w:r>
      <w:r>
        <w:rPr>
          <w:rFonts w:hint="eastAsia" w:ascii="宋体" w:hAnsi="宋体"/>
          <w:b/>
          <w:bCs/>
          <w:spacing w:val="7"/>
          <w:sz w:val="52"/>
          <w:szCs w:val="52"/>
        </w:rPr>
        <w:t>五</w:t>
      </w:r>
      <w:r>
        <w:rPr>
          <w:rFonts w:ascii="宋体" w:hAnsi="宋体"/>
          <w:b/>
          <w:bCs/>
          <w:spacing w:val="7"/>
          <w:sz w:val="52"/>
          <w:szCs w:val="52"/>
        </w:rPr>
        <w:t>部分</w:t>
      </w:r>
    </w:p>
    <w:p w14:paraId="174C25F9">
      <w:pPr>
        <w:spacing w:before="113" w:line="224" w:lineRule="auto"/>
        <w:ind w:right="420"/>
        <w:jc w:val="right"/>
        <w:rPr>
          <w:rFonts w:ascii="宋体" w:hAnsi="宋体"/>
          <w:b/>
          <w:bCs/>
          <w:sz w:val="52"/>
          <w:szCs w:val="52"/>
        </w:rPr>
      </w:pPr>
      <w:r>
        <w:rPr>
          <w:b/>
          <w:bCs/>
          <w:sz w:val="52"/>
        </w:rPr>
        <mc:AlternateContent>
          <mc:Choice Requires="wps">
            <w:drawing>
              <wp:anchor distT="0" distB="0" distL="114300" distR="114300" simplePos="0" relativeHeight="251668480"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5pt;margin-top:16.85pt;height:0.05pt;width:450pt;z-index:251668480;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xDnP&#10;0wAAAAgBAAAPAAAAAAAAAAEAIAAAACIAAABkcnMvZG93bnJldi54bWxQSwECFAAUAAAACACHTuJA&#10;DGWUae0BAADdAwAADgAAAAAAAAABACAAAAAiAQAAZHJzL2Uyb0RvYy54bWxQSwUGAAAAAAYABgBZ&#10;AQAAgQUAAAAA&#10;">
                <v:fill on="f" focussize="0,0"/>
                <v:stroke weight="1.5pt" color="#000000" joinstyle="round"/>
                <v:imagedata o:title=""/>
                <o:lock v:ext="edit" aspectratio="f"/>
              </v:line>
            </w:pict>
          </mc:Fallback>
        </mc:AlternateContent>
      </w:r>
    </w:p>
    <w:p w14:paraId="34CF7B2C">
      <w:pPr>
        <w:spacing w:before="113" w:line="224" w:lineRule="auto"/>
        <w:ind w:right="420"/>
        <w:jc w:val="right"/>
        <w:rPr>
          <w:rFonts w:ascii="宋体" w:hAnsi="宋体"/>
          <w:b/>
          <w:bCs/>
          <w:sz w:val="35"/>
          <w:szCs w:val="35"/>
        </w:rPr>
      </w:pPr>
      <w:r>
        <w:rPr>
          <w:rFonts w:hint="eastAsia" w:ascii="宋体" w:hAnsi="宋体"/>
          <w:b/>
          <w:bCs/>
          <w:spacing w:val="7"/>
          <w:sz w:val="52"/>
          <w:szCs w:val="52"/>
        </w:rPr>
        <w:t>合同范本</w:t>
      </w:r>
    </w:p>
    <w:p w14:paraId="386E249F">
      <w:pPr>
        <w:rPr>
          <w:rFonts w:ascii="黑体" w:hAnsi="黑体" w:eastAsia="黑体" w:cs="黑体"/>
          <w:b/>
          <w:bCs/>
          <w:kern w:val="44"/>
          <w:sz w:val="32"/>
          <w:szCs w:val="32"/>
        </w:rPr>
      </w:pPr>
    </w:p>
    <w:p w14:paraId="24959711">
      <w:pPr>
        <w:rPr>
          <w:rFonts w:ascii="黑体" w:hAnsi="黑体" w:eastAsia="黑体" w:cs="黑体"/>
          <w:b/>
          <w:bCs/>
          <w:kern w:val="44"/>
          <w:sz w:val="32"/>
          <w:szCs w:val="32"/>
        </w:rPr>
      </w:pPr>
    </w:p>
    <w:p w14:paraId="73B745B0">
      <w:pPr>
        <w:rPr>
          <w:rFonts w:ascii="黑体" w:hAnsi="黑体" w:eastAsia="黑体" w:cs="黑体"/>
          <w:b/>
          <w:bCs/>
          <w:kern w:val="44"/>
          <w:sz w:val="32"/>
          <w:szCs w:val="32"/>
        </w:rPr>
      </w:pPr>
    </w:p>
    <w:p w14:paraId="1B3791D3">
      <w:pPr>
        <w:rPr>
          <w:rFonts w:ascii="黑体" w:hAnsi="黑体" w:eastAsia="黑体" w:cs="黑体"/>
          <w:b/>
          <w:bCs/>
          <w:kern w:val="44"/>
          <w:sz w:val="32"/>
          <w:szCs w:val="32"/>
        </w:rPr>
      </w:pPr>
    </w:p>
    <w:p w14:paraId="75CA02A1">
      <w:pPr>
        <w:rPr>
          <w:rFonts w:ascii="黑体" w:hAnsi="黑体" w:eastAsia="黑体" w:cs="黑体"/>
          <w:b/>
          <w:bCs/>
          <w:kern w:val="44"/>
          <w:sz w:val="32"/>
          <w:szCs w:val="32"/>
        </w:rPr>
      </w:pPr>
    </w:p>
    <w:p w14:paraId="3ECE341E">
      <w:pPr>
        <w:rPr>
          <w:rFonts w:ascii="黑体" w:hAnsi="黑体" w:eastAsia="黑体" w:cs="黑体"/>
          <w:b/>
          <w:bCs/>
          <w:kern w:val="44"/>
          <w:sz w:val="32"/>
          <w:szCs w:val="32"/>
        </w:rPr>
      </w:pPr>
    </w:p>
    <w:p w14:paraId="6EB107E0">
      <w:pPr>
        <w:rPr>
          <w:rFonts w:ascii="黑体" w:hAnsi="黑体" w:eastAsia="黑体" w:cs="黑体"/>
          <w:b/>
          <w:bCs/>
          <w:kern w:val="44"/>
          <w:sz w:val="32"/>
          <w:szCs w:val="32"/>
        </w:rPr>
      </w:pPr>
    </w:p>
    <w:p w14:paraId="78C145E5">
      <w:pPr>
        <w:rPr>
          <w:rFonts w:ascii="黑体" w:hAnsi="黑体" w:eastAsia="黑体" w:cs="黑体"/>
          <w:b/>
          <w:bCs/>
          <w:kern w:val="44"/>
          <w:sz w:val="32"/>
          <w:szCs w:val="32"/>
        </w:rPr>
      </w:pPr>
    </w:p>
    <w:p w14:paraId="0C4C7983">
      <w:pPr>
        <w:spacing w:line="360" w:lineRule="auto"/>
        <w:jc w:val="center"/>
        <w:outlineLvl w:val="0"/>
        <w:rPr>
          <w:rFonts w:ascii="黑体" w:hAnsi="黑体" w:eastAsia="黑体" w:cs="黑体"/>
          <w:b/>
          <w:bCs/>
          <w:kern w:val="44"/>
          <w:sz w:val="32"/>
          <w:szCs w:val="32"/>
        </w:rPr>
      </w:pPr>
      <w:bookmarkStart w:id="68" w:name="_Toc21204"/>
      <w:r>
        <w:rPr>
          <w:rFonts w:hint="eastAsia" w:ascii="黑体" w:hAnsi="黑体" w:eastAsia="黑体" w:cs="黑体"/>
          <w:b/>
          <w:bCs/>
          <w:kern w:val="44"/>
          <w:sz w:val="32"/>
          <w:szCs w:val="32"/>
        </w:rPr>
        <w:t>第五部分 合同范本</w:t>
      </w:r>
      <w:bookmarkEnd w:id="67"/>
      <w:bookmarkEnd w:id="68"/>
    </w:p>
    <w:p w14:paraId="211E95D3">
      <w:pPr>
        <w:spacing w:line="360" w:lineRule="auto"/>
        <w:ind w:firstLine="481"/>
        <w:jc w:val="left"/>
        <w:rPr>
          <w:rFonts w:ascii="黑体" w:hAnsi="仿宋" w:eastAsia="黑体" w:cs="仿宋"/>
          <w:b/>
          <w:sz w:val="24"/>
          <w:u w:val="single"/>
        </w:rPr>
      </w:pPr>
      <w:bookmarkStart w:id="69" w:name="_Toc26893"/>
      <w:bookmarkStart w:id="70" w:name="_Toc24356"/>
      <w:bookmarkStart w:id="71" w:name="_Toc11252"/>
      <w:bookmarkStart w:id="72" w:name="_Toc32018"/>
      <w:r>
        <w:rPr>
          <w:rFonts w:hint="eastAsia" w:ascii="黑体" w:hAnsi="仿宋" w:eastAsia="黑体" w:cs="仿宋"/>
          <w:b/>
          <w:sz w:val="24"/>
          <w:u w:val="single"/>
        </w:rPr>
        <w:t>注：本合同仅为合同的参考文本，合同签订双方可根据项目的具体要求进行修订。</w:t>
      </w:r>
      <w:bookmarkEnd w:id="69"/>
      <w:bookmarkEnd w:id="70"/>
      <w:bookmarkEnd w:id="71"/>
      <w:bookmarkEnd w:id="72"/>
    </w:p>
    <w:p w14:paraId="1B019345">
      <w:pPr>
        <w:pStyle w:val="2"/>
        <w:rPr>
          <w:rFonts w:ascii="宋体" w:hAnsi="宋体"/>
          <w:sz w:val="34"/>
          <w:szCs w:val="34"/>
        </w:rPr>
      </w:pPr>
      <w:bookmarkStart w:id="73" w:name="_Toc11089"/>
      <w:r>
        <w:rPr>
          <w:rFonts w:ascii="宋体" w:hAnsi="宋体"/>
          <w:spacing w:val="7"/>
          <w:sz w:val="34"/>
          <w:szCs w:val="34"/>
        </w:rPr>
        <w:t>陕西省结核病防治院</w:t>
      </w:r>
      <w:r>
        <w:rPr>
          <w:rFonts w:hint="eastAsia" w:ascii="宋体" w:hAnsi="宋体"/>
          <w:spacing w:val="7"/>
          <w:sz w:val="34"/>
          <w:szCs w:val="34"/>
        </w:rPr>
        <w:t>网络安全服务</w:t>
      </w:r>
      <w:r>
        <w:rPr>
          <w:rFonts w:ascii="宋体" w:hAnsi="宋体"/>
          <w:spacing w:val="12"/>
          <w:sz w:val="34"/>
          <w:szCs w:val="34"/>
        </w:rPr>
        <w:t>合同</w:t>
      </w:r>
    </w:p>
    <w:p w14:paraId="0CEFF650">
      <w:pPr>
        <w:spacing w:line="248" w:lineRule="auto"/>
        <w:rPr>
          <w:rFonts w:ascii="Arial"/>
        </w:rPr>
      </w:pPr>
    </w:p>
    <w:p w14:paraId="7BA0F267">
      <w:pPr>
        <w:spacing w:line="248" w:lineRule="auto"/>
        <w:rPr>
          <w:rFonts w:ascii="Arial"/>
        </w:rPr>
      </w:pPr>
    </w:p>
    <w:p w14:paraId="46E7697F">
      <w:pPr>
        <w:spacing w:line="248" w:lineRule="auto"/>
        <w:rPr>
          <w:rFonts w:ascii="Arial"/>
        </w:rPr>
      </w:pPr>
    </w:p>
    <w:p w14:paraId="4282D3DC">
      <w:pPr>
        <w:pStyle w:val="10"/>
        <w:spacing w:before="84" w:line="222" w:lineRule="auto"/>
        <w:ind w:left="775"/>
      </w:pPr>
      <w:r>
        <w:rPr>
          <w:spacing w:val="29"/>
        </w:rPr>
        <w:t>甲方(委托人):陕西省结核病防治院(陕西省第</w:t>
      </w:r>
      <w:r>
        <w:rPr>
          <w:spacing w:val="28"/>
        </w:rPr>
        <w:t>五人民医院)</w:t>
      </w:r>
    </w:p>
    <w:p w14:paraId="006F345A">
      <w:pPr>
        <w:pStyle w:val="10"/>
        <w:spacing w:before="257" w:line="222" w:lineRule="auto"/>
        <w:ind w:left="775"/>
        <w:rPr>
          <w:spacing w:val="27"/>
        </w:rPr>
      </w:pPr>
      <w:r>
        <w:rPr>
          <w:spacing w:val="27"/>
        </w:rPr>
        <w:t>乙方(受托人):</w:t>
      </w:r>
      <w:r>
        <w:rPr>
          <w:rFonts w:hint="eastAsia"/>
          <w:spacing w:val="27"/>
        </w:rPr>
        <w:t>(待定)</w:t>
      </w:r>
    </w:p>
    <w:p w14:paraId="07A04AB8">
      <w:pPr>
        <w:pStyle w:val="10"/>
        <w:spacing w:before="257" w:line="222" w:lineRule="auto"/>
        <w:ind w:left="775"/>
        <w:rPr>
          <w:spacing w:val="27"/>
        </w:rPr>
      </w:pPr>
    </w:p>
    <w:p w14:paraId="4990D804">
      <w:pPr>
        <w:pStyle w:val="10"/>
        <w:spacing w:before="253" w:line="414" w:lineRule="auto"/>
        <w:ind w:left="215" w:right="864" w:firstLine="519"/>
        <w:rPr>
          <w:spacing w:val="14"/>
          <w:sz w:val="25"/>
          <w:szCs w:val="25"/>
        </w:rPr>
      </w:pPr>
      <w:r>
        <w:rPr>
          <w:spacing w:val="14"/>
          <w:sz w:val="25"/>
          <w:szCs w:val="25"/>
        </w:rPr>
        <w:t>依据《中华人民共和国民法典》及相关法律法规，甲方通过竞争性磋商采购确定乙方为本项目的成交方。双方协商一致签署本合同。</w:t>
      </w:r>
    </w:p>
    <w:p w14:paraId="2633FBFA">
      <w:pPr>
        <w:pStyle w:val="10"/>
        <w:spacing w:before="253" w:line="414" w:lineRule="auto"/>
        <w:ind w:left="215" w:right="864" w:firstLine="519"/>
        <w:rPr>
          <w:spacing w:val="14"/>
          <w:sz w:val="25"/>
          <w:szCs w:val="25"/>
        </w:rPr>
      </w:pPr>
    </w:p>
    <w:p w14:paraId="4F6C14CE">
      <w:pPr>
        <w:pStyle w:val="10"/>
        <w:spacing w:before="253" w:line="414" w:lineRule="auto"/>
        <w:ind w:left="215" w:right="864" w:firstLine="519"/>
        <w:rPr>
          <w:spacing w:val="14"/>
          <w:sz w:val="25"/>
          <w:szCs w:val="25"/>
        </w:rPr>
      </w:pPr>
      <w:r>
        <w:rPr>
          <w:rFonts w:hint="eastAsia"/>
          <w:spacing w:val="14"/>
          <w:sz w:val="25"/>
          <w:szCs w:val="25"/>
        </w:rPr>
        <w:t>一、服务范围</w:t>
      </w:r>
    </w:p>
    <w:p w14:paraId="1DDB7DF5">
      <w:pPr>
        <w:pStyle w:val="10"/>
        <w:spacing w:before="253" w:line="414" w:lineRule="auto"/>
        <w:ind w:left="215" w:right="864" w:firstLine="519"/>
        <w:rPr>
          <w:spacing w:val="14"/>
          <w:sz w:val="25"/>
          <w:szCs w:val="25"/>
        </w:rPr>
      </w:pPr>
      <w:r>
        <w:rPr>
          <w:rFonts w:hint="eastAsia"/>
          <w:spacing w:val="14"/>
          <w:sz w:val="25"/>
          <w:szCs w:val="25"/>
        </w:rPr>
        <w:t>乙方为甲方提供网络安全维护保养服务，具体服务内容详见招标文件技术参数要求，包括但不限于：</w:t>
      </w:r>
    </w:p>
    <w:p w14:paraId="0825BA33">
      <w:pPr>
        <w:pStyle w:val="10"/>
        <w:spacing w:before="253" w:line="414" w:lineRule="auto"/>
        <w:ind w:left="215" w:right="864" w:firstLine="519"/>
        <w:rPr>
          <w:spacing w:val="14"/>
          <w:sz w:val="25"/>
          <w:szCs w:val="25"/>
        </w:rPr>
      </w:pPr>
      <w:r>
        <w:rPr>
          <w:rFonts w:hint="eastAsia"/>
          <w:spacing w:val="14"/>
          <w:sz w:val="25"/>
          <w:szCs w:val="25"/>
        </w:rPr>
        <w:t>线上安全托管服务；</w:t>
      </w:r>
    </w:p>
    <w:p w14:paraId="67091185">
      <w:pPr>
        <w:pStyle w:val="10"/>
        <w:spacing w:before="253" w:line="414" w:lineRule="auto"/>
        <w:ind w:left="215" w:right="864" w:firstLine="519"/>
        <w:rPr>
          <w:spacing w:val="14"/>
          <w:sz w:val="25"/>
          <w:szCs w:val="25"/>
        </w:rPr>
      </w:pPr>
      <w:r>
        <w:rPr>
          <w:rFonts w:hint="eastAsia"/>
          <w:spacing w:val="14"/>
          <w:sz w:val="25"/>
          <w:szCs w:val="25"/>
        </w:rPr>
        <w:t>线下安全技术支撑服务。</w:t>
      </w:r>
    </w:p>
    <w:p w14:paraId="47BD3F67">
      <w:pPr>
        <w:pStyle w:val="10"/>
        <w:spacing w:before="253" w:line="414" w:lineRule="auto"/>
        <w:ind w:left="215" w:right="864" w:firstLine="519"/>
        <w:rPr>
          <w:spacing w:val="14"/>
          <w:sz w:val="25"/>
          <w:szCs w:val="25"/>
        </w:rPr>
      </w:pPr>
      <w:r>
        <w:rPr>
          <w:rFonts w:hint="eastAsia"/>
          <w:spacing w:val="14"/>
          <w:sz w:val="25"/>
          <w:szCs w:val="25"/>
        </w:rPr>
        <w:t>二、服务期限</w:t>
      </w:r>
    </w:p>
    <w:p w14:paraId="481DBB83">
      <w:pPr>
        <w:pStyle w:val="10"/>
        <w:spacing w:before="253" w:line="414" w:lineRule="auto"/>
        <w:ind w:left="215" w:right="864" w:firstLine="519"/>
        <w:rPr>
          <w:spacing w:val="14"/>
          <w:sz w:val="25"/>
          <w:szCs w:val="25"/>
        </w:rPr>
      </w:pPr>
      <w:r>
        <w:rPr>
          <w:rFonts w:hint="eastAsia"/>
          <w:spacing w:val="14"/>
          <w:sz w:val="25"/>
          <w:szCs w:val="25"/>
        </w:rPr>
        <w:t>自合同生效之日起1年。合同期满后，甲方将对乙方的服务质量进行考核，根据考评结果及满意度决定是否续签合同，总服务期不超过三年（含本年度），年度服务金额不超过本合同价格。</w:t>
      </w:r>
    </w:p>
    <w:p w14:paraId="2AC89C8C">
      <w:pPr>
        <w:pStyle w:val="10"/>
        <w:spacing w:before="253" w:line="414" w:lineRule="auto"/>
        <w:ind w:left="215" w:right="864" w:firstLine="519"/>
        <w:rPr>
          <w:spacing w:val="14"/>
          <w:sz w:val="25"/>
          <w:szCs w:val="25"/>
        </w:rPr>
      </w:pPr>
      <w:r>
        <w:rPr>
          <w:rFonts w:hint="eastAsia"/>
          <w:spacing w:val="14"/>
          <w:sz w:val="25"/>
          <w:szCs w:val="25"/>
        </w:rPr>
        <w:t>三、服务费用及支付方式</w:t>
      </w:r>
    </w:p>
    <w:p w14:paraId="14BBF4CB">
      <w:pPr>
        <w:pStyle w:val="10"/>
        <w:spacing w:before="253" w:line="414" w:lineRule="auto"/>
        <w:ind w:left="215" w:right="864" w:firstLine="519"/>
        <w:rPr>
          <w:spacing w:val="14"/>
          <w:sz w:val="25"/>
          <w:szCs w:val="25"/>
        </w:rPr>
      </w:pPr>
      <w:r>
        <w:rPr>
          <w:rFonts w:hint="eastAsia"/>
          <w:spacing w:val="14"/>
          <w:sz w:val="25"/>
          <w:szCs w:val="25"/>
        </w:rPr>
        <w:t>合同总金额：人民币________元整（¥__）（含税，税率%）。该费用包含乙方提供服务过程中产生的人工费、零部件费（非人为损坏且在服务范围内）、交通费等所有费用。</w:t>
      </w:r>
    </w:p>
    <w:p w14:paraId="4862F787">
      <w:pPr>
        <w:pStyle w:val="10"/>
        <w:spacing w:before="253" w:line="414" w:lineRule="auto"/>
        <w:ind w:left="215" w:right="864" w:firstLine="519"/>
        <w:rPr>
          <w:spacing w:val="14"/>
          <w:sz w:val="25"/>
          <w:szCs w:val="25"/>
        </w:rPr>
      </w:pPr>
      <w:r>
        <w:rPr>
          <w:rFonts w:hint="eastAsia"/>
          <w:spacing w:val="14"/>
          <w:sz w:val="25"/>
          <w:szCs w:val="25"/>
        </w:rPr>
        <w:t>第一笔付款：服务期满半年后，乙方提交《验收申请》，甲方验收合格并收到乙方开具的全额增值税发票后30个工作日内，支付合同总金额的50%；</w:t>
      </w:r>
    </w:p>
    <w:p w14:paraId="59F1005F">
      <w:pPr>
        <w:pStyle w:val="10"/>
        <w:spacing w:before="253" w:line="414" w:lineRule="auto"/>
        <w:ind w:left="215" w:right="864" w:firstLine="519"/>
        <w:rPr>
          <w:spacing w:val="14"/>
          <w:sz w:val="25"/>
          <w:szCs w:val="25"/>
          <w:highlight w:val="none"/>
        </w:rPr>
      </w:pPr>
      <w:r>
        <w:rPr>
          <w:rFonts w:hint="eastAsia"/>
          <w:spacing w:val="14"/>
          <w:sz w:val="25"/>
          <w:szCs w:val="25"/>
        </w:rPr>
        <w:t>第二笔付</w:t>
      </w:r>
      <w:r>
        <w:rPr>
          <w:rFonts w:hint="eastAsia"/>
          <w:spacing w:val="14"/>
          <w:sz w:val="25"/>
          <w:szCs w:val="25"/>
          <w:highlight w:val="none"/>
        </w:rPr>
        <w:t>款：合同期满后，乙方提交《验收申请》及全部《安全报告》，甲方验收合格后30个工作日内，</w:t>
      </w:r>
      <w:r>
        <w:rPr>
          <w:rFonts w:hint="eastAsia"/>
          <w:spacing w:val="14"/>
          <w:sz w:val="25"/>
          <w:szCs w:val="25"/>
          <w:highlight w:val="none"/>
          <w:lang w:val="en-US" w:eastAsia="zh-CN"/>
        </w:rPr>
        <w:t>乙方提交付款申请后，</w:t>
      </w:r>
      <w:r>
        <w:rPr>
          <w:rFonts w:hint="eastAsia"/>
          <w:spacing w:val="14"/>
          <w:sz w:val="25"/>
          <w:szCs w:val="25"/>
          <w:highlight w:val="none"/>
        </w:rPr>
        <w:t>支付剩余50%。</w:t>
      </w:r>
    </w:p>
    <w:p w14:paraId="4CF52FF3">
      <w:pPr>
        <w:pStyle w:val="10"/>
        <w:spacing w:before="253" w:line="414" w:lineRule="auto"/>
        <w:ind w:left="215" w:right="864" w:firstLine="519"/>
        <w:rPr>
          <w:spacing w:val="14"/>
          <w:sz w:val="25"/>
          <w:szCs w:val="25"/>
          <w:highlight w:val="none"/>
        </w:rPr>
      </w:pPr>
      <w:r>
        <w:rPr>
          <w:rFonts w:hint="eastAsia"/>
          <w:spacing w:val="14"/>
          <w:sz w:val="25"/>
          <w:szCs w:val="25"/>
          <w:highlight w:val="none"/>
        </w:rPr>
        <w:t>四、违约责任</w:t>
      </w:r>
    </w:p>
    <w:p w14:paraId="0AFF560D">
      <w:pPr>
        <w:pStyle w:val="10"/>
        <w:spacing w:before="253" w:line="414" w:lineRule="auto"/>
        <w:ind w:left="215" w:right="864" w:firstLine="519"/>
        <w:rPr>
          <w:spacing w:val="14"/>
          <w:sz w:val="25"/>
          <w:szCs w:val="25"/>
          <w:highlight w:val="none"/>
        </w:rPr>
      </w:pPr>
      <w:r>
        <w:rPr>
          <w:rFonts w:hint="eastAsia"/>
          <w:spacing w:val="14"/>
          <w:sz w:val="25"/>
          <w:szCs w:val="25"/>
          <w:highlight w:val="none"/>
        </w:rPr>
        <w:t>甲方违约：未按约定支付费用逾期</w:t>
      </w:r>
      <w:r>
        <w:rPr>
          <w:rFonts w:hint="eastAsia"/>
          <w:spacing w:val="14"/>
          <w:sz w:val="25"/>
          <w:szCs w:val="25"/>
          <w:highlight w:val="none"/>
          <w:lang w:val="en-US" w:eastAsia="zh-CN"/>
        </w:rPr>
        <w:t>超过30日的，每逾期1日</w:t>
      </w:r>
      <w:r>
        <w:rPr>
          <w:rFonts w:hint="eastAsia"/>
          <w:spacing w:val="14"/>
          <w:sz w:val="25"/>
          <w:szCs w:val="25"/>
          <w:highlight w:val="none"/>
        </w:rPr>
        <w:t>按逾期金额的0.5%支付违约金。</w:t>
      </w:r>
    </w:p>
    <w:p w14:paraId="3585FDC5">
      <w:pPr>
        <w:pStyle w:val="10"/>
        <w:spacing w:before="253" w:line="414" w:lineRule="auto"/>
        <w:ind w:left="215" w:right="864" w:firstLine="519"/>
        <w:rPr>
          <w:spacing w:val="14"/>
          <w:sz w:val="25"/>
          <w:szCs w:val="25"/>
          <w:highlight w:val="none"/>
        </w:rPr>
      </w:pPr>
      <w:r>
        <w:rPr>
          <w:rFonts w:hint="eastAsia"/>
          <w:spacing w:val="14"/>
          <w:sz w:val="25"/>
          <w:szCs w:val="25"/>
          <w:highlight w:val="none"/>
        </w:rPr>
        <w:t>乙方违约：</w:t>
      </w:r>
    </w:p>
    <w:p w14:paraId="77F0C64A">
      <w:pPr>
        <w:pStyle w:val="10"/>
        <w:spacing w:before="253" w:line="414" w:lineRule="auto"/>
        <w:ind w:left="215" w:right="864" w:firstLine="519"/>
        <w:rPr>
          <w:spacing w:val="14"/>
          <w:sz w:val="25"/>
          <w:szCs w:val="25"/>
          <w:highlight w:val="none"/>
        </w:rPr>
      </w:pPr>
      <w:r>
        <w:rPr>
          <w:rFonts w:hint="eastAsia"/>
          <w:spacing w:val="14"/>
          <w:sz w:val="25"/>
          <w:szCs w:val="25"/>
          <w:highlight w:val="none"/>
        </w:rPr>
        <w:t>未按约定提供服务或提交《安全报告》的，逾期</w:t>
      </w:r>
      <w:r>
        <w:rPr>
          <w:rFonts w:hint="eastAsia"/>
          <w:spacing w:val="14"/>
          <w:sz w:val="25"/>
          <w:szCs w:val="25"/>
          <w:highlight w:val="none"/>
          <w:lang w:val="en-US" w:eastAsia="zh-CN"/>
        </w:rPr>
        <w:t>超过10日的，</w:t>
      </w:r>
      <w:r>
        <w:rPr>
          <w:rFonts w:hint="eastAsia"/>
          <w:spacing w:val="14"/>
          <w:sz w:val="25"/>
          <w:szCs w:val="25"/>
          <w:highlight w:val="none"/>
        </w:rPr>
        <w:t>每逾期1日按服务总费用的0.5%支付违约金；</w:t>
      </w:r>
    </w:p>
    <w:p w14:paraId="21259677">
      <w:pPr>
        <w:pStyle w:val="10"/>
        <w:spacing w:before="253" w:line="414" w:lineRule="auto"/>
        <w:ind w:left="215" w:right="864" w:firstLine="519"/>
        <w:rPr>
          <w:spacing w:val="14"/>
          <w:sz w:val="25"/>
          <w:szCs w:val="25"/>
          <w:highlight w:val="none"/>
        </w:rPr>
      </w:pPr>
      <w:r>
        <w:rPr>
          <w:rFonts w:hint="eastAsia"/>
          <w:spacing w:val="14"/>
          <w:sz w:val="25"/>
          <w:szCs w:val="25"/>
          <w:highlight w:val="none"/>
        </w:rPr>
        <w:t>泄露甲方商业秘密或数据信息的，支付服务总费用30%的违约金，并赔偿甲方全部损失。</w:t>
      </w:r>
    </w:p>
    <w:p w14:paraId="523442D2">
      <w:pPr>
        <w:pStyle w:val="10"/>
        <w:spacing w:before="253" w:line="414" w:lineRule="auto"/>
        <w:ind w:left="215" w:right="864" w:firstLine="519"/>
        <w:rPr>
          <w:spacing w:val="14"/>
          <w:sz w:val="25"/>
          <w:szCs w:val="25"/>
          <w:highlight w:val="none"/>
        </w:rPr>
      </w:pPr>
      <w:r>
        <w:rPr>
          <w:rFonts w:hint="eastAsia"/>
          <w:spacing w:val="14"/>
          <w:sz w:val="25"/>
          <w:szCs w:val="25"/>
          <w:highlight w:val="none"/>
        </w:rPr>
        <w:t>五、合同解除</w:t>
      </w:r>
    </w:p>
    <w:p w14:paraId="07C8A163">
      <w:pPr>
        <w:pStyle w:val="10"/>
        <w:spacing w:before="253" w:line="414" w:lineRule="auto"/>
        <w:ind w:left="215" w:right="864" w:firstLine="519"/>
        <w:rPr>
          <w:spacing w:val="14"/>
          <w:sz w:val="25"/>
          <w:szCs w:val="25"/>
          <w:highlight w:val="none"/>
        </w:rPr>
      </w:pPr>
      <w:r>
        <w:rPr>
          <w:rFonts w:hint="eastAsia"/>
          <w:spacing w:val="14"/>
          <w:sz w:val="25"/>
          <w:szCs w:val="25"/>
          <w:highlight w:val="none"/>
        </w:rPr>
        <w:t>出现以下情形之一时，另一方有权解除合同：</w:t>
      </w:r>
    </w:p>
    <w:p w14:paraId="016744CF">
      <w:pPr>
        <w:pStyle w:val="10"/>
        <w:spacing w:before="253" w:line="414" w:lineRule="auto"/>
        <w:ind w:left="215" w:right="864" w:firstLine="519"/>
        <w:rPr>
          <w:spacing w:val="14"/>
          <w:sz w:val="25"/>
          <w:szCs w:val="25"/>
          <w:highlight w:val="none"/>
        </w:rPr>
      </w:pPr>
      <w:r>
        <w:rPr>
          <w:rFonts w:hint="eastAsia"/>
          <w:spacing w:val="14"/>
          <w:sz w:val="25"/>
          <w:szCs w:val="25"/>
          <w:highlight w:val="none"/>
        </w:rPr>
        <w:t>甲方逾期付款超过30日且经催告仍不支付；</w:t>
      </w:r>
    </w:p>
    <w:p w14:paraId="6A69A46A">
      <w:pPr>
        <w:pStyle w:val="10"/>
        <w:spacing w:before="253" w:line="414" w:lineRule="auto"/>
        <w:ind w:left="215" w:right="864" w:firstLine="519"/>
        <w:rPr>
          <w:spacing w:val="14"/>
          <w:sz w:val="25"/>
          <w:szCs w:val="25"/>
          <w:highlight w:val="none"/>
        </w:rPr>
      </w:pPr>
      <w:r>
        <w:rPr>
          <w:rFonts w:hint="eastAsia"/>
          <w:spacing w:val="14"/>
          <w:sz w:val="25"/>
          <w:szCs w:val="25"/>
          <w:highlight w:val="none"/>
        </w:rPr>
        <w:t>乙方服务两次以上不符合标准且整改后仍无法达到要求；</w:t>
      </w:r>
    </w:p>
    <w:p w14:paraId="09AB9D9A">
      <w:pPr>
        <w:pStyle w:val="10"/>
        <w:spacing w:before="253" w:line="414" w:lineRule="auto"/>
        <w:ind w:left="215" w:right="864" w:firstLine="519"/>
        <w:rPr>
          <w:spacing w:val="14"/>
          <w:sz w:val="25"/>
          <w:szCs w:val="25"/>
          <w:highlight w:val="none"/>
        </w:rPr>
      </w:pPr>
      <w:r>
        <w:rPr>
          <w:rFonts w:hint="eastAsia"/>
          <w:spacing w:val="14"/>
          <w:sz w:val="25"/>
          <w:szCs w:val="25"/>
          <w:highlight w:val="none"/>
        </w:rPr>
        <w:t>一方破产、解散或丧失履约能力；</w:t>
      </w:r>
    </w:p>
    <w:p w14:paraId="763D7B61">
      <w:pPr>
        <w:pStyle w:val="10"/>
        <w:spacing w:before="253" w:line="414" w:lineRule="auto"/>
        <w:ind w:left="215" w:right="864" w:firstLine="519"/>
        <w:rPr>
          <w:spacing w:val="14"/>
          <w:sz w:val="25"/>
          <w:szCs w:val="25"/>
          <w:highlight w:val="none"/>
        </w:rPr>
      </w:pPr>
      <w:r>
        <w:rPr>
          <w:rFonts w:hint="eastAsia"/>
          <w:spacing w:val="14"/>
          <w:sz w:val="25"/>
          <w:szCs w:val="25"/>
          <w:highlight w:val="none"/>
        </w:rPr>
        <w:t>发生不可抗力导致合同无法履行（双方互不承担违约责任）。</w:t>
      </w:r>
    </w:p>
    <w:p w14:paraId="34B78DA2">
      <w:pPr>
        <w:pStyle w:val="10"/>
        <w:spacing w:before="253" w:line="414" w:lineRule="auto"/>
        <w:ind w:left="215" w:right="864" w:firstLine="519"/>
        <w:rPr>
          <w:spacing w:val="14"/>
          <w:sz w:val="25"/>
          <w:szCs w:val="25"/>
          <w:highlight w:val="none"/>
        </w:rPr>
      </w:pPr>
      <w:r>
        <w:rPr>
          <w:rFonts w:hint="eastAsia"/>
          <w:spacing w:val="14"/>
          <w:sz w:val="25"/>
          <w:szCs w:val="25"/>
          <w:highlight w:val="none"/>
        </w:rPr>
        <w:t>六、争议解决</w:t>
      </w:r>
    </w:p>
    <w:p w14:paraId="5E9CEE57">
      <w:pPr>
        <w:pStyle w:val="10"/>
        <w:spacing w:before="253" w:line="414" w:lineRule="auto"/>
        <w:ind w:left="215" w:right="864" w:firstLine="519"/>
        <w:rPr>
          <w:spacing w:val="14"/>
          <w:sz w:val="25"/>
          <w:szCs w:val="25"/>
          <w:highlight w:val="none"/>
        </w:rPr>
      </w:pPr>
      <w:r>
        <w:rPr>
          <w:rFonts w:hint="eastAsia"/>
          <w:spacing w:val="14"/>
          <w:sz w:val="25"/>
          <w:szCs w:val="25"/>
          <w:highlight w:val="none"/>
        </w:rPr>
        <w:t>因履行本合同发生的争议，双方协商解决；协商不成的，依法向甲方所在地人民法院提起诉讼。</w:t>
      </w:r>
    </w:p>
    <w:p w14:paraId="58CD7710">
      <w:pPr>
        <w:pStyle w:val="10"/>
        <w:spacing w:before="253" w:line="414" w:lineRule="auto"/>
        <w:ind w:left="215" w:right="864" w:firstLine="519"/>
        <w:rPr>
          <w:spacing w:val="14"/>
          <w:sz w:val="25"/>
          <w:szCs w:val="25"/>
          <w:highlight w:val="none"/>
        </w:rPr>
      </w:pPr>
      <w:r>
        <w:rPr>
          <w:rFonts w:hint="eastAsia"/>
          <w:spacing w:val="14"/>
          <w:sz w:val="25"/>
          <w:szCs w:val="25"/>
          <w:highlight w:val="none"/>
        </w:rPr>
        <w:t>七、合同生效</w:t>
      </w:r>
    </w:p>
    <w:p w14:paraId="371C7402">
      <w:pPr>
        <w:pStyle w:val="10"/>
        <w:spacing w:before="253" w:line="414" w:lineRule="auto"/>
        <w:ind w:left="215" w:right="864" w:firstLine="519"/>
        <w:rPr>
          <w:spacing w:val="14"/>
          <w:sz w:val="25"/>
          <w:szCs w:val="25"/>
          <w:highlight w:val="none"/>
        </w:rPr>
      </w:pPr>
      <w:r>
        <w:rPr>
          <w:rFonts w:hint="eastAsia"/>
          <w:spacing w:val="14"/>
          <w:sz w:val="25"/>
          <w:szCs w:val="25"/>
          <w:highlight w:val="none"/>
        </w:rPr>
        <w:t>本合同一式</w:t>
      </w:r>
      <w:r>
        <w:rPr>
          <w:rFonts w:hint="eastAsia"/>
          <w:spacing w:val="14"/>
          <w:sz w:val="25"/>
          <w:szCs w:val="25"/>
          <w:highlight w:val="none"/>
          <w:lang w:val="en-US" w:eastAsia="zh-CN"/>
        </w:rPr>
        <w:t>陆</w:t>
      </w:r>
      <w:r>
        <w:rPr>
          <w:rFonts w:hint="eastAsia"/>
          <w:spacing w:val="14"/>
          <w:sz w:val="25"/>
          <w:szCs w:val="25"/>
          <w:highlight w:val="none"/>
        </w:rPr>
        <w:t>份，甲方执</w:t>
      </w:r>
      <w:r>
        <w:rPr>
          <w:rFonts w:hint="eastAsia"/>
          <w:spacing w:val="14"/>
          <w:sz w:val="25"/>
          <w:szCs w:val="25"/>
          <w:highlight w:val="none"/>
          <w:lang w:val="en-US" w:eastAsia="zh-CN"/>
        </w:rPr>
        <w:t>肆</w:t>
      </w:r>
      <w:r>
        <w:rPr>
          <w:rFonts w:hint="eastAsia"/>
          <w:spacing w:val="14"/>
          <w:sz w:val="25"/>
          <w:szCs w:val="25"/>
          <w:highlight w:val="none"/>
        </w:rPr>
        <w:t>份，乙方执贰份，自双方法定代表人或授权代表签字并加盖公章之日起生效。</w:t>
      </w:r>
    </w:p>
    <w:p w14:paraId="12EA1E3E">
      <w:pPr>
        <w:pStyle w:val="10"/>
        <w:spacing w:before="253" w:line="414" w:lineRule="auto"/>
        <w:ind w:left="215" w:right="864" w:firstLine="519"/>
        <w:rPr>
          <w:spacing w:val="14"/>
          <w:sz w:val="25"/>
          <w:szCs w:val="25"/>
          <w:highlight w:val="none"/>
        </w:rPr>
      </w:pPr>
      <w:r>
        <w:rPr>
          <w:rFonts w:hint="eastAsia"/>
          <w:spacing w:val="14"/>
          <w:sz w:val="25"/>
          <w:szCs w:val="25"/>
          <w:highlight w:val="none"/>
        </w:rPr>
        <w:t>甲方：陕西省结核病防治院（陕西省第五人民医院）</w:t>
      </w:r>
    </w:p>
    <w:p w14:paraId="02763081">
      <w:pPr>
        <w:pStyle w:val="10"/>
        <w:spacing w:before="253" w:line="414" w:lineRule="auto"/>
        <w:ind w:left="215" w:right="864" w:firstLine="519"/>
        <w:rPr>
          <w:spacing w:val="14"/>
          <w:sz w:val="25"/>
          <w:szCs w:val="25"/>
          <w:highlight w:val="none"/>
        </w:rPr>
      </w:pPr>
      <w:r>
        <w:rPr>
          <w:rFonts w:hint="eastAsia"/>
          <w:spacing w:val="14"/>
          <w:sz w:val="25"/>
          <w:szCs w:val="25"/>
          <w:highlight w:val="none"/>
        </w:rPr>
        <w:t>地址：西安市长安区太乙宫镇上湾村甲字1号</w:t>
      </w:r>
    </w:p>
    <w:p w14:paraId="32EA3F0B">
      <w:pPr>
        <w:pStyle w:val="10"/>
        <w:spacing w:before="253" w:line="414" w:lineRule="auto"/>
        <w:ind w:left="215" w:right="864" w:firstLine="519"/>
        <w:rPr>
          <w:spacing w:val="14"/>
          <w:sz w:val="25"/>
          <w:szCs w:val="25"/>
          <w:highlight w:val="none"/>
        </w:rPr>
      </w:pPr>
      <w:r>
        <w:rPr>
          <w:rFonts w:hint="eastAsia"/>
          <w:spacing w:val="14"/>
          <w:sz w:val="25"/>
          <w:szCs w:val="25"/>
          <w:highlight w:val="none"/>
        </w:rPr>
        <w:t>乙方：_________________________</w:t>
      </w:r>
    </w:p>
    <w:p w14:paraId="3107A049">
      <w:pPr>
        <w:pStyle w:val="10"/>
        <w:spacing w:before="253" w:line="414" w:lineRule="auto"/>
        <w:ind w:left="215" w:right="864" w:firstLine="519"/>
        <w:rPr>
          <w:spacing w:val="14"/>
          <w:sz w:val="25"/>
          <w:szCs w:val="25"/>
        </w:rPr>
      </w:pPr>
      <w:r>
        <w:rPr>
          <w:rFonts w:hint="eastAsia"/>
          <w:spacing w:val="14"/>
          <w:sz w:val="25"/>
          <w:szCs w:val="25"/>
        </w:rPr>
        <w:t>地址：_________________________</w:t>
      </w:r>
    </w:p>
    <w:p w14:paraId="44FB9EF3">
      <w:pPr>
        <w:pStyle w:val="10"/>
        <w:spacing w:before="253" w:line="414" w:lineRule="auto"/>
        <w:ind w:left="215" w:right="864" w:firstLine="519"/>
        <w:rPr>
          <w:spacing w:val="14"/>
          <w:sz w:val="25"/>
          <w:szCs w:val="25"/>
        </w:rPr>
      </w:pPr>
    </w:p>
    <w:p w14:paraId="7BFA9317">
      <w:pPr>
        <w:tabs>
          <w:tab w:val="left" w:pos="1531"/>
        </w:tabs>
        <w:spacing w:before="1" w:line="196" w:lineRule="auto"/>
        <w:rPr>
          <w:rFonts w:ascii="宋体" w:hAnsi="宋体"/>
          <w:sz w:val="22"/>
          <w:szCs w:val="22"/>
        </w:rPr>
      </w:pPr>
      <w:r>
        <w:rPr>
          <w:rFonts w:hint="eastAsia" w:ascii="仿宋" w:hAnsi="仿宋" w:eastAsia="仿宋" w:cs="仿宋"/>
          <w:snapToGrid w:val="0"/>
          <w:color w:val="000000"/>
          <w:spacing w:val="14"/>
          <w:kern w:val="0"/>
          <w:sz w:val="25"/>
          <w:szCs w:val="25"/>
        </w:rPr>
        <w:t>（注：以上为简化版合同模板，具体条款可根据实际需求进一步调整。</w:t>
      </w:r>
      <w:r>
        <w:rPr>
          <w:rFonts w:hint="eastAsia" w:ascii="仿宋" w:hAnsi="仿宋" w:eastAsia="仿宋" w:cs="仿宋"/>
          <w:snapToGrid w:val="0"/>
          <w:color w:val="000000"/>
          <w:spacing w:val="14"/>
          <w:kern w:val="0"/>
          <w:sz w:val="25"/>
          <w:szCs w:val="25"/>
          <w:lang w:eastAsia="en-US"/>
        </w:rPr>
        <w:t>）</w:t>
      </w:r>
    </w:p>
    <w:p w14:paraId="3BFFDDAD">
      <w:pPr>
        <w:spacing w:before="114" w:line="225" w:lineRule="auto"/>
        <w:ind w:left="122"/>
        <w:rPr>
          <w:rStyle w:val="48"/>
          <w:rFonts w:ascii="黑体" w:hAnsi="黑体" w:eastAsia="黑体" w:cs="黑体"/>
          <w:sz w:val="32"/>
          <w:szCs w:val="32"/>
        </w:rPr>
      </w:pPr>
    </w:p>
    <w:p w14:paraId="6E06A445">
      <w:pPr>
        <w:spacing w:before="114" w:line="225" w:lineRule="auto"/>
        <w:ind w:left="122"/>
        <w:rPr>
          <w:rStyle w:val="48"/>
          <w:rFonts w:ascii="黑体" w:hAnsi="黑体" w:eastAsia="黑体" w:cs="黑体"/>
          <w:sz w:val="32"/>
          <w:szCs w:val="32"/>
        </w:rPr>
      </w:pPr>
    </w:p>
    <w:p w14:paraId="13A20831">
      <w:pPr>
        <w:spacing w:before="114" w:line="225" w:lineRule="auto"/>
        <w:ind w:left="122"/>
        <w:rPr>
          <w:rStyle w:val="48"/>
          <w:rFonts w:ascii="黑体" w:hAnsi="黑体" w:eastAsia="黑体" w:cs="黑体"/>
          <w:sz w:val="32"/>
          <w:szCs w:val="32"/>
        </w:rPr>
      </w:pPr>
    </w:p>
    <w:p w14:paraId="0CC39744">
      <w:pPr>
        <w:spacing w:before="114" w:line="225" w:lineRule="auto"/>
        <w:ind w:left="122"/>
        <w:rPr>
          <w:rStyle w:val="48"/>
          <w:rFonts w:ascii="黑体" w:hAnsi="黑体" w:eastAsia="黑体" w:cs="黑体"/>
          <w:sz w:val="32"/>
          <w:szCs w:val="32"/>
        </w:rPr>
      </w:pPr>
    </w:p>
    <w:p w14:paraId="4AF4302E">
      <w:pPr>
        <w:spacing w:before="114" w:line="225" w:lineRule="auto"/>
        <w:ind w:left="122"/>
        <w:rPr>
          <w:rStyle w:val="48"/>
          <w:rFonts w:ascii="黑体" w:hAnsi="黑体" w:eastAsia="黑体" w:cs="黑体"/>
          <w:sz w:val="32"/>
          <w:szCs w:val="32"/>
        </w:rPr>
      </w:pPr>
    </w:p>
    <w:p w14:paraId="606846D4">
      <w:pPr>
        <w:spacing w:before="114" w:line="225" w:lineRule="auto"/>
        <w:ind w:left="122"/>
        <w:rPr>
          <w:rStyle w:val="48"/>
          <w:rFonts w:ascii="黑体" w:hAnsi="黑体" w:eastAsia="黑体" w:cs="黑体"/>
          <w:sz w:val="32"/>
          <w:szCs w:val="32"/>
        </w:rPr>
      </w:pPr>
    </w:p>
    <w:p w14:paraId="30B8B74C">
      <w:pPr>
        <w:spacing w:before="114" w:line="225" w:lineRule="auto"/>
        <w:ind w:left="122"/>
        <w:rPr>
          <w:rStyle w:val="48"/>
          <w:rFonts w:ascii="黑体" w:hAnsi="黑体" w:eastAsia="黑体" w:cs="黑体"/>
          <w:sz w:val="32"/>
          <w:szCs w:val="32"/>
        </w:rPr>
      </w:pPr>
    </w:p>
    <w:p w14:paraId="26ECD2D9">
      <w:pPr>
        <w:spacing w:before="114" w:line="225" w:lineRule="auto"/>
        <w:ind w:left="122"/>
        <w:rPr>
          <w:rStyle w:val="48"/>
          <w:rFonts w:ascii="黑体" w:hAnsi="黑体" w:eastAsia="黑体" w:cs="黑体"/>
          <w:sz w:val="32"/>
          <w:szCs w:val="32"/>
        </w:rPr>
      </w:pPr>
    </w:p>
    <w:p w14:paraId="502E5CBB">
      <w:pPr>
        <w:spacing w:before="114" w:line="225" w:lineRule="auto"/>
        <w:ind w:left="122"/>
        <w:rPr>
          <w:rStyle w:val="48"/>
          <w:rFonts w:ascii="黑体" w:hAnsi="黑体" w:eastAsia="黑体" w:cs="黑体"/>
          <w:sz w:val="32"/>
          <w:szCs w:val="32"/>
        </w:rPr>
      </w:pPr>
    </w:p>
    <w:p w14:paraId="36E7A64D">
      <w:pPr>
        <w:spacing w:before="114" w:line="225" w:lineRule="auto"/>
        <w:ind w:left="122"/>
        <w:rPr>
          <w:rStyle w:val="48"/>
          <w:rFonts w:ascii="黑体" w:hAnsi="黑体" w:eastAsia="黑体" w:cs="黑体"/>
          <w:sz w:val="32"/>
          <w:szCs w:val="32"/>
        </w:rPr>
      </w:pPr>
    </w:p>
    <w:p w14:paraId="497F0380">
      <w:pPr>
        <w:spacing w:before="114" w:line="225" w:lineRule="auto"/>
        <w:ind w:left="122"/>
        <w:rPr>
          <w:rStyle w:val="48"/>
          <w:rFonts w:ascii="黑体" w:hAnsi="黑体" w:eastAsia="黑体" w:cs="黑体"/>
          <w:sz w:val="32"/>
          <w:szCs w:val="32"/>
        </w:rPr>
      </w:pPr>
    </w:p>
    <w:p w14:paraId="593DF62B">
      <w:pPr>
        <w:spacing w:before="114" w:line="225" w:lineRule="auto"/>
        <w:ind w:left="122"/>
        <w:rPr>
          <w:rStyle w:val="48"/>
          <w:rFonts w:ascii="黑体" w:hAnsi="黑体" w:eastAsia="黑体" w:cs="黑体"/>
          <w:sz w:val="32"/>
          <w:szCs w:val="32"/>
        </w:rPr>
      </w:pPr>
    </w:p>
    <w:p w14:paraId="6AC16FA0">
      <w:pPr>
        <w:spacing w:before="114" w:line="225" w:lineRule="auto"/>
        <w:ind w:left="122"/>
        <w:rPr>
          <w:rStyle w:val="48"/>
          <w:rFonts w:ascii="黑体" w:hAnsi="黑体" w:eastAsia="黑体" w:cs="黑体"/>
          <w:sz w:val="32"/>
          <w:szCs w:val="32"/>
        </w:rPr>
      </w:pPr>
    </w:p>
    <w:p w14:paraId="4BD9CF2B">
      <w:pPr>
        <w:spacing w:before="114" w:line="225" w:lineRule="auto"/>
        <w:ind w:left="122"/>
        <w:rPr>
          <w:rStyle w:val="48"/>
          <w:rFonts w:ascii="黑体" w:hAnsi="黑体" w:eastAsia="黑体" w:cs="黑体"/>
          <w:sz w:val="32"/>
          <w:szCs w:val="32"/>
        </w:rPr>
      </w:pPr>
    </w:p>
    <w:p w14:paraId="4EA879DA">
      <w:pPr>
        <w:spacing w:before="114" w:line="225" w:lineRule="auto"/>
        <w:ind w:left="122"/>
        <w:rPr>
          <w:rStyle w:val="48"/>
          <w:rFonts w:ascii="黑体" w:hAnsi="黑体" w:eastAsia="黑体" w:cs="黑体"/>
          <w:sz w:val="32"/>
          <w:szCs w:val="32"/>
        </w:rPr>
      </w:pPr>
    </w:p>
    <w:p w14:paraId="377B416D">
      <w:pPr>
        <w:spacing w:before="114" w:line="225" w:lineRule="auto"/>
        <w:ind w:left="122"/>
        <w:rPr>
          <w:rStyle w:val="48"/>
          <w:rFonts w:ascii="黑体" w:hAnsi="黑体" w:eastAsia="黑体" w:cs="黑体"/>
          <w:sz w:val="32"/>
          <w:szCs w:val="32"/>
        </w:rPr>
      </w:pPr>
    </w:p>
    <w:p w14:paraId="462E0EF6">
      <w:pPr>
        <w:spacing w:before="114" w:line="225" w:lineRule="auto"/>
        <w:ind w:left="122"/>
        <w:rPr>
          <w:rStyle w:val="48"/>
          <w:rFonts w:ascii="黑体" w:hAnsi="黑体" w:eastAsia="黑体" w:cs="黑体"/>
          <w:sz w:val="32"/>
          <w:szCs w:val="32"/>
        </w:rPr>
      </w:pPr>
    </w:p>
    <w:p w14:paraId="49E3C263">
      <w:pPr>
        <w:spacing w:before="114" w:line="225" w:lineRule="auto"/>
        <w:ind w:left="122"/>
        <w:rPr>
          <w:rStyle w:val="48"/>
          <w:rFonts w:ascii="黑体" w:hAnsi="黑体" w:eastAsia="黑体" w:cs="黑体"/>
          <w:sz w:val="32"/>
          <w:szCs w:val="32"/>
        </w:rPr>
      </w:pPr>
    </w:p>
    <w:p w14:paraId="2ABDB51A">
      <w:pPr>
        <w:spacing w:before="114" w:line="225" w:lineRule="auto"/>
        <w:ind w:left="122"/>
        <w:rPr>
          <w:rStyle w:val="48"/>
          <w:rFonts w:ascii="黑体" w:hAnsi="黑体" w:eastAsia="黑体" w:cs="黑体"/>
          <w:sz w:val="32"/>
          <w:szCs w:val="32"/>
        </w:rPr>
      </w:pPr>
    </w:p>
    <w:p w14:paraId="5C9C1D67">
      <w:pPr>
        <w:spacing w:before="114" w:line="225" w:lineRule="auto"/>
        <w:ind w:left="122"/>
        <w:rPr>
          <w:rStyle w:val="48"/>
          <w:rFonts w:ascii="黑体" w:hAnsi="黑体" w:eastAsia="黑体" w:cs="黑体"/>
          <w:sz w:val="32"/>
          <w:szCs w:val="32"/>
        </w:rPr>
      </w:pPr>
    </w:p>
    <w:p w14:paraId="2BA9C408">
      <w:pPr>
        <w:spacing w:before="114" w:line="225" w:lineRule="auto"/>
        <w:ind w:left="122"/>
        <w:rPr>
          <w:rStyle w:val="48"/>
          <w:rFonts w:ascii="黑体" w:hAnsi="黑体" w:eastAsia="黑体" w:cs="黑体"/>
          <w:sz w:val="32"/>
          <w:szCs w:val="32"/>
        </w:rPr>
      </w:pPr>
    </w:p>
    <w:p w14:paraId="1561E838">
      <w:pPr>
        <w:spacing w:before="114" w:line="225" w:lineRule="auto"/>
        <w:ind w:left="122"/>
        <w:rPr>
          <w:rStyle w:val="48"/>
          <w:rFonts w:ascii="黑体" w:hAnsi="黑体" w:eastAsia="黑体" w:cs="黑体"/>
          <w:sz w:val="32"/>
          <w:szCs w:val="32"/>
        </w:rPr>
      </w:pPr>
    </w:p>
    <w:p w14:paraId="1B06F453">
      <w:pPr>
        <w:spacing w:before="114" w:line="225" w:lineRule="auto"/>
        <w:rPr>
          <w:rStyle w:val="48"/>
          <w:rFonts w:ascii="黑体" w:hAnsi="黑体" w:eastAsia="黑体" w:cs="黑体"/>
          <w:sz w:val="32"/>
          <w:szCs w:val="32"/>
        </w:rPr>
      </w:pPr>
    </w:p>
    <w:p w14:paraId="0DD9E624">
      <w:pPr>
        <w:spacing w:before="114" w:line="225" w:lineRule="auto"/>
        <w:ind w:left="122"/>
        <w:rPr>
          <w:rStyle w:val="48"/>
          <w:rFonts w:ascii="黑体" w:hAnsi="黑体" w:eastAsia="黑体" w:cs="黑体"/>
          <w:sz w:val="32"/>
          <w:szCs w:val="32"/>
        </w:rPr>
      </w:pPr>
    </w:p>
    <w:p w14:paraId="1AF81E56">
      <w:pPr>
        <w:spacing w:before="114" w:line="225" w:lineRule="auto"/>
        <w:ind w:left="122"/>
        <w:rPr>
          <w:rStyle w:val="48"/>
          <w:rFonts w:ascii="黑体" w:hAnsi="黑体" w:eastAsia="黑体" w:cs="黑体"/>
          <w:sz w:val="32"/>
          <w:szCs w:val="32"/>
        </w:rPr>
      </w:pPr>
    </w:p>
    <w:p w14:paraId="25DE36F4">
      <w:pPr>
        <w:spacing w:before="114" w:line="225" w:lineRule="auto"/>
        <w:ind w:left="122"/>
        <w:rPr>
          <w:rFonts w:ascii="宋体" w:hAnsi="宋体"/>
          <w:b/>
          <w:bCs/>
          <w:sz w:val="52"/>
          <w:szCs w:val="52"/>
        </w:rPr>
      </w:pPr>
      <w:r>
        <w:rPr>
          <w:rFonts w:ascii="宋体" w:hAnsi="宋体"/>
          <w:b/>
          <w:bCs/>
          <w:spacing w:val="9"/>
          <w:sz w:val="52"/>
          <w:szCs w:val="52"/>
        </w:rPr>
        <w:t>第</w:t>
      </w:r>
      <w:r>
        <w:rPr>
          <w:rFonts w:hint="eastAsia" w:ascii="宋体" w:hAnsi="宋体"/>
          <w:b/>
          <w:bCs/>
          <w:spacing w:val="7"/>
          <w:sz w:val="52"/>
          <w:szCs w:val="52"/>
        </w:rPr>
        <w:t>六</w:t>
      </w:r>
      <w:r>
        <w:rPr>
          <w:rFonts w:ascii="宋体" w:hAnsi="宋体"/>
          <w:b/>
          <w:bCs/>
          <w:spacing w:val="7"/>
          <w:sz w:val="52"/>
          <w:szCs w:val="52"/>
        </w:rPr>
        <w:t>部分</w:t>
      </w:r>
    </w:p>
    <w:p w14:paraId="2F220FFE">
      <w:pPr>
        <w:spacing w:before="113" w:line="224" w:lineRule="auto"/>
        <w:ind w:right="420"/>
        <w:jc w:val="right"/>
        <w:rPr>
          <w:rFonts w:ascii="宋体" w:hAnsi="宋体"/>
          <w:b/>
          <w:bCs/>
          <w:sz w:val="52"/>
          <w:szCs w:val="52"/>
        </w:rPr>
      </w:pPr>
      <w:r>
        <w:rPr>
          <w:b/>
          <w:bCs/>
          <w:sz w:val="52"/>
        </w:rPr>
        <mc:AlternateContent>
          <mc:Choice Requires="wps">
            <w:drawing>
              <wp:anchor distT="0" distB="0" distL="114300" distR="114300" simplePos="0" relativeHeight="251669504" behindDoc="0" locked="0" layoutInCell="1" allowOverlap="1">
                <wp:simplePos x="0" y="0"/>
                <wp:positionH relativeFrom="column">
                  <wp:posOffset>104775</wp:posOffset>
                </wp:positionH>
                <wp:positionV relativeFrom="paragraph">
                  <wp:posOffset>213995</wp:posOffset>
                </wp:positionV>
                <wp:extent cx="5715000"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5pt;margin-top:16.85pt;height:0.05pt;width:450pt;z-index:251669504;mso-width-relative:page;mso-height-relative:page;" filled="f" stroked="t" coordsize="21600,21600" o:gfxdata="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xDnP0wAAAAgBAAAPAAAAAAAAAAEAIAAAACIAAABkcnMvZG93bnJldi54bWxQSwECFAAUAAAACACH&#10;TuJAs9jE4PABAADdAwAADgAAAAAAAAABACAAAAAiAQAAZHJzL2Uyb0RvYy54bWxQSwUGAAAAAAYA&#10;BgBZAQAAhAUAAAAA&#10;">
                <v:fill on="f" focussize="0,0"/>
                <v:stroke weight="1.5pt" color="#000000" joinstyle="round"/>
                <v:imagedata o:title=""/>
                <o:lock v:ext="edit" aspectratio="f"/>
              </v:line>
            </w:pict>
          </mc:Fallback>
        </mc:AlternateContent>
      </w:r>
    </w:p>
    <w:p w14:paraId="720EF50A">
      <w:pPr>
        <w:spacing w:before="113" w:line="224" w:lineRule="auto"/>
        <w:ind w:right="420"/>
        <w:jc w:val="right"/>
        <w:rPr>
          <w:rFonts w:ascii="宋体" w:hAnsi="宋体"/>
          <w:b/>
          <w:bCs/>
          <w:sz w:val="35"/>
          <w:szCs w:val="35"/>
        </w:rPr>
      </w:pPr>
      <w:r>
        <w:rPr>
          <w:rFonts w:hint="eastAsia" w:ascii="宋体" w:hAnsi="宋体"/>
          <w:b/>
          <w:bCs/>
          <w:spacing w:val="7"/>
          <w:sz w:val="52"/>
          <w:szCs w:val="52"/>
        </w:rPr>
        <w:t>响应文件格式</w:t>
      </w:r>
    </w:p>
    <w:p w14:paraId="7160C23F">
      <w:pPr>
        <w:rPr>
          <w:rStyle w:val="48"/>
          <w:rFonts w:ascii="黑体" w:hAnsi="黑体" w:eastAsia="黑体" w:cs="黑体"/>
          <w:sz w:val="32"/>
          <w:szCs w:val="32"/>
        </w:rPr>
      </w:pPr>
      <w:r>
        <w:rPr>
          <w:rStyle w:val="48"/>
          <w:rFonts w:hint="eastAsia" w:ascii="黑体" w:hAnsi="黑体" w:eastAsia="黑体" w:cs="黑体"/>
          <w:sz w:val="32"/>
          <w:szCs w:val="32"/>
        </w:rPr>
        <w:br w:type="page"/>
      </w:r>
    </w:p>
    <w:p w14:paraId="5DD703E2">
      <w:pPr>
        <w:wordWrap w:val="0"/>
        <w:topLinePunct/>
        <w:spacing w:line="500" w:lineRule="exact"/>
        <w:jc w:val="center"/>
        <w:outlineLvl w:val="0"/>
        <w:rPr>
          <w:rFonts w:ascii="宋体" w:hAnsi="宋体"/>
          <w:b/>
          <w:bCs/>
          <w:u w:val="single"/>
        </w:rPr>
      </w:pPr>
      <w:bookmarkStart w:id="74" w:name="_Toc27832"/>
      <w:r>
        <w:rPr>
          <w:rStyle w:val="48"/>
          <w:rFonts w:hint="eastAsia" w:ascii="黑体" w:hAnsi="黑体" w:eastAsia="黑体" w:cs="黑体"/>
          <w:sz w:val="32"/>
          <w:szCs w:val="32"/>
        </w:rPr>
        <w:t>第六部分 响应</w:t>
      </w:r>
      <w:r>
        <w:rPr>
          <w:rStyle w:val="48"/>
          <w:rFonts w:hint="eastAsia" w:ascii="黑体" w:hAnsi="黑体" w:eastAsia="黑体" w:cs="黑体"/>
          <w:sz w:val="32"/>
          <w:szCs w:val="32"/>
          <w:lang w:val="zh-CN"/>
        </w:rPr>
        <w:t>文件格式</w:t>
      </w:r>
      <w:bookmarkEnd w:id="73"/>
      <w:bookmarkEnd w:id="74"/>
    </w:p>
    <w:p w14:paraId="1814AD9A">
      <w:pPr>
        <w:rPr>
          <w:rFonts w:cs="Times New Roman"/>
        </w:rPr>
      </w:pPr>
    </w:p>
    <w:tbl>
      <w:tblPr>
        <w:tblStyle w:val="27"/>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038D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noWrap/>
          </w:tcPr>
          <w:p w14:paraId="29BEFD50">
            <w:pPr>
              <w:spacing w:before="120"/>
              <w:rPr>
                <w:rFonts w:ascii="宋体" w:hAnsi="宋体"/>
                <w:sz w:val="24"/>
              </w:rPr>
            </w:pPr>
            <w:r>
              <w:rPr>
                <w:rFonts w:hint="eastAsia" w:ascii="宋体" w:hAnsi="宋体"/>
                <w:sz w:val="24"/>
              </w:rPr>
              <w:t>注释：</w:t>
            </w:r>
          </w:p>
          <w:p w14:paraId="46DCA367">
            <w:pPr>
              <w:spacing w:before="120" w:line="420" w:lineRule="exact"/>
              <w:ind w:firstLine="480" w:firstLineChars="200"/>
              <w:jc w:val="left"/>
              <w:rPr>
                <w:rFonts w:ascii="宋体" w:hAnsi="宋体"/>
                <w:sz w:val="24"/>
              </w:rPr>
            </w:pPr>
            <w:r>
              <w:rPr>
                <w:rFonts w:hint="eastAsia" w:ascii="宋体" w:hAnsi="宋体"/>
                <w:sz w:val="24"/>
              </w:rPr>
              <w:t>1、本章分为四部分，是为方便供应商制作响应文件设计。第一、二部分应按要求或给定格式选择填报。</w:t>
            </w:r>
          </w:p>
          <w:p w14:paraId="145960B5">
            <w:pPr>
              <w:spacing w:before="120" w:line="420" w:lineRule="exact"/>
              <w:ind w:firstLine="480" w:firstLineChars="200"/>
              <w:jc w:val="left"/>
              <w:rPr>
                <w:rFonts w:ascii="仿宋" w:hAnsi="仿宋" w:eastAsia="仿宋" w:cs="Times New Roman"/>
                <w:sz w:val="24"/>
              </w:rPr>
            </w:pPr>
            <w:r>
              <w:rPr>
                <w:rFonts w:hint="eastAsia" w:ascii="宋体" w:hAnsi="宋体"/>
                <w:sz w:val="24"/>
              </w:rPr>
              <w:t>2、第三、四部分响应方案格式仅供参考，供应商应根据项目特点，结合本次采购要求，对有关表格进行补充或修改，但不得对实质性文件的相关条款作出变动。</w:t>
            </w:r>
          </w:p>
        </w:tc>
      </w:tr>
    </w:tbl>
    <w:p w14:paraId="3925A0CD">
      <w:pPr>
        <w:spacing w:line="360" w:lineRule="auto"/>
        <w:ind w:firstLine="482" w:firstLineChars="200"/>
        <w:rPr>
          <w:rFonts w:ascii="宋体" w:cs="Times New Roman"/>
          <w:b/>
          <w:bCs/>
          <w:sz w:val="24"/>
          <w:u w:val="single"/>
        </w:rPr>
      </w:pPr>
    </w:p>
    <w:p w14:paraId="401D884B">
      <w:pPr>
        <w:spacing w:line="360" w:lineRule="auto"/>
        <w:ind w:firstLine="482" w:firstLineChars="200"/>
        <w:rPr>
          <w:rFonts w:ascii="宋体" w:cs="Times New Roman"/>
          <w:b/>
          <w:bCs/>
          <w:sz w:val="24"/>
          <w:u w:val="single"/>
        </w:rPr>
      </w:pPr>
    </w:p>
    <w:p w14:paraId="2EB17322">
      <w:pPr>
        <w:spacing w:line="360" w:lineRule="auto"/>
        <w:ind w:firstLine="480" w:firstLineChars="200"/>
        <w:rPr>
          <w:rFonts w:ascii="??_GB2312" w:hAnsi="仿宋" w:eastAsia="Times New Roman" w:cs="Times New Roman"/>
          <w:b/>
          <w:bCs/>
          <w:sz w:val="24"/>
          <w:u w:val="single"/>
        </w:rPr>
      </w:pPr>
    </w:p>
    <w:p w14:paraId="31387994">
      <w:pPr>
        <w:spacing w:line="360" w:lineRule="auto"/>
        <w:ind w:firstLine="480" w:firstLineChars="200"/>
        <w:rPr>
          <w:rFonts w:ascii="??_GB2312" w:hAnsi="仿宋" w:eastAsia="Times New Roman" w:cs="Times New Roman"/>
          <w:b/>
          <w:bCs/>
          <w:sz w:val="24"/>
          <w:u w:val="single"/>
        </w:rPr>
      </w:pPr>
    </w:p>
    <w:p w14:paraId="67EA3623">
      <w:pPr>
        <w:spacing w:line="360" w:lineRule="auto"/>
        <w:ind w:firstLine="480" w:firstLineChars="200"/>
        <w:rPr>
          <w:rFonts w:ascii="??_GB2312" w:hAnsi="仿宋" w:eastAsia="Times New Roman" w:cs="Times New Roman"/>
          <w:b/>
          <w:bCs/>
          <w:sz w:val="24"/>
          <w:u w:val="single"/>
        </w:rPr>
      </w:pPr>
    </w:p>
    <w:p w14:paraId="30145E48">
      <w:pPr>
        <w:spacing w:line="360" w:lineRule="auto"/>
        <w:ind w:firstLine="480" w:firstLineChars="200"/>
        <w:rPr>
          <w:rFonts w:ascii="??_GB2312" w:hAnsi="仿宋" w:eastAsia="Times New Roman" w:cs="Times New Roman"/>
          <w:b/>
          <w:bCs/>
          <w:sz w:val="24"/>
          <w:u w:val="single"/>
        </w:rPr>
      </w:pPr>
    </w:p>
    <w:p w14:paraId="0C4902FF">
      <w:pPr>
        <w:spacing w:line="360" w:lineRule="auto"/>
        <w:ind w:firstLine="480" w:firstLineChars="200"/>
        <w:rPr>
          <w:rFonts w:ascii="??_GB2312" w:hAnsi="仿宋" w:eastAsia="Times New Roman" w:cs="Times New Roman"/>
          <w:b/>
          <w:bCs/>
          <w:sz w:val="24"/>
          <w:u w:val="single"/>
        </w:rPr>
      </w:pPr>
    </w:p>
    <w:p w14:paraId="44E59ED9">
      <w:pPr>
        <w:spacing w:line="360" w:lineRule="auto"/>
        <w:ind w:firstLine="480" w:firstLineChars="200"/>
        <w:rPr>
          <w:rFonts w:ascii="??_GB2312" w:hAnsi="仿宋" w:eastAsia="Times New Roman" w:cs="Times New Roman"/>
          <w:b/>
          <w:bCs/>
          <w:sz w:val="24"/>
          <w:u w:val="single"/>
        </w:rPr>
      </w:pPr>
    </w:p>
    <w:p w14:paraId="6F431D36">
      <w:pPr>
        <w:spacing w:line="360" w:lineRule="auto"/>
        <w:ind w:firstLine="480" w:firstLineChars="200"/>
        <w:rPr>
          <w:rFonts w:ascii="??_GB2312" w:hAnsi="仿宋" w:eastAsia="Times New Roman" w:cs="Times New Roman"/>
          <w:b/>
          <w:bCs/>
          <w:sz w:val="24"/>
          <w:u w:val="single"/>
        </w:rPr>
      </w:pPr>
    </w:p>
    <w:p w14:paraId="246235E3">
      <w:pPr>
        <w:spacing w:line="360" w:lineRule="auto"/>
        <w:ind w:firstLine="480" w:firstLineChars="200"/>
        <w:rPr>
          <w:rFonts w:ascii="??_GB2312" w:hAnsi="仿宋" w:eastAsia="Times New Roman" w:cs="Times New Roman"/>
          <w:b/>
          <w:bCs/>
          <w:sz w:val="24"/>
          <w:u w:val="single"/>
        </w:rPr>
      </w:pPr>
    </w:p>
    <w:p w14:paraId="3D0B8A5F">
      <w:pPr>
        <w:pStyle w:val="10"/>
        <w:rPr>
          <w:rFonts w:ascii="??_GB2312" w:hAnsi="仿宋" w:eastAsia="Times New Roman"/>
          <w:b/>
          <w:bCs/>
          <w:sz w:val="24"/>
          <w:u w:val="single"/>
        </w:rPr>
      </w:pPr>
    </w:p>
    <w:p w14:paraId="7C5D407F">
      <w:pPr>
        <w:rPr>
          <w:rFonts w:ascii="??_GB2312" w:hAnsi="仿宋" w:eastAsia="Times New Roman" w:cs="Times New Roman"/>
          <w:b/>
          <w:bCs/>
          <w:sz w:val="24"/>
          <w:u w:val="single"/>
        </w:rPr>
      </w:pPr>
    </w:p>
    <w:p w14:paraId="1D0D1150">
      <w:pPr>
        <w:pStyle w:val="10"/>
      </w:pPr>
    </w:p>
    <w:p w14:paraId="5EB41861">
      <w:pPr>
        <w:rPr>
          <w:rFonts w:ascii="黑体" w:hAnsi="黑体" w:eastAsia="黑体" w:cs="黑体"/>
          <w:b/>
          <w:bCs/>
          <w:sz w:val="32"/>
          <w:szCs w:val="32"/>
        </w:rPr>
      </w:pPr>
      <w:r>
        <w:rPr>
          <w:rFonts w:hint="eastAsia" w:ascii="黑体" w:hAnsi="黑体" w:eastAsia="黑体" w:cs="黑体"/>
          <w:b/>
          <w:bCs/>
          <w:sz w:val="32"/>
          <w:szCs w:val="32"/>
        </w:rPr>
        <w:br w:type="page"/>
      </w:r>
    </w:p>
    <w:p w14:paraId="0423DFC6">
      <w:pPr>
        <w:pStyle w:val="52"/>
        <w:ind w:firstLine="0" w:firstLineChars="0"/>
        <w:rPr>
          <w:rFonts w:ascii="黑体" w:hAnsi="黑体" w:eastAsia="黑体" w:cs="Times New Roman"/>
        </w:rPr>
      </w:pPr>
      <w:r>
        <w:rPr>
          <w:rFonts w:hint="eastAsia" w:ascii="黑体" w:hAnsi="黑体" w:eastAsia="黑体" w:cs="黑体"/>
        </w:rPr>
        <w:t>封面格式</w:t>
      </w:r>
    </w:p>
    <w:p w14:paraId="15A29718">
      <w:pPr>
        <w:spacing w:line="360" w:lineRule="auto"/>
        <w:rPr>
          <w:rFonts w:ascii="宋体" w:cs="Times New Roman"/>
          <w:sz w:val="32"/>
          <w:szCs w:val="32"/>
        </w:rPr>
      </w:pPr>
      <w:r>
        <w:rPr>
          <w:rFonts w:hint="eastAsia" w:ascii="黑体" w:hAnsi="黑体" w:eastAsia="黑体" w:cs="黑体"/>
          <w:b/>
          <w:bCs/>
          <w:sz w:val="28"/>
          <w:szCs w:val="28"/>
        </w:rPr>
        <w:t>项目编号：</w:t>
      </w:r>
      <w:r>
        <w:rPr>
          <w:rFonts w:ascii="黑体" w:hAnsi="黑体" w:eastAsia="黑体" w:cs="黑体"/>
          <w:b/>
          <w:bCs/>
          <w:sz w:val="28"/>
          <w:szCs w:val="28"/>
        </w:rPr>
        <w:t xml:space="preserve"> </w:t>
      </w:r>
      <w:r>
        <w:rPr>
          <w:rFonts w:ascii="宋体" w:hAnsi="宋体"/>
          <w:sz w:val="32"/>
          <w:szCs w:val="32"/>
        </w:rPr>
        <w:t xml:space="preserve">             </w:t>
      </w:r>
      <w:r>
        <w:rPr>
          <w:rFonts w:ascii="宋体" w:hAnsi="宋体"/>
          <w:kern w:val="0"/>
          <w:sz w:val="30"/>
          <w:szCs w:val="30"/>
        </w:rPr>
        <w:t xml:space="preserve">                        </w:t>
      </w:r>
    </w:p>
    <w:p w14:paraId="1C9E9C4E">
      <w:pPr>
        <w:spacing w:line="360" w:lineRule="atLeast"/>
        <w:rPr>
          <w:rFonts w:ascii="宋体" w:cs="Times New Roman"/>
          <w:b/>
          <w:bCs/>
          <w:sz w:val="28"/>
          <w:szCs w:val="28"/>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b/>
          <w:bCs/>
          <w:sz w:val="28"/>
          <w:szCs w:val="28"/>
        </w:rPr>
        <w:t>（正本或副本）</w:t>
      </w:r>
    </w:p>
    <w:p w14:paraId="6C95F522">
      <w:pPr>
        <w:spacing w:line="360" w:lineRule="atLeast"/>
        <w:rPr>
          <w:rFonts w:ascii="宋体" w:cs="Times New Roman"/>
        </w:rPr>
      </w:pPr>
    </w:p>
    <w:p w14:paraId="4736E991">
      <w:pPr>
        <w:spacing w:line="360" w:lineRule="atLeast"/>
        <w:rPr>
          <w:rFonts w:ascii="宋体" w:cs="Times New Roman"/>
        </w:rPr>
      </w:pPr>
    </w:p>
    <w:p w14:paraId="6AE5D5D3">
      <w:pPr>
        <w:jc w:val="center"/>
        <w:rPr>
          <w:rFonts w:ascii="宋体" w:cs="Times New Roman"/>
          <w:sz w:val="44"/>
          <w:szCs w:val="44"/>
        </w:rPr>
      </w:pPr>
    </w:p>
    <w:p w14:paraId="6C0956F5">
      <w:pPr>
        <w:jc w:val="center"/>
        <w:rPr>
          <w:rFonts w:ascii="宋体" w:cs="Times New Roman"/>
          <w:sz w:val="44"/>
          <w:szCs w:val="44"/>
        </w:rPr>
      </w:pPr>
    </w:p>
    <w:p w14:paraId="7DD74A88">
      <w:pPr>
        <w:jc w:val="center"/>
        <w:rPr>
          <w:rFonts w:ascii="黑体" w:hAnsi="黑体" w:eastAsia="黑体" w:cs="Times New Roman"/>
          <w:b/>
          <w:bCs/>
          <w:sz w:val="52"/>
          <w:szCs w:val="52"/>
        </w:rPr>
      </w:pPr>
      <w:r>
        <w:rPr>
          <w:rFonts w:hint="eastAsia" w:ascii="黑体" w:hAnsi="黑体" w:eastAsia="黑体" w:cs="黑体"/>
          <w:b/>
          <w:bCs/>
          <w:sz w:val="52"/>
          <w:szCs w:val="52"/>
          <w:u w:val="single"/>
        </w:rPr>
        <w:t xml:space="preserve">              </w:t>
      </w:r>
      <w:r>
        <w:rPr>
          <w:rFonts w:hint="eastAsia" w:ascii="黑体" w:hAnsi="黑体" w:eastAsia="黑体" w:cs="黑体"/>
          <w:b/>
          <w:bCs/>
          <w:sz w:val="52"/>
          <w:szCs w:val="52"/>
        </w:rPr>
        <w:t>项目</w:t>
      </w:r>
    </w:p>
    <w:p w14:paraId="685D65DF">
      <w:pPr>
        <w:pStyle w:val="10"/>
        <w:jc w:val="center"/>
        <w:rPr>
          <w:rFonts w:ascii="宋体"/>
          <w:sz w:val="72"/>
          <w:szCs w:val="72"/>
        </w:rPr>
      </w:pPr>
    </w:p>
    <w:p w14:paraId="5A067EE5">
      <w:pPr>
        <w:jc w:val="center"/>
      </w:pPr>
    </w:p>
    <w:p w14:paraId="4AB90BD7">
      <w:pPr>
        <w:spacing w:line="360" w:lineRule="atLeast"/>
        <w:jc w:val="center"/>
        <w:rPr>
          <w:rFonts w:ascii="黑体" w:hAnsi="黑体" w:eastAsia="黑体" w:cs="Times New Roman"/>
          <w:b/>
          <w:bCs/>
          <w:sz w:val="72"/>
          <w:szCs w:val="72"/>
        </w:rPr>
      </w:pPr>
      <w:r>
        <w:rPr>
          <w:rFonts w:hint="eastAsia" w:ascii="黑体" w:hAnsi="黑体" w:eastAsia="黑体" w:cs="黑体"/>
          <w:b/>
          <w:bCs/>
          <w:sz w:val="72"/>
          <w:szCs w:val="72"/>
        </w:rPr>
        <w:t>响应文件</w:t>
      </w:r>
    </w:p>
    <w:p w14:paraId="6A284A90">
      <w:pPr>
        <w:spacing w:line="360" w:lineRule="atLeast"/>
        <w:jc w:val="center"/>
        <w:rPr>
          <w:rFonts w:ascii="宋体" w:cs="Times New Roman"/>
          <w:sz w:val="52"/>
          <w:szCs w:val="52"/>
        </w:rPr>
      </w:pPr>
    </w:p>
    <w:p w14:paraId="0E1D65DB">
      <w:pPr>
        <w:spacing w:line="360" w:lineRule="atLeast"/>
        <w:jc w:val="center"/>
        <w:rPr>
          <w:rFonts w:ascii="宋体" w:cs="Times New Roman"/>
          <w:sz w:val="52"/>
          <w:szCs w:val="52"/>
        </w:rPr>
      </w:pPr>
    </w:p>
    <w:p w14:paraId="0DC4211B">
      <w:pPr>
        <w:spacing w:line="360" w:lineRule="atLeast"/>
        <w:jc w:val="center"/>
        <w:rPr>
          <w:rFonts w:ascii="宋体" w:cs="Times New Roman"/>
          <w:sz w:val="52"/>
          <w:szCs w:val="52"/>
        </w:rPr>
      </w:pPr>
    </w:p>
    <w:p w14:paraId="5E1E7472">
      <w:pPr>
        <w:pStyle w:val="10"/>
        <w:jc w:val="center"/>
        <w:rPr>
          <w:rFonts w:ascii="宋体"/>
          <w:sz w:val="52"/>
          <w:szCs w:val="52"/>
        </w:rPr>
      </w:pPr>
    </w:p>
    <w:p w14:paraId="61B25FC6">
      <w:pPr>
        <w:pStyle w:val="10"/>
        <w:jc w:val="center"/>
      </w:pPr>
    </w:p>
    <w:p w14:paraId="639DF2AE">
      <w:pPr>
        <w:spacing w:line="360" w:lineRule="atLeast"/>
        <w:jc w:val="center"/>
        <w:rPr>
          <w:rFonts w:ascii="宋体" w:cs="Times New Roman"/>
          <w:sz w:val="24"/>
        </w:rPr>
      </w:pPr>
    </w:p>
    <w:p w14:paraId="6B4878BF">
      <w:pPr>
        <w:pStyle w:val="10"/>
        <w:jc w:val="center"/>
        <w:rPr>
          <w:rFonts w:ascii="宋体"/>
          <w:sz w:val="24"/>
        </w:rPr>
      </w:pPr>
    </w:p>
    <w:p w14:paraId="36FCF6B3">
      <w:pPr>
        <w:spacing w:line="360" w:lineRule="atLeast"/>
        <w:jc w:val="center"/>
        <w:rPr>
          <w:rFonts w:ascii="宋体" w:cs="Times New Roman"/>
          <w:sz w:val="24"/>
        </w:rPr>
      </w:pPr>
    </w:p>
    <w:p w14:paraId="5A22253F">
      <w:pPr>
        <w:spacing w:line="360" w:lineRule="atLeast"/>
        <w:jc w:val="center"/>
        <w:rPr>
          <w:rFonts w:ascii="黑体" w:hAnsi="黑体" w:eastAsia="黑体" w:cs="黑体"/>
          <w:sz w:val="28"/>
          <w:szCs w:val="28"/>
        </w:rPr>
      </w:pPr>
      <w:r>
        <w:rPr>
          <w:rFonts w:hint="eastAsia" w:ascii="黑体" w:hAnsi="黑体" w:eastAsia="黑体" w:cs="黑体"/>
          <w:sz w:val="28"/>
          <w:szCs w:val="28"/>
        </w:rPr>
        <w:t>供应商：</w:t>
      </w:r>
      <w:r>
        <w:rPr>
          <w:rFonts w:hint="eastAsia" w:ascii="黑体" w:hAnsi="黑体" w:eastAsia="黑体" w:cs="黑体"/>
          <w:sz w:val="28"/>
          <w:szCs w:val="28"/>
          <w:u w:val="single"/>
        </w:rPr>
        <w:t xml:space="preserve">              </w:t>
      </w:r>
      <w:r>
        <w:rPr>
          <w:rFonts w:hint="eastAsia" w:ascii="黑体" w:hAnsi="黑体" w:eastAsia="黑体" w:cs="黑体"/>
          <w:sz w:val="28"/>
          <w:szCs w:val="28"/>
        </w:rPr>
        <w:t>（公章）</w:t>
      </w:r>
    </w:p>
    <w:p w14:paraId="011913F7">
      <w:pPr>
        <w:spacing w:line="360" w:lineRule="atLeast"/>
        <w:ind w:firstLine="2800" w:firstLineChars="1000"/>
        <w:rPr>
          <w:rFonts w:ascii="黑体" w:hAnsi="黑体" w:eastAsia="黑体" w:cs="黑体"/>
          <w:b/>
          <w:bCs/>
          <w:sz w:val="32"/>
          <w:szCs w:val="32"/>
        </w:rPr>
      </w:pPr>
      <w:r>
        <w:rPr>
          <w:rFonts w:hint="eastAsia" w:ascii="黑体" w:hAnsi="黑体" w:eastAsia="黑体" w:cs="黑体"/>
          <w:sz w:val="28"/>
          <w:szCs w:val="28"/>
        </w:rPr>
        <w:t>时  间：</w:t>
      </w:r>
      <w:r>
        <w:rPr>
          <w:rFonts w:hint="eastAsia" w:ascii="黑体" w:hAnsi="黑体" w:eastAsia="黑体" w:cs="黑体"/>
          <w:sz w:val="28"/>
          <w:szCs w:val="28"/>
          <w:u w:val="single"/>
        </w:rPr>
        <w:t xml:space="preserve">              </w:t>
      </w:r>
      <w:r>
        <w:rPr>
          <w:rFonts w:hint="eastAsia" w:ascii="黑体" w:hAnsi="黑体" w:eastAsia="黑体" w:cs="黑体"/>
          <w:b/>
          <w:bCs/>
          <w:sz w:val="32"/>
          <w:szCs w:val="32"/>
        </w:rPr>
        <w:br w:type="page"/>
      </w:r>
    </w:p>
    <w:p w14:paraId="27E981F1">
      <w:pPr>
        <w:tabs>
          <w:tab w:val="right" w:leader="hyphen" w:pos="8504"/>
        </w:tabs>
        <w:spacing w:line="500" w:lineRule="exact"/>
        <w:ind w:left="2220" w:leftChars="200" w:right="630" w:rightChars="300" w:hanging="1800" w:hangingChars="500"/>
        <w:jc w:val="center"/>
        <w:rPr>
          <w:rFonts w:ascii="黑体" w:hAnsi="黑体" w:eastAsia="黑体" w:cs="黑体"/>
          <w:sz w:val="36"/>
          <w:szCs w:val="36"/>
        </w:rPr>
      </w:pPr>
      <w:r>
        <w:rPr>
          <w:rFonts w:hint="eastAsia" w:ascii="黑体" w:hAnsi="黑体" w:eastAsia="黑体" w:cs="黑体"/>
          <w:sz w:val="36"/>
          <w:szCs w:val="36"/>
        </w:rPr>
        <w:t>目  录</w:t>
      </w:r>
    </w:p>
    <w:p w14:paraId="294C9D0F">
      <w:pPr>
        <w:tabs>
          <w:tab w:val="right" w:leader="hyphen" w:pos="8504"/>
        </w:tabs>
        <w:spacing w:line="480" w:lineRule="exact"/>
        <w:ind w:left="1470" w:leftChars="200" w:right="630" w:rightChars="300" w:hanging="1050" w:hangingChars="500"/>
        <w:rPr>
          <w:rFonts w:ascii="黑体" w:hAnsi="黑体" w:eastAsia="黑体" w:cs="黑体"/>
        </w:rPr>
      </w:pPr>
      <w:r>
        <w:rPr>
          <w:rFonts w:hint="eastAsia" w:ascii="黑体" w:hAnsi="黑体" w:eastAsia="黑体" w:cs="黑体"/>
        </w:rPr>
        <w:t>一、资格证明文件</w:t>
      </w:r>
      <w:r>
        <w:rPr>
          <w:rFonts w:ascii="黑体" w:hAnsi="黑体" w:eastAsia="黑体" w:cs="Times New Roman"/>
        </w:rPr>
        <w:tab/>
      </w:r>
      <w:r>
        <w:rPr>
          <w:rFonts w:ascii="黑体" w:hAnsi="黑体" w:eastAsia="黑体" w:cs="黑体"/>
        </w:rPr>
        <w:t>X</w:t>
      </w:r>
    </w:p>
    <w:p w14:paraId="3546D560">
      <w:pPr>
        <w:tabs>
          <w:tab w:val="right" w:leader="hyphen" w:pos="8504"/>
        </w:tabs>
        <w:spacing w:line="480" w:lineRule="exact"/>
        <w:ind w:left="1470" w:leftChars="200" w:right="630" w:rightChars="300" w:hanging="1050" w:hangingChars="500"/>
        <w:rPr>
          <w:rFonts w:ascii="华文仿宋" w:cs="Times New Roman"/>
        </w:rPr>
      </w:pPr>
      <w:r>
        <w:rPr>
          <w:rFonts w:hint="eastAsia" w:ascii="黑体" w:hAnsi="黑体" w:eastAsia="黑体" w:cs="黑体"/>
        </w:rPr>
        <w:t>二、符合性证明文件</w:t>
      </w:r>
      <w:r>
        <w:rPr>
          <w:rFonts w:ascii="黑体" w:hAnsi="黑体" w:eastAsia="黑体" w:cs="Times New Roman"/>
        </w:rPr>
        <w:tab/>
      </w:r>
      <w:r>
        <w:rPr>
          <w:rFonts w:ascii="黑体" w:hAnsi="黑体" w:eastAsia="黑体" w:cs="黑体"/>
        </w:rPr>
        <w:t>X</w:t>
      </w:r>
    </w:p>
    <w:p w14:paraId="109543E1">
      <w:pPr>
        <w:tabs>
          <w:tab w:val="right" w:leader="hyphen" w:pos="8504"/>
        </w:tabs>
        <w:spacing w:line="480" w:lineRule="exact"/>
        <w:ind w:right="630" w:rightChars="300" w:firstLine="420" w:firstLineChars="200"/>
        <w:rPr>
          <w:rFonts w:ascii="黑体" w:hAnsi="黑体" w:eastAsia="黑体" w:cs="黑体"/>
        </w:rPr>
      </w:pPr>
      <w:r>
        <w:rPr>
          <w:rFonts w:hint="eastAsia" w:ascii="黑体" w:hAnsi="黑体" w:eastAsia="黑体" w:cs="黑体"/>
        </w:rPr>
        <w:t>三、响应方案</w:t>
      </w:r>
      <w:r>
        <w:rPr>
          <w:rFonts w:ascii="黑体" w:hAnsi="黑体" w:eastAsia="黑体" w:cs="Times New Roman"/>
        </w:rPr>
        <w:tab/>
      </w:r>
      <w:r>
        <w:rPr>
          <w:rFonts w:ascii="黑体" w:hAnsi="黑体" w:eastAsia="黑体" w:cs="黑体"/>
        </w:rPr>
        <w:t>X</w:t>
      </w:r>
    </w:p>
    <w:p w14:paraId="3B21314F">
      <w:pPr>
        <w:tabs>
          <w:tab w:val="right" w:leader="hyphen" w:pos="8504"/>
        </w:tabs>
        <w:spacing w:line="480" w:lineRule="exact"/>
        <w:ind w:right="630" w:rightChars="300" w:firstLine="420" w:firstLineChars="200"/>
        <w:rPr>
          <w:rFonts w:ascii="黑体" w:hAnsi="黑体" w:eastAsia="黑体" w:cs="黑体"/>
        </w:rPr>
      </w:pPr>
      <w:r>
        <w:rPr>
          <w:rFonts w:hint="eastAsia" w:ascii="黑体" w:hAnsi="黑体" w:eastAsia="黑体" w:cs="黑体"/>
        </w:rPr>
        <w:t>四、其他附件</w:t>
      </w:r>
      <w:r>
        <w:rPr>
          <w:rFonts w:ascii="黑体" w:hAnsi="黑体" w:eastAsia="黑体" w:cs="Times New Roman"/>
        </w:rPr>
        <w:tab/>
      </w:r>
      <w:r>
        <w:rPr>
          <w:rFonts w:ascii="黑体" w:hAnsi="黑体" w:eastAsia="黑体" w:cs="黑体"/>
        </w:rPr>
        <w:t>X</w:t>
      </w:r>
    </w:p>
    <w:p w14:paraId="7516E7B2">
      <w:pPr>
        <w:rPr>
          <w:rFonts w:ascii="黑体" w:hAnsi="黑体" w:eastAsia="黑体" w:cs="黑体"/>
          <w:b/>
          <w:bCs/>
          <w:sz w:val="32"/>
          <w:szCs w:val="32"/>
        </w:rPr>
      </w:pPr>
      <w:r>
        <w:rPr>
          <w:rFonts w:hint="eastAsia" w:ascii="黑体" w:hAnsi="黑体" w:eastAsia="黑体" w:cs="黑体"/>
          <w:b/>
          <w:bCs/>
          <w:sz w:val="32"/>
          <w:szCs w:val="32"/>
        </w:rPr>
        <w:br w:type="page"/>
      </w:r>
    </w:p>
    <w:p w14:paraId="26A1F373">
      <w:pPr>
        <w:tabs>
          <w:tab w:val="right" w:leader="hyphen" w:pos="8504"/>
        </w:tabs>
        <w:spacing w:line="480" w:lineRule="exact"/>
        <w:ind w:right="630" w:rightChars="300"/>
        <w:jc w:val="center"/>
        <w:rPr>
          <w:rFonts w:ascii="黑体" w:hAnsi="黑体" w:eastAsia="黑体" w:cs="Times New Roman"/>
          <w:b/>
          <w:bCs/>
        </w:rPr>
      </w:pPr>
      <w:r>
        <w:rPr>
          <w:rFonts w:hint="eastAsia" w:ascii="黑体" w:hAnsi="黑体" w:eastAsia="黑体" w:cs="黑体"/>
          <w:b/>
          <w:bCs/>
          <w:sz w:val="32"/>
          <w:szCs w:val="32"/>
        </w:rPr>
        <w:t>一、资格证明文件</w:t>
      </w:r>
    </w:p>
    <w:p w14:paraId="080446CA">
      <w:pPr>
        <w:spacing w:line="500" w:lineRule="exact"/>
        <w:ind w:firstLine="482" w:firstLineChars="200"/>
        <w:rPr>
          <w:rFonts w:ascii="宋体" w:hAnsi="宋体"/>
          <w:sz w:val="24"/>
        </w:rPr>
      </w:pPr>
      <w:r>
        <w:rPr>
          <w:rFonts w:hint="eastAsia" w:ascii="宋体" w:hAnsi="宋体"/>
          <w:b/>
          <w:bCs/>
          <w:sz w:val="24"/>
        </w:rPr>
        <w:t>供应商应按照磋商文件要求逐一提供全部资格证明文件。缺少其中任何一项，其响应文件将被视为无效文件。</w:t>
      </w:r>
      <w:r>
        <w:rPr>
          <w:rFonts w:hint="eastAsia" w:ascii="宋体" w:hAnsi="宋体"/>
          <w:sz w:val="24"/>
        </w:rPr>
        <w:t xml:space="preserve"> </w:t>
      </w:r>
    </w:p>
    <w:p w14:paraId="4D43C034">
      <w:pPr>
        <w:widowControl/>
        <w:spacing w:line="510" w:lineRule="atLeast"/>
        <w:ind w:firstLine="480"/>
        <w:jc w:val="left"/>
        <w:rPr>
          <w:rFonts w:hint="eastAsia" w:ascii="宋体" w:hAnsi="宋体" w:eastAsia="宋体" w:cs="Helvetica"/>
          <w:kern w:val="0"/>
          <w:sz w:val="24"/>
          <w:lang w:eastAsia="zh-CN"/>
        </w:rPr>
      </w:pPr>
      <w:r>
        <w:rPr>
          <w:rFonts w:hint="eastAsia" w:ascii="宋体" w:hAnsi="宋体" w:cs="Helvetica"/>
          <w:kern w:val="0"/>
          <w:sz w:val="24"/>
        </w:rPr>
        <w:t>1.</w:t>
      </w:r>
      <w:r>
        <w:rPr>
          <w:rFonts w:hint="eastAsia" w:ascii="宋体" w:hAnsi="宋体" w:eastAsia="宋体" w:cs="Helvetica"/>
          <w:kern w:val="0"/>
          <w:sz w:val="24"/>
          <w:highlight w:val="none"/>
        </w:rPr>
        <w:t>营业执照等主体资格证明文件：</w:t>
      </w:r>
      <w:r>
        <w:rPr>
          <w:rFonts w:hint="eastAsia" w:ascii="宋体" w:hAnsi="宋体" w:cs="Helvetica"/>
          <w:kern w:val="0"/>
          <w:sz w:val="24"/>
          <w:highlight w:val="none"/>
          <w:lang w:eastAsia="zh-CN"/>
        </w:rPr>
        <w:t>提供营业执照</w:t>
      </w:r>
      <w:r>
        <w:rPr>
          <w:rFonts w:hint="eastAsia" w:ascii="宋体" w:hAnsi="宋体" w:eastAsia="宋体" w:cs="Helvetica"/>
          <w:kern w:val="0"/>
          <w:sz w:val="24"/>
          <w:highlight w:val="none"/>
        </w:rPr>
        <w:t>/事业单位法人证书/专业服务机构执业许可证/民办非企业单位登记证书</w:t>
      </w:r>
      <w:r>
        <w:rPr>
          <w:rFonts w:hint="eastAsia" w:ascii="宋体" w:hAnsi="宋体" w:cs="Helvetica"/>
          <w:kern w:val="0"/>
          <w:sz w:val="24"/>
          <w:highlight w:val="none"/>
          <w:lang w:val="en-US" w:eastAsia="zh-CN"/>
        </w:rPr>
        <w:t>等其他主体资格证明文件</w:t>
      </w:r>
      <w:r>
        <w:rPr>
          <w:rFonts w:hint="eastAsia" w:ascii="宋体" w:hAnsi="宋体" w:eastAsia="宋体" w:cs="Helvetica"/>
          <w:kern w:val="0"/>
          <w:sz w:val="24"/>
          <w:highlight w:val="none"/>
        </w:rPr>
        <w:t>。</w:t>
      </w:r>
    </w:p>
    <w:p w14:paraId="7F5AE560">
      <w:pPr>
        <w:widowControl/>
        <w:spacing w:line="510" w:lineRule="atLeast"/>
        <w:ind w:firstLine="480"/>
        <w:jc w:val="left"/>
        <w:rPr>
          <w:rFonts w:hint="eastAsia" w:ascii="宋体" w:hAnsi="宋体" w:cs="Helvetica"/>
          <w:kern w:val="0"/>
          <w:sz w:val="24"/>
        </w:rPr>
      </w:pPr>
      <w:r>
        <w:rPr>
          <w:rFonts w:hint="eastAsia" w:ascii="宋体" w:hAnsi="宋体" w:cs="Helvetica"/>
          <w:kern w:val="0"/>
          <w:sz w:val="24"/>
        </w:rPr>
        <w:t>2.提供2024年度或2025年度经审计的财务报告，报告须具有注册会计师行业统一监管平台赋予的验证码(成立时间至提交响应文件截止时间不足一年的可提供成立后任意时段的资产负债表)，或其开标前三个月内基本开户银行出具的资信证明，或信用担保机构出具的投标担保函(以上三种形式的资料提供任何一种即可)（以上三种形式的资料提供任何一种即可）。</w:t>
      </w:r>
    </w:p>
    <w:p w14:paraId="435EE93E">
      <w:pPr>
        <w:widowControl/>
        <w:spacing w:line="510" w:lineRule="atLeast"/>
        <w:ind w:firstLine="480"/>
        <w:jc w:val="left"/>
        <w:rPr>
          <w:rFonts w:ascii="宋体" w:hAnsi="宋体" w:cs="Helvetica"/>
          <w:kern w:val="0"/>
          <w:sz w:val="24"/>
        </w:rPr>
      </w:pPr>
      <w:r>
        <w:rPr>
          <w:rFonts w:hint="eastAsia" w:ascii="宋体" w:hAnsi="宋体" w:cs="Helvetica"/>
          <w:kern w:val="0"/>
          <w:sz w:val="24"/>
        </w:rPr>
        <w:t>3.书面声明：提供书面声明，包括声明具有履行合同所必需的设备和专业技术能力。</w:t>
      </w:r>
      <w:r>
        <w:rPr>
          <w:rFonts w:hint="eastAsia" w:ascii="宋体" w:hAnsi="宋体" w:cs="Helvetica"/>
          <w:b/>
          <w:bCs/>
          <w:kern w:val="0"/>
          <w:sz w:val="24"/>
        </w:rPr>
        <w:t>（格式后附）</w:t>
      </w:r>
    </w:p>
    <w:p w14:paraId="1006E5DB">
      <w:pPr>
        <w:widowControl/>
        <w:spacing w:line="510" w:lineRule="atLeast"/>
        <w:ind w:firstLine="480"/>
        <w:jc w:val="left"/>
        <w:rPr>
          <w:rFonts w:ascii="宋体" w:hAnsi="宋体" w:cs="Helvetica"/>
          <w:kern w:val="0"/>
          <w:sz w:val="24"/>
        </w:rPr>
      </w:pPr>
      <w:r>
        <w:rPr>
          <w:rFonts w:hint="eastAsia" w:ascii="宋体" w:hAnsi="宋体" w:cs="Helvetica"/>
          <w:kern w:val="0"/>
          <w:sz w:val="24"/>
        </w:rPr>
        <w:t>4.社保缴纳证明：提供递交响应文件截止之日前一年内任意一个月的社会保障资金缴存单据或社保机构开具的社会保险参保缴费情况证明。依法不需要缴纳社会保障资金的供应商应提供相关文件证明。</w:t>
      </w:r>
    </w:p>
    <w:p w14:paraId="796F3602">
      <w:pPr>
        <w:widowControl/>
        <w:spacing w:line="510" w:lineRule="atLeast"/>
        <w:ind w:firstLine="480"/>
        <w:jc w:val="left"/>
        <w:rPr>
          <w:rFonts w:ascii="宋体" w:hAnsi="宋体" w:cs="Helvetica"/>
          <w:kern w:val="0"/>
          <w:sz w:val="24"/>
        </w:rPr>
      </w:pPr>
      <w:r>
        <w:rPr>
          <w:rFonts w:hint="eastAsia" w:ascii="宋体" w:hAnsi="宋体" w:cs="Helvetica"/>
          <w:kern w:val="0"/>
          <w:sz w:val="24"/>
        </w:rPr>
        <w:t>5.税收缴纳证明：提供递交响应文件截止之日前一年内任意一个月的依法缴纳税收的相关凭据（时间以税款所属日期为准、税种至少包含增值税或企业所得税），凭据应有税务机关或代收机关的公章或业务专用章。依法免税或无须缴纳税收的供应商，应提供相应证明文件。</w:t>
      </w:r>
    </w:p>
    <w:p w14:paraId="74EA9CA7">
      <w:pPr>
        <w:widowControl/>
        <w:spacing w:line="510" w:lineRule="atLeast"/>
        <w:ind w:firstLine="480"/>
        <w:jc w:val="left"/>
        <w:rPr>
          <w:rFonts w:ascii="宋体" w:hAnsi="宋体" w:cs="Helvetica"/>
          <w:kern w:val="0"/>
          <w:sz w:val="24"/>
        </w:rPr>
      </w:pPr>
      <w:r>
        <w:rPr>
          <w:rFonts w:hint="eastAsia" w:ascii="宋体" w:hAnsi="宋体" w:cs="Helvetica"/>
          <w:kern w:val="0"/>
          <w:sz w:val="24"/>
        </w:rPr>
        <w:t>6.近三年无重大违法、违纪书面声明：提供《近三年无重大违法、违纪书面声明》。</w:t>
      </w:r>
      <w:r>
        <w:rPr>
          <w:rFonts w:hint="eastAsia" w:ascii="宋体" w:hAnsi="宋体" w:cs="Helvetica"/>
          <w:b/>
          <w:bCs/>
          <w:kern w:val="0"/>
          <w:sz w:val="24"/>
        </w:rPr>
        <w:t>（格式后附）</w:t>
      </w:r>
    </w:p>
    <w:p w14:paraId="6840380D">
      <w:pPr>
        <w:widowControl/>
        <w:spacing w:line="510" w:lineRule="atLeast"/>
        <w:ind w:firstLine="480"/>
        <w:jc w:val="left"/>
        <w:rPr>
          <w:rFonts w:ascii="宋体" w:hAnsi="宋体" w:cs="Helvetica"/>
          <w:kern w:val="0"/>
          <w:sz w:val="24"/>
        </w:rPr>
      </w:pPr>
      <w:r>
        <w:rPr>
          <w:rFonts w:hint="eastAsia" w:ascii="宋体" w:hAnsi="宋体" w:cs="Helvetica"/>
          <w:kern w:val="0"/>
          <w:sz w:val="24"/>
        </w:rPr>
        <w:t>7.信用记录：供应商未被列入“信用中国”网站记录的“失信被执行人”或“</w:t>
      </w:r>
      <w:r>
        <w:rPr>
          <w:rFonts w:hint="eastAsia" w:ascii="宋体" w:hAnsi="宋体" w:cs="Helvetica"/>
          <w:kern w:val="0"/>
          <w:sz w:val="24"/>
          <w:lang w:eastAsia="zh-CN"/>
        </w:rPr>
        <w:t>重大税收违法失信主体</w:t>
      </w:r>
      <w:r>
        <w:rPr>
          <w:rFonts w:hint="eastAsia" w:ascii="宋体" w:hAnsi="宋体" w:cs="Helvetica"/>
          <w:kern w:val="0"/>
          <w:sz w:val="24"/>
        </w:rPr>
        <w:t>”名单；不处于“中国政府采购网”记录的“政府采购严重违法失信行为记录名单”中的禁止参加政府采购活动期间。（以采购人或采购代理机构开标当天查询结果为准）；</w:t>
      </w:r>
    </w:p>
    <w:p w14:paraId="0B02169D">
      <w:pPr>
        <w:widowControl/>
        <w:spacing w:line="510" w:lineRule="atLeast"/>
        <w:ind w:firstLine="480"/>
        <w:jc w:val="left"/>
        <w:rPr>
          <w:rFonts w:ascii="宋体" w:hAnsi="宋体" w:cs="Helvetica"/>
          <w:kern w:val="0"/>
          <w:sz w:val="24"/>
        </w:rPr>
      </w:pPr>
      <w:r>
        <w:rPr>
          <w:rFonts w:hint="eastAsia" w:ascii="宋体" w:hAnsi="宋体" w:cs="Helvetica"/>
          <w:kern w:val="0"/>
          <w:sz w:val="24"/>
        </w:rPr>
        <w:t>8.控股管理关系：提供直接控股和管理关系清单。若与其他供应商存在单位负责人为同一人或者存在直接控股、管理关系的，则响应无效。</w:t>
      </w:r>
      <w:r>
        <w:rPr>
          <w:rFonts w:hint="eastAsia" w:ascii="宋体" w:hAnsi="宋体" w:cs="Helvetica"/>
          <w:b/>
          <w:bCs/>
          <w:kern w:val="0"/>
          <w:sz w:val="24"/>
        </w:rPr>
        <w:t>（格式后附）</w:t>
      </w:r>
    </w:p>
    <w:p w14:paraId="13F70479">
      <w:pPr>
        <w:widowControl/>
        <w:spacing w:line="510" w:lineRule="atLeast"/>
        <w:ind w:firstLine="480"/>
        <w:jc w:val="left"/>
        <w:rPr>
          <w:rFonts w:ascii="宋体" w:hAnsi="宋体" w:cs="Helvetica"/>
          <w:kern w:val="0"/>
          <w:sz w:val="24"/>
        </w:rPr>
      </w:pPr>
      <w:r>
        <w:rPr>
          <w:rFonts w:hint="eastAsia" w:ascii="宋体" w:hAnsi="宋体" w:cs="Helvetica"/>
          <w:kern w:val="0"/>
          <w:sz w:val="24"/>
        </w:rPr>
        <w:t>9.法定代表人授权委托书：法定代表人参加磋商的，须提供本人身份证复印件（附在响应文件中）；法定代表人授权他人参加磋商的，须提供法定代表人授权委托书。磋商文件中凡是需要法定代表人盖章之处，非法人单位的负责人均参照执行。</w:t>
      </w:r>
      <w:r>
        <w:rPr>
          <w:rFonts w:hint="eastAsia" w:ascii="宋体" w:hAnsi="宋体" w:cs="Helvetica"/>
          <w:b/>
          <w:bCs/>
          <w:kern w:val="0"/>
          <w:sz w:val="24"/>
        </w:rPr>
        <w:t>（格式后附）</w:t>
      </w:r>
    </w:p>
    <w:p w14:paraId="644A6132">
      <w:pPr>
        <w:widowControl/>
        <w:spacing w:line="510" w:lineRule="atLeast"/>
        <w:ind w:firstLine="480"/>
        <w:jc w:val="left"/>
        <w:rPr>
          <w:rFonts w:ascii="宋体" w:hAnsi="宋体" w:cs="Helvetica"/>
          <w:kern w:val="0"/>
          <w:sz w:val="24"/>
        </w:rPr>
      </w:pPr>
      <w:r>
        <w:rPr>
          <w:rFonts w:hint="eastAsia" w:ascii="宋体" w:hAnsi="宋体" w:cs="Helvetica"/>
          <w:kern w:val="0"/>
          <w:sz w:val="24"/>
        </w:rPr>
        <w:t>法人的分支机构参与磋商时，除提供《法定代表人授权委托书》外，还须同时提供法人给分支机构出具的授权书。</w:t>
      </w:r>
    </w:p>
    <w:p w14:paraId="5A9BEB64">
      <w:pPr>
        <w:widowControl/>
        <w:spacing w:line="510" w:lineRule="atLeast"/>
        <w:ind w:firstLine="480"/>
        <w:jc w:val="left"/>
        <w:rPr>
          <w:rFonts w:ascii="黑体" w:hAnsi="黑体" w:eastAsia="黑体" w:cs="黑体"/>
          <w:b/>
          <w:bCs/>
          <w:sz w:val="32"/>
          <w:szCs w:val="32"/>
        </w:rPr>
      </w:pPr>
      <w:r>
        <w:rPr>
          <w:rFonts w:hint="eastAsia" w:ascii="宋体" w:hAnsi="宋体" w:cs="Helvetica"/>
          <w:kern w:val="0"/>
          <w:sz w:val="24"/>
        </w:rPr>
        <w:t>10.本项目不接受联合体磋商，不允许分包。供应商应提供《非联合体不分包磋商声明》，视为独立磋商，不分包。</w:t>
      </w:r>
      <w:r>
        <w:rPr>
          <w:rFonts w:hint="eastAsia" w:ascii="宋体" w:hAnsi="宋体" w:cs="Helvetica"/>
          <w:b/>
          <w:bCs/>
          <w:kern w:val="0"/>
          <w:sz w:val="24"/>
        </w:rPr>
        <w:t>（格式后附）</w:t>
      </w:r>
      <w:r>
        <w:rPr>
          <w:rFonts w:hint="eastAsia" w:ascii="黑体" w:hAnsi="黑体" w:eastAsia="黑体" w:cs="黑体"/>
          <w:b/>
          <w:bCs/>
          <w:sz w:val="32"/>
          <w:szCs w:val="32"/>
        </w:rPr>
        <w:br w:type="page"/>
      </w:r>
    </w:p>
    <w:p w14:paraId="7D8AF11E">
      <w:pPr>
        <w:spacing w:line="500" w:lineRule="exact"/>
        <w:ind w:firstLine="561"/>
        <w:rPr>
          <w:rFonts w:ascii="宋体" w:hAnsi="宋体"/>
          <w:b/>
          <w:bCs/>
          <w:sz w:val="24"/>
        </w:rPr>
      </w:pPr>
      <w:r>
        <w:rPr>
          <w:rFonts w:hint="eastAsia" w:ascii="宋体" w:hAnsi="宋体"/>
          <w:b/>
          <w:bCs/>
          <w:sz w:val="24"/>
        </w:rPr>
        <w:t>附件一：书面声明</w:t>
      </w:r>
    </w:p>
    <w:p w14:paraId="7E8AAFAA">
      <w:pPr>
        <w:spacing w:line="500" w:lineRule="exact"/>
        <w:rPr>
          <w:rFonts w:ascii="仿宋" w:hAnsi="仿宋" w:eastAsia="仿宋" w:cs="仿宋"/>
          <w:b/>
          <w:bCs/>
          <w:sz w:val="30"/>
          <w:szCs w:val="30"/>
        </w:rPr>
      </w:pPr>
    </w:p>
    <w:p w14:paraId="67317C3F">
      <w:pPr>
        <w:spacing w:line="500" w:lineRule="exact"/>
        <w:jc w:val="center"/>
        <w:rPr>
          <w:rFonts w:ascii="仿宋" w:hAnsi="仿宋" w:eastAsia="仿宋" w:cs="仿宋"/>
          <w:b/>
          <w:bCs/>
          <w:sz w:val="30"/>
          <w:szCs w:val="30"/>
        </w:rPr>
      </w:pPr>
      <w:r>
        <w:rPr>
          <w:rFonts w:hint="eastAsia" w:cs="华文仿宋"/>
          <w:b/>
          <w:bCs/>
          <w:kern w:val="0"/>
          <w:sz w:val="30"/>
          <w:szCs w:val="30"/>
        </w:rPr>
        <w:t>书面声明</w:t>
      </w:r>
    </w:p>
    <w:p w14:paraId="4F57BB7F">
      <w:pPr>
        <w:spacing w:line="360" w:lineRule="auto"/>
        <w:jc w:val="left"/>
        <w:rPr>
          <w:rFonts w:ascii="宋体" w:hAnsi="宋体"/>
          <w:sz w:val="24"/>
        </w:rPr>
      </w:pPr>
      <w:r>
        <w:rPr>
          <w:rFonts w:hint="eastAsia" w:ascii="宋体" w:hAnsi="宋体" w:cs="Arial"/>
          <w:kern w:val="0"/>
          <w:sz w:val="24"/>
        </w:rPr>
        <w:t>致：陕西德勤招标有限公司</w:t>
      </w:r>
    </w:p>
    <w:p w14:paraId="1AE5EB66">
      <w:pPr>
        <w:spacing w:line="360" w:lineRule="auto"/>
        <w:jc w:val="left"/>
        <w:rPr>
          <w:rFonts w:ascii="宋体" w:hAnsi="宋体"/>
          <w:sz w:val="24"/>
        </w:rPr>
      </w:pPr>
      <w:r>
        <w:rPr>
          <w:rFonts w:hint="eastAsia" w:ascii="宋体" w:hAnsi="宋体"/>
          <w:sz w:val="24"/>
        </w:rPr>
        <w:t xml:space="preserve">     </w:t>
      </w:r>
    </w:p>
    <w:p w14:paraId="2EDDAC49">
      <w:pPr>
        <w:pStyle w:val="10"/>
        <w:spacing w:line="360" w:lineRule="auto"/>
        <w:rPr>
          <w:rFonts w:ascii="宋体" w:hAnsi="宋体" w:cs="Arial"/>
          <w:sz w:val="24"/>
        </w:rPr>
      </w:pPr>
      <w:r>
        <w:rPr>
          <w:rFonts w:hint="eastAsia"/>
          <w:sz w:val="24"/>
        </w:rPr>
        <w:t xml:space="preserve">    </w:t>
      </w:r>
      <w:r>
        <w:rPr>
          <w:rFonts w:hint="eastAsia" w:ascii="宋体" w:hAnsi="宋体" w:cs="Arial"/>
          <w:sz w:val="24"/>
        </w:rPr>
        <w:t>我单位具有履行合同所必需的设备和专业技术能力。</w:t>
      </w:r>
    </w:p>
    <w:p w14:paraId="3B402004">
      <w:pPr>
        <w:pStyle w:val="10"/>
        <w:spacing w:line="360" w:lineRule="auto"/>
        <w:rPr>
          <w:sz w:val="24"/>
        </w:rPr>
      </w:pPr>
    </w:p>
    <w:p w14:paraId="25F8E063">
      <w:pPr>
        <w:spacing w:line="360" w:lineRule="auto"/>
        <w:ind w:firstLine="480" w:firstLineChars="200"/>
        <w:jc w:val="left"/>
        <w:rPr>
          <w:rFonts w:ascii="宋体" w:hAnsi="宋体"/>
          <w:sz w:val="24"/>
        </w:rPr>
      </w:pPr>
      <w:r>
        <w:rPr>
          <w:rFonts w:hint="eastAsia" w:ascii="宋体" w:hAnsi="宋体"/>
          <w:sz w:val="24"/>
        </w:rPr>
        <w:t>特此声明！</w:t>
      </w:r>
    </w:p>
    <w:p w14:paraId="0E117C5B">
      <w:pPr>
        <w:spacing w:line="360" w:lineRule="auto"/>
        <w:ind w:firstLine="480" w:firstLineChars="200"/>
        <w:jc w:val="left"/>
        <w:rPr>
          <w:rFonts w:ascii="宋体" w:hAnsi="宋体"/>
          <w:sz w:val="24"/>
        </w:rPr>
      </w:pPr>
    </w:p>
    <w:p w14:paraId="12AD5206">
      <w:pPr>
        <w:spacing w:line="480" w:lineRule="auto"/>
        <w:ind w:firstLine="480" w:firstLineChars="200"/>
        <w:jc w:val="left"/>
        <w:rPr>
          <w:rFonts w:ascii="宋体" w:hAnsi="宋体"/>
          <w:sz w:val="24"/>
        </w:rPr>
      </w:pPr>
    </w:p>
    <w:p w14:paraId="0BBDB485">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15ED6775">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7E85827A">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26C15FF0">
      <w:pPr>
        <w:pStyle w:val="25"/>
        <w:spacing w:after="190"/>
        <w:ind w:firstLine="240"/>
        <w:rPr>
          <w:rFonts w:ascii="宋体" w:hAnsi="宋体" w:cs="宋体"/>
          <w:sz w:val="24"/>
        </w:rPr>
      </w:pPr>
    </w:p>
    <w:p w14:paraId="1C54CAA7">
      <w:pPr>
        <w:spacing w:line="500" w:lineRule="exact"/>
        <w:ind w:firstLine="561"/>
        <w:rPr>
          <w:rFonts w:ascii="宋体" w:hAnsi="宋体"/>
          <w:b/>
          <w:bCs/>
          <w:sz w:val="24"/>
        </w:rPr>
      </w:pPr>
      <w:bookmarkStart w:id="75" w:name="_Toc1517"/>
      <w:bookmarkStart w:id="76" w:name="_Toc9165"/>
      <w:bookmarkStart w:id="77" w:name="_Toc20662"/>
      <w:bookmarkStart w:id="78" w:name="_Toc32331"/>
      <w:bookmarkStart w:id="79" w:name="_Toc25524"/>
      <w:bookmarkStart w:id="80" w:name="_Toc7084"/>
      <w:bookmarkStart w:id="81" w:name="_Toc4561"/>
      <w:bookmarkStart w:id="82" w:name="_Toc15868"/>
      <w:r>
        <w:rPr>
          <w:rFonts w:hint="eastAsia" w:ascii="宋体" w:hAnsi="宋体"/>
          <w:b/>
          <w:bCs/>
          <w:sz w:val="24"/>
        </w:rPr>
        <w:br w:type="page"/>
      </w:r>
      <w:r>
        <w:rPr>
          <w:rFonts w:hint="eastAsia" w:ascii="宋体" w:hAnsi="宋体"/>
          <w:b/>
          <w:bCs/>
          <w:sz w:val="24"/>
        </w:rPr>
        <w:t>附件二：近三年无重大违法、违纪书面声明</w:t>
      </w:r>
    </w:p>
    <w:p w14:paraId="55C8A279">
      <w:pPr>
        <w:spacing w:line="360" w:lineRule="atLeast"/>
        <w:jc w:val="center"/>
        <w:rPr>
          <w:rFonts w:ascii="宋体" w:hAnsi="宋体"/>
          <w:b/>
          <w:sz w:val="32"/>
          <w:szCs w:val="32"/>
        </w:rPr>
      </w:pPr>
    </w:p>
    <w:p w14:paraId="63540023">
      <w:pPr>
        <w:pStyle w:val="25"/>
        <w:widowControl/>
        <w:spacing w:line="360" w:lineRule="auto"/>
        <w:ind w:firstLine="602" w:firstLineChars="200"/>
        <w:jc w:val="center"/>
        <w:rPr>
          <w:rFonts w:cs="华文仿宋"/>
          <w:b/>
          <w:bCs/>
          <w:sz w:val="30"/>
          <w:szCs w:val="30"/>
        </w:rPr>
      </w:pPr>
      <w:r>
        <w:rPr>
          <w:rFonts w:hint="eastAsia" w:cs="华文仿宋"/>
          <w:b/>
          <w:bCs/>
          <w:sz w:val="30"/>
          <w:szCs w:val="30"/>
        </w:rPr>
        <w:t>近三年无重大违法、违纪书面声明</w:t>
      </w:r>
    </w:p>
    <w:p w14:paraId="40FEF5B6">
      <w:pPr>
        <w:spacing w:line="360" w:lineRule="auto"/>
        <w:jc w:val="left"/>
        <w:rPr>
          <w:rFonts w:ascii="宋体" w:hAnsi="宋体"/>
          <w:sz w:val="24"/>
        </w:rPr>
      </w:pPr>
      <w:r>
        <w:rPr>
          <w:rFonts w:hint="eastAsia" w:ascii="宋体" w:hAnsi="宋体" w:cs="Arial"/>
          <w:kern w:val="0"/>
          <w:sz w:val="24"/>
        </w:rPr>
        <w:t>致：陕西德勤招标有限公司</w:t>
      </w:r>
    </w:p>
    <w:p w14:paraId="4FC42AE1">
      <w:pPr>
        <w:spacing w:line="360" w:lineRule="auto"/>
        <w:ind w:firstLine="480" w:firstLineChars="200"/>
        <w:jc w:val="left"/>
        <w:rPr>
          <w:rFonts w:ascii="宋体" w:hAnsi="宋体"/>
          <w:b/>
          <w:sz w:val="32"/>
          <w:szCs w:val="32"/>
        </w:rPr>
      </w:pPr>
      <w:r>
        <w:rPr>
          <w:rFonts w:hint="eastAsia" w:ascii="宋体" w:hAnsi="宋体"/>
          <w:sz w:val="24"/>
        </w:rPr>
        <w:t>我</w:t>
      </w:r>
      <w:r>
        <w:rPr>
          <w:rFonts w:ascii="宋体" w:hAnsi="宋体"/>
          <w:sz w:val="24"/>
        </w:rPr>
        <w:t>单位</w:t>
      </w:r>
      <w:r>
        <w:rPr>
          <w:rFonts w:hint="eastAsia" w:ascii="宋体" w:hAnsi="宋体"/>
          <w:sz w:val="24"/>
        </w:rPr>
        <w:t>声明参加本次政府采购活动前三年内，在经营活动中没有重大违纪，以及未被列入失信被执行人、未</w:t>
      </w:r>
      <w:r>
        <w:rPr>
          <w:rFonts w:ascii="宋体" w:hAnsi="宋体"/>
          <w:sz w:val="24"/>
        </w:rPr>
        <w:t>在</w:t>
      </w:r>
      <w:r>
        <w:rPr>
          <w:rFonts w:hint="eastAsia" w:ascii="宋体" w:hAnsi="宋体"/>
          <w:sz w:val="24"/>
        </w:rPr>
        <w:t>重大税收违法失信主体及政府采购严重违法失信行为记录名单中。</w:t>
      </w:r>
    </w:p>
    <w:p w14:paraId="397D45ED">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14:paraId="226D1E4B">
      <w:pPr>
        <w:spacing w:line="360" w:lineRule="auto"/>
        <w:jc w:val="left"/>
        <w:rPr>
          <w:rFonts w:ascii="宋体" w:hAnsi="宋体"/>
          <w:b/>
          <w:sz w:val="32"/>
          <w:szCs w:val="32"/>
        </w:rPr>
      </w:pPr>
    </w:p>
    <w:p w14:paraId="690313E7">
      <w:pPr>
        <w:spacing w:line="360" w:lineRule="auto"/>
        <w:ind w:firstLine="480" w:firstLineChars="200"/>
        <w:jc w:val="left"/>
        <w:rPr>
          <w:rFonts w:ascii="宋体" w:hAnsi="宋体"/>
          <w:sz w:val="24"/>
        </w:rPr>
      </w:pPr>
      <w:r>
        <w:rPr>
          <w:rFonts w:hint="eastAsia" w:ascii="宋体" w:hAnsi="宋体"/>
          <w:sz w:val="24"/>
        </w:rPr>
        <w:t>特此声明！</w:t>
      </w:r>
    </w:p>
    <w:p w14:paraId="624570E8">
      <w:pPr>
        <w:spacing w:line="360" w:lineRule="auto"/>
        <w:ind w:firstLine="480" w:firstLineChars="200"/>
        <w:jc w:val="left"/>
        <w:rPr>
          <w:rFonts w:ascii="宋体" w:hAnsi="宋体"/>
          <w:sz w:val="24"/>
        </w:rPr>
      </w:pPr>
    </w:p>
    <w:p w14:paraId="482DD1FC">
      <w:pPr>
        <w:spacing w:line="480" w:lineRule="auto"/>
        <w:ind w:firstLine="480" w:firstLineChars="200"/>
        <w:jc w:val="left"/>
        <w:rPr>
          <w:rFonts w:ascii="宋体" w:hAnsi="宋体"/>
          <w:sz w:val="24"/>
        </w:rPr>
      </w:pPr>
    </w:p>
    <w:p w14:paraId="4CFF8EF5">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0691E913">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3BE67A03">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05CC9965">
      <w:pPr>
        <w:rPr>
          <w:rFonts w:ascii="宋体" w:hAnsi="宋体"/>
          <w:b/>
          <w:bCs/>
          <w:sz w:val="24"/>
        </w:rPr>
      </w:pPr>
      <w:r>
        <w:rPr>
          <w:rFonts w:hint="eastAsia" w:ascii="宋体" w:hAnsi="宋体"/>
          <w:b/>
          <w:bCs/>
          <w:sz w:val="24"/>
        </w:rPr>
        <w:br w:type="page"/>
      </w:r>
    </w:p>
    <w:p w14:paraId="4EBABACF">
      <w:pPr>
        <w:spacing w:line="500" w:lineRule="exact"/>
        <w:ind w:firstLine="561"/>
        <w:rPr>
          <w:rFonts w:ascii="宋体" w:hAnsi="宋体"/>
          <w:b/>
          <w:bCs/>
          <w:sz w:val="24"/>
        </w:rPr>
      </w:pPr>
      <w:r>
        <w:rPr>
          <w:rFonts w:hint="eastAsia" w:ascii="宋体" w:hAnsi="宋体"/>
          <w:b/>
          <w:bCs/>
          <w:sz w:val="24"/>
        </w:rPr>
        <w:t>附件三：控股管理关系</w:t>
      </w:r>
      <w:bookmarkEnd w:id="75"/>
      <w:bookmarkEnd w:id="76"/>
      <w:bookmarkEnd w:id="77"/>
      <w:bookmarkEnd w:id="78"/>
      <w:bookmarkEnd w:id="79"/>
      <w:bookmarkEnd w:id="80"/>
      <w:bookmarkEnd w:id="81"/>
      <w:bookmarkEnd w:id="82"/>
    </w:p>
    <w:p w14:paraId="3C47AC0A">
      <w:pPr>
        <w:pStyle w:val="25"/>
        <w:widowControl/>
        <w:spacing w:line="360" w:lineRule="auto"/>
        <w:ind w:firstLine="602" w:firstLineChars="200"/>
        <w:jc w:val="center"/>
        <w:rPr>
          <w:rFonts w:cs="华文仿宋"/>
          <w:b/>
          <w:bCs/>
          <w:sz w:val="30"/>
          <w:szCs w:val="30"/>
        </w:rPr>
      </w:pPr>
      <w:bookmarkStart w:id="83" w:name="_Toc952"/>
      <w:bookmarkStart w:id="84" w:name="_Toc21260"/>
      <w:bookmarkStart w:id="85" w:name="_Toc26760"/>
      <w:bookmarkStart w:id="86" w:name="_Toc10651"/>
      <w:bookmarkStart w:id="87" w:name="_Toc22023"/>
      <w:bookmarkStart w:id="88" w:name="_Toc15131"/>
    </w:p>
    <w:p w14:paraId="52910BD1">
      <w:pPr>
        <w:pStyle w:val="25"/>
        <w:widowControl/>
        <w:spacing w:line="360" w:lineRule="auto"/>
        <w:ind w:firstLine="602" w:firstLineChars="200"/>
        <w:jc w:val="center"/>
        <w:rPr>
          <w:rFonts w:ascii="仿宋" w:hAnsi="仿宋" w:eastAsia="仿宋" w:cs="仿宋"/>
          <w:b/>
          <w:bCs/>
          <w:sz w:val="30"/>
          <w:szCs w:val="30"/>
        </w:rPr>
      </w:pPr>
      <w:r>
        <w:rPr>
          <w:rFonts w:hint="eastAsia" w:cs="华文仿宋"/>
          <w:b/>
          <w:bCs/>
          <w:sz w:val="30"/>
          <w:szCs w:val="30"/>
        </w:rPr>
        <w:t>控股管理关系</w:t>
      </w:r>
      <w:bookmarkEnd w:id="83"/>
      <w:bookmarkEnd w:id="84"/>
      <w:bookmarkEnd w:id="85"/>
      <w:bookmarkEnd w:id="86"/>
      <w:bookmarkEnd w:id="87"/>
      <w:bookmarkEnd w:id="88"/>
    </w:p>
    <w:p w14:paraId="2A144B52">
      <w:pPr>
        <w:spacing w:line="360" w:lineRule="auto"/>
        <w:rPr>
          <w:rFonts w:ascii="宋体" w:hAnsi="宋体"/>
          <w:sz w:val="24"/>
        </w:rPr>
      </w:pPr>
      <w:r>
        <w:rPr>
          <w:rFonts w:hint="eastAsia" w:ascii="宋体" w:hAnsi="宋体"/>
          <w:sz w:val="24"/>
        </w:rPr>
        <w:t>陕西德勤招标有限公司：</w:t>
      </w:r>
    </w:p>
    <w:p w14:paraId="5100C1F2">
      <w:pPr>
        <w:spacing w:line="360" w:lineRule="auto"/>
        <w:ind w:firstLine="480" w:firstLineChars="200"/>
        <w:rPr>
          <w:rFonts w:ascii="宋体" w:hAnsi="宋体"/>
          <w:b/>
          <w:bCs/>
          <w:sz w:val="24"/>
        </w:rPr>
      </w:pPr>
      <w:r>
        <w:rPr>
          <w:rFonts w:hint="eastAsia" w:ascii="宋体" w:hAnsi="宋体"/>
          <w:sz w:val="24"/>
        </w:rPr>
        <w:t>我方与以下供应商存在直接控股、管理关系：</w:t>
      </w:r>
    </w:p>
    <w:tbl>
      <w:tblPr>
        <w:tblStyle w:val="2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7F0CD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noWrap/>
            <w:vAlign w:val="center"/>
          </w:tcPr>
          <w:p w14:paraId="301CC231">
            <w:pPr>
              <w:autoSpaceDE w:val="0"/>
              <w:autoSpaceDN w:val="0"/>
              <w:adjustRightInd w:val="0"/>
              <w:spacing w:line="320" w:lineRule="exact"/>
              <w:jc w:val="center"/>
              <w:rPr>
                <w:rFonts w:ascii="宋体" w:hAnsi="宋体"/>
                <w:kern w:val="0"/>
                <w:sz w:val="24"/>
              </w:rPr>
            </w:pPr>
            <w:r>
              <w:rPr>
                <w:rFonts w:hint="eastAsia" w:ascii="宋体" w:hAnsi="宋体"/>
                <w:kern w:val="0"/>
                <w:sz w:val="24"/>
              </w:rPr>
              <w:t>存在直接控股、管理关系的相关供应商</w:t>
            </w:r>
          </w:p>
        </w:tc>
      </w:tr>
      <w:tr w14:paraId="422DA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79B5B66A">
            <w:pPr>
              <w:autoSpaceDE w:val="0"/>
              <w:autoSpaceDN w:val="0"/>
              <w:adjustRightInd w:val="0"/>
              <w:spacing w:line="320" w:lineRule="exact"/>
              <w:jc w:val="center"/>
              <w:rPr>
                <w:rFonts w:ascii="宋体" w:hAnsi="宋体"/>
                <w:b/>
                <w:kern w:val="0"/>
                <w:sz w:val="24"/>
              </w:rPr>
            </w:pPr>
            <w:r>
              <w:rPr>
                <w:rFonts w:hint="eastAsia" w:ascii="宋体" w:hAnsi="宋体"/>
                <w:b/>
                <w:kern w:val="0"/>
                <w:sz w:val="24"/>
              </w:rPr>
              <w:t>序号</w:t>
            </w:r>
          </w:p>
        </w:tc>
        <w:tc>
          <w:tcPr>
            <w:tcW w:w="2855" w:type="dxa"/>
            <w:tcBorders>
              <w:right w:val="single" w:color="auto" w:sz="4" w:space="0"/>
            </w:tcBorders>
            <w:noWrap/>
            <w:vAlign w:val="center"/>
          </w:tcPr>
          <w:p w14:paraId="3CFFEA41">
            <w:pPr>
              <w:autoSpaceDE w:val="0"/>
              <w:autoSpaceDN w:val="0"/>
              <w:adjustRightInd w:val="0"/>
              <w:spacing w:line="320" w:lineRule="exact"/>
              <w:jc w:val="center"/>
              <w:rPr>
                <w:rFonts w:ascii="宋体" w:hAnsi="宋体"/>
                <w:b/>
                <w:kern w:val="0"/>
                <w:sz w:val="24"/>
              </w:rPr>
            </w:pPr>
            <w:r>
              <w:rPr>
                <w:rFonts w:hint="eastAsia" w:ascii="宋体" w:hAnsi="宋体"/>
                <w:b/>
                <w:kern w:val="0"/>
                <w:sz w:val="24"/>
              </w:rPr>
              <w:t>直接控股股东名称及出资比例</w:t>
            </w:r>
          </w:p>
        </w:tc>
        <w:tc>
          <w:tcPr>
            <w:tcW w:w="2646" w:type="dxa"/>
            <w:tcBorders>
              <w:left w:val="single" w:color="auto" w:sz="4" w:space="0"/>
              <w:right w:val="single" w:color="auto" w:sz="4" w:space="0"/>
            </w:tcBorders>
            <w:noWrap/>
            <w:vAlign w:val="center"/>
          </w:tcPr>
          <w:p w14:paraId="3B156FD8">
            <w:pPr>
              <w:autoSpaceDE w:val="0"/>
              <w:autoSpaceDN w:val="0"/>
              <w:adjustRightInd w:val="0"/>
              <w:spacing w:line="320" w:lineRule="exact"/>
              <w:jc w:val="center"/>
              <w:rPr>
                <w:rFonts w:ascii="宋体" w:hAnsi="宋体"/>
                <w:b/>
                <w:kern w:val="0"/>
                <w:sz w:val="24"/>
              </w:rPr>
            </w:pPr>
            <w:r>
              <w:rPr>
                <w:rFonts w:hint="eastAsia" w:ascii="宋体" w:hAnsi="宋体"/>
                <w:b/>
                <w:kern w:val="0"/>
                <w:sz w:val="24"/>
              </w:rPr>
              <w:t>直接管理关系单位名称</w:t>
            </w:r>
          </w:p>
        </w:tc>
        <w:tc>
          <w:tcPr>
            <w:tcW w:w="1993" w:type="dxa"/>
            <w:tcBorders>
              <w:left w:val="single" w:color="auto" w:sz="4" w:space="0"/>
              <w:right w:val="single" w:color="auto" w:sz="12" w:space="0"/>
            </w:tcBorders>
            <w:noWrap/>
            <w:vAlign w:val="center"/>
          </w:tcPr>
          <w:p w14:paraId="0F68A590">
            <w:pPr>
              <w:autoSpaceDE w:val="0"/>
              <w:autoSpaceDN w:val="0"/>
              <w:adjustRightInd w:val="0"/>
              <w:spacing w:line="320" w:lineRule="exact"/>
              <w:jc w:val="center"/>
              <w:rPr>
                <w:rFonts w:ascii="宋体" w:hAnsi="宋体"/>
                <w:b/>
                <w:kern w:val="0"/>
                <w:sz w:val="24"/>
              </w:rPr>
            </w:pPr>
            <w:r>
              <w:rPr>
                <w:rFonts w:hint="eastAsia" w:ascii="宋体" w:hAnsi="宋体"/>
                <w:b/>
                <w:kern w:val="0"/>
                <w:sz w:val="24"/>
              </w:rPr>
              <w:t>备注</w:t>
            </w:r>
          </w:p>
        </w:tc>
      </w:tr>
      <w:tr w14:paraId="41B26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3E718AF5">
            <w:pPr>
              <w:autoSpaceDE w:val="0"/>
              <w:autoSpaceDN w:val="0"/>
              <w:adjustRightInd w:val="0"/>
              <w:spacing w:line="320" w:lineRule="exact"/>
              <w:jc w:val="center"/>
              <w:rPr>
                <w:rFonts w:ascii="宋体" w:hAnsi="宋体"/>
                <w:kern w:val="0"/>
                <w:sz w:val="24"/>
              </w:rPr>
            </w:pPr>
            <w:r>
              <w:rPr>
                <w:rFonts w:hint="eastAsia" w:ascii="宋体" w:hAnsi="宋体"/>
                <w:kern w:val="0"/>
                <w:sz w:val="24"/>
              </w:rPr>
              <w:t>1</w:t>
            </w:r>
          </w:p>
        </w:tc>
        <w:tc>
          <w:tcPr>
            <w:tcW w:w="2855" w:type="dxa"/>
            <w:tcBorders>
              <w:right w:val="single" w:color="auto" w:sz="4" w:space="0"/>
            </w:tcBorders>
            <w:noWrap/>
            <w:vAlign w:val="center"/>
          </w:tcPr>
          <w:p w14:paraId="18CC3E9E">
            <w:pPr>
              <w:autoSpaceDE w:val="0"/>
              <w:autoSpaceDN w:val="0"/>
              <w:adjustRightInd w:val="0"/>
              <w:spacing w:line="320" w:lineRule="exact"/>
              <w:rPr>
                <w:rFonts w:ascii="宋体" w:hAnsi="宋体"/>
                <w:bCs/>
                <w:kern w:val="0"/>
                <w:sz w:val="24"/>
              </w:rPr>
            </w:pPr>
          </w:p>
        </w:tc>
        <w:tc>
          <w:tcPr>
            <w:tcW w:w="2646" w:type="dxa"/>
            <w:tcBorders>
              <w:left w:val="single" w:color="auto" w:sz="4" w:space="0"/>
              <w:right w:val="single" w:color="auto" w:sz="4" w:space="0"/>
            </w:tcBorders>
            <w:noWrap/>
            <w:vAlign w:val="center"/>
          </w:tcPr>
          <w:p w14:paraId="7E60DB9A">
            <w:pPr>
              <w:autoSpaceDE w:val="0"/>
              <w:autoSpaceDN w:val="0"/>
              <w:adjustRightInd w:val="0"/>
              <w:spacing w:line="320" w:lineRule="exact"/>
              <w:rPr>
                <w:rFonts w:ascii="宋体" w:hAnsi="宋体"/>
                <w:bCs/>
                <w:kern w:val="0"/>
                <w:sz w:val="24"/>
              </w:rPr>
            </w:pPr>
          </w:p>
        </w:tc>
        <w:tc>
          <w:tcPr>
            <w:tcW w:w="1993" w:type="dxa"/>
            <w:tcBorders>
              <w:left w:val="single" w:color="auto" w:sz="4" w:space="0"/>
              <w:right w:val="single" w:color="auto" w:sz="12" w:space="0"/>
            </w:tcBorders>
            <w:noWrap/>
            <w:vAlign w:val="center"/>
          </w:tcPr>
          <w:p w14:paraId="5B0D25F8">
            <w:pPr>
              <w:autoSpaceDE w:val="0"/>
              <w:autoSpaceDN w:val="0"/>
              <w:adjustRightInd w:val="0"/>
              <w:spacing w:line="320" w:lineRule="exact"/>
              <w:rPr>
                <w:rFonts w:ascii="宋体" w:hAnsi="宋体"/>
                <w:bCs/>
                <w:kern w:val="0"/>
                <w:sz w:val="24"/>
              </w:rPr>
            </w:pPr>
          </w:p>
        </w:tc>
      </w:tr>
      <w:tr w14:paraId="5F7E26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167A27E9">
            <w:pPr>
              <w:autoSpaceDE w:val="0"/>
              <w:autoSpaceDN w:val="0"/>
              <w:adjustRightInd w:val="0"/>
              <w:spacing w:line="320" w:lineRule="exact"/>
              <w:jc w:val="center"/>
              <w:rPr>
                <w:rFonts w:ascii="宋体" w:hAnsi="宋体"/>
                <w:kern w:val="0"/>
                <w:sz w:val="24"/>
              </w:rPr>
            </w:pPr>
            <w:r>
              <w:rPr>
                <w:rFonts w:hint="eastAsia" w:ascii="宋体" w:hAnsi="宋体"/>
                <w:kern w:val="0"/>
                <w:sz w:val="24"/>
              </w:rPr>
              <w:t>2</w:t>
            </w:r>
          </w:p>
        </w:tc>
        <w:tc>
          <w:tcPr>
            <w:tcW w:w="2855" w:type="dxa"/>
            <w:tcBorders>
              <w:right w:val="single" w:color="auto" w:sz="4" w:space="0"/>
            </w:tcBorders>
            <w:noWrap/>
            <w:vAlign w:val="center"/>
          </w:tcPr>
          <w:p w14:paraId="7FF21604">
            <w:pPr>
              <w:autoSpaceDE w:val="0"/>
              <w:autoSpaceDN w:val="0"/>
              <w:adjustRightInd w:val="0"/>
              <w:spacing w:line="320" w:lineRule="exact"/>
              <w:rPr>
                <w:rFonts w:ascii="宋体" w:hAnsi="宋体"/>
                <w:bCs/>
                <w:kern w:val="0"/>
                <w:sz w:val="24"/>
              </w:rPr>
            </w:pPr>
          </w:p>
        </w:tc>
        <w:tc>
          <w:tcPr>
            <w:tcW w:w="2646" w:type="dxa"/>
            <w:tcBorders>
              <w:left w:val="single" w:color="auto" w:sz="4" w:space="0"/>
              <w:right w:val="single" w:color="auto" w:sz="4" w:space="0"/>
            </w:tcBorders>
            <w:noWrap/>
            <w:vAlign w:val="center"/>
          </w:tcPr>
          <w:p w14:paraId="2FA7824F">
            <w:pPr>
              <w:autoSpaceDE w:val="0"/>
              <w:autoSpaceDN w:val="0"/>
              <w:adjustRightInd w:val="0"/>
              <w:spacing w:line="320" w:lineRule="exact"/>
              <w:rPr>
                <w:rFonts w:ascii="宋体" w:hAnsi="宋体"/>
                <w:bCs/>
                <w:kern w:val="0"/>
                <w:sz w:val="24"/>
              </w:rPr>
            </w:pPr>
          </w:p>
        </w:tc>
        <w:tc>
          <w:tcPr>
            <w:tcW w:w="1993" w:type="dxa"/>
            <w:tcBorders>
              <w:left w:val="single" w:color="auto" w:sz="4" w:space="0"/>
              <w:right w:val="single" w:color="auto" w:sz="12" w:space="0"/>
            </w:tcBorders>
            <w:noWrap/>
            <w:vAlign w:val="center"/>
          </w:tcPr>
          <w:p w14:paraId="33CA44E8">
            <w:pPr>
              <w:autoSpaceDE w:val="0"/>
              <w:autoSpaceDN w:val="0"/>
              <w:adjustRightInd w:val="0"/>
              <w:spacing w:line="320" w:lineRule="exact"/>
              <w:rPr>
                <w:rFonts w:ascii="宋体" w:hAnsi="宋体"/>
                <w:bCs/>
                <w:kern w:val="0"/>
                <w:sz w:val="24"/>
              </w:rPr>
            </w:pPr>
          </w:p>
        </w:tc>
      </w:tr>
      <w:tr w14:paraId="33D3D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3A604EEE">
            <w:pPr>
              <w:autoSpaceDE w:val="0"/>
              <w:autoSpaceDN w:val="0"/>
              <w:adjustRightInd w:val="0"/>
              <w:spacing w:line="320" w:lineRule="exact"/>
              <w:jc w:val="center"/>
              <w:rPr>
                <w:rFonts w:ascii="宋体" w:hAnsi="宋体"/>
                <w:kern w:val="0"/>
                <w:sz w:val="24"/>
              </w:rPr>
            </w:pPr>
            <w:r>
              <w:rPr>
                <w:rFonts w:hint="eastAsia" w:ascii="宋体" w:hAnsi="宋体"/>
                <w:kern w:val="0"/>
                <w:sz w:val="24"/>
              </w:rPr>
              <w:t>3</w:t>
            </w:r>
          </w:p>
        </w:tc>
        <w:tc>
          <w:tcPr>
            <w:tcW w:w="2855" w:type="dxa"/>
            <w:tcBorders>
              <w:right w:val="single" w:color="auto" w:sz="4" w:space="0"/>
            </w:tcBorders>
            <w:noWrap/>
            <w:vAlign w:val="center"/>
          </w:tcPr>
          <w:p w14:paraId="6A90C2B2">
            <w:pPr>
              <w:autoSpaceDE w:val="0"/>
              <w:autoSpaceDN w:val="0"/>
              <w:adjustRightInd w:val="0"/>
              <w:spacing w:line="320" w:lineRule="exact"/>
              <w:rPr>
                <w:rFonts w:ascii="宋体" w:hAnsi="宋体"/>
                <w:bCs/>
                <w:kern w:val="0"/>
                <w:sz w:val="24"/>
              </w:rPr>
            </w:pPr>
          </w:p>
        </w:tc>
        <w:tc>
          <w:tcPr>
            <w:tcW w:w="2646" w:type="dxa"/>
            <w:tcBorders>
              <w:left w:val="single" w:color="auto" w:sz="4" w:space="0"/>
              <w:right w:val="single" w:color="auto" w:sz="4" w:space="0"/>
            </w:tcBorders>
            <w:noWrap/>
            <w:vAlign w:val="center"/>
          </w:tcPr>
          <w:p w14:paraId="6B6B557D">
            <w:pPr>
              <w:autoSpaceDE w:val="0"/>
              <w:autoSpaceDN w:val="0"/>
              <w:adjustRightInd w:val="0"/>
              <w:spacing w:line="320" w:lineRule="exact"/>
              <w:rPr>
                <w:rFonts w:ascii="宋体" w:hAnsi="宋体"/>
                <w:bCs/>
                <w:kern w:val="0"/>
                <w:sz w:val="24"/>
              </w:rPr>
            </w:pPr>
          </w:p>
        </w:tc>
        <w:tc>
          <w:tcPr>
            <w:tcW w:w="1993" w:type="dxa"/>
            <w:tcBorders>
              <w:left w:val="single" w:color="auto" w:sz="4" w:space="0"/>
              <w:right w:val="single" w:color="auto" w:sz="12" w:space="0"/>
            </w:tcBorders>
            <w:noWrap/>
            <w:vAlign w:val="center"/>
          </w:tcPr>
          <w:p w14:paraId="50CEC05B">
            <w:pPr>
              <w:autoSpaceDE w:val="0"/>
              <w:autoSpaceDN w:val="0"/>
              <w:adjustRightInd w:val="0"/>
              <w:spacing w:line="320" w:lineRule="exact"/>
              <w:rPr>
                <w:rFonts w:ascii="宋体" w:hAnsi="宋体"/>
                <w:bCs/>
                <w:kern w:val="0"/>
                <w:sz w:val="24"/>
              </w:rPr>
            </w:pPr>
          </w:p>
        </w:tc>
      </w:tr>
      <w:tr w14:paraId="51C04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71093D66">
            <w:pPr>
              <w:autoSpaceDE w:val="0"/>
              <w:autoSpaceDN w:val="0"/>
              <w:adjustRightInd w:val="0"/>
              <w:spacing w:line="320" w:lineRule="exact"/>
              <w:jc w:val="center"/>
              <w:rPr>
                <w:rFonts w:ascii="宋体" w:hAnsi="宋体"/>
                <w:kern w:val="0"/>
                <w:sz w:val="24"/>
              </w:rPr>
            </w:pPr>
            <w:r>
              <w:rPr>
                <w:rFonts w:hint="eastAsia" w:ascii="宋体" w:hAnsi="宋体"/>
                <w:kern w:val="0"/>
                <w:sz w:val="24"/>
              </w:rPr>
              <w:t>……</w:t>
            </w:r>
          </w:p>
        </w:tc>
        <w:tc>
          <w:tcPr>
            <w:tcW w:w="2855" w:type="dxa"/>
            <w:tcBorders>
              <w:right w:val="single" w:color="auto" w:sz="4" w:space="0"/>
            </w:tcBorders>
            <w:noWrap/>
            <w:vAlign w:val="center"/>
          </w:tcPr>
          <w:p w14:paraId="7EFC9EFA">
            <w:pPr>
              <w:autoSpaceDE w:val="0"/>
              <w:autoSpaceDN w:val="0"/>
              <w:adjustRightInd w:val="0"/>
              <w:spacing w:line="320" w:lineRule="exact"/>
              <w:rPr>
                <w:rFonts w:ascii="宋体" w:hAnsi="宋体"/>
                <w:bCs/>
                <w:kern w:val="0"/>
                <w:sz w:val="24"/>
              </w:rPr>
            </w:pPr>
          </w:p>
        </w:tc>
        <w:tc>
          <w:tcPr>
            <w:tcW w:w="2646" w:type="dxa"/>
            <w:tcBorders>
              <w:left w:val="single" w:color="auto" w:sz="4" w:space="0"/>
              <w:right w:val="single" w:color="auto" w:sz="4" w:space="0"/>
            </w:tcBorders>
            <w:noWrap/>
            <w:vAlign w:val="center"/>
          </w:tcPr>
          <w:p w14:paraId="566DC493">
            <w:pPr>
              <w:autoSpaceDE w:val="0"/>
              <w:autoSpaceDN w:val="0"/>
              <w:adjustRightInd w:val="0"/>
              <w:spacing w:line="320" w:lineRule="exact"/>
              <w:rPr>
                <w:rFonts w:ascii="宋体" w:hAnsi="宋体"/>
                <w:bCs/>
                <w:kern w:val="0"/>
                <w:sz w:val="24"/>
              </w:rPr>
            </w:pPr>
          </w:p>
        </w:tc>
        <w:tc>
          <w:tcPr>
            <w:tcW w:w="1993" w:type="dxa"/>
            <w:tcBorders>
              <w:left w:val="single" w:color="auto" w:sz="4" w:space="0"/>
              <w:right w:val="single" w:color="auto" w:sz="12" w:space="0"/>
            </w:tcBorders>
            <w:noWrap/>
            <w:vAlign w:val="center"/>
          </w:tcPr>
          <w:p w14:paraId="01C36CAF">
            <w:pPr>
              <w:autoSpaceDE w:val="0"/>
              <w:autoSpaceDN w:val="0"/>
              <w:adjustRightInd w:val="0"/>
              <w:spacing w:line="320" w:lineRule="exact"/>
              <w:rPr>
                <w:rFonts w:ascii="宋体" w:hAnsi="宋体"/>
                <w:bCs/>
                <w:kern w:val="0"/>
                <w:sz w:val="24"/>
              </w:rPr>
            </w:pPr>
          </w:p>
        </w:tc>
      </w:tr>
    </w:tbl>
    <w:p w14:paraId="2B1DF2BA">
      <w:pPr>
        <w:spacing w:line="500" w:lineRule="exact"/>
        <w:ind w:firstLine="3840" w:firstLineChars="1600"/>
        <w:rPr>
          <w:rFonts w:ascii="宋体" w:hAnsi="宋体"/>
          <w:sz w:val="24"/>
        </w:rPr>
      </w:pPr>
    </w:p>
    <w:p w14:paraId="30D4C144">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48A8680F">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58B972DA">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4C2D64A9">
      <w:pPr>
        <w:pStyle w:val="25"/>
        <w:wordWrap w:val="0"/>
        <w:spacing w:line="500" w:lineRule="exact"/>
        <w:ind w:firstLineChars="200"/>
        <w:rPr>
          <w:rFonts w:ascii="宋体" w:hAnsi="宋体" w:cs="宋体"/>
          <w:szCs w:val="21"/>
        </w:rPr>
      </w:pPr>
      <w:r>
        <w:rPr>
          <w:rFonts w:hint="eastAsia" w:ascii="宋体" w:hAnsi="宋体" w:cs="宋体"/>
          <w:szCs w:val="21"/>
        </w:rPr>
        <w:t>备注：</w:t>
      </w:r>
    </w:p>
    <w:p w14:paraId="3A35FAB8">
      <w:pPr>
        <w:pStyle w:val="25"/>
        <w:wordWrap w:val="0"/>
        <w:spacing w:line="400" w:lineRule="exact"/>
        <w:ind w:firstLineChars="200"/>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F28CA8">
      <w:pPr>
        <w:pStyle w:val="25"/>
        <w:wordWrap w:val="0"/>
        <w:spacing w:line="400" w:lineRule="exact"/>
        <w:ind w:firstLineChars="200"/>
        <w:rPr>
          <w:rFonts w:ascii="宋体" w:hAnsi="宋体" w:cs="宋体"/>
          <w:szCs w:val="21"/>
        </w:rPr>
      </w:pPr>
      <w:r>
        <w:rPr>
          <w:rFonts w:hint="eastAsia" w:ascii="宋体" w:hAnsi="宋体" w:cs="宋体"/>
          <w:szCs w:val="21"/>
        </w:rPr>
        <w:t>2.管理关系：是指不具有出资持股关系的其他单位之间存在的管理与被管理关系，如一些上下级关系的事业单位和团体组织。</w:t>
      </w:r>
    </w:p>
    <w:p w14:paraId="46EBEC09">
      <w:pPr>
        <w:pStyle w:val="25"/>
        <w:wordWrap w:val="0"/>
        <w:spacing w:line="400" w:lineRule="exact"/>
        <w:ind w:firstLineChars="200"/>
        <w:rPr>
          <w:rFonts w:ascii="宋体" w:hAnsi="宋体" w:cs="宋体"/>
          <w:szCs w:val="21"/>
        </w:rPr>
      </w:pPr>
      <w:r>
        <w:rPr>
          <w:rFonts w:hint="eastAsia" w:ascii="宋体" w:hAnsi="宋体" w:cs="宋体"/>
          <w:szCs w:val="21"/>
        </w:rPr>
        <w:t>3.本表所指的控股、管理关系仅限于直接控股、直接管理关系，不包括间接的控股或管理关系。公司实际控制人与公司之间的关系不属于本表所指的直接控股关系。</w:t>
      </w:r>
    </w:p>
    <w:p w14:paraId="46BB6AA8">
      <w:pPr>
        <w:pStyle w:val="25"/>
        <w:wordWrap w:val="0"/>
        <w:spacing w:line="400" w:lineRule="exact"/>
        <w:ind w:firstLineChars="200"/>
        <w:rPr>
          <w:rFonts w:ascii="仿宋" w:hAnsi="仿宋" w:eastAsia="仿宋" w:cs="仿宋"/>
        </w:rPr>
      </w:pPr>
      <w:r>
        <w:rPr>
          <w:rFonts w:hint="eastAsia" w:ascii="宋体" w:hAnsi="宋体" w:cs="宋体"/>
          <w:szCs w:val="21"/>
        </w:rPr>
        <w:t>4.供应商如不存在直接控股股东的，则在“直接控股股东名称及出资比例”处填写“无”或“/”。供应商不存在直接管理关系的，则在“直接管理关系单位名称”中填“无”或“/”。</w:t>
      </w:r>
    </w:p>
    <w:p w14:paraId="385CDB10">
      <w:pPr>
        <w:spacing w:line="500" w:lineRule="exact"/>
        <w:ind w:firstLine="561"/>
        <w:rPr>
          <w:rFonts w:ascii="宋体" w:hAnsi="宋体"/>
          <w:b/>
          <w:bCs/>
          <w:sz w:val="24"/>
        </w:rPr>
      </w:pPr>
      <w:bookmarkStart w:id="89" w:name="_Toc13961"/>
      <w:bookmarkStart w:id="90" w:name="_Toc18882"/>
      <w:bookmarkStart w:id="91" w:name="_Toc24547"/>
      <w:bookmarkStart w:id="92" w:name="_Toc21910"/>
      <w:r>
        <w:rPr>
          <w:rFonts w:hint="eastAsia" w:ascii="仿宋" w:hAnsi="仿宋" w:eastAsia="仿宋" w:cs="仿宋"/>
          <w:b/>
          <w:bCs/>
          <w:sz w:val="30"/>
          <w:szCs w:val="30"/>
        </w:rPr>
        <w:br w:type="page"/>
      </w:r>
      <w:bookmarkEnd w:id="89"/>
      <w:bookmarkEnd w:id="90"/>
      <w:bookmarkEnd w:id="91"/>
      <w:bookmarkEnd w:id="92"/>
      <w:r>
        <w:rPr>
          <w:rFonts w:hint="eastAsia" w:ascii="宋体" w:hAnsi="宋体"/>
          <w:b/>
          <w:bCs/>
          <w:sz w:val="24"/>
        </w:rPr>
        <w:t>附件四：法定代表人授权委托书</w:t>
      </w:r>
    </w:p>
    <w:p w14:paraId="01FA04D1">
      <w:pPr>
        <w:pStyle w:val="25"/>
        <w:widowControl/>
        <w:spacing w:line="360" w:lineRule="auto"/>
        <w:ind w:firstLine="602" w:firstLineChars="200"/>
        <w:jc w:val="center"/>
        <w:rPr>
          <w:rFonts w:cs="华文仿宋"/>
          <w:b/>
          <w:bCs/>
          <w:sz w:val="30"/>
          <w:szCs w:val="30"/>
        </w:rPr>
      </w:pPr>
      <w:bookmarkStart w:id="93" w:name="_Toc31865"/>
      <w:bookmarkStart w:id="94" w:name="_Toc12905"/>
      <w:bookmarkStart w:id="95" w:name="_Toc14081"/>
      <w:bookmarkStart w:id="96" w:name="_Toc23557"/>
      <w:bookmarkStart w:id="97" w:name="_Toc6945"/>
      <w:bookmarkStart w:id="98" w:name="_Toc26738"/>
      <w:bookmarkStart w:id="99" w:name="_Toc483349441"/>
      <w:bookmarkStart w:id="100" w:name="_Toc29613"/>
      <w:bookmarkStart w:id="101" w:name="_Toc29800"/>
      <w:bookmarkStart w:id="102" w:name="_Toc13597"/>
      <w:bookmarkStart w:id="103" w:name="_Toc22198"/>
      <w:bookmarkStart w:id="104" w:name="_Toc22704"/>
      <w:bookmarkStart w:id="105" w:name="_Toc13312"/>
      <w:bookmarkStart w:id="106" w:name="_Toc31501"/>
      <w:bookmarkStart w:id="107" w:name="_Toc18044"/>
      <w:bookmarkStart w:id="108" w:name="_Toc21050"/>
      <w:bookmarkStart w:id="109" w:name="_Toc19326"/>
      <w:bookmarkStart w:id="110" w:name="_Toc15591"/>
      <w:bookmarkStart w:id="111" w:name="_Toc17265"/>
      <w:bookmarkStart w:id="112" w:name="_Toc12408"/>
      <w:bookmarkStart w:id="113" w:name="_Toc17482"/>
      <w:bookmarkStart w:id="114" w:name="_Toc9004"/>
    </w:p>
    <w:p w14:paraId="3D0812A4">
      <w:pPr>
        <w:pStyle w:val="25"/>
        <w:widowControl/>
        <w:spacing w:line="360" w:lineRule="auto"/>
        <w:ind w:firstLine="602" w:firstLineChars="200"/>
        <w:jc w:val="center"/>
        <w:rPr>
          <w:rFonts w:cs="华文仿宋"/>
          <w:b/>
          <w:bCs/>
          <w:sz w:val="30"/>
          <w:szCs w:val="30"/>
        </w:rPr>
      </w:pPr>
      <w:r>
        <w:rPr>
          <w:rFonts w:hint="eastAsia" w:cs="华文仿宋"/>
          <w:b/>
          <w:bCs/>
          <w:sz w:val="30"/>
          <w:szCs w:val="30"/>
        </w:rPr>
        <w:t>法定代表人授权书</w:t>
      </w:r>
      <w:bookmarkEnd w:id="93"/>
      <w:bookmarkEnd w:id="94"/>
      <w:bookmarkEnd w:id="95"/>
      <w:bookmarkEnd w:id="96"/>
      <w:bookmarkEnd w:id="97"/>
      <w:bookmarkEnd w:id="98"/>
      <w:bookmarkEnd w:id="99"/>
      <w:bookmarkEnd w:id="100"/>
      <w:bookmarkEnd w:id="101"/>
      <w:bookmarkEnd w:id="102"/>
      <w:bookmarkEnd w:id="103"/>
      <w:bookmarkEnd w:id="104"/>
    </w:p>
    <w:p w14:paraId="0537EA7D">
      <w:pPr>
        <w:spacing w:line="360" w:lineRule="auto"/>
        <w:rPr>
          <w:rFonts w:ascii="宋体" w:cs="Times New Roman"/>
          <w:b/>
          <w:bCs/>
          <w:sz w:val="24"/>
        </w:rPr>
      </w:pPr>
      <w:r>
        <w:rPr>
          <w:rFonts w:hint="eastAsia" w:ascii="宋体" w:hAnsi="宋体"/>
          <w:sz w:val="24"/>
        </w:rPr>
        <w:t>致：</w:t>
      </w:r>
      <w:r>
        <w:rPr>
          <w:rFonts w:hint="eastAsia" w:ascii="宋体" w:hAnsi="宋体"/>
          <w:b/>
          <w:bCs/>
          <w:sz w:val="24"/>
        </w:rPr>
        <w:t>陕西德勤招标有限公司</w:t>
      </w:r>
    </w:p>
    <w:p w14:paraId="751479C9">
      <w:pPr>
        <w:pStyle w:val="13"/>
        <w:spacing w:line="500" w:lineRule="exact"/>
        <w:ind w:left="-120" w:leftChars="-57" w:firstLine="600" w:firstLineChars="250"/>
        <w:rPr>
          <w:sz w:val="24"/>
          <w:szCs w:val="24"/>
        </w:rPr>
      </w:pPr>
      <w:r>
        <w:rPr>
          <w:rFonts w:hint="eastAsia" w:hAnsi="宋体"/>
          <w:sz w:val="24"/>
          <w:szCs w:val="24"/>
        </w:rPr>
        <w:t>本授权书声明：注册于（</w:t>
      </w:r>
      <w:r>
        <w:rPr>
          <w:rFonts w:hAnsi="宋体"/>
          <w:sz w:val="24"/>
          <w:szCs w:val="24"/>
          <w:u w:val="single"/>
        </w:rPr>
        <w:t xml:space="preserve"> </w:t>
      </w:r>
      <w:r>
        <w:rPr>
          <w:rFonts w:hint="eastAsia" w:hAnsi="宋体"/>
          <w:sz w:val="24"/>
          <w:szCs w:val="24"/>
          <w:u w:val="single"/>
        </w:rPr>
        <w:t>工商行政管理局名称）之（委托单位全称）</w:t>
      </w:r>
      <w:r>
        <w:rPr>
          <w:rFonts w:hAnsi="宋体"/>
          <w:sz w:val="24"/>
          <w:szCs w:val="24"/>
          <w:u w:val="single"/>
        </w:rPr>
        <w:t xml:space="preserve"> </w:t>
      </w:r>
      <w:r>
        <w:rPr>
          <w:rFonts w:hint="eastAsia" w:hAnsi="宋体"/>
          <w:sz w:val="24"/>
          <w:szCs w:val="24"/>
        </w:rPr>
        <w:t>的法定代表人</w:t>
      </w:r>
      <w:r>
        <w:rPr>
          <w:rFonts w:hint="eastAsia" w:hAnsi="宋体"/>
          <w:sz w:val="24"/>
          <w:szCs w:val="24"/>
          <w:u w:val="single"/>
        </w:rPr>
        <w:t>（姓名、性别）</w:t>
      </w:r>
      <w:r>
        <w:rPr>
          <w:rFonts w:hint="eastAsia" w:hAnsi="宋体"/>
          <w:sz w:val="24"/>
          <w:szCs w:val="24"/>
        </w:rPr>
        <w:t>授权本公司的</w:t>
      </w:r>
      <w:r>
        <w:rPr>
          <w:rFonts w:hint="eastAsia" w:hAnsi="宋体"/>
          <w:sz w:val="24"/>
          <w:szCs w:val="24"/>
          <w:u w:val="single"/>
        </w:rPr>
        <w:t>（被授权人姓名、性别、职务）</w:t>
      </w:r>
      <w:r>
        <w:rPr>
          <w:rFonts w:hint="eastAsia" w:hAnsi="宋体"/>
          <w:sz w:val="24"/>
          <w:szCs w:val="24"/>
        </w:rPr>
        <w:t>为合法代理人，就贵方组织的有关</w:t>
      </w:r>
      <w:r>
        <w:rPr>
          <w:rFonts w:hint="eastAsia" w:hAnsi="宋体"/>
          <w:sz w:val="24"/>
          <w:szCs w:val="24"/>
          <w:u w:val="single"/>
        </w:rPr>
        <w:t>（采购项目名称）</w:t>
      </w:r>
      <w:r>
        <w:rPr>
          <w:rFonts w:hint="eastAsia" w:hAnsi="宋体"/>
          <w:sz w:val="24"/>
          <w:szCs w:val="24"/>
        </w:rPr>
        <w:t>（项目编号：</w:t>
      </w:r>
      <w:r>
        <w:rPr>
          <w:rFonts w:hAnsi="宋体"/>
          <w:sz w:val="24"/>
          <w:szCs w:val="24"/>
          <w:u w:val="single"/>
        </w:rPr>
        <w:t xml:space="preserve">                 </w:t>
      </w:r>
      <w:r>
        <w:rPr>
          <w:rFonts w:hint="eastAsia" w:hAnsi="宋体"/>
          <w:sz w:val="24"/>
          <w:szCs w:val="24"/>
        </w:rPr>
        <w:t>）的响应、洽谈、执行等具体事务，签署全部有关响应文件、文书、协议、合同，本公司对被授权人在本项目中的签名承担全部法律责任。本授权书自磋商会议之日起计算有效期为</w:t>
      </w:r>
      <w:r>
        <w:rPr>
          <w:rFonts w:hint="eastAsia" w:hAnsi="宋体"/>
          <w:sz w:val="24"/>
          <w:szCs w:val="24"/>
          <w:u w:val="single"/>
        </w:rPr>
        <w:t>90</w:t>
      </w:r>
      <w:r>
        <w:rPr>
          <w:rFonts w:hint="eastAsia" w:hAnsi="宋体"/>
          <w:sz w:val="24"/>
          <w:szCs w:val="24"/>
        </w:rPr>
        <w:t>天。</w:t>
      </w:r>
    </w:p>
    <w:p w14:paraId="63A46DA6">
      <w:pPr>
        <w:pStyle w:val="13"/>
        <w:spacing w:line="500" w:lineRule="exact"/>
        <w:ind w:firstLine="480" w:firstLineChars="200"/>
        <w:rPr>
          <w:sz w:val="24"/>
          <w:szCs w:val="24"/>
        </w:rPr>
      </w:pPr>
      <w:r>
        <w:rPr>
          <w:rFonts w:hint="eastAsia" w:hAnsi="宋体"/>
          <w:sz w:val="24"/>
          <w:szCs w:val="24"/>
        </w:rPr>
        <w:t>委托单位：</w:t>
      </w:r>
      <w:r>
        <w:rPr>
          <w:rFonts w:hAnsi="宋体"/>
          <w:sz w:val="24"/>
          <w:szCs w:val="24"/>
          <w:u w:val="single"/>
        </w:rPr>
        <w:t xml:space="preserve">    </w:t>
      </w:r>
      <w:r>
        <w:rPr>
          <w:rFonts w:hint="eastAsia" w:hAnsi="宋体"/>
          <w:sz w:val="24"/>
          <w:szCs w:val="24"/>
        </w:rPr>
        <w:t>（公章）</w:t>
      </w:r>
      <w:r>
        <w:rPr>
          <w:rFonts w:hAnsi="宋体"/>
          <w:sz w:val="24"/>
          <w:szCs w:val="24"/>
        </w:rPr>
        <w:t xml:space="preserve">                  </w:t>
      </w:r>
      <w:r>
        <w:rPr>
          <w:rFonts w:hint="eastAsia" w:hAnsi="宋体"/>
          <w:sz w:val="24"/>
          <w:szCs w:val="24"/>
        </w:rPr>
        <w:t>法定代表人（签字或盖章）：</w:t>
      </w:r>
    </w:p>
    <w:p w14:paraId="7DAA321B">
      <w:pPr>
        <w:pStyle w:val="13"/>
        <w:spacing w:line="500" w:lineRule="exact"/>
        <w:ind w:firstLine="480" w:firstLineChars="200"/>
        <w:rPr>
          <w:sz w:val="24"/>
          <w:szCs w:val="24"/>
        </w:rPr>
      </w:pPr>
      <w:r>
        <w:rPr>
          <w:rFonts w:hint="eastAsia" w:hAnsi="宋体"/>
          <w:sz w:val="24"/>
          <w:szCs w:val="24"/>
        </w:rPr>
        <w:t>签发日期：</w:t>
      </w:r>
      <w:r>
        <w:rPr>
          <w:rFonts w:hAnsi="宋体"/>
          <w:sz w:val="24"/>
          <w:szCs w:val="24"/>
          <w:u w:val="single"/>
        </w:rPr>
        <w:t xml:space="preserve">     </w:t>
      </w:r>
      <w:r>
        <w:rPr>
          <w:rFonts w:hint="eastAsia" w:hAnsi="宋体"/>
          <w:sz w:val="24"/>
          <w:szCs w:val="24"/>
        </w:rPr>
        <w:t>年</w:t>
      </w:r>
      <w:r>
        <w:rPr>
          <w:rFonts w:hAnsi="宋体"/>
          <w:sz w:val="24"/>
          <w:szCs w:val="24"/>
          <w:u w:val="single"/>
        </w:rPr>
        <w:t xml:space="preserve">    </w:t>
      </w:r>
      <w:r>
        <w:rPr>
          <w:rFonts w:hint="eastAsia" w:hAnsi="宋体"/>
          <w:sz w:val="24"/>
          <w:szCs w:val="24"/>
        </w:rPr>
        <w:t>月</w:t>
      </w:r>
      <w:r>
        <w:rPr>
          <w:rFonts w:hAnsi="宋体"/>
          <w:sz w:val="24"/>
          <w:szCs w:val="24"/>
          <w:u w:val="single"/>
        </w:rPr>
        <w:t xml:space="preserve">    </w:t>
      </w:r>
      <w:r>
        <w:rPr>
          <w:rFonts w:hint="eastAsia" w:hAnsi="宋体"/>
          <w:sz w:val="24"/>
          <w:szCs w:val="24"/>
        </w:rPr>
        <w:t>日</w:t>
      </w:r>
    </w:p>
    <w:p w14:paraId="5EF2EE67">
      <w:pPr>
        <w:pStyle w:val="13"/>
        <w:spacing w:line="500" w:lineRule="exact"/>
        <w:ind w:firstLine="480" w:firstLineChars="200"/>
        <w:rPr>
          <w:sz w:val="24"/>
          <w:szCs w:val="24"/>
        </w:rPr>
      </w:pPr>
      <w:r>
        <w:rPr>
          <w:rFonts w:hint="eastAsia" w:hAnsi="宋体"/>
          <w:sz w:val="24"/>
          <w:szCs w:val="24"/>
        </w:rPr>
        <w:t>附：被授权人姓名（签字或盖章）：</w:t>
      </w:r>
      <w:r>
        <w:rPr>
          <w:rFonts w:hAnsi="宋体"/>
          <w:sz w:val="24"/>
          <w:szCs w:val="24"/>
          <w:u w:val="single"/>
        </w:rPr>
        <w:t xml:space="preserve">              </w:t>
      </w:r>
      <w:r>
        <w:rPr>
          <w:rFonts w:hint="eastAsia" w:hAnsi="宋体"/>
          <w:sz w:val="24"/>
          <w:szCs w:val="24"/>
        </w:rPr>
        <w:t>性别：</w:t>
      </w:r>
      <w:r>
        <w:rPr>
          <w:rFonts w:hAnsi="宋体"/>
          <w:sz w:val="24"/>
          <w:szCs w:val="24"/>
          <w:u w:val="single"/>
        </w:rPr>
        <w:t xml:space="preserve">       </w:t>
      </w:r>
      <w:r>
        <w:rPr>
          <w:rFonts w:hint="eastAsia" w:hAnsi="宋体"/>
          <w:sz w:val="24"/>
          <w:szCs w:val="24"/>
        </w:rPr>
        <w:t>职务：</w:t>
      </w:r>
      <w:r>
        <w:rPr>
          <w:rFonts w:hAnsi="宋体"/>
          <w:sz w:val="24"/>
          <w:szCs w:val="24"/>
          <w:u w:val="single"/>
        </w:rPr>
        <w:t xml:space="preserve">             </w:t>
      </w:r>
    </w:p>
    <w:p w14:paraId="6B3FA87F">
      <w:pPr>
        <w:pStyle w:val="13"/>
        <w:spacing w:line="500" w:lineRule="exact"/>
        <w:ind w:firstLine="960" w:firstLineChars="400"/>
        <w:rPr>
          <w:sz w:val="24"/>
          <w:szCs w:val="24"/>
          <w:u w:val="single"/>
        </w:rPr>
      </w:pPr>
      <w:r>
        <w:rPr>
          <w:rFonts w:hint="eastAsia" w:hAnsi="宋体"/>
          <w:sz w:val="24"/>
          <w:szCs w:val="24"/>
        </w:rPr>
        <w:t>联系地址：</w:t>
      </w:r>
      <w:r>
        <w:rPr>
          <w:rFonts w:hAnsi="宋体"/>
          <w:sz w:val="24"/>
          <w:szCs w:val="24"/>
        </w:rPr>
        <w:t xml:space="preserve">  </w:t>
      </w:r>
      <w:r>
        <w:rPr>
          <w:rFonts w:hAnsi="宋体"/>
          <w:sz w:val="24"/>
          <w:szCs w:val="24"/>
          <w:u w:val="single"/>
        </w:rPr>
        <w:t xml:space="preserve">                                                </w:t>
      </w:r>
    </w:p>
    <w:p w14:paraId="6D42569F">
      <w:pPr>
        <w:pStyle w:val="13"/>
        <w:spacing w:line="500" w:lineRule="exact"/>
        <w:ind w:firstLine="960" w:firstLineChars="400"/>
        <w:rPr>
          <w:sz w:val="24"/>
          <w:szCs w:val="24"/>
          <w:u w:val="single"/>
        </w:rPr>
      </w:pPr>
      <w:r>
        <w:rPr>
          <w:rFonts w:hint="eastAsia" w:hAnsi="宋体"/>
          <w:sz w:val="24"/>
          <w:szCs w:val="24"/>
        </w:rPr>
        <w:t>联系电话：</w:t>
      </w:r>
      <w:r>
        <w:rPr>
          <w:rFonts w:hAnsi="宋体"/>
          <w:sz w:val="24"/>
          <w:szCs w:val="24"/>
          <w:u w:val="single"/>
        </w:rPr>
        <w:t xml:space="preserve">                  </w:t>
      </w:r>
      <w:r>
        <w:rPr>
          <w:rFonts w:hint="eastAsia" w:hAnsi="宋体"/>
          <w:sz w:val="24"/>
          <w:szCs w:val="24"/>
        </w:rPr>
        <w:t>传真：</w:t>
      </w:r>
      <w:r>
        <w:rPr>
          <w:rFonts w:hAnsi="宋体"/>
          <w:sz w:val="24"/>
          <w:szCs w:val="24"/>
        </w:rPr>
        <w:t xml:space="preserve">                          </w:t>
      </w:r>
    </w:p>
    <w:p w14:paraId="6C614904">
      <w:pPr>
        <w:pStyle w:val="13"/>
        <w:spacing w:line="500" w:lineRule="exact"/>
        <w:ind w:firstLine="2760" w:firstLineChars="1150"/>
        <w:rPr>
          <w:sz w:val="24"/>
          <w:szCs w:val="24"/>
        </w:rPr>
      </w:pPr>
    </w:p>
    <w:p w14:paraId="11E01E2B">
      <w:pPr>
        <w:pStyle w:val="13"/>
        <w:spacing w:line="500" w:lineRule="exact"/>
        <w:ind w:firstLine="2760" w:firstLineChars="1150"/>
        <w:rPr>
          <w:sz w:val="24"/>
          <w:szCs w:val="24"/>
        </w:rPr>
      </w:pPr>
      <w:r>
        <w:rPr>
          <w:rFonts w:hint="eastAsia" w:hAnsi="宋体"/>
          <w:sz w:val="24"/>
          <w:szCs w:val="24"/>
        </w:rPr>
        <w:t>法定代表人</w:t>
      </w:r>
      <w:r>
        <w:rPr>
          <w:rFonts w:hAnsi="宋体"/>
          <w:sz w:val="24"/>
          <w:szCs w:val="24"/>
        </w:rPr>
        <w:t>/</w:t>
      </w:r>
      <w:r>
        <w:rPr>
          <w:rFonts w:hint="eastAsia" w:hAnsi="宋体"/>
          <w:sz w:val="24"/>
          <w:szCs w:val="24"/>
        </w:rPr>
        <w:t>被授权人身份证复印件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14:paraId="5D7C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14:paraId="6C149041">
            <w:pPr>
              <w:pStyle w:val="13"/>
              <w:snapToGrid w:val="0"/>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法定代表人身份证复印件（国徽面）</w:t>
            </w:r>
          </w:p>
        </w:tc>
        <w:tc>
          <w:tcPr>
            <w:tcW w:w="4213" w:type="dxa"/>
            <w:shd w:val="clear" w:color="auto" w:fill="E0E0E0"/>
            <w:vAlign w:val="center"/>
          </w:tcPr>
          <w:p w14:paraId="14836B43">
            <w:pPr>
              <w:pStyle w:val="13"/>
              <w:snapToGrid w:val="0"/>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被授权人身份证复印件（国徽面）</w:t>
            </w:r>
          </w:p>
        </w:tc>
      </w:tr>
      <w:tr w14:paraId="6971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14:paraId="7042D03E">
            <w:pPr>
              <w:pStyle w:val="13"/>
              <w:snapToGrid w:val="0"/>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法定代表人身份证复印件（人像面）</w:t>
            </w:r>
          </w:p>
        </w:tc>
        <w:tc>
          <w:tcPr>
            <w:tcW w:w="4213" w:type="dxa"/>
            <w:shd w:val="clear" w:color="auto" w:fill="E0E0E0"/>
            <w:vAlign w:val="center"/>
          </w:tcPr>
          <w:p w14:paraId="512AABAD">
            <w:pPr>
              <w:pStyle w:val="13"/>
              <w:snapToGrid w:val="0"/>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被授权人身份证复印件（人像面）</w:t>
            </w:r>
          </w:p>
        </w:tc>
      </w:tr>
    </w:tbl>
    <w:p w14:paraId="4E88CCA8">
      <w:pPr>
        <w:spacing w:line="360" w:lineRule="auto"/>
        <w:jc w:val="center"/>
        <w:rPr>
          <w:rFonts w:ascii="黑体" w:hAnsi="仿宋" w:eastAsia="黑体" w:cs="黑体"/>
          <w:sz w:val="32"/>
          <w:szCs w:val="32"/>
        </w:rPr>
      </w:pPr>
    </w:p>
    <w:bookmarkEnd w:id="105"/>
    <w:bookmarkEnd w:id="106"/>
    <w:bookmarkEnd w:id="107"/>
    <w:bookmarkEnd w:id="108"/>
    <w:bookmarkEnd w:id="109"/>
    <w:bookmarkEnd w:id="110"/>
    <w:bookmarkEnd w:id="111"/>
    <w:bookmarkEnd w:id="112"/>
    <w:bookmarkEnd w:id="113"/>
    <w:bookmarkEnd w:id="114"/>
    <w:p w14:paraId="0D64FBD5">
      <w:pPr>
        <w:widowControl/>
        <w:spacing w:line="360" w:lineRule="exact"/>
        <w:ind w:firstLine="420" w:firstLineChars="200"/>
        <w:rPr>
          <w:rFonts w:ascii="宋体" w:hAnsi="宋体"/>
          <w:b/>
          <w:bCs/>
          <w:szCs w:val="21"/>
        </w:rPr>
      </w:pPr>
      <w:bookmarkStart w:id="115" w:name="_Toc5624"/>
      <w:bookmarkStart w:id="116" w:name="_Toc7264"/>
      <w:bookmarkStart w:id="117" w:name="_Toc4050"/>
      <w:bookmarkStart w:id="118" w:name="_Toc2556"/>
      <w:bookmarkStart w:id="119" w:name="_Toc15794"/>
      <w:bookmarkStart w:id="120" w:name="_Toc26876"/>
      <w:r>
        <w:rPr>
          <w:rFonts w:hint="eastAsia" w:ascii="宋体" w:hAnsi="宋体"/>
          <w:szCs w:val="21"/>
        </w:rPr>
        <w:t>备注：</w:t>
      </w:r>
      <w:r>
        <w:rPr>
          <w:rFonts w:hint="eastAsia" w:ascii="宋体" w:hAnsi="宋体"/>
          <w:b/>
          <w:bCs/>
          <w:szCs w:val="21"/>
        </w:rPr>
        <w:t>1、法定代表人亲自参加磋商的，无需提供该委托授权书，但须提供法定代表人本人身份证（正反面）复印件，并在复印件中注明联系方式。</w:t>
      </w:r>
    </w:p>
    <w:p w14:paraId="30FFB36D">
      <w:pPr>
        <w:widowControl/>
        <w:spacing w:line="360" w:lineRule="exact"/>
        <w:ind w:firstLine="420" w:firstLineChars="200"/>
        <w:rPr>
          <w:rFonts w:ascii="宋体" w:hAnsi="宋体"/>
          <w:szCs w:val="21"/>
        </w:rPr>
      </w:pPr>
      <w:r>
        <w:rPr>
          <w:rFonts w:hint="eastAsia" w:ascii="宋体" w:hAnsi="宋体"/>
          <w:szCs w:val="21"/>
        </w:rPr>
        <w:t>2、法人的分支机构参与磋商时，除提供《法定代表人授权委托书》外，还须同时提供法人给分支机构出具的授权书。</w:t>
      </w:r>
    </w:p>
    <w:p w14:paraId="038E9393">
      <w:pPr>
        <w:spacing w:line="500" w:lineRule="exact"/>
        <w:ind w:firstLine="561"/>
        <w:rPr>
          <w:rFonts w:ascii="宋体" w:hAnsi="宋体"/>
          <w:b/>
          <w:bCs/>
          <w:sz w:val="24"/>
        </w:rPr>
      </w:pPr>
      <w:r>
        <w:rPr>
          <w:rFonts w:hint="eastAsia" w:ascii="华文仿宋" w:hAnsi="华文仿宋" w:cs="华文仿宋"/>
        </w:rPr>
        <w:br w:type="page"/>
      </w:r>
      <w:bookmarkEnd w:id="115"/>
      <w:bookmarkEnd w:id="116"/>
      <w:bookmarkEnd w:id="117"/>
      <w:bookmarkEnd w:id="118"/>
      <w:bookmarkEnd w:id="119"/>
      <w:bookmarkEnd w:id="120"/>
      <w:r>
        <w:rPr>
          <w:rFonts w:hint="eastAsia" w:ascii="宋体" w:hAnsi="宋体"/>
          <w:b/>
          <w:bCs/>
          <w:sz w:val="24"/>
        </w:rPr>
        <w:t>附件五：非联合体不分包磋商声明</w:t>
      </w:r>
    </w:p>
    <w:p w14:paraId="3031BA38">
      <w:pPr>
        <w:pStyle w:val="25"/>
        <w:widowControl/>
        <w:ind w:firstLine="602" w:firstLineChars="200"/>
        <w:jc w:val="center"/>
        <w:rPr>
          <w:rFonts w:cs="华文仿宋"/>
          <w:b/>
          <w:bCs/>
          <w:sz w:val="30"/>
          <w:szCs w:val="30"/>
        </w:rPr>
      </w:pPr>
    </w:p>
    <w:p w14:paraId="35F4EE5D">
      <w:pPr>
        <w:pStyle w:val="25"/>
        <w:widowControl/>
        <w:ind w:firstLine="602" w:firstLineChars="200"/>
        <w:jc w:val="center"/>
        <w:rPr>
          <w:rFonts w:cs="华文仿宋"/>
          <w:b/>
          <w:bCs/>
          <w:sz w:val="30"/>
          <w:szCs w:val="30"/>
        </w:rPr>
      </w:pPr>
      <w:r>
        <w:rPr>
          <w:rFonts w:hint="eastAsia" w:cs="华文仿宋"/>
          <w:b/>
          <w:bCs/>
          <w:sz w:val="30"/>
          <w:szCs w:val="30"/>
        </w:rPr>
        <w:t>非联合体不分包磋商声明</w:t>
      </w:r>
    </w:p>
    <w:p w14:paraId="0B6C714C">
      <w:pPr>
        <w:spacing w:line="360" w:lineRule="auto"/>
        <w:ind w:firstLine="480" w:firstLineChars="200"/>
        <w:rPr>
          <w:rFonts w:ascii="宋体" w:hAnsi="宋体"/>
          <w:sz w:val="24"/>
        </w:rPr>
      </w:pPr>
    </w:p>
    <w:p w14:paraId="07105B24">
      <w:pPr>
        <w:spacing w:line="360" w:lineRule="auto"/>
        <w:ind w:firstLine="480" w:firstLineChars="200"/>
        <w:rPr>
          <w:rFonts w:ascii="宋体" w:hAnsi="宋体"/>
          <w:sz w:val="24"/>
        </w:rPr>
      </w:pPr>
      <w:r>
        <w:rPr>
          <w:rFonts w:hint="eastAsia" w:ascii="宋体" w:hAnsi="宋体"/>
          <w:sz w:val="24"/>
        </w:rPr>
        <w:t>本单位郑重声明，参加陕西德勤招标有限公司的</w:t>
      </w:r>
      <w:r>
        <w:rPr>
          <w:rFonts w:hint="eastAsia" w:ascii="宋体" w:hAnsi="宋体"/>
          <w:sz w:val="24"/>
          <w:u w:val="single"/>
        </w:rPr>
        <w:t>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）采购活动，为非联合体磋商，本项目实施过程由本单位独立承担。</w:t>
      </w:r>
    </w:p>
    <w:p w14:paraId="7BED414B">
      <w:pPr>
        <w:spacing w:line="36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272FBABF">
      <w:pPr>
        <w:spacing w:line="360" w:lineRule="auto"/>
        <w:ind w:firstLine="480" w:firstLineChars="200"/>
        <w:jc w:val="left"/>
        <w:rPr>
          <w:rFonts w:ascii="宋体" w:hAnsi="宋体"/>
          <w:sz w:val="24"/>
        </w:rPr>
      </w:pPr>
    </w:p>
    <w:p w14:paraId="0A12B2CD">
      <w:pPr>
        <w:pStyle w:val="6"/>
        <w:spacing w:line="360" w:lineRule="auto"/>
        <w:ind w:firstLine="480"/>
        <w:rPr>
          <w:rFonts w:ascii="宋体" w:hAnsi="宋体"/>
          <w:sz w:val="24"/>
        </w:rPr>
      </w:pPr>
    </w:p>
    <w:p w14:paraId="570C02E8">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41107691">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2F18D1F6">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088100EF">
      <w:pPr>
        <w:spacing w:line="480" w:lineRule="auto"/>
        <w:ind w:firstLine="480" w:firstLineChars="200"/>
        <w:jc w:val="left"/>
        <w:rPr>
          <w:rFonts w:ascii="宋体" w:hAnsi="宋体"/>
          <w:sz w:val="24"/>
        </w:rPr>
      </w:pPr>
    </w:p>
    <w:p w14:paraId="573D443D">
      <w:pPr>
        <w:spacing w:line="360" w:lineRule="auto"/>
        <w:jc w:val="center"/>
        <w:rPr>
          <w:rFonts w:ascii="黑体" w:hAnsi="黑体" w:eastAsia="黑体" w:cs="黑体"/>
          <w:b/>
          <w:bCs/>
          <w:kern w:val="0"/>
          <w:sz w:val="32"/>
          <w:szCs w:val="32"/>
        </w:rPr>
      </w:pPr>
      <w:r>
        <w:rPr>
          <w:rFonts w:hint="eastAsia" w:ascii="宋体" w:cs="Times New Roman"/>
          <w:sz w:val="24"/>
        </w:rPr>
        <w:br w:type="page"/>
      </w:r>
      <w:bookmarkStart w:id="121" w:name="_Toc2952"/>
      <w:bookmarkStart w:id="122" w:name="_Toc29332"/>
      <w:bookmarkStart w:id="123" w:name="_Toc30135"/>
      <w:bookmarkStart w:id="124" w:name="_Toc26404"/>
      <w:bookmarkStart w:id="125" w:name="_Toc25329"/>
      <w:bookmarkStart w:id="126" w:name="_Toc15231"/>
      <w:bookmarkStart w:id="127" w:name="_Toc28788"/>
      <w:bookmarkStart w:id="128" w:name="_Toc10876"/>
      <w:bookmarkStart w:id="129" w:name="_Toc23476"/>
      <w:r>
        <w:rPr>
          <w:rFonts w:hint="eastAsia" w:ascii="黑体" w:hAnsi="黑体" w:eastAsia="黑体" w:cs="黑体"/>
          <w:b/>
          <w:bCs/>
          <w:kern w:val="0"/>
          <w:sz w:val="32"/>
          <w:szCs w:val="32"/>
        </w:rPr>
        <w:t>二、符合性证明文件</w:t>
      </w:r>
      <w:bookmarkEnd w:id="121"/>
      <w:bookmarkEnd w:id="122"/>
      <w:bookmarkEnd w:id="123"/>
      <w:bookmarkEnd w:id="124"/>
      <w:bookmarkEnd w:id="125"/>
      <w:bookmarkEnd w:id="126"/>
      <w:bookmarkEnd w:id="127"/>
      <w:bookmarkEnd w:id="128"/>
      <w:bookmarkEnd w:id="129"/>
    </w:p>
    <w:p w14:paraId="34F2C4DB">
      <w:pPr>
        <w:spacing w:line="360" w:lineRule="auto"/>
        <w:jc w:val="center"/>
        <w:rPr>
          <w:rFonts w:ascii="黑体" w:hAnsi="仿宋" w:eastAsia="黑体" w:cs="黑体"/>
          <w:b/>
          <w:bCs/>
          <w:sz w:val="32"/>
          <w:szCs w:val="32"/>
        </w:rPr>
      </w:pPr>
      <w:r>
        <w:rPr>
          <w:rFonts w:hint="eastAsia" w:ascii="黑体" w:hAnsi="仿宋" w:eastAsia="黑体" w:cs="黑体"/>
          <w:b/>
          <w:bCs/>
          <w:sz w:val="32"/>
          <w:szCs w:val="32"/>
        </w:rPr>
        <w:t>（一）响应函格式</w:t>
      </w:r>
    </w:p>
    <w:p w14:paraId="0F80EBB3">
      <w:pPr>
        <w:pStyle w:val="25"/>
        <w:widowControl/>
        <w:ind w:firstLine="301"/>
        <w:jc w:val="center"/>
        <w:rPr>
          <w:rFonts w:cs="华文仿宋"/>
          <w:b/>
          <w:bCs/>
          <w:sz w:val="30"/>
          <w:szCs w:val="30"/>
        </w:rPr>
      </w:pPr>
      <w:r>
        <w:rPr>
          <w:rFonts w:hint="eastAsia" w:cs="华文仿宋"/>
          <w:b/>
          <w:bCs/>
          <w:sz w:val="30"/>
          <w:szCs w:val="30"/>
        </w:rPr>
        <w:t>响应函</w:t>
      </w:r>
    </w:p>
    <w:p w14:paraId="70F42BC8">
      <w:pPr>
        <w:spacing w:line="360" w:lineRule="auto"/>
        <w:rPr>
          <w:rFonts w:ascii="宋体" w:hAnsi="宋体"/>
          <w:b/>
          <w:bCs/>
          <w:sz w:val="24"/>
        </w:rPr>
      </w:pPr>
      <w:r>
        <w:rPr>
          <w:rFonts w:hint="eastAsia" w:ascii="宋体" w:hAnsi="宋体"/>
          <w:sz w:val="24"/>
        </w:rPr>
        <w:t>致：</w:t>
      </w:r>
      <w:r>
        <w:rPr>
          <w:rFonts w:hint="eastAsia" w:ascii="宋体" w:hAnsi="宋体"/>
          <w:b/>
          <w:bCs/>
          <w:sz w:val="24"/>
        </w:rPr>
        <w:t>陕西德勤招标有限公司</w:t>
      </w:r>
    </w:p>
    <w:p w14:paraId="51918D66">
      <w:pPr>
        <w:spacing w:line="360" w:lineRule="auto"/>
        <w:ind w:firstLine="480" w:firstLineChars="200"/>
        <w:rPr>
          <w:rFonts w:ascii="宋体" w:hAnsi="宋体"/>
          <w:sz w:val="24"/>
        </w:rPr>
      </w:pPr>
      <w:r>
        <w:rPr>
          <w:rFonts w:hint="eastAsia" w:ascii="宋体" w:hAnsi="宋体"/>
          <w:sz w:val="24"/>
        </w:rPr>
        <w:t>为响应你方组织的</w:t>
      </w:r>
      <w:r>
        <w:rPr>
          <w:rFonts w:hint="eastAsia" w:ascii="宋体" w:hAnsi="宋体"/>
          <w:sz w:val="24"/>
          <w:u w:val="single"/>
        </w:rPr>
        <w:t>（</w:t>
      </w:r>
      <w:r>
        <w:rPr>
          <w:rFonts w:hint="eastAsia" w:hAnsi="宋体"/>
          <w:sz w:val="24"/>
          <w:u w:val="single"/>
        </w:rPr>
        <w:t>采购项目名称）</w:t>
      </w:r>
      <w:r>
        <w:rPr>
          <w:rFonts w:hint="eastAsia" w:ascii="宋体" w:hAnsi="宋体"/>
          <w:sz w:val="24"/>
        </w:rPr>
        <w:t>的竞争性磋商采购（项目编号为：</w:t>
      </w:r>
      <w:r>
        <w:rPr>
          <w:rFonts w:hint="eastAsia" w:ascii="宋体" w:hAnsi="宋体"/>
          <w:sz w:val="24"/>
          <w:u w:val="single"/>
        </w:rPr>
        <w:t xml:space="preserve">        </w:t>
      </w:r>
      <w:r>
        <w:rPr>
          <w:rFonts w:hint="eastAsia" w:ascii="宋体" w:hAnsi="宋体"/>
          <w:sz w:val="24"/>
        </w:rPr>
        <w:t>），我方愿参与磋商。</w:t>
      </w:r>
    </w:p>
    <w:p w14:paraId="24C593DD">
      <w:pPr>
        <w:spacing w:line="360" w:lineRule="auto"/>
        <w:ind w:firstLine="480" w:firstLineChars="200"/>
        <w:rPr>
          <w:rFonts w:ascii="宋体" w:hAnsi="宋体"/>
          <w:sz w:val="24"/>
        </w:rPr>
      </w:pPr>
      <w:r>
        <w:rPr>
          <w:rFonts w:hint="eastAsia" w:ascii="宋体" w:hAnsi="宋体"/>
          <w:sz w:val="24"/>
        </w:rPr>
        <w:t>我方确认收到贵方提供的</w:t>
      </w:r>
      <w:r>
        <w:rPr>
          <w:rFonts w:hint="eastAsia" w:ascii="宋体" w:hAnsi="宋体"/>
          <w:sz w:val="24"/>
          <w:u w:val="single"/>
        </w:rPr>
        <w:t xml:space="preserve">  （</w:t>
      </w:r>
      <w:r>
        <w:rPr>
          <w:rFonts w:hint="eastAsia" w:hAnsi="宋体"/>
          <w:sz w:val="24"/>
          <w:u w:val="single"/>
        </w:rPr>
        <w:t>采购项目名称）</w:t>
      </w:r>
      <w:r>
        <w:rPr>
          <w:rFonts w:hint="eastAsia" w:ascii="宋体" w:hAnsi="宋体"/>
          <w:sz w:val="24"/>
          <w:u w:val="single"/>
        </w:rPr>
        <w:t xml:space="preserve">  </w:t>
      </w:r>
      <w:r>
        <w:rPr>
          <w:rFonts w:hint="eastAsia" w:ascii="宋体" w:hAnsi="宋体"/>
          <w:sz w:val="24"/>
        </w:rPr>
        <w:t>磋商文件的全部内容。</w:t>
      </w:r>
    </w:p>
    <w:p w14:paraId="4C8B0EEB">
      <w:pPr>
        <w:spacing w:line="360" w:lineRule="auto"/>
        <w:ind w:firstLine="480" w:firstLineChars="200"/>
        <w:rPr>
          <w:rFonts w:ascii="宋体" w:hAnsi="宋体"/>
          <w:sz w:val="24"/>
        </w:rPr>
      </w:pPr>
      <w:r>
        <w:rPr>
          <w:rFonts w:hint="eastAsia" w:ascii="宋体" w:hAnsi="宋体"/>
          <w:sz w:val="24"/>
        </w:rPr>
        <w:t>我方在参与磋商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62888ED9">
      <w:pPr>
        <w:spacing w:line="360" w:lineRule="auto"/>
        <w:ind w:firstLine="480" w:firstLineChars="200"/>
        <w:rPr>
          <w:rFonts w:ascii="宋体" w:hAnsi="宋体"/>
          <w:sz w:val="24"/>
        </w:rPr>
      </w:pPr>
      <w:r>
        <w:rPr>
          <w:rFonts w:hint="eastAsia" w:ascii="宋体" w:hAnsi="宋体"/>
          <w:sz w:val="24"/>
          <w:u w:val="single"/>
        </w:rPr>
        <w:t xml:space="preserve">      (供应商名称)      </w:t>
      </w:r>
      <w:r>
        <w:rPr>
          <w:rFonts w:hint="eastAsia" w:ascii="宋体" w:hAnsi="宋体"/>
          <w:sz w:val="24"/>
        </w:rPr>
        <w:t>作为供应商正式授权</w:t>
      </w:r>
      <w:r>
        <w:rPr>
          <w:rFonts w:hint="eastAsia" w:ascii="宋体" w:hAnsi="宋体"/>
          <w:sz w:val="24"/>
          <w:u w:val="single"/>
        </w:rPr>
        <w:t xml:space="preserve">  (授权代表全名, 职务)  </w:t>
      </w:r>
      <w:r>
        <w:rPr>
          <w:rFonts w:hint="eastAsia" w:ascii="宋体" w:hAnsi="宋体"/>
          <w:sz w:val="24"/>
        </w:rPr>
        <w:t>代表我方全权处理有关本响应的一切事宜。</w:t>
      </w:r>
    </w:p>
    <w:p w14:paraId="7243B404">
      <w:pPr>
        <w:spacing w:line="360" w:lineRule="auto"/>
        <w:ind w:firstLine="480" w:firstLineChars="200"/>
        <w:rPr>
          <w:rFonts w:ascii="宋体" w:hAnsi="宋体"/>
          <w:sz w:val="24"/>
        </w:rPr>
      </w:pPr>
      <w:r>
        <w:rPr>
          <w:rFonts w:hint="eastAsia" w:ascii="宋体" w:hAnsi="宋体"/>
          <w:sz w:val="24"/>
        </w:rPr>
        <w:t>在此提交的响应文件，正本壹份，副本</w:t>
      </w:r>
      <w:r>
        <w:rPr>
          <w:rFonts w:hint="eastAsia" w:ascii="宋体" w:hAnsi="宋体"/>
          <w:sz w:val="24"/>
          <w:u w:val="single"/>
        </w:rPr>
        <w:t xml:space="preserve">  </w:t>
      </w:r>
      <w:r>
        <w:rPr>
          <w:rFonts w:hint="eastAsia" w:ascii="宋体" w:hAnsi="宋体"/>
          <w:sz w:val="24"/>
        </w:rPr>
        <w:t>份，电子版本</w:t>
      </w:r>
      <w:r>
        <w:rPr>
          <w:rFonts w:hint="eastAsia" w:ascii="宋体" w:hAnsi="宋体"/>
          <w:sz w:val="24"/>
          <w:u w:val="single"/>
        </w:rPr>
        <w:t xml:space="preserve">  </w:t>
      </w:r>
      <w:r>
        <w:rPr>
          <w:rFonts w:hint="eastAsia" w:ascii="宋体" w:hAnsi="宋体"/>
          <w:sz w:val="24"/>
        </w:rPr>
        <w:t>份。</w:t>
      </w:r>
    </w:p>
    <w:p w14:paraId="7CC64071">
      <w:pPr>
        <w:spacing w:line="360" w:lineRule="auto"/>
        <w:ind w:firstLine="480" w:firstLineChars="200"/>
        <w:rPr>
          <w:rFonts w:ascii="宋体" w:hAnsi="宋体"/>
          <w:sz w:val="24"/>
        </w:rPr>
      </w:pPr>
      <w:r>
        <w:rPr>
          <w:rFonts w:hint="eastAsia" w:ascii="宋体" w:hAnsi="宋体"/>
          <w:sz w:val="24"/>
        </w:rPr>
        <w:t>我方已完全明白磋商文件的所有条款要求，并申明如下：</w:t>
      </w:r>
    </w:p>
    <w:p w14:paraId="7E3F4C04">
      <w:pPr>
        <w:spacing w:line="360" w:lineRule="auto"/>
        <w:ind w:firstLine="480" w:firstLineChars="200"/>
        <w:rPr>
          <w:rFonts w:ascii="宋体" w:hAnsi="宋体"/>
          <w:sz w:val="24"/>
        </w:rPr>
      </w:pPr>
      <w:r>
        <w:rPr>
          <w:rFonts w:hint="eastAsia" w:ascii="宋体" w:hAnsi="宋体"/>
          <w:sz w:val="24"/>
        </w:rPr>
        <w:t>（一）按磋商文件提供的全部服务的响应总价详见《响应报价表》。</w:t>
      </w:r>
    </w:p>
    <w:p w14:paraId="63996AB3">
      <w:pPr>
        <w:spacing w:line="360" w:lineRule="auto"/>
        <w:ind w:firstLine="480" w:firstLineChars="200"/>
        <w:rPr>
          <w:rFonts w:ascii="宋体" w:hAnsi="宋体"/>
          <w:sz w:val="24"/>
        </w:rPr>
      </w:pPr>
      <w:r>
        <w:rPr>
          <w:rFonts w:hint="eastAsia" w:ascii="宋体" w:hAnsi="宋体"/>
          <w:sz w:val="24"/>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66A90AF5">
      <w:pPr>
        <w:spacing w:line="360" w:lineRule="auto"/>
        <w:ind w:firstLine="480" w:firstLineChars="200"/>
        <w:rPr>
          <w:rFonts w:ascii="宋体" w:hAnsi="宋体"/>
          <w:sz w:val="24"/>
        </w:rPr>
      </w:pPr>
      <w:r>
        <w:rPr>
          <w:rFonts w:hint="eastAsia" w:ascii="宋体" w:hAnsi="宋体"/>
          <w:sz w:val="24"/>
        </w:rPr>
        <w:t>（三）我方明白并同意，在规定的开标日之后，响应有效期之内撤回响应或成交后不按规定与采购人签订合同或不提交履约保证金，则贵方将不予退还磋商保证金。</w:t>
      </w:r>
    </w:p>
    <w:p w14:paraId="0B4B74A2">
      <w:pPr>
        <w:spacing w:line="360" w:lineRule="auto"/>
        <w:ind w:firstLine="480" w:firstLineChars="200"/>
        <w:rPr>
          <w:rFonts w:ascii="宋体" w:hAnsi="宋体"/>
          <w:sz w:val="24"/>
        </w:rPr>
      </w:pPr>
      <w:r>
        <w:rPr>
          <w:rFonts w:hint="eastAsia" w:ascii="宋体" w:hAnsi="宋体"/>
          <w:sz w:val="24"/>
        </w:rPr>
        <w:t>（四）我方同意按照贵方可能提出的要求而提供与响应有关的任何其它数据、信息或资料。</w:t>
      </w:r>
    </w:p>
    <w:p w14:paraId="057941FB">
      <w:pPr>
        <w:spacing w:line="360" w:lineRule="auto"/>
        <w:ind w:firstLine="480" w:firstLineChars="200"/>
        <w:rPr>
          <w:rFonts w:ascii="宋体" w:hAnsi="宋体"/>
          <w:sz w:val="24"/>
        </w:rPr>
      </w:pPr>
      <w:r>
        <w:rPr>
          <w:rFonts w:hint="eastAsia" w:ascii="宋体" w:hAnsi="宋体"/>
          <w:sz w:val="24"/>
        </w:rPr>
        <w:t>（五）我方理解贵方不一定接受最低响应价或任何贵方可能收到的响应报价。</w:t>
      </w:r>
    </w:p>
    <w:p w14:paraId="3A7BF69F">
      <w:pPr>
        <w:spacing w:line="360" w:lineRule="auto"/>
        <w:ind w:firstLine="480" w:firstLineChars="200"/>
        <w:rPr>
          <w:rFonts w:ascii="宋体" w:hAnsi="宋体"/>
          <w:sz w:val="24"/>
        </w:rPr>
      </w:pPr>
      <w:r>
        <w:rPr>
          <w:rFonts w:hint="eastAsia" w:ascii="宋体" w:hAnsi="宋体"/>
          <w:sz w:val="24"/>
        </w:rPr>
        <w:t>（六）我方如果成交，将保证履行磋商文件及其澄清、修改文件（如果有）中的全部责任和义务，按质、按量、按期完成《用户需求书》及《合同书》中的全部任务。</w:t>
      </w:r>
    </w:p>
    <w:p w14:paraId="74C9DCDA">
      <w:pPr>
        <w:spacing w:line="360" w:lineRule="auto"/>
        <w:ind w:firstLine="480" w:firstLineChars="200"/>
        <w:rPr>
          <w:rFonts w:ascii="宋体" w:hAnsi="宋体"/>
          <w:sz w:val="24"/>
        </w:rPr>
      </w:pPr>
      <w:r>
        <w:rPr>
          <w:rFonts w:hint="eastAsia" w:ascii="宋体" w:hAnsi="宋体"/>
          <w:sz w:val="24"/>
        </w:rPr>
        <w:t>（七）如我方被授予合同，我方承诺支付就本次采购应支付或将支付的采购代理服务费。</w:t>
      </w:r>
    </w:p>
    <w:p w14:paraId="51A29BBA">
      <w:pPr>
        <w:spacing w:line="360" w:lineRule="auto"/>
        <w:ind w:firstLine="480" w:firstLineChars="200"/>
        <w:rPr>
          <w:rFonts w:ascii="宋体" w:hAnsi="宋体"/>
          <w:sz w:val="24"/>
        </w:rPr>
      </w:pPr>
      <w:r>
        <w:rPr>
          <w:rFonts w:hint="eastAsia" w:ascii="宋体" w:hAnsi="宋体"/>
          <w:sz w:val="24"/>
        </w:rPr>
        <w:t>（八）我方作为在法律、财务和运作上独立于采购人、采购代理机构的供应商，在此保证所提交的所有文件和全部说明是真实的和正确的。</w:t>
      </w:r>
    </w:p>
    <w:p w14:paraId="23953104">
      <w:pPr>
        <w:spacing w:line="360" w:lineRule="auto"/>
        <w:ind w:firstLine="480" w:firstLineChars="200"/>
        <w:rPr>
          <w:rFonts w:ascii="宋体" w:hAnsi="宋体"/>
          <w:sz w:val="24"/>
        </w:rPr>
      </w:pPr>
      <w:r>
        <w:rPr>
          <w:rFonts w:hint="eastAsia" w:ascii="宋体" w:hAnsi="宋体"/>
          <w:sz w:val="24"/>
        </w:rPr>
        <w:t xml:space="preserve">（九）我方响应报价已包含应向知识产权所有权人支付的所有相关税费，并保证采购人在中国使用我方提供的服务时，如有第三方提出侵犯其知识产权主张的，责任由我方承担。 </w:t>
      </w:r>
    </w:p>
    <w:p w14:paraId="0BCC6DB2">
      <w:pPr>
        <w:spacing w:line="360" w:lineRule="auto"/>
        <w:ind w:firstLine="480" w:firstLineChars="200"/>
        <w:rPr>
          <w:rFonts w:ascii="宋体" w:hAnsi="宋体"/>
          <w:sz w:val="24"/>
        </w:rPr>
      </w:pPr>
      <w:r>
        <w:rPr>
          <w:rFonts w:hint="eastAsia" w:ascii="宋体" w:hAnsi="宋体"/>
          <w:sz w:val="24"/>
        </w:rPr>
        <w:t>（十）</w:t>
      </w:r>
      <w:r>
        <w:rPr>
          <w:rFonts w:hint="eastAsia" w:ascii="宋体" w:hAnsi="宋体"/>
          <w:b/>
          <w:bCs/>
          <w:sz w:val="24"/>
          <w:u w:val="single"/>
        </w:rPr>
        <w:t>我方符合磋商文件中“供应商资格要求”规定的条件</w:t>
      </w:r>
      <w:r>
        <w:rPr>
          <w:rFonts w:hint="eastAsia" w:ascii="宋体" w:hAnsi="宋体"/>
          <w:sz w:val="24"/>
        </w:rPr>
        <w:t>，承诺如下：</w:t>
      </w:r>
    </w:p>
    <w:p w14:paraId="442B9CBD">
      <w:pPr>
        <w:spacing w:line="360" w:lineRule="auto"/>
        <w:ind w:firstLine="480" w:firstLineChars="200"/>
        <w:rPr>
          <w:rFonts w:ascii="宋体" w:hAnsi="宋体"/>
          <w:sz w:val="24"/>
        </w:rPr>
      </w:pPr>
      <w:r>
        <w:rPr>
          <w:rFonts w:hint="eastAsia" w:ascii="宋体" w:hAnsi="宋体"/>
          <w:sz w:val="24"/>
        </w:rPr>
        <w:t>（1）我方具有独立承担民事责任的能力，且是中华人民共和国境内注册的法人、其他组织或自然人；</w:t>
      </w:r>
    </w:p>
    <w:p w14:paraId="73EA5A84">
      <w:pPr>
        <w:spacing w:line="360" w:lineRule="auto"/>
        <w:ind w:firstLine="480" w:firstLineChars="200"/>
        <w:rPr>
          <w:rFonts w:ascii="宋体" w:hAnsi="宋体"/>
          <w:sz w:val="24"/>
        </w:rPr>
      </w:pPr>
      <w:r>
        <w:rPr>
          <w:rFonts w:hint="eastAsia" w:ascii="宋体" w:hAnsi="宋体"/>
          <w:sz w:val="24"/>
        </w:rPr>
        <w:t>（2）我方具有良好的商业信誉和健全的财务会计制度；</w:t>
      </w:r>
    </w:p>
    <w:p w14:paraId="70C8B037">
      <w:pPr>
        <w:spacing w:line="360" w:lineRule="auto"/>
        <w:ind w:firstLine="480" w:firstLineChars="200"/>
        <w:rPr>
          <w:rFonts w:ascii="宋体" w:hAnsi="宋体"/>
          <w:sz w:val="24"/>
        </w:rPr>
      </w:pPr>
      <w:r>
        <w:rPr>
          <w:rFonts w:hint="eastAsia" w:ascii="宋体" w:hAnsi="宋体"/>
          <w:sz w:val="24"/>
        </w:rPr>
        <w:t>（3）我方具有履行合同所必须的设备和专业技术能力；</w:t>
      </w:r>
    </w:p>
    <w:p w14:paraId="48CB887E">
      <w:pPr>
        <w:spacing w:line="360" w:lineRule="auto"/>
        <w:ind w:firstLine="480" w:firstLineChars="200"/>
        <w:rPr>
          <w:rFonts w:ascii="宋体" w:hAnsi="宋体"/>
          <w:sz w:val="24"/>
        </w:rPr>
      </w:pPr>
      <w:r>
        <w:rPr>
          <w:rFonts w:hint="eastAsia" w:ascii="宋体" w:hAnsi="宋体"/>
          <w:sz w:val="24"/>
        </w:rPr>
        <w:t>（4）我方具有依法缴纳税收和社会保障资金的良好记录；</w:t>
      </w:r>
    </w:p>
    <w:p w14:paraId="3548E0C1">
      <w:pPr>
        <w:spacing w:line="360" w:lineRule="auto"/>
        <w:ind w:firstLine="480" w:firstLineChars="200"/>
        <w:rPr>
          <w:rFonts w:ascii="宋体" w:hAnsi="宋体"/>
          <w:sz w:val="24"/>
        </w:rPr>
      </w:pPr>
      <w:r>
        <w:rPr>
          <w:rFonts w:hint="eastAsia" w:ascii="宋体" w:hAnsi="宋体"/>
          <w:sz w:val="24"/>
        </w:rPr>
        <w:t>（5）我方参加本次政府采购活动前三年内，在经营活动中没有重大违法记录；</w:t>
      </w:r>
    </w:p>
    <w:p w14:paraId="1A4B55AD">
      <w:pPr>
        <w:spacing w:line="360" w:lineRule="auto"/>
        <w:ind w:firstLine="480" w:firstLineChars="200"/>
        <w:rPr>
          <w:rFonts w:ascii="宋体" w:hAnsi="宋体"/>
          <w:sz w:val="24"/>
        </w:rPr>
      </w:pPr>
      <w:r>
        <w:rPr>
          <w:rFonts w:hint="eastAsia" w:ascii="宋体" w:hAnsi="宋体"/>
          <w:sz w:val="24"/>
        </w:rPr>
        <w:t>（6）我方具有法律、行政法规规定的其他条件；</w:t>
      </w:r>
    </w:p>
    <w:p w14:paraId="5C39E92B">
      <w:pPr>
        <w:spacing w:line="360" w:lineRule="auto"/>
        <w:ind w:firstLine="480" w:firstLineChars="200"/>
        <w:rPr>
          <w:rFonts w:ascii="宋体" w:hAnsi="宋体"/>
          <w:sz w:val="24"/>
        </w:rPr>
      </w:pPr>
      <w:r>
        <w:rPr>
          <w:rFonts w:hint="eastAsia" w:ascii="宋体" w:hAnsi="宋体"/>
          <w:sz w:val="24"/>
        </w:rPr>
        <w:t>（7）我方具备采购人根据采购项目提出的特殊条件（如果有）。</w:t>
      </w:r>
    </w:p>
    <w:p w14:paraId="48498D19">
      <w:pPr>
        <w:spacing w:line="360" w:lineRule="auto"/>
        <w:ind w:firstLine="482" w:firstLineChars="200"/>
        <w:rPr>
          <w:rFonts w:ascii="宋体" w:hAnsi="宋体"/>
          <w:b/>
          <w:bCs/>
          <w:sz w:val="24"/>
          <w:u w:val="single"/>
        </w:rPr>
      </w:pPr>
      <w:r>
        <w:rPr>
          <w:rFonts w:hint="eastAsia" w:ascii="宋体" w:hAnsi="宋体"/>
          <w:b/>
          <w:bCs/>
          <w:sz w:val="24"/>
          <w:u w:val="single"/>
        </w:rPr>
        <w:t>以上内容如有虚假或与事实不符的，磋商小组可将我方做无效响应处理，相关法律责任和处罚也由我方承担。</w:t>
      </w:r>
    </w:p>
    <w:p w14:paraId="0FAEE2DA">
      <w:pPr>
        <w:spacing w:line="360" w:lineRule="auto"/>
        <w:ind w:firstLine="480" w:firstLineChars="200"/>
        <w:rPr>
          <w:rFonts w:ascii="宋体" w:hAnsi="宋体"/>
          <w:sz w:val="24"/>
        </w:rPr>
      </w:pPr>
      <w:r>
        <w:rPr>
          <w:rFonts w:hint="eastAsia" w:ascii="宋体" w:hAnsi="宋体"/>
          <w:sz w:val="24"/>
        </w:rPr>
        <w:t>（十一）我方对在本函及响应文件中所作的所有承诺承担法律责任。</w:t>
      </w:r>
    </w:p>
    <w:p w14:paraId="2747E5DD">
      <w:pPr>
        <w:spacing w:line="360" w:lineRule="auto"/>
        <w:ind w:firstLine="480" w:firstLineChars="200"/>
        <w:rPr>
          <w:rFonts w:ascii="宋体" w:hAnsi="宋体"/>
          <w:sz w:val="24"/>
        </w:rPr>
      </w:pPr>
      <w:r>
        <w:rPr>
          <w:rFonts w:hint="eastAsia" w:ascii="宋体" w:hAnsi="宋体"/>
          <w:sz w:val="24"/>
        </w:rPr>
        <w:t>（十二）所有与本采购有关的函件请发往下列地址：</w:t>
      </w:r>
    </w:p>
    <w:p w14:paraId="367C1D9E">
      <w:pPr>
        <w:spacing w:line="360" w:lineRule="auto"/>
        <w:ind w:firstLine="480" w:firstLineChars="200"/>
        <w:rPr>
          <w:rFonts w:ascii="宋体" w:hAnsi="宋体"/>
          <w:sz w:val="24"/>
        </w:rPr>
      </w:pPr>
    </w:p>
    <w:p w14:paraId="68B62147">
      <w:pPr>
        <w:spacing w:line="360" w:lineRule="auto"/>
        <w:ind w:firstLine="480" w:firstLineChars="200"/>
        <w:rPr>
          <w:rFonts w:ascii="宋体" w:hAnsi="宋体"/>
          <w:sz w:val="24"/>
        </w:rPr>
      </w:pPr>
    </w:p>
    <w:p w14:paraId="231BC442">
      <w:pPr>
        <w:spacing w:line="360" w:lineRule="auto"/>
        <w:ind w:firstLine="480" w:firstLineChars="2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14:paraId="36093EB9">
      <w:pPr>
        <w:spacing w:line="360" w:lineRule="auto"/>
        <w:ind w:firstLine="480" w:firstLineChars="200"/>
        <w:rPr>
          <w:rFonts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w:t>
      </w:r>
    </w:p>
    <w:p w14:paraId="3A6D0BF2">
      <w:pPr>
        <w:spacing w:line="360" w:lineRule="auto"/>
        <w:ind w:firstLine="480" w:firstLineChars="200"/>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14:paraId="25D585D5">
      <w:pPr>
        <w:spacing w:line="360" w:lineRule="auto"/>
        <w:ind w:firstLine="480" w:firstLineChars="200"/>
        <w:rPr>
          <w:rFonts w:ascii="宋体" w:hAnsi="宋体"/>
          <w:sz w:val="24"/>
        </w:rPr>
      </w:pPr>
      <w:r>
        <w:rPr>
          <w:rFonts w:hint="eastAsia" w:ascii="宋体" w:hAnsi="宋体"/>
          <w:sz w:val="24"/>
        </w:rPr>
        <w:t>代表姓名：</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14:paraId="58F9E9C6">
      <w:pPr>
        <w:spacing w:line="360" w:lineRule="auto"/>
        <w:rPr>
          <w:rFonts w:ascii="宋体" w:hAnsi="宋体"/>
          <w:color w:val="000000"/>
          <w:sz w:val="24"/>
          <w:u w:val="single"/>
        </w:rPr>
      </w:pPr>
    </w:p>
    <w:p w14:paraId="2F9AE977">
      <w:pPr>
        <w:spacing w:line="360" w:lineRule="auto"/>
        <w:rPr>
          <w:rFonts w:ascii="宋体" w:hAnsi="宋体"/>
          <w:color w:val="000000"/>
          <w:sz w:val="24"/>
          <w:u w:val="single"/>
        </w:rPr>
      </w:pPr>
    </w:p>
    <w:p w14:paraId="013CEDE2">
      <w:pPr>
        <w:spacing w:line="360" w:lineRule="auto"/>
        <w:rPr>
          <w:rFonts w:ascii="宋体" w:hAnsi="宋体"/>
          <w:color w:val="000000"/>
          <w:sz w:val="24"/>
          <w:u w:val="single"/>
        </w:rPr>
      </w:pPr>
    </w:p>
    <w:p w14:paraId="2372B78A">
      <w:pPr>
        <w:spacing w:line="360" w:lineRule="auto"/>
        <w:ind w:firstLine="480" w:firstLineChars="200"/>
        <w:rPr>
          <w:rFonts w:ascii="宋体" w:hAnsi="宋体"/>
          <w:sz w:val="24"/>
        </w:rPr>
      </w:pPr>
    </w:p>
    <w:p w14:paraId="63A86C84">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769A33CB">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519D5313">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726C1E30">
      <w:pPr>
        <w:spacing w:line="360" w:lineRule="auto"/>
        <w:jc w:val="center"/>
        <w:rPr>
          <w:rFonts w:ascii="宋体" w:cs="Times New Roman"/>
          <w:b/>
          <w:bCs/>
          <w:sz w:val="24"/>
        </w:rPr>
      </w:pPr>
      <w:r>
        <w:rPr>
          <w:rFonts w:hint="eastAsia" w:ascii="黑体" w:hAnsi="仿宋" w:eastAsia="黑体" w:cs="黑体"/>
          <w:b/>
          <w:bCs/>
          <w:sz w:val="32"/>
          <w:szCs w:val="32"/>
        </w:rPr>
        <w:t>（二）响应报价表格式</w:t>
      </w:r>
    </w:p>
    <w:p w14:paraId="74181E41">
      <w:pPr>
        <w:pStyle w:val="25"/>
        <w:widowControl/>
        <w:ind w:firstLine="301"/>
        <w:jc w:val="center"/>
        <w:rPr>
          <w:rFonts w:cs="华文仿宋"/>
          <w:b/>
          <w:bCs/>
          <w:sz w:val="30"/>
          <w:szCs w:val="30"/>
        </w:rPr>
      </w:pPr>
      <w:r>
        <w:rPr>
          <w:rFonts w:hint="eastAsia" w:cs="华文仿宋"/>
          <w:b/>
          <w:bCs/>
          <w:sz w:val="30"/>
          <w:szCs w:val="30"/>
        </w:rPr>
        <w:t>响应报价表</w:t>
      </w:r>
    </w:p>
    <w:p w14:paraId="02EFD989">
      <w:pPr>
        <w:spacing w:line="360" w:lineRule="auto"/>
        <w:ind w:firstLine="480" w:firstLineChars="200"/>
        <w:rPr>
          <w:rFonts w:ascii="宋体" w:hAnsi="宋体"/>
          <w:sz w:val="24"/>
        </w:rPr>
      </w:pPr>
      <w:r>
        <w:rPr>
          <w:rFonts w:hint="eastAsia" w:ascii="宋体" w:hAnsi="宋体"/>
          <w:sz w:val="24"/>
        </w:rPr>
        <w:t>项目名称：</w:t>
      </w:r>
    </w:p>
    <w:p w14:paraId="3B855E5D">
      <w:pPr>
        <w:spacing w:line="360" w:lineRule="auto"/>
        <w:ind w:firstLine="480" w:firstLineChars="200"/>
        <w:rPr>
          <w:rFonts w:ascii="宋体" w:cs="Times New Roman"/>
          <w:sz w:val="24"/>
        </w:rPr>
      </w:pPr>
      <w:r>
        <w:rPr>
          <w:rFonts w:hint="eastAsia" w:ascii="宋体" w:hAnsi="宋体"/>
          <w:sz w:val="24"/>
        </w:rPr>
        <w:t>项目编号：</w:t>
      </w:r>
    </w:p>
    <w:p w14:paraId="51E00DA6">
      <w:pPr>
        <w:spacing w:line="360" w:lineRule="auto"/>
        <w:ind w:firstLine="480" w:firstLineChars="200"/>
        <w:rPr>
          <w:rFonts w:ascii="宋体" w:cs="Times New Roman"/>
          <w:sz w:val="24"/>
        </w:rPr>
      </w:pPr>
      <w:r>
        <w:rPr>
          <w:rFonts w:hint="eastAsia" w:ascii="宋体" w:hAnsi="宋体"/>
          <w:sz w:val="24"/>
        </w:rPr>
        <w:t>供应商：</w:t>
      </w:r>
    </w:p>
    <w:p w14:paraId="1ABF7C12">
      <w:pPr>
        <w:kinsoku w:val="0"/>
        <w:spacing w:line="500" w:lineRule="exact"/>
        <w:ind w:firstLine="120" w:firstLineChars="50"/>
        <w:jc w:val="center"/>
        <w:rPr>
          <w:rFonts w:ascii="??_GB2312" w:hAnsi="仿宋" w:eastAsia="Times New Roman" w:cs="Times New Roman"/>
          <w:sz w:val="24"/>
        </w:rPr>
      </w:pPr>
      <w:r>
        <w:rPr>
          <w:rFonts w:ascii="宋体" w:hAnsi="宋体"/>
          <w:sz w:val="24"/>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14:paraId="5209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14:paraId="5EF59FB2">
            <w:pPr>
              <w:spacing w:line="360" w:lineRule="auto"/>
              <w:jc w:val="center"/>
              <w:rPr>
                <w:rFonts w:ascii="黑体" w:hAnsi="黑体" w:eastAsia="黑体" w:cs="Times New Roman"/>
                <w:sz w:val="24"/>
              </w:rPr>
            </w:pPr>
            <w:r>
              <w:rPr>
                <w:rFonts w:hint="eastAsia" w:ascii="宋体" w:hAnsi="宋体"/>
                <w:sz w:val="24"/>
              </w:rPr>
              <w:t>响应报价(元)</w:t>
            </w:r>
          </w:p>
        </w:tc>
        <w:tc>
          <w:tcPr>
            <w:tcW w:w="6503" w:type="dxa"/>
            <w:vAlign w:val="center"/>
          </w:tcPr>
          <w:p w14:paraId="79308DC5">
            <w:pPr>
              <w:spacing w:line="360" w:lineRule="auto"/>
              <w:jc w:val="left"/>
              <w:rPr>
                <w:rFonts w:ascii="宋体" w:hAnsi="宋体"/>
                <w:sz w:val="24"/>
                <w:u w:val="single"/>
              </w:rPr>
            </w:pPr>
            <w:r>
              <w:rPr>
                <w:rFonts w:hint="eastAsia" w:ascii="宋体" w:hAnsi="宋体"/>
                <w:sz w:val="24"/>
              </w:rPr>
              <w:t>大写：</w:t>
            </w:r>
            <w:r>
              <w:rPr>
                <w:rFonts w:hint="eastAsia" w:ascii="宋体" w:hAnsi="宋体"/>
                <w:sz w:val="24"/>
                <w:u w:val="single"/>
              </w:rPr>
              <w:t xml:space="preserve">                       </w:t>
            </w:r>
          </w:p>
          <w:p w14:paraId="68B94F9A">
            <w:pPr>
              <w:spacing w:line="360" w:lineRule="auto"/>
              <w:rPr>
                <w:rFonts w:ascii="宋体" w:cs="Times New Roman"/>
                <w:sz w:val="24"/>
              </w:rPr>
            </w:pPr>
            <w:r>
              <w:rPr>
                <w:rFonts w:hint="eastAsia" w:ascii="宋体" w:hAnsi="宋体"/>
                <w:sz w:val="24"/>
              </w:rPr>
              <w:t>小写：</w:t>
            </w:r>
            <w:r>
              <w:rPr>
                <w:rFonts w:hint="eastAsia" w:ascii="宋体" w:hAnsi="宋体"/>
                <w:sz w:val="24"/>
                <w:u w:val="single"/>
              </w:rPr>
              <w:t xml:space="preserve">                       </w:t>
            </w:r>
          </w:p>
        </w:tc>
      </w:tr>
      <w:tr w14:paraId="5C5F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14:paraId="17B948A4">
            <w:pPr>
              <w:spacing w:line="360" w:lineRule="auto"/>
              <w:jc w:val="center"/>
              <w:rPr>
                <w:rFonts w:ascii="宋体" w:hAnsi="宋体"/>
                <w:sz w:val="24"/>
              </w:rPr>
            </w:pPr>
            <w:r>
              <w:rPr>
                <w:rFonts w:hint="eastAsia" w:ascii="宋体" w:hAnsi="宋体"/>
                <w:sz w:val="24"/>
              </w:rPr>
              <w:t>服务期</w:t>
            </w:r>
          </w:p>
        </w:tc>
        <w:tc>
          <w:tcPr>
            <w:tcW w:w="6503" w:type="dxa"/>
            <w:vAlign w:val="center"/>
          </w:tcPr>
          <w:p w14:paraId="1EE4C051">
            <w:pPr>
              <w:spacing w:line="360" w:lineRule="auto"/>
              <w:rPr>
                <w:rFonts w:ascii="宋体" w:hAnsi="宋体"/>
                <w:sz w:val="24"/>
              </w:rPr>
            </w:pPr>
          </w:p>
        </w:tc>
      </w:tr>
      <w:tr w14:paraId="482C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14:paraId="26CFAA1C">
            <w:pPr>
              <w:spacing w:line="360" w:lineRule="auto"/>
              <w:jc w:val="center"/>
              <w:rPr>
                <w:rFonts w:ascii="宋体" w:hAnsi="宋体"/>
                <w:sz w:val="24"/>
              </w:rPr>
            </w:pPr>
            <w:r>
              <w:rPr>
                <w:rFonts w:hint="eastAsia" w:ascii="宋体" w:hAnsi="宋体"/>
                <w:sz w:val="24"/>
              </w:rPr>
              <w:t>备注：</w:t>
            </w:r>
          </w:p>
        </w:tc>
        <w:tc>
          <w:tcPr>
            <w:tcW w:w="6503" w:type="dxa"/>
            <w:vAlign w:val="center"/>
          </w:tcPr>
          <w:p w14:paraId="0653ABCD">
            <w:pPr>
              <w:spacing w:line="360" w:lineRule="auto"/>
              <w:rPr>
                <w:rFonts w:ascii="宋体" w:hAnsi="宋体"/>
                <w:sz w:val="24"/>
              </w:rPr>
            </w:pPr>
          </w:p>
        </w:tc>
      </w:tr>
    </w:tbl>
    <w:p w14:paraId="0AD22DBF">
      <w:pPr>
        <w:pStyle w:val="13"/>
        <w:spacing w:line="500" w:lineRule="exact"/>
        <w:ind w:left="-120" w:leftChars="-57" w:firstLine="527" w:firstLineChars="250"/>
        <w:rPr>
          <w:b/>
          <w:bCs/>
          <w:u w:val="single"/>
        </w:rPr>
      </w:pPr>
    </w:p>
    <w:p w14:paraId="493FB99A">
      <w:pPr>
        <w:pStyle w:val="13"/>
        <w:spacing w:line="440" w:lineRule="exact"/>
        <w:ind w:left="-120" w:leftChars="-57" w:firstLine="527" w:firstLineChars="250"/>
        <w:rPr>
          <w:b/>
          <w:bCs/>
          <w:u w:val="single"/>
        </w:rPr>
      </w:pPr>
      <w:r>
        <w:rPr>
          <w:rFonts w:hint="eastAsia" w:hAnsi="宋体"/>
          <w:b/>
          <w:bCs/>
          <w:u w:val="single"/>
        </w:rPr>
        <w:t>注：</w:t>
      </w:r>
    </w:p>
    <w:p w14:paraId="42086D9F">
      <w:pPr>
        <w:pStyle w:val="13"/>
        <w:spacing w:line="440" w:lineRule="exact"/>
        <w:ind w:left="-120" w:leftChars="-57" w:firstLine="527" w:firstLineChars="250"/>
        <w:rPr>
          <w:b/>
          <w:bCs/>
          <w:u w:val="single"/>
        </w:rPr>
      </w:pPr>
      <w:r>
        <w:rPr>
          <w:rFonts w:hAnsi="宋体"/>
          <w:b/>
          <w:bCs/>
          <w:u w:val="single"/>
        </w:rPr>
        <w:t>1.</w:t>
      </w:r>
      <w:r>
        <w:rPr>
          <w:rFonts w:hint="eastAsia" w:hAnsi="宋体"/>
          <w:b/>
          <w:bCs/>
          <w:u w:val="single"/>
        </w:rPr>
        <w:t>此表“响应报价”是所有需采购人支付的金额总数，包括完成《用户需求书》要求的全部内容的所有可预见以及不可预见的费用。</w:t>
      </w:r>
    </w:p>
    <w:p w14:paraId="0E6E021C">
      <w:pPr>
        <w:pStyle w:val="13"/>
        <w:spacing w:line="440" w:lineRule="exact"/>
        <w:ind w:left="-120" w:leftChars="-57" w:firstLine="527" w:firstLineChars="250"/>
        <w:rPr>
          <w:b/>
          <w:bCs/>
          <w:u w:val="single"/>
        </w:rPr>
      </w:pPr>
      <w:r>
        <w:rPr>
          <w:rFonts w:hint="eastAsia" w:hAnsi="宋体"/>
          <w:b/>
          <w:bCs/>
          <w:u w:val="single"/>
        </w:rPr>
        <w:t>2</w:t>
      </w:r>
      <w:r>
        <w:rPr>
          <w:rFonts w:hAnsi="宋体"/>
          <w:b/>
          <w:bCs/>
          <w:u w:val="single"/>
        </w:rPr>
        <w:t>.</w:t>
      </w:r>
      <w:r>
        <w:rPr>
          <w:rFonts w:hint="eastAsia" w:hAnsi="宋体"/>
          <w:b/>
          <w:bCs/>
          <w:u w:val="single"/>
        </w:rPr>
        <w:t>磋商文件规定的《响应报价表》格式以外的内容不作为评标依据。</w:t>
      </w:r>
    </w:p>
    <w:p w14:paraId="0C9EBF43">
      <w:pPr>
        <w:pStyle w:val="13"/>
        <w:spacing w:line="440" w:lineRule="exact"/>
        <w:ind w:left="-120" w:leftChars="-57" w:firstLine="527" w:firstLineChars="250"/>
        <w:rPr>
          <w:rFonts w:ascii="??_GB2312" w:hAnsi="仿宋" w:eastAsia="Times New Roman"/>
          <w:sz w:val="24"/>
          <w:szCs w:val="24"/>
        </w:rPr>
      </w:pPr>
      <w:r>
        <w:rPr>
          <w:rFonts w:hint="eastAsia" w:hAnsi="宋体"/>
          <w:b/>
          <w:bCs/>
          <w:u w:val="single"/>
        </w:rPr>
        <w:t>3</w:t>
      </w:r>
      <w:r>
        <w:rPr>
          <w:rFonts w:hAnsi="宋体"/>
          <w:b/>
          <w:bCs/>
          <w:u w:val="single"/>
        </w:rPr>
        <w:t>.</w:t>
      </w:r>
      <w:r>
        <w:rPr>
          <w:rFonts w:hint="eastAsia" w:hAnsi="宋体"/>
          <w:b/>
          <w:bCs/>
          <w:u w:val="single"/>
        </w:rPr>
        <w:t>表内报价内容以元为单位，保留两位小数</w:t>
      </w:r>
      <w:r>
        <w:rPr>
          <w:rFonts w:hint="eastAsia" w:hAnsi="宋体"/>
          <w:b/>
          <w:bCs/>
          <w:u w:val="single"/>
          <w:lang w:val="hr-HR"/>
        </w:rPr>
        <w:t>。</w:t>
      </w:r>
    </w:p>
    <w:p w14:paraId="2DA828C8">
      <w:pPr>
        <w:kinsoku w:val="0"/>
        <w:spacing w:line="500" w:lineRule="exact"/>
        <w:rPr>
          <w:rFonts w:ascii="??_GB2312" w:hAnsi="仿宋" w:eastAsia="Times New Roman" w:cs="Times New Roman"/>
          <w:sz w:val="24"/>
        </w:rPr>
      </w:pPr>
    </w:p>
    <w:p w14:paraId="0495BA06">
      <w:pPr>
        <w:kinsoku w:val="0"/>
        <w:spacing w:line="500" w:lineRule="exact"/>
        <w:rPr>
          <w:rFonts w:ascii="??_GB2312" w:hAnsi="仿宋" w:eastAsia="Times New Roman" w:cs="Times New Roman"/>
          <w:sz w:val="24"/>
        </w:rPr>
      </w:pPr>
    </w:p>
    <w:p w14:paraId="11F7D889">
      <w:pPr>
        <w:kinsoku w:val="0"/>
        <w:spacing w:line="500" w:lineRule="exact"/>
        <w:rPr>
          <w:rFonts w:ascii="??_GB2312" w:hAnsi="仿宋" w:eastAsia="Times New Roman" w:cs="Times New Roman"/>
          <w:sz w:val="24"/>
        </w:rPr>
      </w:pPr>
    </w:p>
    <w:p w14:paraId="6041ADC8">
      <w:pPr>
        <w:kinsoku w:val="0"/>
        <w:spacing w:line="500" w:lineRule="exact"/>
        <w:rPr>
          <w:rFonts w:ascii="??_GB2312" w:hAnsi="仿宋" w:eastAsia="Times New Roman" w:cs="Times New Roman"/>
          <w:sz w:val="24"/>
        </w:rPr>
      </w:pPr>
    </w:p>
    <w:p w14:paraId="17AF9DFB">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28E19B1B">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68BE0677">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774E503A">
      <w:pPr>
        <w:pStyle w:val="13"/>
        <w:jc w:val="center"/>
        <w:rPr>
          <w:rFonts w:hAnsi="宋体"/>
          <w:b/>
          <w:sz w:val="32"/>
        </w:rPr>
      </w:pPr>
      <w:r>
        <w:rPr>
          <w:rFonts w:ascii="??_GB2312" w:hAnsi="仿宋" w:eastAsia="Times New Roman" w:cs="Times New Roman"/>
          <w:sz w:val="24"/>
          <w:szCs w:val="24"/>
        </w:rPr>
        <w:br w:type="page"/>
      </w:r>
      <w:r>
        <w:rPr>
          <w:rFonts w:hint="eastAsia" w:ascii="Calibri" w:hAnsi="Calibri" w:cs="华文仿宋"/>
          <w:b/>
          <w:bCs/>
          <w:kern w:val="0"/>
          <w:sz w:val="30"/>
          <w:szCs w:val="30"/>
        </w:rPr>
        <w:t>分项报价表</w:t>
      </w:r>
    </w:p>
    <w:p w14:paraId="05DB123C">
      <w:pPr>
        <w:kinsoku w:val="0"/>
        <w:spacing w:line="500" w:lineRule="exact"/>
        <w:ind w:firstLine="120" w:firstLineChars="50"/>
        <w:rPr>
          <w:rFonts w:ascii="宋体" w:hAnsi="宋体"/>
          <w:sz w:val="24"/>
        </w:rPr>
      </w:pPr>
      <w:r>
        <w:rPr>
          <w:rFonts w:hint="eastAsia" w:ascii="宋体" w:hAnsi="宋体"/>
          <w:sz w:val="24"/>
        </w:rPr>
        <w:t xml:space="preserve">项目名称：                                              </w:t>
      </w:r>
      <w:r>
        <w:rPr>
          <w:rFonts w:ascii="宋体" w:hAnsi="宋体"/>
          <w:sz w:val="24"/>
        </w:rPr>
        <w:t xml:space="preserve"> </w:t>
      </w:r>
      <w:r>
        <w:rPr>
          <w:rFonts w:hint="eastAsia" w:ascii="宋体" w:hAnsi="宋体"/>
          <w:sz w:val="24"/>
        </w:rPr>
        <w:t xml:space="preserve">  </w:t>
      </w:r>
    </w:p>
    <w:p w14:paraId="31757A09">
      <w:pPr>
        <w:kinsoku w:val="0"/>
        <w:spacing w:line="500" w:lineRule="exact"/>
        <w:ind w:firstLine="120" w:firstLineChars="50"/>
        <w:rPr>
          <w:rFonts w:ascii="宋体" w:hAnsi="宋体"/>
          <w:sz w:val="24"/>
        </w:rPr>
      </w:pPr>
      <w:r>
        <w:rPr>
          <w:rFonts w:hint="eastAsia" w:ascii="宋体" w:hAnsi="宋体"/>
          <w:sz w:val="24"/>
        </w:rPr>
        <w:t xml:space="preserve">项目编号：                                        </w:t>
      </w:r>
      <w:r>
        <w:rPr>
          <w:rFonts w:ascii="宋体" w:hAnsi="宋体"/>
          <w:sz w:val="24"/>
        </w:rPr>
        <w:t xml:space="preserve">          </w:t>
      </w:r>
      <w:r>
        <w:rPr>
          <w:rFonts w:hint="eastAsia" w:ascii="宋体" w:hAnsi="宋体"/>
          <w:sz w:val="24"/>
        </w:rPr>
        <w:t>共   页，第   页</w:t>
      </w:r>
    </w:p>
    <w:p w14:paraId="34E1E5AF">
      <w:pPr>
        <w:spacing w:line="500" w:lineRule="exact"/>
        <w:rPr>
          <w:rFonts w:ascii="宋体" w:hAnsi="宋体"/>
          <w:sz w:val="24"/>
        </w:rPr>
      </w:pPr>
    </w:p>
    <w:p w14:paraId="66A81C2E">
      <w:pPr>
        <w:spacing w:line="500" w:lineRule="exact"/>
        <w:rPr>
          <w:rFonts w:ascii="宋体" w:hAnsi="宋体"/>
          <w:sz w:val="24"/>
        </w:rPr>
      </w:pPr>
    </w:p>
    <w:p w14:paraId="74201653">
      <w:pPr>
        <w:spacing w:line="500" w:lineRule="exact"/>
        <w:jc w:val="center"/>
        <w:rPr>
          <w:rFonts w:ascii="宋体" w:hAnsi="宋体"/>
          <w:sz w:val="24"/>
        </w:rPr>
      </w:pPr>
    </w:p>
    <w:p w14:paraId="7388E85F">
      <w:pPr>
        <w:spacing w:line="500" w:lineRule="exact"/>
        <w:jc w:val="center"/>
        <w:rPr>
          <w:rFonts w:ascii="宋体" w:hAnsi="宋体"/>
          <w:b/>
          <w:bCs/>
          <w:sz w:val="24"/>
        </w:rPr>
      </w:pPr>
      <w:r>
        <w:rPr>
          <w:rFonts w:hint="eastAsia" w:ascii="宋体" w:hAnsi="宋体"/>
          <w:b/>
          <w:bCs/>
          <w:sz w:val="24"/>
        </w:rPr>
        <w:t>由供应商自行编制</w:t>
      </w:r>
    </w:p>
    <w:p w14:paraId="6863BC56">
      <w:pPr>
        <w:spacing w:line="500" w:lineRule="exact"/>
        <w:rPr>
          <w:rFonts w:ascii="宋体" w:hAnsi="宋体"/>
          <w:sz w:val="24"/>
        </w:rPr>
      </w:pPr>
    </w:p>
    <w:p w14:paraId="74466717">
      <w:pPr>
        <w:spacing w:line="500" w:lineRule="exact"/>
        <w:rPr>
          <w:rFonts w:ascii="宋体" w:hAnsi="宋体"/>
          <w:sz w:val="24"/>
        </w:rPr>
      </w:pPr>
    </w:p>
    <w:p w14:paraId="1657A612">
      <w:pPr>
        <w:spacing w:line="500" w:lineRule="exact"/>
        <w:rPr>
          <w:rFonts w:ascii="宋体" w:hAnsi="宋体"/>
          <w:sz w:val="24"/>
        </w:rPr>
      </w:pPr>
      <w:r>
        <w:rPr>
          <w:rFonts w:hint="eastAsia" w:ascii="宋体" w:hAnsi="宋体"/>
          <w:sz w:val="24"/>
        </w:rPr>
        <w:t>注：本表中“响应报价”与“响应报价表”中的</w:t>
      </w:r>
      <w:r>
        <w:rPr>
          <w:rFonts w:hint="eastAsia" w:ascii="宋体" w:hAnsi="宋体" w:cs="Courier New"/>
          <w:spacing w:val="-6"/>
          <w:sz w:val="24"/>
        </w:rPr>
        <w:t>“</w:t>
      </w:r>
      <w:r>
        <w:rPr>
          <w:rFonts w:hint="eastAsia" w:ascii="宋体" w:hAnsi="宋体"/>
          <w:sz w:val="24"/>
        </w:rPr>
        <w:t>响应报价</w:t>
      </w:r>
      <w:r>
        <w:rPr>
          <w:rFonts w:hint="eastAsia" w:ascii="宋体" w:hAnsi="宋体" w:cs="Courier New"/>
          <w:spacing w:val="-6"/>
          <w:sz w:val="24"/>
        </w:rPr>
        <w:t>”</w:t>
      </w:r>
      <w:r>
        <w:rPr>
          <w:rFonts w:hint="eastAsia" w:ascii="宋体" w:hAnsi="宋体"/>
          <w:sz w:val="24"/>
        </w:rPr>
        <w:t>一致。各子项分别报价。</w:t>
      </w:r>
    </w:p>
    <w:p w14:paraId="64B60DB8">
      <w:pPr>
        <w:ind w:right="420"/>
        <w:rPr>
          <w:rFonts w:ascii="宋体" w:hAnsi="宋体"/>
          <w:sz w:val="24"/>
        </w:rPr>
      </w:pPr>
    </w:p>
    <w:p w14:paraId="7DCE1082">
      <w:pPr>
        <w:pStyle w:val="13"/>
        <w:rPr>
          <w:rFonts w:hAnsi="宋体"/>
          <w:sz w:val="24"/>
          <w:szCs w:val="24"/>
        </w:rPr>
      </w:pPr>
    </w:p>
    <w:p w14:paraId="7CEEEDDF">
      <w:pPr>
        <w:pStyle w:val="13"/>
        <w:rPr>
          <w:rFonts w:hAnsi="宋体"/>
          <w:sz w:val="24"/>
          <w:szCs w:val="24"/>
        </w:rPr>
      </w:pPr>
    </w:p>
    <w:p w14:paraId="4CA45BD8">
      <w:pPr>
        <w:kinsoku w:val="0"/>
        <w:spacing w:line="500" w:lineRule="exact"/>
        <w:rPr>
          <w:rFonts w:ascii="??_GB2312" w:hAnsi="仿宋" w:eastAsia="Times New Roman" w:cs="Times New Roman"/>
          <w:sz w:val="24"/>
        </w:rPr>
      </w:pPr>
    </w:p>
    <w:p w14:paraId="7D54086C">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744B89EA">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4F65DC45">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030E3862">
      <w:pPr>
        <w:rPr>
          <w:rFonts w:ascii="黑体" w:hAnsi="黑体" w:eastAsia="黑体" w:cs="黑体"/>
          <w:b/>
          <w:bCs/>
          <w:sz w:val="32"/>
          <w:szCs w:val="32"/>
        </w:rPr>
      </w:pPr>
      <w:r>
        <w:rPr>
          <w:rFonts w:hint="eastAsia" w:ascii="黑体" w:hAnsi="黑体" w:eastAsia="黑体" w:cs="黑体"/>
          <w:b/>
          <w:bCs/>
          <w:sz w:val="32"/>
          <w:szCs w:val="32"/>
        </w:rPr>
        <w:br w:type="page"/>
      </w:r>
    </w:p>
    <w:p w14:paraId="7EA1A814">
      <w:pPr>
        <w:spacing w:before="156" w:beforeLines="50" w:line="360" w:lineRule="auto"/>
        <w:jc w:val="center"/>
        <w:rPr>
          <w:rFonts w:ascii="黑体" w:hAnsi="仿宋" w:eastAsia="黑体" w:cs="黑体"/>
          <w:b/>
          <w:bCs/>
          <w:sz w:val="32"/>
          <w:szCs w:val="32"/>
        </w:rPr>
      </w:pPr>
      <w:r>
        <w:rPr>
          <w:rFonts w:hint="eastAsia" w:ascii="黑体" w:hAnsi="仿宋" w:eastAsia="黑体" w:cs="黑体"/>
          <w:b/>
          <w:bCs/>
          <w:sz w:val="32"/>
          <w:szCs w:val="32"/>
        </w:rPr>
        <w:t>（三）承诺书格式</w:t>
      </w:r>
    </w:p>
    <w:p w14:paraId="259649F9">
      <w:pPr>
        <w:pStyle w:val="25"/>
        <w:widowControl/>
        <w:spacing w:line="360" w:lineRule="auto"/>
        <w:ind w:firstLine="0" w:firstLineChars="0"/>
        <w:jc w:val="center"/>
        <w:rPr>
          <w:rFonts w:cs="华文仿宋"/>
          <w:b/>
          <w:bCs/>
          <w:sz w:val="30"/>
          <w:szCs w:val="30"/>
        </w:rPr>
      </w:pPr>
      <w:r>
        <w:rPr>
          <w:rFonts w:hint="eastAsia" w:cs="华文仿宋"/>
          <w:b/>
          <w:bCs/>
          <w:sz w:val="30"/>
          <w:szCs w:val="30"/>
        </w:rPr>
        <w:t>拒绝政府采购领域商业贿赂承诺书</w:t>
      </w:r>
      <w:r>
        <w:rPr>
          <w:rFonts w:hint="eastAsia" w:hAnsi="宋体"/>
          <w:b/>
          <w:sz w:val="32"/>
          <w:szCs w:val="32"/>
        </w:rPr>
        <w:t>Ⅰ</w:t>
      </w:r>
    </w:p>
    <w:p w14:paraId="7E56D67D">
      <w:pPr>
        <w:overflowPunct w:val="0"/>
        <w:topLinePunct/>
        <w:spacing w:line="360" w:lineRule="auto"/>
        <w:jc w:val="center"/>
        <w:rPr>
          <w:rFonts w:ascii="宋体" w:hAnsi="宋体"/>
          <w:sz w:val="24"/>
        </w:rPr>
      </w:pPr>
      <w:r>
        <w:rPr>
          <w:rFonts w:hint="eastAsia" w:ascii="宋体" w:hAnsi="宋体"/>
          <w:sz w:val="24"/>
        </w:rPr>
        <w:t>（执行陕财办采管[2006]21号文件）</w:t>
      </w:r>
    </w:p>
    <w:p w14:paraId="3CAD19F6">
      <w:pPr>
        <w:spacing w:line="500" w:lineRule="exact"/>
        <w:ind w:firstLine="480" w:firstLineChars="200"/>
        <w:rPr>
          <w:rFonts w:ascii="宋体" w:hAnsi="宋体"/>
          <w:sz w:val="24"/>
        </w:rPr>
      </w:pPr>
      <w:r>
        <w:rPr>
          <w:rFonts w:hint="eastAsia" w:ascii="宋体" w:hAnsi="宋体"/>
          <w:sz w:val="24"/>
        </w:rPr>
        <w:t>为响应党中央、国务院关于治理政府采购领域商业贿赂行为的号召，我公司在此庄严承诺：</w:t>
      </w:r>
    </w:p>
    <w:p w14:paraId="1A0ECAF2">
      <w:pPr>
        <w:spacing w:line="500" w:lineRule="exact"/>
        <w:ind w:firstLine="480" w:firstLineChars="200"/>
        <w:rPr>
          <w:rFonts w:ascii="宋体" w:hAnsi="宋体"/>
          <w:sz w:val="24"/>
        </w:rPr>
      </w:pPr>
      <w:r>
        <w:rPr>
          <w:rFonts w:hint="eastAsia" w:ascii="宋体" w:hAnsi="宋体"/>
          <w:sz w:val="24"/>
        </w:rPr>
        <w:t>1、在参与政府采购活动中遵纪守法、诚信经营、公平竞标。</w:t>
      </w:r>
    </w:p>
    <w:p w14:paraId="7CD69C48">
      <w:pPr>
        <w:spacing w:line="500" w:lineRule="exact"/>
        <w:ind w:firstLine="480" w:firstLineChars="200"/>
        <w:rPr>
          <w:rFonts w:ascii="宋体" w:hAnsi="宋体"/>
          <w:sz w:val="24"/>
        </w:rPr>
      </w:pPr>
      <w:r>
        <w:rPr>
          <w:rFonts w:hint="eastAsia" w:ascii="宋体" w:hAnsi="宋体"/>
          <w:sz w:val="24"/>
        </w:rPr>
        <w:t>2、不向政府采购人、采购代理机构和政府采购评审专家进行任何形式的商业贿赂以谋取交易机会。</w:t>
      </w:r>
    </w:p>
    <w:p w14:paraId="03C8F418">
      <w:pPr>
        <w:spacing w:line="500" w:lineRule="exact"/>
        <w:ind w:firstLine="480" w:firstLineChars="200"/>
        <w:rPr>
          <w:rFonts w:ascii="宋体" w:hAnsi="宋体"/>
          <w:sz w:val="24"/>
        </w:rPr>
      </w:pPr>
      <w:r>
        <w:rPr>
          <w:rFonts w:hint="eastAsia" w:ascii="宋体" w:hAnsi="宋体"/>
          <w:sz w:val="24"/>
        </w:rPr>
        <w:t>3、不向政府采购代理机构和采购人提供虚假资质文件或采用虚假应标方式参与政府采购市场竞争并谋取中标、成交。</w:t>
      </w:r>
    </w:p>
    <w:p w14:paraId="329A6446">
      <w:pPr>
        <w:spacing w:line="500" w:lineRule="exact"/>
        <w:ind w:firstLine="480" w:firstLineChars="200"/>
        <w:rPr>
          <w:rFonts w:ascii="宋体" w:hAnsi="宋体"/>
          <w:sz w:val="24"/>
        </w:rPr>
      </w:pPr>
      <w:r>
        <w:rPr>
          <w:rFonts w:hint="eastAsia" w:ascii="宋体" w:hAnsi="宋体"/>
          <w:sz w:val="24"/>
        </w:rPr>
        <w:t>4、不采取“围标、陪标”等商业欺诈手段获得政府采购定单。</w:t>
      </w:r>
    </w:p>
    <w:p w14:paraId="21700B3A">
      <w:pPr>
        <w:spacing w:line="500" w:lineRule="exact"/>
        <w:ind w:firstLine="480" w:firstLineChars="200"/>
        <w:rPr>
          <w:rFonts w:ascii="宋体" w:hAnsi="宋体"/>
          <w:sz w:val="24"/>
        </w:rPr>
      </w:pPr>
      <w:r>
        <w:rPr>
          <w:rFonts w:hint="eastAsia" w:ascii="宋体" w:hAnsi="宋体"/>
          <w:sz w:val="24"/>
        </w:rPr>
        <w:t>5、不采取不正当手段诋毁、排挤其他投标供应商。</w:t>
      </w:r>
    </w:p>
    <w:p w14:paraId="0AD7E88F">
      <w:pPr>
        <w:spacing w:line="500" w:lineRule="exact"/>
        <w:ind w:firstLine="480" w:firstLineChars="200"/>
        <w:rPr>
          <w:rFonts w:ascii="宋体" w:hAnsi="宋体"/>
          <w:sz w:val="24"/>
        </w:rPr>
      </w:pPr>
      <w:r>
        <w:rPr>
          <w:rFonts w:hint="eastAsia" w:ascii="宋体" w:hAnsi="宋体"/>
          <w:sz w:val="24"/>
        </w:rPr>
        <w:t>6、不在提供商品和服务时“偷梁换柱、以次充好”损害采购人的合法权益。</w:t>
      </w:r>
    </w:p>
    <w:p w14:paraId="4A24A1D9">
      <w:pPr>
        <w:spacing w:line="500" w:lineRule="exact"/>
        <w:ind w:firstLine="480" w:firstLineChars="200"/>
        <w:rPr>
          <w:rFonts w:ascii="宋体" w:hAnsi="宋体"/>
          <w:sz w:val="24"/>
        </w:rPr>
      </w:pPr>
      <w:r>
        <w:rPr>
          <w:rFonts w:hint="eastAsia" w:ascii="宋体" w:hAnsi="宋体"/>
          <w:sz w:val="24"/>
        </w:rPr>
        <w:t>7、不与采购人、采购代理机构政府采购评审专家或其它投标供应商恶意串通，进行质疑和投诉，维护政府采购市场秩序。</w:t>
      </w:r>
    </w:p>
    <w:p w14:paraId="25DA8680">
      <w:pPr>
        <w:spacing w:line="500" w:lineRule="exact"/>
        <w:ind w:firstLine="480" w:firstLineChars="200"/>
        <w:rPr>
          <w:rFonts w:ascii="宋体" w:hAnsi="宋体"/>
          <w:sz w:val="24"/>
        </w:rPr>
      </w:pPr>
      <w:r>
        <w:rPr>
          <w:rFonts w:hint="eastAsia" w:ascii="宋体" w:hAnsi="宋体"/>
          <w:sz w:val="24"/>
        </w:rPr>
        <w:t>8、尊重和接受政府采购监督管理部门的监督和政府采购代理机构招标采购要求，承担因违约行为给采购人造成的损失。</w:t>
      </w:r>
    </w:p>
    <w:p w14:paraId="34A1AB8F">
      <w:pPr>
        <w:spacing w:line="500" w:lineRule="exact"/>
        <w:ind w:firstLine="480" w:firstLineChars="200"/>
        <w:rPr>
          <w:rFonts w:ascii="宋体" w:hAnsi="宋体"/>
          <w:sz w:val="24"/>
        </w:rPr>
      </w:pPr>
      <w:r>
        <w:rPr>
          <w:rFonts w:hint="eastAsia" w:ascii="宋体" w:hAnsi="宋体"/>
          <w:sz w:val="24"/>
        </w:rPr>
        <w:t>9、不发生其他有悖于政府采购公开、公平、公正和诚信原则的行为。</w:t>
      </w:r>
    </w:p>
    <w:p w14:paraId="5B1614D0">
      <w:pPr>
        <w:spacing w:line="500" w:lineRule="exact"/>
        <w:rPr>
          <w:rFonts w:ascii="宋体" w:hAnsi="宋体"/>
          <w:sz w:val="24"/>
        </w:rPr>
      </w:pPr>
    </w:p>
    <w:p w14:paraId="7F43DDDB">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0EC98B18">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3705F168">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3F175ECE">
      <w:pPr>
        <w:spacing w:line="360" w:lineRule="atLeast"/>
        <w:jc w:val="center"/>
        <w:rPr>
          <w:rFonts w:cs="华文仿宋"/>
          <w:b/>
          <w:bCs/>
          <w:kern w:val="0"/>
          <w:sz w:val="30"/>
          <w:szCs w:val="30"/>
        </w:rPr>
      </w:pPr>
      <w:r>
        <w:rPr>
          <w:rFonts w:ascii="宋体" w:hAnsi="宋体"/>
          <w:b/>
          <w:bCs/>
          <w:sz w:val="24"/>
        </w:rPr>
        <w:br w:type="page"/>
      </w:r>
      <w:r>
        <w:rPr>
          <w:rFonts w:hint="eastAsia" w:cs="华文仿宋"/>
          <w:b/>
          <w:bCs/>
          <w:kern w:val="0"/>
          <w:sz w:val="30"/>
          <w:szCs w:val="30"/>
        </w:rPr>
        <w:t>承诺书Ⅱ</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C0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33B49A1">
            <w:pPr>
              <w:spacing w:line="360" w:lineRule="atLeast"/>
              <w:rPr>
                <w:rFonts w:ascii="宋体" w:hAnsi="宋体"/>
                <w:sz w:val="24"/>
              </w:rPr>
            </w:pPr>
            <w:r>
              <w:rPr>
                <w:rFonts w:hint="eastAsia" w:ascii="宋体" w:hAnsi="宋体"/>
                <w:sz w:val="24"/>
              </w:rPr>
              <w:t>致：陕西德勤招标有限公司</w:t>
            </w:r>
          </w:p>
        </w:tc>
      </w:tr>
      <w:tr w14:paraId="0427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60CEFDF">
            <w:pPr>
              <w:spacing w:line="360" w:lineRule="atLeast"/>
              <w:ind w:firstLine="480" w:firstLineChars="200"/>
              <w:rPr>
                <w:rFonts w:ascii="宋体" w:hAnsi="宋体"/>
                <w:sz w:val="24"/>
              </w:rPr>
            </w:pPr>
            <w:r>
              <w:rPr>
                <w:rFonts w:hint="eastAsia" w:ascii="宋体" w:hAnsi="宋体"/>
                <w:sz w:val="24"/>
              </w:rPr>
              <w:t>作为参加贵公司组织的磋商采购项目的供应商，本公司承诺：在参加本项目响应之前不存在被依法禁止经营行为、财产被接管或冻结的情况，如有隐瞒实情，愿承担一切责任及后果。</w:t>
            </w:r>
          </w:p>
        </w:tc>
      </w:tr>
      <w:tr w14:paraId="738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5B65B702">
            <w:pPr>
              <w:spacing w:line="360" w:lineRule="atLeast"/>
              <w:jc w:val="center"/>
              <w:rPr>
                <w:rFonts w:ascii="宋体" w:hAnsi="宋体"/>
                <w:sz w:val="24"/>
              </w:rPr>
            </w:pPr>
            <w:r>
              <w:rPr>
                <w:rFonts w:hint="eastAsia" w:ascii="宋体" w:hAnsi="宋体"/>
                <w:sz w:val="24"/>
              </w:rPr>
              <w:t>供应商</w:t>
            </w:r>
          </w:p>
        </w:tc>
        <w:tc>
          <w:tcPr>
            <w:tcW w:w="3420" w:type="dxa"/>
            <w:vAlign w:val="center"/>
          </w:tcPr>
          <w:p w14:paraId="00D42971">
            <w:pPr>
              <w:spacing w:line="360" w:lineRule="atLeast"/>
              <w:jc w:val="center"/>
              <w:rPr>
                <w:rFonts w:ascii="宋体" w:hAnsi="宋体"/>
                <w:sz w:val="24"/>
              </w:rPr>
            </w:pPr>
            <w:r>
              <w:rPr>
                <w:rFonts w:hint="eastAsia" w:ascii="宋体" w:hAnsi="宋体"/>
                <w:sz w:val="24"/>
              </w:rPr>
              <w:t>法定代表人</w:t>
            </w:r>
          </w:p>
        </w:tc>
        <w:tc>
          <w:tcPr>
            <w:tcW w:w="2340" w:type="dxa"/>
            <w:vAlign w:val="center"/>
          </w:tcPr>
          <w:p w14:paraId="7A09BE8C">
            <w:pPr>
              <w:spacing w:line="360" w:lineRule="atLeast"/>
              <w:jc w:val="center"/>
              <w:rPr>
                <w:rFonts w:ascii="宋体" w:hAnsi="宋体"/>
                <w:sz w:val="24"/>
              </w:rPr>
            </w:pPr>
            <w:r>
              <w:rPr>
                <w:rFonts w:hint="eastAsia" w:ascii="宋体" w:hAnsi="宋体"/>
                <w:sz w:val="24"/>
              </w:rPr>
              <w:t>日  期</w:t>
            </w:r>
          </w:p>
        </w:tc>
      </w:tr>
      <w:tr w14:paraId="3D92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6FE95657">
            <w:pPr>
              <w:spacing w:line="360" w:lineRule="atLeast"/>
              <w:jc w:val="center"/>
              <w:rPr>
                <w:rFonts w:ascii="宋体" w:hAnsi="宋体"/>
                <w:sz w:val="24"/>
              </w:rPr>
            </w:pPr>
            <w:r>
              <w:rPr>
                <w:rFonts w:hint="eastAsia" w:ascii="宋体" w:hAnsi="宋体"/>
                <w:sz w:val="24"/>
              </w:rPr>
              <w:t>（公章）</w:t>
            </w:r>
          </w:p>
        </w:tc>
        <w:tc>
          <w:tcPr>
            <w:tcW w:w="3420" w:type="dxa"/>
            <w:vAlign w:val="center"/>
          </w:tcPr>
          <w:p w14:paraId="0AD7275E">
            <w:pPr>
              <w:spacing w:line="360" w:lineRule="atLeast"/>
              <w:jc w:val="center"/>
              <w:rPr>
                <w:rFonts w:ascii="宋体" w:hAnsi="宋体"/>
                <w:sz w:val="24"/>
              </w:rPr>
            </w:pPr>
            <w:r>
              <w:rPr>
                <w:rFonts w:hint="eastAsia" w:ascii="宋体" w:hAnsi="宋体"/>
                <w:sz w:val="24"/>
              </w:rPr>
              <w:t>（签字或盖章）</w:t>
            </w:r>
          </w:p>
        </w:tc>
        <w:tc>
          <w:tcPr>
            <w:tcW w:w="2340" w:type="dxa"/>
            <w:vAlign w:val="center"/>
          </w:tcPr>
          <w:p w14:paraId="525D6063">
            <w:pPr>
              <w:spacing w:line="360" w:lineRule="atLeast"/>
              <w:ind w:firstLine="240" w:firstLineChars="100"/>
              <w:jc w:val="center"/>
              <w:rPr>
                <w:rFonts w:ascii="宋体" w:hAnsi="宋体"/>
                <w:sz w:val="24"/>
              </w:rPr>
            </w:pPr>
            <w:r>
              <w:rPr>
                <w:rFonts w:hint="eastAsia" w:ascii="宋体" w:hAnsi="宋体"/>
                <w:sz w:val="24"/>
              </w:rPr>
              <w:t>年  月  日</w:t>
            </w:r>
          </w:p>
        </w:tc>
      </w:tr>
    </w:tbl>
    <w:p w14:paraId="4E7615A0">
      <w:pPr>
        <w:spacing w:line="360" w:lineRule="atLeast"/>
        <w:rPr>
          <w:rFonts w:ascii="宋体" w:hAnsi="宋体"/>
          <w:b/>
          <w:sz w:val="42"/>
          <w:szCs w:val="42"/>
        </w:rPr>
      </w:pPr>
    </w:p>
    <w:p w14:paraId="69C30A35">
      <w:pPr>
        <w:spacing w:line="360" w:lineRule="atLeast"/>
        <w:jc w:val="center"/>
        <w:rPr>
          <w:rFonts w:cs="华文仿宋"/>
          <w:b/>
          <w:bCs/>
          <w:kern w:val="0"/>
          <w:sz w:val="30"/>
          <w:szCs w:val="30"/>
        </w:rPr>
      </w:pPr>
      <w:r>
        <w:rPr>
          <w:rFonts w:hint="eastAsia" w:cs="华文仿宋"/>
          <w:b/>
          <w:bCs/>
          <w:kern w:val="0"/>
          <w:sz w:val="30"/>
          <w:szCs w:val="30"/>
        </w:rPr>
        <w:t>承诺书Ⅲ</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C70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035567DD">
            <w:pPr>
              <w:spacing w:line="360" w:lineRule="atLeast"/>
              <w:rPr>
                <w:rFonts w:ascii="宋体" w:hAnsi="宋体"/>
                <w:sz w:val="24"/>
              </w:rPr>
            </w:pPr>
            <w:r>
              <w:rPr>
                <w:rFonts w:hint="eastAsia" w:ascii="宋体" w:hAnsi="宋体"/>
                <w:sz w:val="24"/>
              </w:rPr>
              <w:t>致：陕西德勤招标有限公司</w:t>
            </w:r>
          </w:p>
        </w:tc>
      </w:tr>
      <w:tr w14:paraId="4B01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E1C0662">
            <w:pPr>
              <w:spacing w:line="360" w:lineRule="atLeast"/>
              <w:ind w:firstLine="480" w:firstLineChars="200"/>
              <w:rPr>
                <w:rFonts w:ascii="宋体" w:hAnsi="宋体"/>
                <w:sz w:val="24"/>
              </w:rPr>
            </w:pPr>
            <w:r>
              <w:rPr>
                <w:rFonts w:hint="eastAsia" w:ascii="宋体" w:hAnsi="宋体"/>
                <w:sz w:val="24"/>
              </w:rPr>
              <w:t>作为参加贵公司组织的磋商采购项目的供应商，本公司郑重申告并承诺：近三年受到有关行政主管部门的行政处理、不良行为记录为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tc>
      </w:tr>
      <w:tr w14:paraId="4130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BD06931">
            <w:pPr>
              <w:spacing w:line="360" w:lineRule="atLeast"/>
              <w:jc w:val="center"/>
              <w:rPr>
                <w:rFonts w:ascii="宋体" w:hAnsi="宋体"/>
                <w:sz w:val="24"/>
              </w:rPr>
            </w:pPr>
            <w:r>
              <w:rPr>
                <w:rFonts w:hint="eastAsia" w:ascii="宋体" w:hAnsi="宋体"/>
                <w:sz w:val="24"/>
              </w:rPr>
              <w:t>供应商</w:t>
            </w:r>
          </w:p>
        </w:tc>
        <w:tc>
          <w:tcPr>
            <w:tcW w:w="3420" w:type="dxa"/>
            <w:vAlign w:val="center"/>
          </w:tcPr>
          <w:p w14:paraId="1F7B06A9">
            <w:pPr>
              <w:spacing w:line="360" w:lineRule="atLeast"/>
              <w:jc w:val="center"/>
              <w:rPr>
                <w:rFonts w:ascii="宋体" w:hAnsi="宋体"/>
                <w:sz w:val="24"/>
              </w:rPr>
            </w:pPr>
            <w:r>
              <w:rPr>
                <w:rFonts w:hint="eastAsia" w:ascii="宋体" w:hAnsi="宋体"/>
                <w:sz w:val="24"/>
              </w:rPr>
              <w:t>法定代表人</w:t>
            </w:r>
          </w:p>
        </w:tc>
        <w:tc>
          <w:tcPr>
            <w:tcW w:w="2340" w:type="dxa"/>
            <w:vAlign w:val="center"/>
          </w:tcPr>
          <w:p w14:paraId="1BA4501B">
            <w:pPr>
              <w:spacing w:line="360" w:lineRule="atLeast"/>
              <w:jc w:val="center"/>
              <w:rPr>
                <w:rFonts w:ascii="宋体" w:hAnsi="宋体"/>
                <w:sz w:val="24"/>
              </w:rPr>
            </w:pPr>
            <w:r>
              <w:rPr>
                <w:rFonts w:hint="eastAsia" w:ascii="宋体" w:hAnsi="宋体"/>
                <w:sz w:val="24"/>
              </w:rPr>
              <w:t>日  期</w:t>
            </w:r>
          </w:p>
        </w:tc>
      </w:tr>
      <w:tr w14:paraId="55BB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759B10A">
            <w:pPr>
              <w:spacing w:line="360" w:lineRule="atLeast"/>
              <w:jc w:val="center"/>
              <w:rPr>
                <w:rFonts w:ascii="宋体" w:hAnsi="宋体"/>
                <w:sz w:val="24"/>
              </w:rPr>
            </w:pPr>
            <w:r>
              <w:rPr>
                <w:rFonts w:hint="eastAsia" w:ascii="宋体" w:hAnsi="宋体"/>
                <w:sz w:val="24"/>
              </w:rPr>
              <w:t>（公章）</w:t>
            </w:r>
          </w:p>
        </w:tc>
        <w:tc>
          <w:tcPr>
            <w:tcW w:w="3420" w:type="dxa"/>
            <w:vAlign w:val="center"/>
          </w:tcPr>
          <w:p w14:paraId="0200BF4C">
            <w:pPr>
              <w:spacing w:line="360" w:lineRule="atLeast"/>
              <w:jc w:val="center"/>
              <w:rPr>
                <w:rFonts w:ascii="宋体" w:hAnsi="宋体"/>
                <w:sz w:val="24"/>
              </w:rPr>
            </w:pPr>
            <w:r>
              <w:rPr>
                <w:rFonts w:hint="eastAsia" w:ascii="宋体" w:hAnsi="宋体"/>
                <w:sz w:val="24"/>
              </w:rPr>
              <w:t>（签字或盖章）</w:t>
            </w:r>
          </w:p>
        </w:tc>
        <w:tc>
          <w:tcPr>
            <w:tcW w:w="2340" w:type="dxa"/>
            <w:vAlign w:val="center"/>
          </w:tcPr>
          <w:p w14:paraId="64D59A99">
            <w:pPr>
              <w:spacing w:line="360" w:lineRule="atLeast"/>
              <w:ind w:firstLine="240" w:firstLineChars="100"/>
              <w:jc w:val="center"/>
              <w:rPr>
                <w:rFonts w:ascii="宋体" w:hAnsi="宋体"/>
                <w:sz w:val="24"/>
              </w:rPr>
            </w:pPr>
            <w:r>
              <w:rPr>
                <w:rFonts w:hint="eastAsia" w:ascii="宋体" w:hAnsi="宋体"/>
                <w:sz w:val="24"/>
              </w:rPr>
              <w:t>年  月  日</w:t>
            </w:r>
          </w:p>
        </w:tc>
      </w:tr>
    </w:tbl>
    <w:p w14:paraId="61868E52">
      <w:pPr>
        <w:spacing w:line="360" w:lineRule="atLeast"/>
        <w:rPr>
          <w:rFonts w:ascii="宋体" w:hAnsi="宋体"/>
          <w:b/>
          <w:sz w:val="32"/>
          <w:szCs w:val="32"/>
        </w:rPr>
      </w:pPr>
    </w:p>
    <w:p w14:paraId="5D838BFC">
      <w:pPr>
        <w:spacing w:before="156" w:beforeLines="50" w:line="500" w:lineRule="exact"/>
        <w:jc w:val="center"/>
        <w:rPr>
          <w:rFonts w:ascii="黑体" w:hAnsi="仿宋" w:eastAsia="黑体" w:cs="黑体"/>
          <w:b/>
          <w:bCs/>
          <w:sz w:val="32"/>
          <w:szCs w:val="32"/>
        </w:rPr>
      </w:pPr>
    </w:p>
    <w:p w14:paraId="258A5E8E">
      <w:pPr>
        <w:rPr>
          <w:rFonts w:ascii="黑体" w:hAnsi="仿宋" w:eastAsia="黑体" w:cs="黑体"/>
          <w:b/>
          <w:bCs/>
          <w:sz w:val="32"/>
          <w:szCs w:val="32"/>
        </w:rPr>
      </w:pPr>
      <w:r>
        <w:rPr>
          <w:rFonts w:hint="eastAsia" w:ascii="黑体" w:hAnsi="仿宋" w:eastAsia="黑体" w:cs="黑体"/>
          <w:b/>
          <w:bCs/>
          <w:sz w:val="32"/>
          <w:szCs w:val="32"/>
        </w:rPr>
        <w:br w:type="page"/>
      </w:r>
    </w:p>
    <w:p w14:paraId="44626D7E">
      <w:pPr>
        <w:spacing w:before="156" w:beforeLines="50" w:line="360" w:lineRule="auto"/>
        <w:jc w:val="center"/>
        <w:rPr>
          <w:rFonts w:ascii="黑体" w:hAnsi="仿宋" w:eastAsia="黑体" w:cs="黑体"/>
          <w:b/>
          <w:bCs/>
          <w:sz w:val="32"/>
          <w:szCs w:val="32"/>
        </w:rPr>
      </w:pPr>
      <w:r>
        <w:rPr>
          <w:rFonts w:hint="eastAsia" w:ascii="黑体" w:hAnsi="仿宋" w:eastAsia="黑体" w:cs="黑体"/>
          <w:b/>
          <w:bCs/>
          <w:sz w:val="32"/>
          <w:szCs w:val="32"/>
        </w:rPr>
        <w:t>（四）商务条款响应表格式</w:t>
      </w:r>
    </w:p>
    <w:p w14:paraId="5797077D">
      <w:pPr>
        <w:pStyle w:val="25"/>
        <w:widowControl/>
        <w:spacing w:line="360" w:lineRule="auto"/>
        <w:ind w:firstLine="0" w:firstLineChars="0"/>
        <w:jc w:val="center"/>
        <w:rPr>
          <w:rFonts w:cs="华文仿宋"/>
          <w:b/>
          <w:bCs/>
          <w:sz w:val="30"/>
          <w:szCs w:val="30"/>
        </w:rPr>
      </w:pPr>
      <w:r>
        <w:rPr>
          <w:rFonts w:hint="eastAsia" w:cs="华文仿宋"/>
          <w:b/>
          <w:bCs/>
          <w:sz w:val="30"/>
          <w:szCs w:val="30"/>
        </w:rPr>
        <w:t>商务条款响应表</w:t>
      </w:r>
    </w:p>
    <w:tbl>
      <w:tblPr>
        <w:tblStyle w:val="27"/>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14:paraId="686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11B76A79">
            <w:pPr>
              <w:spacing w:line="360" w:lineRule="auto"/>
              <w:jc w:val="center"/>
              <w:rPr>
                <w:rFonts w:ascii="黑体" w:hAnsi="黑体" w:eastAsia="黑体" w:cs="黑体"/>
                <w:sz w:val="24"/>
              </w:rPr>
            </w:pPr>
            <w:r>
              <w:rPr>
                <w:rFonts w:hint="eastAsia" w:ascii="黑体" w:hAnsi="黑体" w:eastAsia="黑体" w:cs="黑体"/>
                <w:sz w:val="24"/>
              </w:rPr>
              <w:t>序号</w:t>
            </w:r>
          </w:p>
        </w:tc>
        <w:tc>
          <w:tcPr>
            <w:tcW w:w="5945" w:type="dxa"/>
            <w:vAlign w:val="center"/>
          </w:tcPr>
          <w:p w14:paraId="164419FB">
            <w:pPr>
              <w:spacing w:line="360" w:lineRule="auto"/>
              <w:jc w:val="center"/>
              <w:rPr>
                <w:rFonts w:ascii="黑体" w:hAnsi="黑体" w:eastAsia="黑体" w:cs="黑体"/>
                <w:sz w:val="24"/>
              </w:rPr>
            </w:pPr>
            <w:r>
              <w:rPr>
                <w:rFonts w:hint="eastAsia" w:ascii="黑体" w:hAnsi="黑体" w:eastAsia="黑体" w:cs="黑体"/>
                <w:sz w:val="24"/>
              </w:rPr>
              <w:t>一般商务条款要求</w:t>
            </w:r>
          </w:p>
        </w:tc>
        <w:tc>
          <w:tcPr>
            <w:tcW w:w="1428" w:type="dxa"/>
            <w:vAlign w:val="center"/>
          </w:tcPr>
          <w:p w14:paraId="6BDE68F1">
            <w:pPr>
              <w:spacing w:line="360" w:lineRule="auto"/>
              <w:jc w:val="center"/>
              <w:rPr>
                <w:rFonts w:ascii="黑体" w:hAnsi="黑体" w:eastAsia="黑体" w:cs="黑体"/>
                <w:sz w:val="24"/>
              </w:rPr>
            </w:pPr>
            <w:r>
              <w:rPr>
                <w:rFonts w:hint="eastAsia" w:ascii="黑体" w:hAnsi="黑体" w:eastAsia="黑体" w:cs="黑体"/>
                <w:sz w:val="24"/>
              </w:rPr>
              <w:t>是否响应</w:t>
            </w:r>
          </w:p>
        </w:tc>
        <w:tc>
          <w:tcPr>
            <w:tcW w:w="1255" w:type="dxa"/>
            <w:vAlign w:val="center"/>
          </w:tcPr>
          <w:p w14:paraId="1786314D">
            <w:pPr>
              <w:spacing w:line="360" w:lineRule="auto"/>
              <w:jc w:val="center"/>
              <w:rPr>
                <w:rFonts w:ascii="黑体" w:hAnsi="黑体" w:eastAsia="黑体" w:cs="黑体"/>
                <w:sz w:val="24"/>
              </w:rPr>
            </w:pPr>
            <w:r>
              <w:rPr>
                <w:rFonts w:hint="eastAsia" w:ascii="黑体" w:hAnsi="黑体" w:eastAsia="黑体" w:cs="黑体"/>
                <w:sz w:val="24"/>
              </w:rPr>
              <w:t>偏离说明</w:t>
            </w:r>
          </w:p>
        </w:tc>
      </w:tr>
      <w:tr w14:paraId="7382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54A1A96D">
            <w:pPr>
              <w:spacing w:line="360" w:lineRule="auto"/>
              <w:jc w:val="center"/>
              <w:rPr>
                <w:rFonts w:ascii="黑体" w:hAnsi="黑体" w:eastAsia="黑体" w:cs="黑体"/>
                <w:sz w:val="24"/>
              </w:rPr>
            </w:pPr>
            <w:r>
              <w:rPr>
                <w:rFonts w:hint="eastAsia" w:ascii="黑体" w:hAnsi="黑体" w:eastAsia="黑体" w:cs="黑体"/>
                <w:sz w:val="24"/>
              </w:rPr>
              <w:t>1</w:t>
            </w:r>
          </w:p>
        </w:tc>
        <w:tc>
          <w:tcPr>
            <w:tcW w:w="5945" w:type="dxa"/>
          </w:tcPr>
          <w:p w14:paraId="1181BB18">
            <w:pPr>
              <w:spacing w:line="360" w:lineRule="auto"/>
              <w:jc w:val="left"/>
              <w:rPr>
                <w:rFonts w:ascii="宋体" w:hAnsi="宋体"/>
              </w:rPr>
            </w:pPr>
            <w:r>
              <w:rPr>
                <w:rFonts w:hint="eastAsia" w:ascii="宋体" w:hAnsi="宋体"/>
              </w:rPr>
              <w:t>完全理解并接受合同条款的要求</w:t>
            </w:r>
          </w:p>
        </w:tc>
        <w:tc>
          <w:tcPr>
            <w:tcW w:w="1428" w:type="dxa"/>
          </w:tcPr>
          <w:p w14:paraId="3B26E8EE">
            <w:pPr>
              <w:spacing w:line="360" w:lineRule="auto"/>
              <w:jc w:val="center"/>
              <w:rPr>
                <w:rFonts w:ascii="宋体" w:hAnsi="宋体"/>
              </w:rPr>
            </w:pPr>
          </w:p>
        </w:tc>
        <w:tc>
          <w:tcPr>
            <w:tcW w:w="1255" w:type="dxa"/>
          </w:tcPr>
          <w:p w14:paraId="338D2BB6">
            <w:pPr>
              <w:spacing w:line="360" w:lineRule="auto"/>
              <w:jc w:val="center"/>
              <w:rPr>
                <w:rFonts w:ascii="宋体" w:hAnsi="宋体"/>
              </w:rPr>
            </w:pPr>
          </w:p>
        </w:tc>
      </w:tr>
      <w:tr w14:paraId="3104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4F084E0C">
            <w:pPr>
              <w:spacing w:line="360" w:lineRule="auto"/>
              <w:jc w:val="center"/>
              <w:rPr>
                <w:rFonts w:ascii="黑体" w:hAnsi="黑体" w:eastAsia="黑体" w:cs="黑体"/>
                <w:sz w:val="24"/>
              </w:rPr>
            </w:pPr>
            <w:r>
              <w:rPr>
                <w:rFonts w:hint="eastAsia" w:ascii="黑体" w:hAnsi="黑体" w:eastAsia="黑体" w:cs="黑体"/>
                <w:sz w:val="24"/>
              </w:rPr>
              <w:t>2</w:t>
            </w:r>
          </w:p>
        </w:tc>
        <w:tc>
          <w:tcPr>
            <w:tcW w:w="5945" w:type="dxa"/>
          </w:tcPr>
          <w:p w14:paraId="750B327F">
            <w:pPr>
              <w:spacing w:line="360" w:lineRule="auto"/>
              <w:jc w:val="left"/>
              <w:rPr>
                <w:rFonts w:ascii="宋体" w:hAnsi="宋体"/>
              </w:rPr>
            </w:pPr>
            <w:r>
              <w:rPr>
                <w:rFonts w:hint="eastAsia" w:ascii="宋体" w:hAnsi="宋体"/>
              </w:rPr>
              <w:t>完全理解并接受对合格供应商、合格服务的要求</w:t>
            </w:r>
          </w:p>
        </w:tc>
        <w:tc>
          <w:tcPr>
            <w:tcW w:w="1428" w:type="dxa"/>
          </w:tcPr>
          <w:p w14:paraId="7082A856">
            <w:pPr>
              <w:spacing w:line="360" w:lineRule="auto"/>
              <w:jc w:val="center"/>
              <w:rPr>
                <w:rFonts w:ascii="宋体" w:hAnsi="宋体"/>
              </w:rPr>
            </w:pPr>
          </w:p>
        </w:tc>
        <w:tc>
          <w:tcPr>
            <w:tcW w:w="1255" w:type="dxa"/>
          </w:tcPr>
          <w:p w14:paraId="56EFB3F9">
            <w:pPr>
              <w:spacing w:line="360" w:lineRule="auto"/>
              <w:jc w:val="center"/>
              <w:rPr>
                <w:rFonts w:ascii="宋体" w:hAnsi="宋体"/>
              </w:rPr>
            </w:pPr>
          </w:p>
        </w:tc>
      </w:tr>
      <w:tr w14:paraId="2FDE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2A10625E">
            <w:pPr>
              <w:spacing w:line="360" w:lineRule="auto"/>
              <w:jc w:val="center"/>
              <w:rPr>
                <w:rFonts w:ascii="黑体" w:hAnsi="黑体" w:eastAsia="黑体" w:cs="黑体"/>
                <w:sz w:val="24"/>
              </w:rPr>
            </w:pPr>
            <w:r>
              <w:rPr>
                <w:rFonts w:hint="eastAsia" w:ascii="黑体" w:hAnsi="黑体" w:eastAsia="黑体" w:cs="黑体"/>
                <w:sz w:val="24"/>
              </w:rPr>
              <w:t>3</w:t>
            </w:r>
          </w:p>
        </w:tc>
        <w:tc>
          <w:tcPr>
            <w:tcW w:w="5945" w:type="dxa"/>
          </w:tcPr>
          <w:p w14:paraId="622B36B8">
            <w:pPr>
              <w:spacing w:line="360" w:lineRule="auto"/>
              <w:jc w:val="left"/>
              <w:rPr>
                <w:rFonts w:ascii="宋体" w:hAnsi="宋体"/>
              </w:rPr>
            </w:pPr>
            <w:r>
              <w:rPr>
                <w:rFonts w:hint="eastAsia" w:ascii="宋体" w:hAnsi="宋体"/>
              </w:rPr>
              <w:t>完全理解并接受对供应商须知、规约要求和责任义务</w:t>
            </w:r>
          </w:p>
        </w:tc>
        <w:tc>
          <w:tcPr>
            <w:tcW w:w="1428" w:type="dxa"/>
          </w:tcPr>
          <w:p w14:paraId="72320C84">
            <w:pPr>
              <w:spacing w:line="360" w:lineRule="auto"/>
              <w:jc w:val="center"/>
              <w:rPr>
                <w:rFonts w:ascii="宋体" w:hAnsi="宋体"/>
              </w:rPr>
            </w:pPr>
          </w:p>
        </w:tc>
        <w:tc>
          <w:tcPr>
            <w:tcW w:w="1255" w:type="dxa"/>
          </w:tcPr>
          <w:p w14:paraId="60ACC04D">
            <w:pPr>
              <w:spacing w:line="360" w:lineRule="auto"/>
              <w:jc w:val="center"/>
              <w:rPr>
                <w:rFonts w:ascii="宋体" w:hAnsi="宋体"/>
              </w:rPr>
            </w:pPr>
          </w:p>
        </w:tc>
      </w:tr>
      <w:tr w14:paraId="6DBA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1B464B8D">
            <w:pPr>
              <w:spacing w:line="360" w:lineRule="auto"/>
              <w:jc w:val="center"/>
              <w:rPr>
                <w:rFonts w:ascii="黑体" w:hAnsi="黑体" w:eastAsia="黑体" w:cs="黑体"/>
                <w:sz w:val="24"/>
              </w:rPr>
            </w:pPr>
            <w:r>
              <w:rPr>
                <w:rFonts w:hint="eastAsia" w:ascii="黑体" w:hAnsi="黑体" w:eastAsia="黑体" w:cs="黑体"/>
                <w:sz w:val="24"/>
              </w:rPr>
              <w:t>4</w:t>
            </w:r>
          </w:p>
        </w:tc>
        <w:tc>
          <w:tcPr>
            <w:tcW w:w="5945" w:type="dxa"/>
          </w:tcPr>
          <w:p w14:paraId="56DC771A">
            <w:pPr>
              <w:spacing w:line="360" w:lineRule="auto"/>
              <w:jc w:val="left"/>
              <w:rPr>
                <w:rFonts w:ascii="宋体" w:hAnsi="宋体"/>
              </w:rPr>
            </w:pPr>
            <w:r>
              <w:rPr>
                <w:rFonts w:hint="eastAsia" w:ascii="宋体" w:hAnsi="宋体"/>
              </w:rPr>
              <w:t>响应有效期：自响应截止起不少于90日</w:t>
            </w:r>
          </w:p>
        </w:tc>
        <w:tc>
          <w:tcPr>
            <w:tcW w:w="1428" w:type="dxa"/>
          </w:tcPr>
          <w:p w14:paraId="3B6A43DF">
            <w:pPr>
              <w:spacing w:line="360" w:lineRule="auto"/>
              <w:jc w:val="center"/>
              <w:rPr>
                <w:rFonts w:ascii="宋体" w:hAnsi="宋体"/>
              </w:rPr>
            </w:pPr>
          </w:p>
        </w:tc>
        <w:tc>
          <w:tcPr>
            <w:tcW w:w="1255" w:type="dxa"/>
          </w:tcPr>
          <w:p w14:paraId="6F16063D">
            <w:pPr>
              <w:spacing w:line="360" w:lineRule="auto"/>
              <w:jc w:val="center"/>
              <w:rPr>
                <w:rFonts w:ascii="宋体" w:hAnsi="宋体"/>
              </w:rPr>
            </w:pPr>
          </w:p>
        </w:tc>
      </w:tr>
      <w:tr w14:paraId="25A7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2DA66013">
            <w:pPr>
              <w:spacing w:line="360" w:lineRule="auto"/>
              <w:jc w:val="center"/>
              <w:rPr>
                <w:rFonts w:ascii="黑体" w:hAnsi="黑体" w:eastAsia="黑体" w:cs="黑体"/>
                <w:sz w:val="24"/>
              </w:rPr>
            </w:pPr>
            <w:r>
              <w:rPr>
                <w:rFonts w:hint="eastAsia" w:ascii="黑体" w:hAnsi="黑体" w:eastAsia="黑体" w:cs="黑体"/>
                <w:sz w:val="24"/>
              </w:rPr>
              <w:t>5</w:t>
            </w:r>
          </w:p>
        </w:tc>
        <w:tc>
          <w:tcPr>
            <w:tcW w:w="5945" w:type="dxa"/>
          </w:tcPr>
          <w:p w14:paraId="49D37DA4">
            <w:pPr>
              <w:spacing w:line="360" w:lineRule="auto"/>
              <w:jc w:val="left"/>
              <w:rPr>
                <w:rFonts w:ascii="宋体" w:hAnsi="宋体"/>
              </w:rPr>
            </w:pPr>
            <w:r>
              <w:rPr>
                <w:rFonts w:hint="eastAsia" w:ascii="宋体" w:hAnsi="宋体"/>
              </w:rPr>
              <w:t>报价内容涵盖报价要求之一切费用和伴随服务</w:t>
            </w:r>
          </w:p>
        </w:tc>
        <w:tc>
          <w:tcPr>
            <w:tcW w:w="1428" w:type="dxa"/>
          </w:tcPr>
          <w:p w14:paraId="40A78477">
            <w:pPr>
              <w:spacing w:line="360" w:lineRule="auto"/>
              <w:jc w:val="center"/>
              <w:rPr>
                <w:rFonts w:ascii="宋体" w:hAnsi="宋体"/>
              </w:rPr>
            </w:pPr>
          </w:p>
        </w:tc>
        <w:tc>
          <w:tcPr>
            <w:tcW w:w="1255" w:type="dxa"/>
          </w:tcPr>
          <w:p w14:paraId="775BA41D">
            <w:pPr>
              <w:spacing w:line="360" w:lineRule="auto"/>
              <w:jc w:val="center"/>
              <w:rPr>
                <w:rFonts w:ascii="宋体" w:hAnsi="宋体"/>
              </w:rPr>
            </w:pPr>
          </w:p>
        </w:tc>
      </w:tr>
      <w:tr w14:paraId="743C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1A2F930D">
            <w:pPr>
              <w:spacing w:line="360" w:lineRule="auto"/>
              <w:jc w:val="center"/>
              <w:rPr>
                <w:rFonts w:ascii="黑体" w:hAnsi="黑体" w:eastAsia="黑体" w:cs="黑体"/>
                <w:sz w:val="24"/>
              </w:rPr>
            </w:pPr>
            <w:r>
              <w:rPr>
                <w:rFonts w:hint="eastAsia" w:ascii="黑体" w:hAnsi="黑体" w:eastAsia="黑体" w:cs="黑体"/>
                <w:sz w:val="24"/>
              </w:rPr>
              <w:t>6</w:t>
            </w:r>
          </w:p>
        </w:tc>
        <w:tc>
          <w:tcPr>
            <w:tcW w:w="5945" w:type="dxa"/>
          </w:tcPr>
          <w:p w14:paraId="2037CA96">
            <w:pPr>
              <w:spacing w:line="360" w:lineRule="auto"/>
              <w:jc w:val="left"/>
              <w:rPr>
                <w:rFonts w:ascii="宋体" w:hAnsi="宋体"/>
              </w:rPr>
            </w:pPr>
            <w:r>
              <w:rPr>
                <w:rFonts w:hint="eastAsia" w:ascii="宋体" w:hAnsi="宋体"/>
              </w:rPr>
              <w:t>同意接受磋商文件要求的付款方式</w:t>
            </w:r>
          </w:p>
        </w:tc>
        <w:tc>
          <w:tcPr>
            <w:tcW w:w="1428" w:type="dxa"/>
          </w:tcPr>
          <w:p w14:paraId="3D124E0D">
            <w:pPr>
              <w:spacing w:line="360" w:lineRule="auto"/>
              <w:jc w:val="center"/>
              <w:rPr>
                <w:rFonts w:ascii="宋体" w:hAnsi="宋体"/>
              </w:rPr>
            </w:pPr>
          </w:p>
        </w:tc>
        <w:tc>
          <w:tcPr>
            <w:tcW w:w="1255" w:type="dxa"/>
          </w:tcPr>
          <w:p w14:paraId="4F8923B8">
            <w:pPr>
              <w:spacing w:line="360" w:lineRule="auto"/>
              <w:jc w:val="center"/>
              <w:rPr>
                <w:rFonts w:ascii="宋体" w:hAnsi="宋体"/>
              </w:rPr>
            </w:pPr>
          </w:p>
        </w:tc>
      </w:tr>
      <w:tr w14:paraId="7C0F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2DCD661C">
            <w:pPr>
              <w:spacing w:line="360" w:lineRule="auto"/>
              <w:jc w:val="center"/>
              <w:rPr>
                <w:rFonts w:ascii="黑体" w:hAnsi="黑体" w:eastAsia="黑体" w:cs="黑体"/>
                <w:sz w:val="24"/>
              </w:rPr>
            </w:pPr>
            <w:r>
              <w:rPr>
                <w:rFonts w:hint="eastAsia" w:ascii="黑体" w:hAnsi="黑体" w:eastAsia="黑体" w:cs="黑体"/>
                <w:sz w:val="24"/>
              </w:rPr>
              <w:t>7</w:t>
            </w:r>
          </w:p>
        </w:tc>
        <w:tc>
          <w:tcPr>
            <w:tcW w:w="5945" w:type="dxa"/>
          </w:tcPr>
          <w:p w14:paraId="57844205">
            <w:pPr>
              <w:spacing w:line="360" w:lineRule="auto"/>
              <w:jc w:val="left"/>
              <w:rPr>
                <w:rFonts w:ascii="宋体" w:hAnsi="宋体"/>
              </w:rPr>
            </w:pPr>
            <w:r>
              <w:rPr>
                <w:rFonts w:hint="eastAsia" w:ascii="宋体" w:hAnsi="宋体"/>
              </w:rPr>
              <w:t>同意接受磋商文件要求的服务期</w:t>
            </w:r>
          </w:p>
        </w:tc>
        <w:tc>
          <w:tcPr>
            <w:tcW w:w="1428" w:type="dxa"/>
          </w:tcPr>
          <w:p w14:paraId="5E58AC5A">
            <w:pPr>
              <w:spacing w:line="360" w:lineRule="auto"/>
              <w:jc w:val="center"/>
              <w:rPr>
                <w:rFonts w:ascii="宋体" w:hAnsi="宋体"/>
              </w:rPr>
            </w:pPr>
          </w:p>
        </w:tc>
        <w:tc>
          <w:tcPr>
            <w:tcW w:w="1255" w:type="dxa"/>
          </w:tcPr>
          <w:p w14:paraId="00532C03">
            <w:pPr>
              <w:spacing w:line="360" w:lineRule="auto"/>
              <w:jc w:val="center"/>
              <w:rPr>
                <w:rFonts w:ascii="宋体" w:hAnsi="宋体"/>
              </w:rPr>
            </w:pPr>
          </w:p>
        </w:tc>
      </w:tr>
      <w:tr w14:paraId="2102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75ED3056">
            <w:pPr>
              <w:spacing w:line="360" w:lineRule="auto"/>
              <w:jc w:val="center"/>
              <w:rPr>
                <w:rFonts w:ascii="黑体" w:hAnsi="黑体" w:eastAsia="黑体" w:cs="黑体"/>
                <w:sz w:val="24"/>
              </w:rPr>
            </w:pPr>
            <w:r>
              <w:rPr>
                <w:rFonts w:hint="eastAsia" w:ascii="黑体" w:hAnsi="黑体" w:eastAsia="黑体" w:cs="黑体"/>
                <w:sz w:val="24"/>
              </w:rPr>
              <w:t>8</w:t>
            </w:r>
          </w:p>
        </w:tc>
        <w:tc>
          <w:tcPr>
            <w:tcW w:w="5945" w:type="dxa"/>
          </w:tcPr>
          <w:p w14:paraId="592AF5C7">
            <w:pPr>
              <w:spacing w:line="360" w:lineRule="auto"/>
              <w:jc w:val="left"/>
              <w:rPr>
                <w:rFonts w:ascii="宋体" w:hAnsi="宋体"/>
              </w:rPr>
            </w:pPr>
            <w:r>
              <w:rPr>
                <w:rFonts w:hint="eastAsia" w:ascii="宋体" w:hAnsi="宋体"/>
              </w:rPr>
              <w:t>同意接受磋商文件要求的售后服务的各项要求</w:t>
            </w:r>
          </w:p>
        </w:tc>
        <w:tc>
          <w:tcPr>
            <w:tcW w:w="1428" w:type="dxa"/>
          </w:tcPr>
          <w:p w14:paraId="671D736E">
            <w:pPr>
              <w:spacing w:line="360" w:lineRule="auto"/>
              <w:jc w:val="center"/>
              <w:rPr>
                <w:rFonts w:ascii="宋体" w:hAnsi="宋体"/>
              </w:rPr>
            </w:pPr>
          </w:p>
        </w:tc>
        <w:tc>
          <w:tcPr>
            <w:tcW w:w="1255" w:type="dxa"/>
          </w:tcPr>
          <w:p w14:paraId="08F566E2">
            <w:pPr>
              <w:spacing w:line="360" w:lineRule="auto"/>
              <w:jc w:val="center"/>
              <w:rPr>
                <w:rFonts w:ascii="宋体" w:hAnsi="宋体"/>
              </w:rPr>
            </w:pPr>
          </w:p>
        </w:tc>
      </w:tr>
      <w:tr w14:paraId="45AB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40208EFB">
            <w:pPr>
              <w:spacing w:line="360" w:lineRule="auto"/>
              <w:jc w:val="center"/>
              <w:rPr>
                <w:rFonts w:ascii="黑体" w:hAnsi="黑体" w:eastAsia="黑体" w:cs="黑体"/>
                <w:sz w:val="24"/>
              </w:rPr>
            </w:pPr>
            <w:r>
              <w:rPr>
                <w:rFonts w:hint="eastAsia" w:ascii="黑体" w:hAnsi="黑体" w:eastAsia="黑体" w:cs="黑体"/>
                <w:sz w:val="24"/>
              </w:rPr>
              <w:t>9</w:t>
            </w:r>
          </w:p>
        </w:tc>
        <w:tc>
          <w:tcPr>
            <w:tcW w:w="5945" w:type="dxa"/>
          </w:tcPr>
          <w:p w14:paraId="28D04630">
            <w:pPr>
              <w:spacing w:line="360" w:lineRule="auto"/>
              <w:jc w:val="left"/>
              <w:rPr>
                <w:rFonts w:ascii="宋体" w:hAnsi="宋体"/>
              </w:rPr>
            </w:pPr>
            <w:r>
              <w:rPr>
                <w:rFonts w:hint="eastAsia" w:ascii="宋体" w:hAnsi="宋体"/>
              </w:rPr>
              <w:t>同意接受合同范本所列的各项条款</w:t>
            </w:r>
          </w:p>
        </w:tc>
        <w:tc>
          <w:tcPr>
            <w:tcW w:w="1428" w:type="dxa"/>
          </w:tcPr>
          <w:p w14:paraId="2C2AF083">
            <w:pPr>
              <w:spacing w:line="360" w:lineRule="auto"/>
              <w:jc w:val="center"/>
              <w:rPr>
                <w:rFonts w:ascii="宋体" w:hAnsi="宋体"/>
              </w:rPr>
            </w:pPr>
          </w:p>
        </w:tc>
        <w:tc>
          <w:tcPr>
            <w:tcW w:w="1255" w:type="dxa"/>
          </w:tcPr>
          <w:p w14:paraId="4AB2E33B">
            <w:pPr>
              <w:spacing w:line="360" w:lineRule="auto"/>
              <w:jc w:val="center"/>
              <w:rPr>
                <w:rFonts w:ascii="宋体" w:hAnsi="宋体"/>
              </w:rPr>
            </w:pPr>
          </w:p>
        </w:tc>
      </w:tr>
      <w:tr w14:paraId="135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67D0D7EA">
            <w:pPr>
              <w:spacing w:line="360" w:lineRule="auto"/>
              <w:jc w:val="center"/>
              <w:rPr>
                <w:rFonts w:ascii="黑体" w:hAnsi="黑体" w:eastAsia="黑体" w:cs="黑体"/>
                <w:sz w:val="24"/>
              </w:rPr>
            </w:pPr>
            <w:r>
              <w:rPr>
                <w:rFonts w:hint="eastAsia" w:ascii="黑体" w:hAnsi="黑体" w:eastAsia="黑体" w:cs="黑体"/>
                <w:sz w:val="24"/>
              </w:rPr>
              <w:t>10</w:t>
            </w:r>
          </w:p>
        </w:tc>
        <w:tc>
          <w:tcPr>
            <w:tcW w:w="5945" w:type="dxa"/>
          </w:tcPr>
          <w:p w14:paraId="6C4D6164">
            <w:pPr>
              <w:spacing w:line="360" w:lineRule="auto"/>
              <w:jc w:val="left"/>
              <w:rPr>
                <w:rFonts w:ascii="宋体" w:hAnsi="宋体"/>
              </w:rPr>
            </w:pPr>
            <w:r>
              <w:rPr>
                <w:rFonts w:hint="eastAsia" w:ascii="宋体" w:hAnsi="宋体"/>
              </w:rPr>
              <w:t>同意按照本项目要求缴付各项款项</w:t>
            </w:r>
          </w:p>
        </w:tc>
        <w:tc>
          <w:tcPr>
            <w:tcW w:w="1428" w:type="dxa"/>
          </w:tcPr>
          <w:p w14:paraId="7D77020C">
            <w:pPr>
              <w:spacing w:line="360" w:lineRule="auto"/>
              <w:jc w:val="center"/>
              <w:rPr>
                <w:rFonts w:ascii="宋体" w:hAnsi="宋体"/>
              </w:rPr>
            </w:pPr>
          </w:p>
        </w:tc>
        <w:tc>
          <w:tcPr>
            <w:tcW w:w="1255" w:type="dxa"/>
          </w:tcPr>
          <w:p w14:paraId="32D8C98D">
            <w:pPr>
              <w:spacing w:line="360" w:lineRule="auto"/>
              <w:jc w:val="center"/>
              <w:rPr>
                <w:rFonts w:ascii="宋体" w:hAnsi="宋体"/>
              </w:rPr>
            </w:pPr>
          </w:p>
        </w:tc>
      </w:tr>
      <w:tr w14:paraId="0570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730512C9">
            <w:pPr>
              <w:spacing w:line="360" w:lineRule="auto"/>
              <w:jc w:val="center"/>
              <w:rPr>
                <w:rFonts w:ascii="黑体" w:hAnsi="黑体" w:eastAsia="黑体" w:cs="黑体"/>
                <w:sz w:val="24"/>
              </w:rPr>
            </w:pPr>
            <w:r>
              <w:rPr>
                <w:rFonts w:hint="eastAsia" w:ascii="黑体" w:hAnsi="黑体" w:eastAsia="黑体" w:cs="黑体"/>
                <w:sz w:val="24"/>
              </w:rPr>
              <w:t>11</w:t>
            </w:r>
          </w:p>
        </w:tc>
        <w:tc>
          <w:tcPr>
            <w:tcW w:w="5945" w:type="dxa"/>
          </w:tcPr>
          <w:p w14:paraId="4842F8A2">
            <w:pPr>
              <w:spacing w:line="360" w:lineRule="auto"/>
              <w:jc w:val="left"/>
              <w:rPr>
                <w:rFonts w:ascii="宋体" w:hAnsi="宋体"/>
              </w:rPr>
            </w:pPr>
            <w:r>
              <w:rPr>
                <w:rFonts w:hint="eastAsia" w:ascii="宋体" w:hAnsi="宋体"/>
              </w:rPr>
              <w:t>同意采购方以各种方式对我方提供的响应文件内容的真实性、有效性进行审查、验证</w:t>
            </w:r>
          </w:p>
        </w:tc>
        <w:tc>
          <w:tcPr>
            <w:tcW w:w="1428" w:type="dxa"/>
          </w:tcPr>
          <w:p w14:paraId="11EFBEE3">
            <w:pPr>
              <w:spacing w:line="360" w:lineRule="auto"/>
              <w:jc w:val="center"/>
              <w:rPr>
                <w:rFonts w:ascii="宋体" w:hAnsi="宋体"/>
              </w:rPr>
            </w:pPr>
          </w:p>
        </w:tc>
        <w:tc>
          <w:tcPr>
            <w:tcW w:w="1255" w:type="dxa"/>
          </w:tcPr>
          <w:p w14:paraId="5FD41535">
            <w:pPr>
              <w:spacing w:line="360" w:lineRule="auto"/>
              <w:jc w:val="center"/>
              <w:rPr>
                <w:rFonts w:ascii="宋体" w:hAnsi="宋体"/>
              </w:rPr>
            </w:pPr>
          </w:p>
        </w:tc>
      </w:tr>
      <w:tr w14:paraId="38F6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60B6C80F">
            <w:pPr>
              <w:spacing w:line="360" w:lineRule="auto"/>
              <w:jc w:val="center"/>
              <w:rPr>
                <w:rFonts w:ascii="黑体" w:hAnsi="黑体" w:eastAsia="黑体" w:cs="黑体"/>
                <w:sz w:val="24"/>
              </w:rPr>
            </w:pPr>
            <w:r>
              <w:rPr>
                <w:rFonts w:hint="eastAsia" w:ascii="黑体" w:hAnsi="黑体" w:eastAsia="黑体" w:cs="黑体"/>
                <w:sz w:val="24"/>
              </w:rPr>
              <w:t>12</w:t>
            </w:r>
          </w:p>
        </w:tc>
        <w:tc>
          <w:tcPr>
            <w:tcW w:w="5945" w:type="dxa"/>
          </w:tcPr>
          <w:p w14:paraId="6C10500E">
            <w:pPr>
              <w:spacing w:line="360" w:lineRule="auto"/>
              <w:jc w:val="left"/>
              <w:rPr>
                <w:rFonts w:ascii="宋体" w:hAnsi="宋体"/>
              </w:rPr>
            </w:pPr>
            <w:r>
              <w:rPr>
                <w:rFonts w:hint="eastAsia" w:ascii="宋体" w:hAnsi="宋体"/>
              </w:rPr>
              <w:t>其他商务条款偏离说明：</w:t>
            </w:r>
          </w:p>
        </w:tc>
        <w:tc>
          <w:tcPr>
            <w:tcW w:w="1428" w:type="dxa"/>
          </w:tcPr>
          <w:p w14:paraId="547EAD3E">
            <w:pPr>
              <w:spacing w:line="360" w:lineRule="auto"/>
              <w:jc w:val="center"/>
              <w:rPr>
                <w:rFonts w:ascii="宋体" w:hAnsi="宋体"/>
              </w:rPr>
            </w:pPr>
          </w:p>
        </w:tc>
        <w:tc>
          <w:tcPr>
            <w:tcW w:w="1255" w:type="dxa"/>
          </w:tcPr>
          <w:p w14:paraId="1DFA9338">
            <w:pPr>
              <w:spacing w:line="360" w:lineRule="auto"/>
              <w:jc w:val="center"/>
              <w:rPr>
                <w:rFonts w:ascii="宋体" w:hAnsi="宋体"/>
              </w:rPr>
            </w:pPr>
          </w:p>
        </w:tc>
      </w:tr>
    </w:tbl>
    <w:p w14:paraId="4A4CD21A">
      <w:pPr>
        <w:spacing w:line="360" w:lineRule="auto"/>
        <w:ind w:firstLine="422" w:firstLineChars="200"/>
        <w:jc w:val="left"/>
        <w:rPr>
          <w:rFonts w:ascii="宋体" w:hAnsi="宋体"/>
          <w:b/>
          <w:bCs/>
          <w:u w:val="single"/>
        </w:rPr>
      </w:pPr>
      <w:r>
        <w:rPr>
          <w:rFonts w:hint="eastAsia" w:ascii="宋体" w:hAnsi="宋体"/>
          <w:b/>
          <w:bCs/>
          <w:u w:val="single"/>
        </w:rPr>
        <w:t>注：对于上述要求，如供应商完全响应，则在“是否响应”栏打“√”，空白或打“Х”视偏离，请在“偏离说明”栏</w:t>
      </w:r>
      <w:r>
        <w:rPr>
          <w:rFonts w:hint="eastAsia" w:ascii="宋体" w:hAnsi="宋体"/>
          <w:b/>
          <w:bCs/>
          <w:u w:val="single"/>
          <w:lang w:val="en-GB"/>
        </w:rPr>
        <w:t>扼要叙述。</w:t>
      </w:r>
    </w:p>
    <w:p w14:paraId="03F616B6">
      <w:pPr>
        <w:spacing w:line="480" w:lineRule="auto"/>
        <w:ind w:firstLine="480" w:firstLineChars="200"/>
        <w:jc w:val="left"/>
        <w:rPr>
          <w:rFonts w:ascii="宋体" w:hAnsi="宋体"/>
          <w:sz w:val="24"/>
        </w:rPr>
      </w:pPr>
    </w:p>
    <w:p w14:paraId="44C222ED">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（公章</w:t>
      </w:r>
      <w:r>
        <w:rPr>
          <w:rFonts w:ascii="宋体" w:hAnsi="宋体"/>
          <w:sz w:val="24"/>
        </w:rPr>
        <w:t>）：</w:t>
      </w:r>
      <w:r>
        <w:rPr>
          <w:rFonts w:hint="eastAsia" w:ascii="宋体" w:hAnsi="宋体"/>
          <w:sz w:val="24"/>
        </w:rPr>
        <w:t xml:space="preserve"> </w:t>
      </w:r>
      <w:r>
        <w:rPr>
          <w:rFonts w:hint="eastAsia" w:ascii="宋体" w:hAnsi="宋体"/>
          <w:sz w:val="24"/>
          <w:u w:val="single"/>
        </w:rPr>
        <w:t>名称</w:t>
      </w:r>
      <w:r>
        <w:rPr>
          <w:rFonts w:hint="eastAsia" w:ascii="宋体" w:hAnsi="宋体"/>
          <w:sz w:val="24"/>
        </w:rPr>
        <w:t>（加盖公章）</w:t>
      </w:r>
    </w:p>
    <w:p w14:paraId="724E9A4E">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7784169E">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342E57BD">
      <w:pPr>
        <w:rPr>
          <w:rFonts w:ascii="黑体" w:hAnsi="黑体" w:eastAsia="黑体" w:cs="黑体"/>
          <w:b/>
          <w:bCs/>
          <w:sz w:val="32"/>
          <w:szCs w:val="32"/>
        </w:rPr>
      </w:pPr>
      <w:r>
        <w:rPr>
          <w:rFonts w:hint="eastAsia" w:ascii="宋体"/>
          <w:b/>
          <w:szCs w:val="21"/>
          <w:lang w:val="en-GB"/>
        </w:rPr>
        <w:br w:type="page"/>
      </w:r>
    </w:p>
    <w:p w14:paraId="0804D601">
      <w:pPr>
        <w:spacing w:line="360" w:lineRule="auto"/>
        <w:jc w:val="center"/>
        <w:rPr>
          <w:rFonts w:ascii="黑体" w:hAnsi="黑体" w:eastAsia="黑体" w:cs="黑体"/>
          <w:b/>
          <w:bCs/>
          <w:kern w:val="0"/>
          <w:sz w:val="32"/>
          <w:szCs w:val="32"/>
        </w:rPr>
        <w:sectPr>
          <w:pgSz w:w="11906" w:h="16838"/>
          <w:pgMar w:top="1440" w:right="1080" w:bottom="1440" w:left="1080" w:header="851" w:footer="992" w:gutter="0"/>
          <w:pgNumType w:fmt="decimal"/>
          <w:cols w:space="425" w:num="1"/>
          <w:docGrid w:type="lines" w:linePitch="312" w:charSpace="0"/>
        </w:sectPr>
      </w:pPr>
    </w:p>
    <w:p w14:paraId="31CC6A0B">
      <w:pPr>
        <w:spacing w:before="156" w:beforeLines="50" w:after="312" w:afterLines="100"/>
        <w:jc w:val="center"/>
        <w:rPr>
          <w:rFonts w:ascii="黑体" w:hAnsi="仿宋" w:eastAsia="黑体" w:cs="黑体"/>
          <w:b/>
          <w:bCs/>
          <w:sz w:val="32"/>
          <w:szCs w:val="32"/>
          <w:lang w:val="en-GB"/>
        </w:rPr>
      </w:pPr>
      <w:r>
        <w:rPr>
          <w:rFonts w:hint="eastAsia" w:ascii="黑体" w:hAnsi="仿宋" w:eastAsia="黑体" w:cs="黑体"/>
          <w:b/>
          <w:bCs/>
          <w:sz w:val="32"/>
          <w:szCs w:val="32"/>
        </w:rPr>
        <w:t>（五）</w:t>
      </w:r>
      <w:r>
        <w:rPr>
          <w:rFonts w:hint="eastAsia" w:ascii="黑体" w:hAnsi="仿宋" w:eastAsia="黑体" w:cs="黑体"/>
          <w:b/>
          <w:bCs/>
          <w:sz w:val="32"/>
          <w:szCs w:val="32"/>
          <w:lang w:val="en-GB"/>
        </w:rPr>
        <w:t>保证金</w:t>
      </w:r>
      <w:r>
        <w:rPr>
          <w:rFonts w:hint="eastAsia" w:ascii="黑体" w:hAnsi="仿宋" w:eastAsia="黑体" w:cs="黑体"/>
          <w:b/>
          <w:bCs/>
          <w:sz w:val="32"/>
          <w:szCs w:val="32"/>
        </w:rPr>
        <w:t>汇款声明函/</w:t>
      </w:r>
      <w:r>
        <w:rPr>
          <w:rFonts w:hint="eastAsia" w:ascii="黑体" w:hAnsi="仿宋" w:eastAsia="黑体" w:cs="黑体"/>
          <w:b/>
          <w:bCs/>
          <w:sz w:val="32"/>
          <w:szCs w:val="32"/>
          <w:lang w:val="en-GB"/>
        </w:rPr>
        <w:t>保函</w:t>
      </w:r>
    </w:p>
    <w:p w14:paraId="295F6612">
      <w:pPr>
        <w:pStyle w:val="25"/>
        <w:widowControl/>
        <w:ind w:firstLine="0" w:firstLineChars="0"/>
        <w:jc w:val="center"/>
        <w:rPr>
          <w:rFonts w:cs="华文仿宋"/>
          <w:b/>
          <w:bCs/>
          <w:sz w:val="30"/>
          <w:szCs w:val="30"/>
        </w:rPr>
      </w:pPr>
      <w:r>
        <w:rPr>
          <w:rFonts w:hint="eastAsia" w:cs="华文仿宋"/>
          <w:b/>
          <w:bCs/>
          <w:sz w:val="30"/>
          <w:szCs w:val="30"/>
        </w:rPr>
        <w:t>保证金汇款声明函</w:t>
      </w:r>
    </w:p>
    <w:p w14:paraId="04B79AFB">
      <w:pPr>
        <w:spacing w:line="480" w:lineRule="auto"/>
        <w:rPr>
          <w:rFonts w:ascii="宋体" w:hAnsi="宋体"/>
          <w:sz w:val="24"/>
        </w:rPr>
      </w:pPr>
      <w:r>
        <w:rPr>
          <w:rFonts w:hint="eastAsia" w:ascii="宋体" w:hAnsi="宋体"/>
          <w:spacing w:val="4"/>
          <w:sz w:val="24"/>
        </w:rPr>
        <w:t>致：</w:t>
      </w:r>
      <w:r>
        <w:rPr>
          <w:rFonts w:hint="eastAsia" w:ascii="宋体" w:hAnsi="宋体"/>
          <w:sz w:val="24"/>
          <w:u w:val="single"/>
        </w:rPr>
        <w:t>（采购人）、陕西德勤招标有限公司</w:t>
      </w:r>
      <w:r>
        <w:rPr>
          <w:rFonts w:hint="eastAsia" w:ascii="宋体" w:hAnsi="宋体"/>
          <w:sz w:val="24"/>
        </w:rPr>
        <w:t>：</w:t>
      </w:r>
    </w:p>
    <w:p w14:paraId="55737D57">
      <w:pPr>
        <w:spacing w:line="360" w:lineRule="auto"/>
        <w:ind w:firstLine="480" w:firstLineChars="200"/>
        <w:rPr>
          <w:rFonts w:ascii="宋体" w:hAnsi="宋体"/>
          <w:sz w:val="24"/>
        </w:rPr>
      </w:pPr>
      <w:r>
        <w:rPr>
          <w:rFonts w:hint="eastAsia" w:ascii="宋体" w:hAnsi="宋体"/>
          <w:sz w:val="24"/>
        </w:rPr>
        <w:t>我方为</w:t>
      </w:r>
      <w:r>
        <w:rPr>
          <w:rFonts w:hint="eastAsia" w:ascii="宋体" w:hAnsi="宋体"/>
          <w:sz w:val="24"/>
          <w:u w:val="single"/>
        </w:rPr>
        <w:t>(项目名称)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）递交磋商保证金人民币</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元）已于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日以银行主动划账方式从我方账户转入你方账户。</w:t>
      </w:r>
    </w:p>
    <w:p w14:paraId="24432036">
      <w:pPr>
        <w:spacing w:line="360" w:lineRule="auto"/>
        <w:ind w:firstLine="480" w:firstLineChars="200"/>
        <w:rPr>
          <w:rFonts w:ascii="宋体" w:hAnsi="宋体"/>
          <w:sz w:val="24"/>
        </w:rPr>
      </w:pPr>
      <w:r>
        <w:rPr>
          <w:rFonts w:hint="eastAsia" w:ascii="宋体" w:hAnsi="宋体"/>
          <w:sz w:val="24"/>
        </w:rPr>
        <w:t>详见附件：银行出具的汇款单或转账凭证复印件。</w:t>
      </w:r>
    </w:p>
    <w:p w14:paraId="56510760">
      <w:pPr>
        <w:spacing w:line="360" w:lineRule="auto"/>
        <w:ind w:firstLine="480" w:firstLineChars="200"/>
        <w:rPr>
          <w:rFonts w:ascii="宋体" w:hAnsi="宋体"/>
          <w:sz w:val="24"/>
        </w:rPr>
      </w:pPr>
      <w:r>
        <w:rPr>
          <w:rFonts w:hint="eastAsia" w:ascii="宋体" w:hAnsi="宋体"/>
          <w:sz w:val="24"/>
        </w:rPr>
        <w:t>退还保证金时请按以下内容划入我方账户。若因内容不全、错误、字迹潦草模糊导致该项目保证金未能及时退还或退还过程中发生错误，我方将承担全部责任和损失。</w:t>
      </w:r>
    </w:p>
    <w:p w14:paraId="6060C5E1">
      <w:pPr>
        <w:spacing w:line="360" w:lineRule="auto"/>
        <w:ind w:firstLine="480" w:firstLineChars="200"/>
        <w:jc w:val="left"/>
        <w:rPr>
          <w:rFonts w:ascii="宋体" w:hAnsi="宋体"/>
          <w:sz w:val="24"/>
          <w:u w:val="single"/>
        </w:rPr>
      </w:pPr>
      <w:r>
        <w:rPr>
          <w:rFonts w:hint="eastAsia" w:ascii="宋体" w:hAnsi="宋体"/>
          <w:sz w:val="24"/>
        </w:rPr>
        <w:t>单位全称：</w:t>
      </w:r>
      <w:r>
        <w:rPr>
          <w:rFonts w:hint="eastAsia" w:ascii="宋体" w:hAnsi="宋体"/>
          <w:sz w:val="24"/>
          <w:u w:val="single"/>
        </w:rPr>
        <w:t xml:space="preserve">                                         </w:t>
      </w:r>
    </w:p>
    <w:p w14:paraId="4FE9CB2C">
      <w:pPr>
        <w:spacing w:line="360" w:lineRule="auto"/>
        <w:ind w:firstLine="480" w:firstLineChars="200"/>
        <w:rPr>
          <w:rFonts w:ascii="宋体" w:hAnsi="宋体"/>
          <w:sz w:val="24"/>
          <w:u w:val="single"/>
        </w:rPr>
      </w:pPr>
      <w:r>
        <w:rPr>
          <w:rFonts w:hint="eastAsia" w:ascii="宋体" w:hAnsi="宋体"/>
          <w:sz w:val="24"/>
        </w:rPr>
        <w:t>开户银行（具体到支行）：</w:t>
      </w:r>
      <w:r>
        <w:rPr>
          <w:rFonts w:hint="eastAsia" w:ascii="宋体" w:hAnsi="宋体"/>
          <w:sz w:val="24"/>
          <w:u w:val="single"/>
        </w:rPr>
        <w:t xml:space="preserve">                            </w:t>
      </w:r>
    </w:p>
    <w:p w14:paraId="3354ED67">
      <w:pPr>
        <w:spacing w:line="360" w:lineRule="auto"/>
        <w:ind w:firstLine="480" w:firstLineChars="200"/>
        <w:rPr>
          <w:rFonts w:ascii="宋体" w:hAnsi="宋体"/>
          <w:sz w:val="24"/>
          <w:u w:val="single"/>
        </w:rPr>
      </w:pPr>
      <w:r>
        <w:rPr>
          <w:rFonts w:hint="eastAsia" w:ascii="宋体" w:hAnsi="宋体"/>
          <w:sz w:val="24"/>
        </w:rPr>
        <w:t>开户账号：</w:t>
      </w:r>
      <w:r>
        <w:rPr>
          <w:rFonts w:hint="eastAsia" w:ascii="宋体" w:hAnsi="宋体"/>
          <w:sz w:val="24"/>
          <w:u w:val="single"/>
        </w:rPr>
        <w:t xml:space="preserve">                                         </w:t>
      </w:r>
    </w:p>
    <w:p w14:paraId="68DC22EC">
      <w:pPr>
        <w:spacing w:line="360" w:lineRule="auto"/>
        <w:ind w:firstLine="480" w:firstLineChars="200"/>
        <w:jc w:val="right"/>
        <w:rPr>
          <w:rFonts w:ascii="宋体" w:hAnsi="宋体"/>
          <w:sz w:val="24"/>
        </w:rPr>
      </w:pPr>
      <w:r>
        <w:rPr>
          <w:rFonts w:hint="eastAsia" w:ascii="宋体" w:hAnsi="宋体"/>
          <w:sz w:val="24"/>
        </w:rPr>
        <w:t xml:space="preserve">供应商名称（公章）： </w:t>
      </w:r>
    </w:p>
    <w:p w14:paraId="3B1A8290">
      <w:pPr>
        <w:spacing w:line="360" w:lineRule="auto"/>
        <w:jc w:val="right"/>
        <w:rPr>
          <w:rFonts w:ascii="宋体" w:hAnsi="宋体"/>
          <w:sz w:val="24"/>
        </w:rPr>
      </w:pPr>
      <w:r>
        <w:rPr>
          <w:rFonts w:hint="eastAsia" w:ascii="宋体" w:hAnsi="宋体"/>
          <w:sz w:val="24"/>
        </w:rPr>
        <w:t xml:space="preserve">       年   月   日</w:t>
      </w:r>
    </w:p>
    <w:p w14:paraId="7A650E0A">
      <w:pPr>
        <w:spacing w:line="360" w:lineRule="auto"/>
        <w:ind w:firstLine="480" w:firstLineChars="200"/>
        <w:rPr>
          <w:rFonts w:ascii="宋体" w:hAnsi="宋体"/>
          <w:sz w:val="24"/>
        </w:rPr>
      </w:pPr>
      <w:r>
        <w:rPr>
          <w:rFonts w:hint="eastAsia" w:ascii="宋体" w:hAnsi="宋体"/>
          <w:sz w:val="24"/>
        </w:rPr>
        <w:t>附：</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2745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8500" w:type="dxa"/>
            <w:tcBorders>
              <w:top w:val="single" w:color="auto" w:sz="4" w:space="0"/>
              <w:left w:val="single" w:color="auto" w:sz="4" w:space="0"/>
              <w:bottom w:val="single" w:color="auto" w:sz="4" w:space="0"/>
              <w:right w:val="single" w:color="auto" w:sz="4" w:space="0"/>
            </w:tcBorders>
            <w:vAlign w:val="center"/>
          </w:tcPr>
          <w:p w14:paraId="0D0AE9EB">
            <w:pPr>
              <w:spacing w:line="360" w:lineRule="auto"/>
              <w:jc w:val="center"/>
              <w:rPr>
                <w:rFonts w:ascii="宋体" w:hAnsi="宋体"/>
                <w:sz w:val="24"/>
              </w:rPr>
            </w:pPr>
            <w:r>
              <w:rPr>
                <w:rFonts w:hint="eastAsia" w:ascii="宋体" w:hAnsi="宋体"/>
                <w:sz w:val="24"/>
              </w:rPr>
              <w:t>（转帐或汇款的银行凭证复印件）</w:t>
            </w:r>
          </w:p>
        </w:tc>
      </w:tr>
    </w:tbl>
    <w:p w14:paraId="5F288827">
      <w:pPr>
        <w:spacing w:line="360" w:lineRule="auto"/>
        <w:ind w:firstLine="482" w:firstLineChars="200"/>
        <w:jc w:val="left"/>
        <w:rPr>
          <w:rFonts w:ascii="宋体" w:hAnsi="宋体"/>
          <w:sz w:val="24"/>
        </w:rPr>
      </w:pPr>
      <w:r>
        <w:rPr>
          <w:rFonts w:hint="eastAsia" w:ascii="宋体" w:hAnsi="宋体"/>
          <w:b/>
          <w:bCs/>
          <w:sz w:val="24"/>
        </w:rPr>
        <w:t>注：</w:t>
      </w:r>
      <w:r>
        <w:rPr>
          <w:rFonts w:hint="eastAsia" w:ascii="宋体" w:hAnsi="宋体"/>
          <w:sz w:val="24"/>
        </w:rPr>
        <w:t>1.供应商响应时，应当按采购文件要求缴纳磋商保证金。磋商保证金必须自公司公户划出，采用银行转账或银行汇款形式缴纳，并按要求粘贴凭证复印件以便项目结束后办理磋商保证金的退回手续。</w:t>
      </w:r>
    </w:p>
    <w:p w14:paraId="0886C947">
      <w:pPr>
        <w:spacing w:line="360" w:lineRule="auto"/>
        <w:ind w:left="-2" w:leftChars="-1" w:firstLine="480" w:firstLineChars="200"/>
        <w:jc w:val="left"/>
        <w:rPr>
          <w:rFonts w:ascii="宋体" w:hAnsi="宋体"/>
          <w:sz w:val="24"/>
        </w:rPr>
      </w:pPr>
      <w:r>
        <w:rPr>
          <w:rFonts w:hint="eastAsia" w:ascii="宋体" w:hAnsi="宋体"/>
          <w:sz w:val="24"/>
        </w:rPr>
        <w:t>2、未成交的供应商的磋商保证金，将在成交通知书发出后5个工作日内无息全额退还，但因供应商自身原因导致无法及时退还的除外。</w:t>
      </w:r>
    </w:p>
    <w:p w14:paraId="6C3357F1">
      <w:pPr>
        <w:spacing w:line="360" w:lineRule="auto"/>
        <w:ind w:left="-2" w:leftChars="-1" w:firstLine="480" w:firstLineChars="200"/>
        <w:jc w:val="left"/>
        <w:rPr>
          <w:rFonts w:ascii="宋体" w:hAnsi="宋体"/>
          <w:sz w:val="24"/>
        </w:rPr>
      </w:pPr>
      <w:r>
        <w:rPr>
          <w:rFonts w:hint="eastAsia" w:ascii="宋体" w:hAnsi="宋体"/>
          <w:sz w:val="24"/>
        </w:rPr>
        <w:t xml:space="preserve">3、成交供应商的磋商保证金，将在政府采购合同签订后5个工作日内无息全额退还（须将合同原件扫描后（PDF格式）发送至邮箱：deqinjxm@126.com，邮件名称及合同电子版名称为：项目编号+项目名称，但因成交供应商自身原因导致无法及时退还的除外。 </w:t>
      </w:r>
    </w:p>
    <w:p w14:paraId="3AD22C75">
      <w:pPr>
        <w:pStyle w:val="25"/>
        <w:widowControl/>
        <w:ind w:firstLine="0" w:firstLineChars="0"/>
        <w:jc w:val="center"/>
        <w:rPr>
          <w:rFonts w:cs="华文仿宋"/>
          <w:b/>
          <w:bCs/>
          <w:sz w:val="30"/>
          <w:szCs w:val="30"/>
          <w:lang w:val="en-GB"/>
        </w:rPr>
      </w:pPr>
      <w:r>
        <w:rPr>
          <w:rFonts w:hint="eastAsia" w:cs="华文仿宋"/>
          <w:b/>
          <w:bCs/>
          <w:sz w:val="30"/>
          <w:szCs w:val="30"/>
          <w:lang w:val="en-GB"/>
        </w:rPr>
        <w:t>保</w:t>
      </w:r>
      <w:r>
        <w:rPr>
          <w:rFonts w:hint="eastAsia" w:cs="华文仿宋"/>
          <w:b/>
          <w:bCs/>
          <w:sz w:val="30"/>
          <w:szCs w:val="30"/>
        </w:rPr>
        <w:t>函</w:t>
      </w:r>
    </w:p>
    <w:p w14:paraId="339FDE55">
      <w:pPr>
        <w:spacing w:line="360" w:lineRule="auto"/>
        <w:jc w:val="center"/>
        <w:rPr>
          <w:rFonts w:ascii="黑体" w:hAnsi="仿宋" w:eastAsia="黑体" w:cs="黑体"/>
          <w:sz w:val="24"/>
          <w:u w:val="single"/>
          <w:lang w:val="en-GB"/>
        </w:rPr>
      </w:pPr>
      <w:r>
        <w:rPr>
          <w:rFonts w:hint="eastAsia" w:asciiTheme="minorEastAsia" w:hAnsiTheme="minorEastAsia" w:eastAsiaTheme="minorEastAsia" w:cstheme="minorEastAsia"/>
          <w:b/>
          <w:bCs/>
          <w:sz w:val="24"/>
          <w:u w:val="single"/>
          <w:lang w:val="en-GB"/>
        </w:rPr>
        <w:t>（</w:t>
      </w:r>
      <w:r>
        <w:rPr>
          <w:rFonts w:hint="eastAsia" w:asciiTheme="minorEastAsia" w:hAnsiTheme="minorEastAsia" w:eastAsiaTheme="minorEastAsia" w:cstheme="minorEastAsia"/>
          <w:b/>
          <w:bCs/>
          <w:sz w:val="24"/>
          <w:u w:val="single"/>
        </w:rPr>
        <w:t>以保函形式提交磋商保证金时提供</w:t>
      </w:r>
      <w:r>
        <w:rPr>
          <w:rFonts w:hint="eastAsia" w:asciiTheme="minorEastAsia" w:hAnsiTheme="minorEastAsia" w:eastAsiaTheme="minorEastAsia" w:cstheme="minorEastAsia"/>
          <w:b/>
          <w:bCs/>
          <w:sz w:val="24"/>
          <w:u w:val="single"/>
          <w:lang w:val="en-GB"/>
        </w:rPr>
        <w:t>）</w:t>
      </w:r>
    </w:p>
    <w:p w14:paraId="36650963">
      <w:pPr>
        <w:rPr>
          <w:rFonts w:hint="eastAsia" w:ascii="黑体" w:hAnsi="黑体" w:eastAsia="黑体" w:cs="黑体"/>
          <w:b/>
          <w:bCs/>
          <w:kern w:val="0"/>
          <w:sz w:val="32"/>
          <w:szCs w:val="32"/>
        </w:rPr>
      </w:pPr>
      <w:r>
        <w:rPr>
          <w:rFonts w:hint="eastAsia" w:ascii="黑体" w:hAnsi="黑体" w:eastAsia="黑体" w:cs="黑体"/>
          <w:b/>
          <w:bCs/>
          <w:kern w:val="0"/>
          <w:sz w:val="32"/>
          <w:szCs w:val="32"/>
        </w:rPr>
        <w:br w:type="page"/>
      </w:r>
    </w:p>
    <w:p w14:paraId="69CC6CBB">
      <w:pPr>
        <w:spacing w:line="360" w:lineRule="auto"/>
        <w:jc w:val="center"/>
        <w:rPr>
          <w:rFonts w:ascii="黑体" w:hAnsi="黑体" w:eastAsia="黑体" w:cs="黑体"/>
          <w:b/>
          <w:bCs/>
          <w:kern w:val="0"/>
          <w:sz w:val="32"/>
          <w:szCs w:val="32"/>
        </w:rPr>
      </w:pPr>
      <w:r>
        <w:rPr>
          <w:rFonts w:hint="eastAsia" w:ascii="黑体" w:hAnsi="黑体" w:eastAsia="黑体" w:cs="黑体"/>
          <w:b/>
          <w:bCs/>
          <w:kern w:val="0"/>
          <w:sz w:val="32"/>
          <w:szCs w:val="32"/>
        </w:rPr>
        <w:t>三、响应方案</w:t>
      </w:r>
    </w:p>
    <w:p w14:paraId="27840D8C">
      <w:pPr>
        <w:pStyle w:val="25"/>
        <w:widowControl/>
        <w:ind w:firstLine="0" w:firstLineChars="0"/>
        <w:jc w:val="center"/>
        <w:rPr>
          <w:rFonts w:cs="华文仿宋"/>
          <w:b/>
          <w:bCs/>
          <w:sz w:val="30"/>
          <w:szCs w:val="30"/>
        </w:rPr>
      </w:pPr>
      <w:r>
        <w:rPr>
          <w:rFonts w:hint="eastAsia" w:cs="华文仿宋"/>
          <w:b/>
          <w:bCs/>
          <w:sz w:val="30"/>
          <w:szCs w:val="30"/>
        </w:rPr>
        <w:t>评审分项自查表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14:paraId="6559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28EC44EB">
            <w:pPr>
              <w:spacing w:line="360" w:lineRule="auto"/>
              <w:jc w:val="center"/>
              <w:rPr>
                <w:rFonts w:ascii="黑体" w:hAnsi="黑体" w:eastAsia="黑体" w:cs="Times New Roman"/>
                <w:sz w:val="24"/>
              </w:rPr>
            </w:pPr>
            <w:r>
              <w:rPr>
                <w:rFonts w:hint="eastAsia" w:ascii="黑体" w:hAnsi="黑体" w:eastAsia="黑体" w:cs="黑体"/>
                <w:sz w:val="24"/>
              </w:rPr>
              <w:t>序号</w:t>
            </w:r>
          </w:p>
        </w:tc>
        <w:tc>
          <w:tcPr>
            <w:tcW w:w="1825" w:type="dxa"/>
            <w:vAlign w:val="center"/>
          </w:tcPr>
          <w:p w14:paraId="1244EA51">
            <w:pPr>
              <w:spacing w:line="360" w:lineRule="auto"/>
              <w:jc w:val="center"/>
              <w:rPr>
                <w:rFonts w:ascii="黑体" w:hAnsi="黑体" w:eastAsia="黑体" w:cs="Times New Roman"/>
                <w:sz w:val="24"/>
              </w:rPr>
            </w:pPr>
            <w:r>
              <w:rPr>
                <w:rFonts w:hint="eastAsia" w:ascii="黑体" w:hAnsi="黑体" w:eastAsia="黑体" w:cs="黑体"/>
                <w:sz w:val="24"/>
              </w:rPr>
              <w:t>评审分项</w:t>
            </w:r>
          </w:p>
        </w:tc>
        <w:tc>
          <w:tcPr>
            <w:tcW w:w="3150" w:type="dxa"/>
            <w:vAlign w:val="center"/>
          </w:tcPr>
          <w:p w14:paraId="111D214D">
            <w:pPr>
              <w:spacing w:line="360" w:lineRule="auto"/>
              <w:jc w:val="center"/>
              <w:rPr>
                <w:rFonts w:ascii="黑体" w:hAnsi="黑体" w:eastAsia="黑体" w:cs="Times New Roman"/>
                <w:sz w:val="24"/>
              </w:rPr>
            </w:pPr>
            <w:r>
              <w:rPr>
                <w:rFonts w:hint="eastAsia" w:ascii="黑体" w:hAnsi="黑体" w:eastAsia="黑体" w:cs="黑体"/>
                <w:sz w:val="24"/>
              </w:rPr>
              <w:t>内容</w:t>
            </w:r>
          </w:p>
        </w:tc>
        <w:tc>
          <w:tcPr>
            <w:tcW w:w="2863" w:type="dxa"/>
            <w:vAlign w:val="center"/>
          </w:tcPr>
          <w:p w14:paraId="2C68E79D">
            <w:pPr>
              <w:spacing w:line="360" w:lineRule="auto"/>
              <w:jc w:val="center"/>
              <w:rPr>
                <w:rFonts w:ascii="黑体" w:hAnsi="黑体" w:eastAsia="黑体" w:cs="Times New Roman"/>
                <w:sz w:val="24"/>
              </w:rPr>
            </w:pPr>
            <w:r>
              <w:rPr>
                <w:rFonts w:hint="eastAsia" w:ascii="黑体" w:hAnsi="黑体" w:eastAsia="黑体" w:cs="黑体"/>
                <w:sz w:val="24"/>
              </w:rPr>
              <w:t>证明文件（如有）</w:t>
            </w:r>
          </w:p>
        </w:tc>
      </w:tr>
      <w:tr w14:paraId="3C12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44A8FCE9">
            <w:pPr>
              <w:spacing w:line="360" w:lineRule="auto"/>
              <w:jc w:val="center"/>
              <w:rPr>
                <w:rFonts w:ascii="宋体" w:hAnsi="宋体"/>
              </w:rPr>
            </w:pPr>
            <w:r>
              <w:rPr>
                <w:rFonts w:hint="eastAsia" w:ascii="宋体" w:hAnsi="宋体"/>
              </w:rPr>
              <w:t>1</w:t>
            </w:r>
          </w:p>
        </w:tc>
        <w:tc>
          <w:tcPr>
            <w:tcW w:w="1825" w:type="dxa"/>
            <w:vAlign w:val="center"/>
          </w:tcPr>
          <w:p w14:paraId="1999ABDF">
            <w:pPr>
              <w:spacing w:line="360" w:lineRule="auto"/>
              <w:jc w:val="center"/>
              <w:rPr>
                <w:rFonts w:ascii="宋体" w:hAnsi="宋体"/>
              </w:rPr>
            </w:pPr>
          </w:p>
        </w:tc>
        <w:tc>
          <w:tcPr>
            <w:tcW w:w="3150" w:type="dxa"/>
            <w:vAlign w:val="center"/>
          </w:tcPr>
          <w:p w14:paraId="0DFD7D2F">
            <w:pPr>
              <w:spacing w:line="360" w:lineRule="auto"/>
              <w:jc w:val="center"/>
              <w:rPr>
                <w:rFonts w:ascii="宋体" w:hAnsi="宋体"/>
              </w:rPr>
            </w:pPr>
          </w:p>
        </w:tc>
        <w:tc>
          <w:tcPr>
            <w:tcW w:w="2863" w:type="dxa"/>
            <w:vAlign w:val="center"/>
          </w:tcPr>
          <w:p w14:paraId="60B08B43">
            <w:pPr>
              <w:spacing w:line="360" w:lineRule="auto"/>
              <w:jc w:val="center"/>
              <w:rPr>
                <w:rFonts w:ascii="宋体" w:hAnsi="宋体"/>
              </w:rPr>
            </w:pPr>
            <w:r>
              <w:rPr>
                <w:rFonts w:hint="eastAsia" w:ascii="宋体" w:hAnsi="宋体"/>
              </w:rPr>
              <w:t>见响应文件（）页</w:t>
            </w:r>
          </w:p>
        </w:tc>
      </w:tr>
      <w:tr w14:paraId="24C3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7B56EA29">
            <w:pPr>
              <w:spacing w:line="360" w:lineRule="auto"/>
              <w:jc w:val="center"/>
              <w:rPr>
                <w:rFonts w:ascii="宋体" w:hAnsi="宋体"/>
              </w:rPr>
            </w:pPr>
            <w:r>
              <w:rPr>
                <w:rFonts w:hint="eastAsia" w:ascii="宋体" w:hAnsi="宋体"/>
              </w:rPr>
              <w:t>2</w:t>
            </w:r>
          </w:p>
        </w:tc>
        <w:tc>
          <w:tcPr>
            <w:tcW w:w="1825" w:type="dxa"/>
            <w:vAlign w:val="center"/>
          </w:tcPr>
          <w:p w14:paraId="44F26577">
            <w:pPr>
              <w:spacing w:line="360" w:lineRule="auto"/>
              <w:jc w:val="center"/>
              <w:rPr>
                <w:rFonts w:ascii="宋体" w:hAnsi="宋体"/>
              </w:rPr>
            </w:pPr>
          </w:p>
        </w:tc>
        <w:tc>
          <w:tcPr>
            <w:tcW w:w="3150" w:type="dxa"/>
            <w:vAlign w:val="center"/>
          </w:tcPr>
          <w:p w14:paraId="3B4A1B36">
            <w:pPr>
              <w:spacing w:line="360" w:lineRule="auto"/>
              <w:jc w:val="center"/>
              <w:rPr>
                <w:rFonts w:ascii="宋体" w:hAnsi="宋体"/>
              </w:rPr>
            </w:pPr>
          </w:p>
        </w:tc>
        <w:tc>
          <w:tcPr>
            <w:tcW w:w="2863" w:type="dxa"/>
            <w:vAlign w:val="center"/>
          </w:tcPr>
          <w:p w14:paraId="1B480663">
            <w:pPr>
              <w:spacing w:line="360" w:lineRule="auto"/>
              <w:jc w:val="center"/>
              <w:rPr>
                <w:rFonts w:ascii="宋体" w:hAnsi="宋体"/>
              </w:rPr>
            </w:pPr>
            <w:r>
              <w:rPr>
                <w:rFonts w:hint="eastAsia" w:ascii="宋体" w:hAnsi="宋体"/>
              </w:rPr>
              <w:t>见响应文件（）页</w:t>
            </w:r>
          </w:p>
        </w:tc>
      </w:tr>
      <w:tr w14:paraId="456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4E61C0C9">
            <w:pPr>
              <w:spacing w:line="360" w:lineRule="auto"/>
              <w:jc w:val="center"/>
              <w:rPr>
                <w:rFonts w:ascii="宋体" w:hAnsi="宋体"/>
              </w:rPr>
            </w:pPr>
            <w:r>
              <w:rPr>
                <w:rFonts w:hint="eastAsia" w:ascii="宋体" w:hAnsi="宋体"/>
              </w:rPr>
              <w:t>3</w:t>
            </w:r>
          </w:p>
        </w:tc>
        <w:tc>
          <w:tcPr>
            <w:tcW w:w="1825" w:type="dxa"/>
            <w:vAlign w:val="center"/>
          </w:tcPr>
          <w:p w14:paraId="4745E682">
            <w:pPr>
              <w:spacing w:line="360" w:lineRule="auto"/>
              <w:jc w:val="center"/>
              <w:rPr>
                <w:rFonts w:ascii="宋体" w:hAnsi="宋体"/>
              </w:rPr>
            </w:pPr>
          </w:p>
        </w:tc>
        <w:tc>
          <w:tcPr>
            <w:tcW w:w="3150" w:type="dxa"/>
            <w:vAlign w:val="center"/>
          </w:tcPr>
          <w:p w14:paraId="00078C46">
            <w:pPr>
              <w:spacing w:line="360" w:lineRule="auto"/>
              <w:jc w:val="center"/>
              <w:rPr>
                <w:rFonts w:ascii="宋体" w:hAnsi="宋体"/>
              </w:rPr>
            </w:pPr>
          </w:p>
        </w:tc>
        <w:tc>
          <w:tcPr>
            <w:tcW w:w="2863" w:type="dxa"/>
            <w:vAlign w:val="center"/>
          </w:tcPr>
          <w:p w14:paraId="50ECA0F7">
            <w:pPr>
              <w:spacing w:line="360" w:lineRule="auto"/>
              <w:jc w:val="center"/>
              <w:rPr>
                <w:rFonts w:ascii="宋体" w:hAnsi="宋体"/>
              </w:rPr>
            </w:pPr>
            <w:r>
              <w:rPr>
                <w:rFonts w:hint="eastAsia" w:ascii="宋体" w:hAnsi="宋体"/>
              </w:rPr>
              <w:t>见响应文件（）页</w:t>
            </w:r>
          </w:p>
        </w:tc>
      </w:tr>
      <w:tr w14:paraId="271D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5F1C7D94">
            <w:pPr>
              <w:spacing w:line="360" w:lineRule="auto"/>
              <w:jc w:val="center"/>
              <w:rPr>
                <w:rFonts w:ascii="宋体" w:hAnsi="宋体"/>
              </w:rPr>
            </w:pPr>
            <w:r>
              <w:rPr>
                <w:rFonts w:hint="eastAsia" w:ascii="宋体" w:hAnsi="宋体"/>
              </w:rPr>
              <w:t>4</w:t>
            </w:r>
          </w:p>
        </w:tc>
        <w:tc>
          <w:tcPr>
            <w:tcW w:w="1825" w:type="dxa"/>
            <w:vAlign w:val="center"/>
          </w:tcPr>
          <w:p w14:paraId="226CC16B">
            <w:pPr>
              <w:spacing w:line="360" w:lineRule="auto"/>
              <w:jc w:val="center"/>
              <w:rPr>
                <w:rFonts w:ascii="宋体" w:hAnsi="宋体"/>
              </w:rPr>
            </w:pPr>
          </w:p>
        </w:tc>
        <w:tc>
          <w:tcPr>
            <w:tcW w:w="3150" w:type="dxa"/>
            <w:vAlign w:val="center"/>
          </w:tcPr>
          <w:p w14:paraId="08703C51">
            <w:pPr>
              <w:spacing w:line="360" w:lineRule="auto"/>
              <w:jc w:val="center"/>
              <w:rPr>
                <w:rFonts w:ascii="宋体" w:hAnsi="宋体"/>
              </w:rPr>
            </w:pPr>
          </w:p>
        </w:tc>
        <w:tc>
          <w:tcPr>
            <w:tcW w:w="2863" w:type="dxa"/>
            <w:vAlign w:val="center"/>
          </w:tcPr>
          <w:p w14:paraId="6CCDAD68">
            <w:pPr>
              <w:spacing w:line="360" w:lineRule="auto"/>
              <w:jc w:val="center"/>
              <w:rPr>
                <w:rFonts w:ascii="宋体" w:hAnsi="宋体"/>
              </w:rPr>
            </w:pPr>
            <w:r>
              <w:rPr>
                <w:rFonts w:hint="eastAsia" w:ascii="宋体" w:hAnsi="宋体"/>
              </w:rPr>
              <w:t>见响应文件（）页</w:t>
            </w:r>
          </w:p>
        </w:tc>
      </w:tr>
      <w:tr w14:paraId="0181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42CDC913">
            <w:pPr>
              <w:spacing w:line="360" w:lineRule="auto"/>
              <w:jc w:val="center"/>
              <w:rPr>
                <w:rFonts w:ascii="宋体" w:hAnsi="宋体"/>
              </w:rPr>
            </w:pPr>
            <w:r>
              <w:rPr>
                <w:rFonts w:hint="eastAsia" w:ascii="宋体" w:hAnsi="宋体"/>
              </w:rPr>
              <w:t>5</w:t>
            </w:r>
          </w:p>
        </w:tc>
        <w:tc>
          <w:tcPr>
            <w:tcW w:w="1825" w:type="dxa"/>
            <w:vAlign w:val="center"/>
          </w:tcPr>
          <w:p w14:paraId="003A7BBA">
            <w:pPr>
              <w:spacing w:line="360" w:lineRule="auto"/>
              <w:jc w:val="center"/>
              <w:rPr>
                <w:rFonts w:ascii="宋体" w:hAnsi="宋体"/>
              </w:rPr>
            </w:pPr>
          </w:p>
        </w:tc>
        <w:tc>
          <w:tcPr>
            <w:tcW w:w="3150" w:type="dxa"/>
            <w:vAlign w:val="center"/>
          </w:tcPr>
          <w:p w14:paraId="4392BA31">
            <w:pPr>
              <w:spacing w:line="360" w:lineRule="auto"/>
              <w:jc w:val="center"/>
              <w:rPr>
                <w:rFonts w:ascii="宋体" w:hAnsi="宋体"/>
              </w:rPr>
            </w:pPr>
          </w:p>
        </w:tc>
        <w:tc>
          <w:tcPr>
            <w:tcW w:w="2863" w:type="dxa"/>
            <w:vAlign w:val="center"/>
          </w:tcPr>
          <w:p w14:paraId="7F6B2840">
            <w:pPr>
              <w:spacing w:line="360" w:lineRule="auto"/>
              <w:jc w:val="center"/>
              <w:rPr>
                <w:rFonts w:ascii="宋体" w:hAnsi="宋体"/>
              </w:rPr>
            </w:pPr>
            <w:r>
              <w:rPr>
                <w:rFonts w:hint="eastAsia" w:ascii="宋体" w:hAnsi="宋体"/>
              </w:rPr>
              <w:t>见响应文件（）页</w:t>
            </w:r>
          </w:p>
        </w:tc>
      </w:tr>
      <w:tr w14:paraId="566B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39EF9337">
            <w:pPr>
              <w:spacing w:line="360" w:lineRule="auto"/>
              <w:jc w:val="center"/>
              <w:rPr>
                <w:rFonts w:ascii="宋体" w:hAnsi="宋体"/>
              </w:rPr>
            </w:pPr>
            <w:r>
              <w:rPr>
                <w:rFonts w:hint="eastAsia" w:ascii="宋体" w:hAnsi="宋体"/>
              </w:rPr>
              <w:t>6</w:t>
            </w:r>
          </w:p>
        </w:tc>
        <w:tc>
          <w:tcPr>
            <w:tcW w:w="1825" w:type="dxa"/>
            <w:vAlign w:val="center"/>
          </w:tcPr>
          <w:p w14:paraId="39256223">
            <w:pPr>
              <w:spacing w:line="360" w:lineRule="auto"/>
              <w:jc w:val="center"/>
              <w:rPr>
                <w:rFonts w:ascii="宋体" w:hAnsi="宋体"/>
              </w:rPr>
            </w:pPr>
          </w:p>
        </w:tc>
        <w:tc>
          <w:tcPr>
            <w:tcW w:w="3150" w:type="dxa"/>
            <w:vAlign w:val="center"/>
          </w:tcPr>
          <w:p w14:paraId="79B18C31">
            <w:pPr>
              <w:spacing w:line="360" w:lineRule="auto"/>
              <w:jc w:val="center"/>
              <w:rPr>
                <w:rFonts w:ascii="宋体" w:hAnsi="宋体"/>
              </w:rPr>
            </w:pPr>
          </w:p>
        </w:tc>
        <w:tc>
          <w:tcPr>
            <w:tcW w:w="2863" w:type="dxa"/>
            <w:vAlign w:val="center"/>
          </w:tcPr>
          <w:p w14:paraId="09412E02">
            <w:pPr>
              <w:spacing w:line="360" w:lineRule="auto"/>
              <w:jc w:val="center"/>
              <w:rPr>
                <w:rFonts w:ascii="宋体" w:hAnsi="宋体"/>
              </w:rPr>
            </w:pPr>
            <w:r>
              <w:rPr>
                <w:rFonts w:hint="eastAsia" w:ascii="宋体" w:hAnsi="宋体"/>
              </w:rPr>
              <w:t>见响应文件（）页</w:t>
            </w:r>
          </w:p>
        </w:tc>
      </w:tr>
      <w:tr w14:paraId="39B7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1326B993">
            <w:pPr>
              <w:spacing w:line="360" w:lineRule="auto"/>
              <w:jc w:val="center"/>
              <w:rPr>
                <w:rFonts w:ascii="宋体" w:hAnsi="宋体"/>
              </w:rPr>
            </w:pPr>
            <w:r>
              <w:rPr>
                <w:rFonts w:hint="eastAsia" w:ascii="宋体" w:hAnsi="宋体"/>
              </w:rPr>
              <w:t>7</w:t>
            </w:r>
          </w:p>
        </w:tc>
        <w:tc>
          <w:tcPr>
            <w:tcW w:w="1825" w:type="dxa"/>
            <w:vAlign w:val="center"/>
          </w:tcPr>
          <w:p w14:paraId="7F43BA3E">
            <w:pPr>
              <w:spacing w:line="360" w:lineRule="auto"/>
              <w:jc w:val="center"/>
              <w:rPr>
                <w:rFonts w:ascii="宋体" w:hAnsi="宋体"/>
              </w:rPr>
            </w:pPr>
          </w:p>
        </w:tc>
        <w:tc>
          <w:tcPr>
            <w:tcW w:w="3150" w:type="dxa"/>
            <w:vAlign w:val="center"/>
          </w:tcPr>
          <w:p w14:paraId="1314A7C7">
            <w:pPr>
              <w:spacing w:line="360" w:lineRule="auto"/>
              <w:jc w:val="center"/>
              <w:rPr>
                <w:rFonts w:ascii="宋体" w:hAnsi="宋体"/>
              </w:rPr>
            </w:pPr>
          </w:p>
        </w:tc>
        <w:tc>
          <w:tcPr>
            <w:tcW w:w="2863" w:type="dxa"/>
            <w:vAlign w:val="center"/>
          </w:tcPr>
          <w:p w14:paraId="77D65953">
            <w:pPr>
              <w:spacing w:line="360" w:lineRule="auto"/>
              <w:jc w:val="center"/>
              <w:rPr>
                <w:rFonts w:ascii="宋体" w:hAnsi="宋体"/>
              </w:rPr>
            </w:pPr>
            <w:r>
              <w:rPr>
                <w:rFonts w:hint="eastAsia" w:ascii="宋体" w:hAnsi="宋体"/>
              </w:rPr>
              <w:t>见响应文件（）页</w:t>
            </w:r>
          </w:p>
        </w:tc>
      </w:tr>
      <w:tr w14:paraId="4092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4E4541F1">
            <w:pPr>
              <w:spacing w:line="360" w:lineRule="auto"/>
              <w:jc w:val="center"/>
              <w:rPr>
                <w:rFonts w:ascii="宋体" w:hAnsi="宋体"/>
              </w:rPr>
            </w:pPr>
            <w:r>
              <w:rPr>
                <w:rFonts w:hint="eastAsia" w:ascii="宋体" w:hAnsi="宋体"/>
              </w:rPr>
              <w:t>8</w:t>
            </w:r>
          </w:p>
        </w:tc>
        <w:tc>
          <w:tcPr>
            <w:tcW w:w="1825" w:type="dxa"/>
            <w:vAlign w:val="center"/>
          </w:tcPr>
          <w:p w14:paraId="528B93CF">
            <w:pPr>
              <w:spacing w:line="360" w:lineRule="auto"/>
              <w:jc w:val="center"/>
              <w:rPr>
                <w:rFonts w:ascii="宋体" w:hAnsi="宋体"/>
              </w:rPr>
            </w:pPr>
          </w:p>
        </w:tc>
        <w:tc>
          <w:tcPr>
            <w:tcW w:w="3150" w:type="dxa"/>
            <w:vAlign w:val="center"/>
          </w:tcPr>
          <w:p w14:paraId="08B870C2">
            <w:pPr>
              <w:spacing w:line="360" w:lineRule="auto"/>
              <w:jc w:val="center"/>
              <w:rPr>
                <w:rFonts w:ascii="宋体" w:hAnsi="宋体"/>
              </w:rPr>
            </w:pPr>
          </w:p>
        </w:tc>
        <w:tc>
          <w:tcPr>
            <w:tcW w:w="2863" w:type="dxa"/>
            <w:vAlign w:val="center"/>
          </w:tcPr>
          <w:p w14:paraId="75AF2522">
            <w:pPr>
              <w:spacing w:line="360" w:lineRule="auto"/>
              <w:jc w:val="center"/>
              <w:rPr>
                <w:rFonts w:ascii="宋体" w:hAnsi="宋体"/>
              </w:rPr>
            </w:pPr>
            <w:r>
              <w:rPr>
                <w:rFonts w:hint="eastAsia" w:ascii="宋体" w:hAnsi="宋体"/>
              </w:rPr>
              <w:t>见响应文件（）页</w:t>
            </w:r>
          </w:p>
        </w:tc>
      </w:tr>
      <w:tr w14:paraId="270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5A7B4596">
            <w:pPr>
              <w:spacing w:line="360" w:lineRule="auto"/>
              <w:jc w:val="center"/>
              <w:rPr>
                <w:rFonts w:ascii="宋体" w:hAnsi="宋体"/>
              </w:rPr>
            </w:pPr>
            <w:r>
              <w:rPr>
                <w:rFonts w:hint="eastAsia" w:ascii="宋体" w:hAnsi="宋体"/>
              </w:rPr>
              <w:t>9</w:t>
            </w:r>
          </w:p>
        </w:tc>
        <w:tc>
          <w:tcPr>
            <w:tcW w:w="1825" w:type="dxa"/>
            <w:vAlign w:val="center"/>
          </w:tcPr>
          <w:p w14:paraId="3D895876">
            <w:pPr>
              <w:spacing w:line="360" w:lineRule="auto"/>
              <w:jc w:val="center"/>
              <w:rPr>
                <w:rFonts w:ascii="宋体" w:hAnsi="宋体"/>
              </w:rPr>
            </w:pPr>
          </w:p>
        </w:tc>
        <w:tc>
          <w:tcPr>
            <w:tcW w:w="3150" w:type="dxa"/>
            <w:vAlign w:val="center"/>
          </w:tcPr>
          <w:p w14:paraId="41968C9F">
            <w:pPr>
              <w:spacing w:line="360" w:lineRule="auto"/>
              <w:jc w:val="center"/>
              <w:rPr>
                <w:rFonts w:ascii="宋体" w:hAnsi="宋体"/>
              </w:rPr>
            </w:pPr>
          </w:p>
        </w:tc>
        <w:tc>
          <w:tcPr>
            <w:tcW w:w="2863" w:type="dxa"/>
            <w:vAlign w:val="center"/>
          </w:tcPr>
          <w:p w14:paraId="31FB2EBD">
            <w:pPr>
              <w:spacing w:line="360" w:lineRule="auto"/>
              <w:jc w:val="center"/>
              <w:rPr>
                <w:rFonts w:ascii="宋体" w:hAnsi="宋体"/>
              </w:rPr>
            </w:pPr>
            <w:r>
              <w:rPr>
                <w:rFonts w:hint="eastAsia" w:ascii="宋体" w:hAnsi="宋体"/>
              </w:rPr>
              <w:t>见响应文件（）页</w:t>
            </w:r>
          </w:p>
        </w:tc>
      </w:tr>
      <w:tr w14:paraId="310B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14:paraId="01FA1798">
            <w:pPr>
              <w:spacing w:line="360" w:lineRule="auto"/>
              <w:jc w:val="center"/>
              <w:rPr>
                <w:rFonts w:ascii="宋体" w:hAnsi="宋体"/>
              </w:rPr>
            </w:pPr>
            <w:r>
              <w:rPr>
                <w:rFonts w:hint="eastAsia" w:ascii="宋体" w:hAnsi="宋体"/>
              </w:rPr>
              <w:t>…</w:t>
            </w:r>
          </w:p>
        </w:tc>
        <w:tc>
          <w:tcPr>
            <w:tcW w:w="1825" w:type="dxa"/>
            <w:vAlign w:val="center"/>
          </w:tcPr>
          <w:p w14:paraId="0CF221A6">
            <w:pPr>
              <w:spacing w:line="360" w:lineRule="auto"/>
              <w:jc w:val="center"/>
              <w:rPr>
                <w:rFonts w:ascii="宋体" w:hAnsi="宋体"/>
              </w:rPr>
            </w:pPr>
          </w:p>
        </w:tc>
        <w:tc>
          <w:tcPr>
            <w:tcW w:w="3150" w:type="dxa"/>
            <w:vAlign w:val="center"/>
          </w:tcPr>
          <w:p w14:paraId="37F767D8">
            <w:pPr>
              <w:spacing w:line="360" w:lineRule="auto"/>
              <w:jc w:val="center"/>
              <w:rPr>
                <w:rFonts w:ascii="宋体" w:hAnsi="宋体"/>
              </w:rPr>
            </w:pPr>
          </w:p>
        </w:tc>
        <w:tc>
          <w:tcPr>
            <w:tcW w:w="2863" w:type="dxa"/>
            <w:vAlign w:val="center"/>
          </w:tcPr>
          <w:p w14:paraId="54569CEE">
            <w:pPr>
              <w:spacing w:line="360" w:lineRule="auto"/>
              <w:jc w:val="center"/>
              <w:rPr>
                <w:rFonts w:ascii="宋体" w:hAnsi="宋体"/>
              </w:rPr>
            </w:pPr>
          </w:p>
        </w:tc>
      </w:tr>
    </w:tbl>
    <w:p w14:paraId="2191B93F">
      <w:pPr>
        <w:wordWrap w:val="0"/>
        <w:topLinePunct/>
        <w:spacing w:line="500" w:lineRule="exact"/>
        <w:ind w:firstLine="422" w:firstLineChars="200"/>
        <w:rPr>
          <w:rFonts w:ascii="宋体" w:cs="Times New Roman"/>
          <w:b/>
          <w:bCs/>
          <w:u w:val="single"/>
          <w:lang w:val="en-GB"/>
        </w:rPr>
      </w:pPr>
      <w:r>
        <w:rPr>
          <w:rFonts w:hint="eastAsia" w:ascii="宋体" w:hAnsi="宋体"/>
          <w:b/>
          <w:bCs/>
          <w:u w:val="single"/>
          <w:lang w:val="en-GB"/>
        </w:rPr>
        <w:t>注：</w:t>
      </w:r>
      <w:r>
        <w:rPr>
          <w:rFonts w:hint="eastAsia" w:ascii="宋体" w:hAnsi="宋体"/>
          <w:b/>
          <w:bCs/>
          <w:u w:val="single"/>
        </w:rPr>
        <w:t>供应商应根据《评审要素及分值一览表》的各项内容填写此表</w:t>
      </w:r>
      <w:r>
        <w:rPr>
          <w:rFonts w:hint="eastAsia" w:ascii="宋体" w:hAnsi="宋体"/>
          <w:b/>
          <w:bCs/>
          <w:u w:val="single"/>
          <w:lang w:val="en-GB"/>
        </w:rPr>
        <w:t>。</w:t>
      </w:r>
    </w:p>
    <w:p w14:paraId="46AFD31B">
      <w:pPr>
        <w:spacing w:line="360" w:lineRule="auto"/>
        <w:rPr>
          <w:rFonts w:ascii="黑体" w:hAnsi="仿宋" w:eastAsia="黑体" w:cs="黑体"/>
          <w:b/>
          <w:bCs/>
          <w:sz w:val="32"/>
          <w:szCs w:val="32"/>
        </w:rPr>
      </w:pPr>
      <w:r>
        <w:rPr>
          <w:rFonts w:hint="eastAsia" w:ascii="宋体" w:hAnsi="宋体"/>
          <w:sz w:val="24"/>
        </w:rPr>
        <w:br w:type="page"/>
      </w:r>
      <w:r>
        <w:rPr>
          <w:rFonts w:hint="eastAsia" w:ascii="宋体" w:hAnsi="宋体"/>
          <w:sz w:val="24"/>
        </w:rPr>
        <w:t xml:space="preserve">    供应商应按照磋商文件的要求，根据《用户需求书》《评审要素及分值一览表》要求内容做出全面响应并编制技术方案。技术方案必须科学合理、真实可行，能充分体现出自身技术和专业优势。对含糊不清或欠具体明确之处，磋商小组可视为供应商履约能力不足或响应不全。其要点和主要内容为：</w:t>
      </w:r>
    </w:p>
    <w:p w14:paraId="3EF94134">
      <w:pPr>
        <w:spacing w:line="360" w:lineRule="auto"/>
        <w:ind w:firstLine="482" w:firstLineChars="200"/>
        <w:rPr>
          <w:rFonts w:ascii="宋体" w:hAnsi="宋体"/>
          <w:b/>
          <w:bCs/>
          <w:sz w:val="24"/>
        </w:rPr>
      </w:pPr>
      <w:r>
        <w:rPr>
          <w:rFonts w:hint="eastAsia" w:ascii="宋体" w:hAnsi="宋体"/>
          <w:b/>
          <w:bCs/>
          <w:sz w:val="24"/>
        </w:rPr>
        <w:t>1.供应商简介</w:t>
      </w:r>
    </w:p>
    <w:p w14:paraId="34CCD018">
      <w:pPr>
        <w:spacing w:line="360" w:lineRule="auto"/>
        <w:ind w:firstLine="482" w:firstLineChars="200"/>
        <w:rPr>
          <w:rFonts w:ascii="宋体" w:hAnsi="宋体"/>
          <w:b/>
          <w:bCs/>
          <w:sz w:val="24"/>
        </w:rPr>
      </w:pPr>
      <w:r>
        <w:rPr>
          <w:rFonts w:hint="eastAsia" w:ascii="宋体" w:hAnsi="宋体"/>
          <w:b/>
          <w:bCs/>
          <w:sz w:val="24"/>
        </w:rPr>
        <w:t>2.服务方案；</w:t>
      </w:r>
    </w:p>
    <w:p w14:paraId="51D971F8">
      <w:pPr>
        <w:spacing w:line="360" w:lineRule="auto"/>
        <w:ind w:firstLine="482" w:firstLineChars="200"/>
        <w:jc w:val="left"/>
        <w:rPr>
          <w:rFonts w:ascii="宋体" w:hAnsi="宋体"/>
          <w:b/>
          <w:bCs/>
          <w:sz w:val="24"/>
        </w:rPr>
      </w:pPr>
      <w:r>
        <w:rPr>
          <w:rFonts w:hint="eastAsia" w:ascii="宋体" w:hAnsi="宋体"/>
          <w:b/>
          <w:bCs/>
          <w:sz w:val="24"/>
        </w:rPr>
        <w:t>3.供应商履约情况证明材料</w:t>
      </w:r>
    </w:p>
    <w:p w14:paraId="3ED153D2">
      <w:pPr>
        <w:spacing w:line="360" w:lineRule="auto"/>
        <w:ind w:firstLine="480" w:firstLineChars="200"/>
        <w:jc w:val="left"/>
        <w:rPr>
          <w:rFonts w:ascii="宋体" w:hAnsi="宋体"/>
          <w:b/>
          <w:bCs/>
          <w:sz w:val="24"/>
        </w:rPr>
      </w:pPr>
      <w:r>
        <w:rPr>
          <w:rFonts w:hint="eastAsia" w:ascii="宋体" w:hAnsi="宋体"/>
          <w:sz w:val="24"/>
        </w:rPr>
        <w:t>3.1资质证书/获奖证书/荣誉证书/信用等级证书/产品授权书等</w:t>
      </w:r>
    </w:p>
    <w:p w14:paraId="476F9820">
      <w:pPr>
        <w:spacing w:line="360" w:lineRule="auto"/>
        <w:ind w:firstLine="482" w:firstLineChars="200"/>
        <w:jc w:val="left"/>
        <w:rPr>
          <w:rFonts w:ascii="宋体" w:hAnsi="宋体"/>
          <w:b/>
          <w:bCs/>
          <w:sz w:val="24"/>
        </w:rPr>
      </w:pPr>
    </w:p>
    <w:p w14:paraId="7B40ABBE">
      <w:pPr>
        <w:spacing w:line="360" w:lineRule="auto"/>
        <w:ind w:firstLine="480" w:firstLineChars="200"/>
        <w:jc w:val="left"/>
        <w:rPr>
          <w:rFonts w:ascii="宋体" w:hAnsi="宋体"/>
          <w:sz w:val="24"/>
        </w:rPr>
      </w:pPr>
      <w:r>
        <w:rPr>
          <w:rFonts w:hint="eastAsia" w:ascii="宋体" w:hAnsi="宋体"/>
          <w:sz w:val="24"/>
        </w:rPr>
        <w:t>3.2同类项目业绩</w:t>
      </w:r>
    </w:p>
    <w:p w14:paraId="129257D8">
      <w:pPr>
        <w:pStyle w:val="13"/>
        <w:spacing w:line="360" w:lineRule="auto"/>
        <w:ind w:left="-120" w:leftChars="-57" w:firstLine="602" w:firstLineChars="250"/>
        <w:rPr>
          <w:rFonts w:ascii="仿宋_GB2312" w:hAnsi="仿宋" w:eastAsia="仿宋_GB2312" w:cs="仿宋"/>
          <w:b/>
          <w:bCs/>
          <w:sz w:val="24"/>
          <w:szCs w:val="24"/>
        </w:rPr>
      </w:pPr>
    </w:p>
    <w:p w14:paraId="3329F7C0">
      <w:pPr>
        <w:pStyle w:val="25"/>
        <w:widowControl/>
        <w:ind w:firstLine="0" w:firstLineChars="0"/>
        <w:jc w:val="center"/>
        <w:rPr>
          <w:rFonts w:cs="华文仿宋"/>
          <w:b/>
          <w:bCs/>
          <w:sz w:val="30"/>
          <w:szCs w:val="30"/>
        </w:rPr>
      </w:pPr>
      <w:r>
        <w:rPr>
          <w:rFonts w:hint="eastAsia" w:cs="华文仿宋"/>
          <w:b/>
          <w:bCs/>
          <w:sz w:val="30"/>
          <w:szCs w:val="30"/>
        </w:rPr>
        <w:t>同类项目业绩</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9"/>
        <w:gridCol w:w="2032"/>
        <w:gridCol w:w="886"/>
      </w:tblGrid>
      <w:tr w14:paraId="5772F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vAlign w:val="center"/>
          </w:tcPr>
          <w:p w14:paraId="49E036EE">
            <w:pPr>
              <w:spacing w:line="360" w:lineRule="auto"/>
              <w:jc w:val="center"/>
              <w:rPr>
                <w:rFonts w:ascii="宋体" w:hAnsi="宋体"/>
                <w:sz w:val="24"/>
              </w:rPr>
            </w:pPr>
            <w:r>
              <w:rPr>
                <w:rFonts w:hint="eastAsia" w:ascii="宋体" w:hAnsi="宋体"/>
                <w:sz w:val="24"/>
              </w:rPr>
              <w:t>合同签订时间</w:t>
            </w:r>
          </w:p>
        </w:tc>
        <w:tc>
          <w:tcPr>
            <w:tcW w:w="1145" w:type="dxa"/>
            <w:vAlign w:val="center"/>
          </w:tcPr>
          <w:p w14:paraId="3449FDFC">
            <w:pPr>
              <w:spacing w:line="360" w:lineRule="auto"/>
              <w:jc w:val="center"/>
              <w:rPr>
                <w:rFonts w:ascii="宋体" w:hAnsi="宋体"/>
                <w:sz w:val="24"/>
              </w:rPr>
            </w:pPr>
            <w:r>
              <w:rPr>
                <w:rFonts w:hint="eastAsia" w:ascii="宋体" w:hAnsi="宋体"/>
                <w:sz w:val="24"/>
              </w:rPr>
              <w:t>用户名称</w:t>
            </w:r>
          </w:p>
        </w:tc>
        <w:tc>
          <w:tcPr>
            <w:tcW w:w="1320" w:type="dxa"/>
            <w:vAlign w:val="center"/>
          </w:tcPr>
          <w:p w14:paraId="48E89463">
            <w:pPr>
              <w:spacing w:line="360" w:lineRule="auto"/>
              <w:jc w:val="center"/>
              <w:rPr>
                <w:rFonts w:ascii="宋体" w:hAnsi="宋体"/>
                <w:sz w:val="24"/>
              </w:rPr>
            </w:pPr>
            <w:r>
              <w:rPr>
                <w:rFonts w:hint="eastAsia" w:ascii="宋体" w:hAnsi="宋体"/>
                <w:sz w:val="24"/>
              </w:rPr>
              <w:t>项目名称</w:t>
            </w:r>
          </w:p>
        </w:tc>
        <w:tc>
          <w:tcPr>
            <w:tcW w:w="1161" w:type="dxa"/>
            <w:vAlign w:val="center"/>
          </w:tcPr>
          <w:p w14:paraId="4CFC2045">
            <w:pPr>
              <w:spacing w:line="360" w:lineRule="auto"/>
              <w:jc w:val="center"/>
              <w:rPr>
                <w:rFonts w:ascii="宋体" w:hAnsi="宋体"/>
                <w:sz w:val="24"/>
              </w:rPr>
            </w:pPr>
            <w:r>
              <w:rPr>
                <w:rFonts w:hint="eastAsia" w:ascii="宋体" w:hAnsi="宋体"/>
                <w:sz w:val="24"/>
              </w:rPr>
              <w:t>完成时间</w:t>
            </w:r>
          </w:p>
        </w:tc>
        <w:tc>
          <w:tcPr>
            <w:tcW w:w="1260" w:type="dxa"/>
            <w:vAlign w:val="center"/>
          </w:tcPr>
          <w:p w14:paraId="4DB46064">
            <w:pPr>
              <w:spacing w:line="360" w:lineRule="auto"/>
              <w:jc w:val="center"/>
              <w:rPr>
                <w:rFonts w:ascii="宋体" w:hAnsi="宋体"/>
                <w:sz w:val="24"/>
              </w:rPr>
            </w:pPr>
            <w:r>
              <w:rPr>
                <w:rFonts w:hint="eastAsia" w:ascii="宋体" w:hAnsi="宋体"/>
                <w:sz w:val="24"/>
              </w:rPr>
              <w:t>合同金额</w:t>
            </w:r>
          </w:p>
        </w:tc>
        <w:tc>
          <w:tcPr>
            <w:tcW w:w="2041" w:type="dxa"/>
            <w:gridSpan w:val="2"/>
            <w:tcBorders>
              <w:right w:val="single" w:color="auto" w:sz="4" w:space="0"/>
            </w:tcBorders>
            <w:vAlign w:val="center"/>
          </w:tcPr>
          <w:p w14:paraId="4C01666F">
            <w:pPr>
              <w:spacing w:line="360" w:lineRule="auto"/>
              <w:jc w:val="center"/>
              <w:rPr>
                <w:rFonts w:ascii="宋体" w:hAnsi="宋体"/>
                <w:sz w:val="24"/>
              </w:rPr>
            </w:pPr>
            <w:r>
              <w:rPr>
                <w:rFonts w:hint="eastAsia" w:ascii="宋体" w:hAnsi="宋体"/>
                <w:sz w:val="24"/>
              </w:rPr>
              <w:t>是否通过验收</w:t>
            </w:r>
          </w:p>
        </w:tc>
        <w:tc>
          <w:tcPr>
            <w:tcW w:w="886" w:type="dxa"/>
            <w:tcBorders>
              <w:left w:val="single" w:color="auto" w:sz="4" w:space="0"/>
            </w:tcBorders>
            <w:vAlign w:val="center"/>
          </w:tcPr>
          <w:p w14:paraId="4660B9D8">
            <w:pPr>
              <w:spacing w:line="360" w:lineRule="auto"/>
              <w:jc w:val="center"/>
              <w:rPr>
                <w:rFonts w:ascii="宋体" w:hAnsi="宋体"/>
                <w:sz w:val="24"/>
              </w:rPr>
            </w:pPr>
            <w:r>
              <w:rPr>
                <w:rFonts w:hint="eastAsia" w:ascii="宋体" w:hAnsi="宋体"/>
                <w:sz w:val="24"/>
              </w:rPr>
              <w:t>备注</w:t>
            </w:r>
          </w:p>
        </w:tc>
      </w:tr>
      <w:tr w14:paraId="59728B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14:paraId="098D7089">
            <w:pPr>
              <w:widowControl/>
              <w:spacing w:line="360" w:lineRule="atLeast"/>
              <w:ind w:firstLine="470" w:firstLineChars="196"/>
              <w:jc w:val="left"/>
              <w:rPr>
                <w:rFonts w:ascii="宋体" w:hAnsi="宋体"/>
                <w:sz w:val="24"/>
              </w:rPr>
            </w:pPr>
          </w:p>
        </w:tc>
        <w:tc>
          <w:tcPr>
            <w:tcW w:w="1145" w:type="dxa"/>
            <w:vAlign w:val="center"/>
          </w:tcPr>
          <w:p w14:paraId="142F5C13">
            <w:pPr>
              <w:widowControl/>
              <w:spacing w:line="360" w:lineRule="atLeast"/>
              <w:ind w:firstLine="470" w:firstLineChars="196"/>
              <w:jc w:val="left"/>
              <w:rPr>
                <w:rFonts w:ascii="宋体" w:hAnsi="宋体"/>
                <w:sz w:val="24"/>
              </w:rPr>
            </w:pPr>
          </w:p>
        </w:tc>
        <w:tc>
          <w:tcPr>
            <w:tcW w:w="1320" w:type="dxa"/>
            <w:vAlign w:val="center"/>
          </w:tcPr>
          <w:p w14:paraId="10BA466A">
            <w:pPr>
              <w:widowControl/>
              <w:spacing w:line="360" w:lineRule="atLeast"/>
              <w:ind w:firstLine="470" w:firstLineChars="196"/>
              <w:jc w:val="left"/>
              <w:rPr>
                <w:rFonts w:ascii="宋体" w:hAnsi="宋体"/>
                <w:sz w:val="24"/>
              </w:rPr>
            </w:pPr>
          </w:p>
        </w:tc>
        <w:tc>
          <w:tcPr>
            <w:tcW w:w="1161" w:type="dxa"/>
            <w:vAlign w:val="center"/>
          </w:tcPr>
          <w:p w14:paraId="5AD81720">
            <w:pPr>
              <w:widowControl/>
              <w:spacing w:line="360" w:lineRule="atLeast"/>
              <w:ind w:firstLine="470" w:firstLineChars="196"/>
              <w:jc w:val="left"/>
              <w:rPr>
                <w:rFonts w:ascii="宋体" w:hAnsi="宋体"/>
                <w:sz w:val="24"/>
              </w:rPr>
            </w:pPr>
          </w:p>
        </w:tc>
        <w:tc>
          <w:tcPr>
            <w:tcW w:w="1260" w:type="dxa"/>
            <w:vAlign w:val="center"/>
          </w:tcPr>
          <w:p w14:paraId="59C21448">
            <w:pPr>
              <w:widowControl/>
              <w:spacing w:line="360" w:lineRule="atLeast"/>
              <w:ind w:firstLine="470" w:firstLineChars="196"/>
              <w:jc w:val="left"/>
              <w:rPr>
                <w:rFonts w:ascii="宋体" w:hAnsi="宋体"/>
                <w:sz w:val="24"/>
              </w:rPr>
            </w:pPr>
          </w:p>
        </w:tc>
        <w:tc>
          <w:tcPr>
            <w:tcW w:w="2041" w:type="dxa"/>
            <w:gridSpan w:val="2"/>
            <w:tcBorders>
              <w:right w:val="single" w:color="auto" w:sz="4" w:space="0"/>
            </w:tcBorders>
            <w:vAlign w:val="center"/>
          </w:tcPr>
          <w:p w14:paraId="2D84C937">
            <w:pPr>
              <w:widowControl/>
              <w:spacing w:line="360" w:lineRule="atLeast"/>
              <w:ind w:firstLine="470" w:firstLineChars="196"/>
              <w:jc w:val="left"/>
              <w:rPr>
                <w:rFonts w:ascii="宋体" w:hAnsi="宋体"/>
                <w:sz w:val="24"/>
              </w:rPr>
            </w:pPr>
          </w:p>
        </w:tc>
        <w:tc>
          <w:tcPr>
            <w:tcW w:w="886" w:type="dxa"/>
            <w:tcBorders>
              <w:left w:val="single" w:color="auto" w:sz="4" w:space="0"/>
            </w:tcBorders>
            <w:vAlign w:val="center"/>
          </w:tcPr>
          <w:p w14:paraId="3B75A273">
            <w:pPr>
              <w:widowControl/>
              <w:spacing w:line="360" w:lineRule="atLeast"/>
              <w:ind w:firstLine="470" w:firstLineChars="196"/>
              <w:jc w:val="left"/>
              <w:rPr>
                <w:rFonts w:ascii="宋体" w:hAnsi="宋体"/>
                <w:sz w:val="24"/>
              </w:rPr>
            </w:pPr>
          </w:p>
        </w:tc>
      </w:tr>
      <w:tr w14:paraId="2DE7B0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14:paraId="3918FBCB">
            <w:pPr>
              <w:widowControl/>
              <w:spacing w:line="360" w:lineRule="atLeast"/>
              <w:ind w:firstLine="470" w:firstLineChars="196"/>
              <w:jc w:val="left"/>
              <w:rPr>
                <w:rFonts w:ascii="宋体" w:hAnsi="宋体"/>
                <w:sz w:val="24"/>
              </w:rPr>
            </w:pPr>
          </w:p>
        </w:tc>
        <w:tc>
          <w:tcPr>
            <w:tcW w:w="1145" w:type="dxa"/>
            <w:vAlign w:val="center"/>
          </w:tcPr>
          <w:p w14:paraId="0035C003">
            <w:pPr>
              <w:widowControl/>
              <w:spacing w:line="360" w:lineRule="atLeast"/>
              <w:ind w:firstLine="470" w:firstLineChars="196"/>
              <w:jc w:val="left"/>
              <w:rPr>
                <w:rFonts w:ascii="宋体" w:hAnsi="宋体"/>
                <w:sz w:val="24"/>
              </w:rPr>
            </w:pPr>
          </w:p>
        </w:tc>
        <w:tc>
          <w:tcPr>
            <w:tcW w:w="1320" w:type="dxa"/>
            <w:vAlign w:val="center"/>
          </w:tcPr>
          <w:p w14:paraId="55FAB58C">
            <w:pPr>
              <w:widowControl/>
              <w:spacing w:line="360" w:lineRule="atLeast"/>
              <w:ind w:firstLine="470" w:firstLineChars="196"/>
              <w:jc w:val="left"/>
              <w:rPr>
                <w:rFonts w:ascii="宋体" w:hAnsi="宋体"/>
                <w:sz w:val="24"/>
              </w:rPr>
            </w:pPr>
          </w:p>
        </w:tc>
        <w:tc>
          <w:tcPr>
            <w:tcW w:w="1161" w:type="dxa"/>
            <w:vAlign w:val="center"/>
          </w:tcPr>
          <w:p w14:paraId="0151C6F6">
            <w:pPr>
              <w:widowControl/>
              <w:spacing w:line="360" w:lineRule="atLeast"/>
              <w:ind w:firstLine="470" w:firstLineChars="196"/>
              <w:jc w:val="left"/>
              <w:rPr>
                <w:rFonts w:ascii="宋体" w:hAnsi="宋体"/>
                <w:sz w:val="24"/>
              </w:rPr>
            </w:pPr>
          </w:p>
        </w:tc>
        <w:tc>
          <w:tcPr>
            <w:tcW w:w="1260" w:type="dxa"/>
            <w:vAlign w:val="center"/>
          </w:tcPr>
          <w:p w14:paraId="68F8A24A">
            <w:pPr>
              <w:widowControl/>
              <w:spacing w:line="360" w:lineRule="atLeast"/>
              <w:ind w:firstLine="470" w:firstLineChars="196"/>
              <w:jc w:val="left"/>
              <w:rPr>
                <w:rFonts w:ascii="宋体" w:hAnsi="宋体"/>
                <w:sz w:val="24"/>
              </w:rPr>
            </w:pPr>
          </w:p>
        </w:tc>
        <w:tc>
          <w:tcPr>
            <w:tcW w:w="2041" w:type="dxa"/>
            <w:gridSpan w:val="2"/>
            <w:tcBorders>
              <w:right w:val="single" w:color="auto" w:sz="4" w:space="0"/>
            </w:tcBorders>
            <w:vAlign w:val="center"/>
          </w:tcPr>
          <w:p w14:paraId="628E5C30">
            <w:pPr>
              <w:widowControl/>
              <w:spacing w:line="360" w:lineRule="atLeast"/>
              <w:ind w:firstLine="470" w:firstLineChars="196"/>
              <w:jc w:val="left"/>
              <w:rPr>
                <w:rFonts w:ascii="宋体" w:hAnsi="宋体"/>
                <w:sz w:val="24"/>
              </w:rPr>
            </w:pPr>
          </w:p>
        </w:tc>
        <w:tc>
          <w:tcPr>
            <w:tcW w:w="886" w:type="dxa"/>
            <w:tcBorders>
              <w:left w:val="single" w:color="auto" w:sz="4" w:space="0"/>
            </w:tcBorders>
            <w:vAlign w:val="center"/>
          </w:tcPr>
          <w:p w14:paraId="21C6FA3C">
            <w:pPr>
              <w:widowControl/>
              <w:spacing w:line="360" w:lineRule="atLeast"/>
              <w:ind w:firstLine="470" w:firstLineChars="196"/>
              <w:jc w:val="left"/>
              <w:rPr>
                <w:rFonts w:ascii="宋体" w:hAnsi="宋体"/>
                <w:sz w:val="24"/>
              </w:rPr>
            </w:pPr>
          </w:p>
        </w:tc>
      </w:tr>
      <w:tr w14:paraId="6046A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14:paraId="35644E08">
            <w:pPr>
              <w:widowControl/>
              <w:spacing w:line="360" w:lineRule="atLeast"/>
              <w:ind w:firstLine="470" w:firstLineChars="196"/>
              <w:jc w:val="left"/>
              <w:rPr>
                <w:rFonts w:ascii="宋体" w:hAnsi="宋体"/>
                <w:sz w:val="24"/>
              </w:rPr>
            </w:pPr>
          </w:p>
        </w:tc>
        <w:tc>
          <w:tcPr>
            <w:tcW w:w="1145" w:type="dxa"/>
            <w:vAlign w:val="center"/>
          </w:tcPr>
          <w:p w14:paraId="6A520678">
            <w:pPr>
              <w:widowControl/>
              <w:spacing w:line="360" w:lineRule="atLeast"/>
              <w:ind w:firstLine="470" w:firstLineChars="196"/>
              <w:jc w:val="left"/>
              <w:rPr>
                <w:rFonts w:ascii="宋体" w:hAnsi="宋体"/>
                <w:sz w:val="24"/>
              </w:rPr>
            </w:pPr>
          </w:p>
        </w:tc>
        <w:tc>
          <w:tcPr>
            <w:tcW w:w="1320" w:type="dxa"/>
            <w:vAlign w:val="center"/>
          </w:tcPr>
          <w:p w14:paraId="736674F9">
            <w:pPr>
              <w:widowControl/>
              <w:spacing w:line="360" w:lineRule="atLeast"/>
              <w:ind w:firstLine="470" w:firstLineChars="196"/>
              <w:jc w:val="left"/>
              <w:rPr>
                <w:rFonts w:ascii="宋体" w:hAnsi="宋体"/>
                <w:sz w:val="24"/>
              </w:rPr>
            </w:pPr>
          </w:p>
        </w:tc>
        <w:tc>
          <w:tcPr>
            <w:tcW w:w="1161" w:type="dxa"/>
            <w:vAlign w:val="center"/>
          </w:tcPr>
          <w:p w14:paraId="1800BD5D">
            <w:pPr>
              <w:widowControl/>
              <w:spacing w:line="360" w:lineRule="atLeast"/>
              <w:ind w:firstLine="470" w:firstLineChars="196"/>
              <w:jc w:val="left"/>
              <w:rPr>
                <w:rFonts w:ascii="宋体" w:hAnsi="宋体"/>
                <w:sz w:val="24"/>
              </w:rPr>
            </w:pPr>
          </w:p>
        </w:tc>
        <w:tc>
          <w:tcPr>
            <w:tcW w:w="1260" w:type="dxa"/>
            <w:vAlign w:val="center"/>
          </w:tcPr>
          <w:p w14:paraId="01E3ADC4">
            <w:pPr>
              <w:widowControl/>
              <w:spacing w:line="360" w:lineRule="atLeast"/>
              <w:ind w:firstLine="470" w:firstLineChars="196"/>
              <w:jc w:val="left"/>
              <w:rPr>
                <w:rFonts w:ascii="宋体" w:hAnsi="宋体"/>
                <w:sz w:val="24"/>
              </w:rPr>
            </w:pPr>
          </w:p>
        </w:tc>
        <w:tc>
          <w:tcPr>
            <w:tcW w:w="2041" w:type="dxa"/>
            <w:gridSpan w:val="2"/>
            <w:tcBorders>
              <w:right w:val="single" w:color="auto" w:sz="4" w:space="0"/>
            </w:tcBorders>
            <w:vAlign w:val="center"/>
          </w:tcPr>
          <w:p w14:paraId="2339FB42">
            <w:pPr>
              <w:widowControl/>
              <w:spacing w:line="360" w:lineRule="atLeast"/>
              <w:ind w:firstLine="470" w:firstLineChars="196"/>
              <w:jc w:val="left"/>
              <w:rPr>
                <w:rFonts w:ascii="宋体" w:hAnsi="宋体"/>
                <w:sz w:val="24"/>
              </w:rPr>
            </w:pPr>
          </w:p>
        </w:tc>
        <w:tc>
          <w:tcPr>
            <w:tcW w:w="886" w:type="dxa"/>
            <w:tcBorders>
              <w:left w:val="single" w:color="auto" w:sz="4" w:space="0"/>
            </w:tcBorders>
            <w:vAlign w:val="center"/>
          </w:tcPr>
          <w:p w14:paraId="726A5E75">
            <w:pPr>
              <w:widowControl/>
              <w:spacing w:line="360" w:lineRule="atLeast"/>
              <w:ind w:firstLine="470" w:firstLineChars="196"/>
              <w:jc w:val="left"/>
              <w:rPr>
                <w:rFonts w:ascii="宋体" w:hAnsi="宋体"/>
                <w:sz w:val="24"/>
              </w:rPr>
            </w:pPr>
          </w:p>
        </w:tc>
      </w:tr>
      <w:tr w14:paraId="4C4DA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14:paraId="6959384F">
            <w:pPr>
              <w:widowControl/>
              <w:spacing w:line="360" w:lineRule="atLeast"/>
              <w:ind w:firstLine="470" w:firstLineChars="196"/>
              <w:jc w:val="left"/>
              <w:rPr>
                <w:rFonts w:ascii="宋体" w:hAnsi="宋体"/>
                <w:sz w:val="24"/>
              </w:rPr>
            </w:pPr>
          </w:p>
        </w:tc>
        <w:tc>
          <w:tcPr>
            <w:tcW w:w="1145" w:type="dxa"/>
            <w:tcBorders>
              <w:right w:val="single" w:color="auto" w:sz="4" w:space="0"/>
            </w:tcBorders>
            <w:vAlign w:val="center"/>
          </w:tcPr>
          <w:p w14:paraId="67A726AC">
            <w:pPr>
              <w:widowControl/>
              <w:spacing w:line="360" w:lineRule="atLeast"/>
              <w:ind w:firstLine="470" w:firstLineChars="196"/>
              <w:jc w:val="left"/>
              <w:rPr>
                <w:rFonts w:ascii="宋体" w:hAnsi="宋体"/>
                <w:sz w:val="24"/>
              </w:rPr>
            </w:pPr>
          </w:p>
        </w:tc>
        <w:tc>
          <w:tcPr>
            <w:tcW w:w="1320" w:type="dxa"/>
            <w:tcBorders>
              <w:left w:val="single" w:color="auto" w:sz="4" w:space="0"/>
            </w:tcBorders>
            <w:vAlign w:val="center"/>
          </w:tcPr>
          <w:p w14:paraId="38F3C62D">
            <w:pPr>
              <w:widowControl/>
              <w:spacing w:line="360" w:lineRule="atLeast"/>
              <w:ind w:firstLine="470" w:firstLineChars="196"/>
              <w:jc w:val="left"/>
              <w:rPr>
                <w:rFonts w:ascii="宋体" w:hAnsi="宋体"/>
                <w:sz w:val="24"/>
              </w:rPr>
            </w:pPr>
          </w:p>
        </w:tc>
        <w:tc>
          <w:tcPr>
            <w:tcW w:w="1161" w:type="dxa"/>
            <w:vAlign w:val="center"/>
          </w:tcPr>
          <w:p w14:paraId="5335E155">
            <w:pPr>
              <w:widowControl/>
              <w:spacing w:line="360" w:lineRule="atLeast"/>
              <w:ind w:firstLine="470" w:firstLineChars="196"/>
              <w:jc w:val="left"/>
              <w:rPr>
                <w:rFonts w:ascii="宋体" w:hAnsi="宋体"/>
                <w:sz w:val="24"/>
              </w:rPr>
            </w:pPr>
          </w:p>
        </w:tc>
        <w:tc>
          <w:tcPr>
            <w:tcW w:w="1260" w:type="dxa"/>
            <w:vAlign w:val="center"/>
          </w:tcPr>
          <w:p w14:paraId="0ACED919">
            <w:pPr>
              <w:widowControl/>
              <w:spacing w:line="360" w:lineRule="atLeast"/>
              <w:ind w:firstLine="470" w:firstLineChars="196"/>
              <w:jc w:val="left"/>
              <w:rPr>
                <w:rFonts w:ascii="宋体" w:hAnsi="宋体"/>
                <w:sz w:val="24"/>
              </w:rPr>
            </w:pPr>
          </w:p>
        </w:tc>
        <w:tc>
          <w:tcPr>
            <w:tcW w:w="2041" w:type="dxa"/>
            <w:gridSpan w:val="2"/>
            <w:tcBorders>
              <w:right w:val="single" w:color="auto" w:sz="4" w:space="0"/>
            </w:tcBorders>
            <w:vAlign w:val="center"/>
          </w:tcPr>
          <w:p w14:paraId="7D91F3F2">
            <w:pPr>
              <w:widowControl/>
              <w:spacing w:line="360" w:lineRule="atLeast"/>
              <w:ind w:firstLine="470" w:firstLineChars="196"/>
              <w:jc w:val="left"/>
              <w:rPr>
                <w:rFonts w:ascii="宋体" w:hAnsi="宋体"/>
                <w:sz w:val="24"/>
              </w:rPr>
            </w:pPr>
          </w:p>
        </w:tc>
        <w:tc>
          <w:tcPr>
            <w:tcW w:w="886" w:type="dxa"/>
            <w:tcBorders>
              <w:left w:val="single" w:color="auto" w:sz="4" w:space="0"/>
            </w:tcBorders>
            <w:vAlign w:val="center"/>
          </w:tcPr>
          <w:p w14:paraId="535509E4">
            <w:pPr>
              <w:widowControl/>
              <w:spacing w:line="360" w:lineRule="atLeast"/>
              <w:ind w:firstLine="470" w:firstLineChars="196"/>
              <w:jc w:val="left"/>
              <w:rPr>
                <w:rFonts w:ascii="宋体" w:hAnsi="宋体"/>
                <w:sz w:val="24"/>
              </w:rPr>
            </w:pPr>
          </w:p>
        </w:tc>
      </w:tr>
      <w:tr w14:paraId="7C9AC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right w:val="single" w:color="auto" w:sz="4" w:space="0"/>
            </w:tcBorders>
            <w:vAlign w:val="center"/>
          </w:tcPr>
          <w:p w14:paraId="17D2BA0F">
            <w:pPr>
              <w:widowControl/>
              <w:spacing w:line="360" w:lineRule="atLeast"/>
              <w:ind w:firstLine="470" w:firstLineChars="196"/>
              <w:jc w:val="left"/>
              <w:rPr>
                <w:rFonts w:ascii="宋体" w:hAnsi="宋体"/>
                <w:sz w:val="24"/>
              </w:rPr>
            </w:pPr>
          </w:p>
        </w:tc>
        <w:tc>
          <w:tcPr>
            <w:tcW w:w="1145" w:type="dxa"/>
            <w:tcBorders>
              <w:left w:val="single" w:color="auto" w:sz="4" w:space="0"/>
              <w:right w:val="single" w:color="auto" w:sz="4" w:space="0"/>
            </w:tcBorders>
            <w:vAlign w:val="center"/>
          </w:tcPr>
          <w:p w14:paraId="11D67724">
            <w:pPr>
              <w:widowControl/>
              <w:spacing w:line="360" w:lineRule="atLeast"/>
              <w:ind w:firstLine="470" w:firstLineChars="196"/>
              <w:jc w:val="left"/>
              <w:rPr>
                <w:rFonts w:ascii="宋体" w:hAnsi="宋体"/>
                <w:sz w:val="24"/>
              </w:rPr>
            </w:pPr>
          </w:p>
        </w:tc>
        <w:tc>
          <w:tcPr>
            <w:tcW w:w="1320" w:type="dxa"/>
            <w:tcBorders>
              <w:left w:val="single" w:color="auto" w:sz="4" w:space="0"/>
              <w:right w:val="single" w:color="auto" w:sz="4" w:space="0"/>
            </w:tcBorders>
            <w:vAlign w:val="center"/>
          </w:tcPr>
          <w:p w14:paraId="0B8378EE">
            <w:pPr>
              <w:widowControl/>
              <w:spacing w:line="360" w:lineRule="atLeast"/>
              <w:ind w:firstLine="470" w:firstLineChars="196"/>
              <w:jc w:val="left"/>
              <w:rPr>
                <w:rFonts w:ascii="宋体" w:hAnsi="宋体"/>
                <w:sz w:val="24"/>
              </w:rPr>
            </w:pPr>
          </w:p>
        </w:tc>
        <w:tc>
          <w:tcPr>
            <w:tcW w:w="1161" w:type="dxa"/>
            <w:tcBorders>
              <w:left w:val="single" w:color="auto" w:sz="4" w:space="0"/>
              <w:right w:val="single" w:color="auto" w:sz="4" w:space="0"/>
            </w:tcBorders>
            <w:vAlign w:val="center"/>
          </w:tcPr>
          <w:p w14:paraId="0358D92D">
            <w:pPr>
              <w:widowControl/>
              <w:spacing w:line="360" w:lineRule="atLeast"/>
              <w:ind w:firstLine="470" w:firstLineChars="196"/>
              <w:jc w:val="left"/>
              <w:rPr>
                <w:rFonts w:ascii="宋体" w:hAnsi="宋体"/>
                <w:sz w:val="24"/>
              </w:rPr>
            </w:pPr>
          </w:p>
        </w:tc>
        <w:tc>
          <w:tcPr>
            <w:tcW w:w="1269" w:type="dxa"/>
            <w:gridSpan w:val="2"/>
            <w:tcBorders>
              <w:left w:val="single" w:color="auto" w:sz="4" w:space="0"/>
              <w:right w:val="single" w:color="auto" w:sz="4" w:space="0"/>
            </w:tcBorders>
            <w:vAlign w:val="center"/>
          </w:tcPr>
          <w:p w14:paraId="013DC8B4">
            <w:pPr>
              <w:widowControl/>
              <w:spacing w:line="360" w:lineRule="atLeast"/>
              <w:ind w:firstLine="470" w:firstLineChars="196"/>
              <w:jc w:val="left"/>
              <w:rPr>
                <w:rFonts w:ascii="宋体" w:hAnsi="宋体"/>
                <w:sz w:val="24"/>
              </w:rPr>
            </w:pPr>
          </w:p>
        </w:tc>
        <w:tc>
          <w:tcPr>
            <w:tcW w:w="2032" w:type="dxa"/>
            <w:tcBorders>
              <w:left w:val="single" w:color="auto" w:sz="4" w:space="0"/>
              <w:right w:val="single" w:color="auto" w:sz="4" w:space="0"/>
            </w:tcBorders>
            <w:vAlign w:val="center"/>
          </w:tcPr>
          <w:p w14:paraId="71A2AB3F">
            <w:pPr>
              <w:widowControl/>
              <w:spacing w:line="360" w:lineRule="atLeast"/>
              <w:ind w:firstLine="470" w:firstLineChars="196"/>
              <w:jc w:val="left"/>
              <w:rPr>
                <w:rFonts w:ascii="宋体" w:hAnsi="宋体"/>
                <w:sz w:val="24"/>
              </w:rPr>
            </w:pPr>
          </w:p>
        </w:tc>
        <w:tc>
          <w:tcPr>
            <w:tcW w:w="886" w:type="dxa"/>
            <w:tcBorders>
              <w:left w:val="single" w:color="auto" w:sz="4" w:space="0"/>
            </w:tcBorders>
            <w:vAlign w:val="center"/>
          </w:tcPr>
          <w:p w14:paraId="6E9DD5C6">
            <w:pPr>
              <w:widowControl/>
              <w:spacing w:line="360" w:lineRule="atLeast"/>
              <w:ind w:firstLine="470" w:firstLineChars="196"/>
              <w:jc w:val="left"/>
              <w:rPr>
                <w:rFonts w:ascii="宋体" w:hAnsi="宋体"/>
                <w:sz w:val="24"/>
              </w:rPr>
            </w:pPr>
          </w:p>
        </w:tc>
      </w:tr>
      <w:tr w14:paraId="7CCD30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814" w:type="dxa"/>
            <w:tcBorders>
              <w:top w:val="single" w:color="auto" w:sz="4" w:space="0"/>
            </w:tcBorders>
            <w:vAlign w:val="center"/>
          </w:tcPr>
          <w:p w14:paraId="3EA90170">
            <w:pPr>
              <w:widowControl/>
              <w:spacing w:line="360" w:lineRule="atLeast"/>
              <w:ind w:firstLine="470" w:firstLineChars="196"/>
              <w:jc w:val="left"/>
              <w:rPr>
                <w:rFonts w:ascii="宋体" w:hAnsi="宋体"/>
                <w:sz w:val="24"/>
              </w:rPr>
            </w:pPr>
          </w:p>
        </w:tc>
        <w:tc>
          <w:tcPr>
            <w:tcW w:w="1145" w:type="dxa"/>
            <w:tcBorders>
              <w:top w:val="single" w:color="auto" w:sz="4" w:space="0"/>
            </w:tcBorders>
            <w:vAlign w:val="center"/>
          </w:tcPr>
          <w:p w14:paraId="7D3ED505">
            <w:pPr>
              <w:widowControl/>
              <w:spacing w:line="360" w:lineRule="atLeast"/>
              <w:ind w:firstLine="470" w:firstLineChars="196"/>
              <w:jc w:val="left"/>
              <w:rPr>
                <w:rFonts w:ascii="宋体" w:hAnsi="宋体"/>
                <w:sz w:val="24"/>
              </w:rPr>
            </w:pPr>
          </w:p>
        </w:tc>
        <w:tc>
          <w:tcPr>
            <w:tcW w:w="1320" w:type="dxa"/>
            <w:tcBorders>
              <w:top w:val="single" w:color="auto" w:sz="4" w:space="0"/>
            </w:tcBorders>
            <w:vAlign w:val="center"/>
          </w:tcPr>
          <w:p w14:paraId="62C340C5">
            <w:pPr>
              <w:widowControl/>
              <w:spacing w:line="360" w:lineRule="atLeast"/>
              <w:ind w:firstLine="470" w:firstLineChars="196"/>
              <w:jc w:val="left"/>
              <w:rPr>
                <w:rFonts w:ascii="宋体" w:hAnsi="宋体"/>
                <w:sz w:val="24"/>
              </w:rPr>
            </w:pPr>
          </w:p>
        </w:tc>
        <w:tc>
          <w:tcPr>
            <w:tcW w:w="1161" w:type="dxa"/>
            <w:tcBorders>
              <w:top w:val="single" w:color="auto" w:sz="4" w:space="0"/>
            </w:tcBorders>
            <w:vAlign w:val="center"/>
          </w:tcPr>
          <w:p w14:paraId="67CF86C6">
            <w:pPr>
              <w:widowControl/>
              <w:spacing w:line="360" w:lineRule="atLeast"/>
              <w:ind w:firstLine="470" w:firstLineChars="196"/>
              <w:jc w:val="left"/>
              <w:rPr>
                <w:rFonts w:ascii="宋体" w:hAnsi="宋体"/>
                <w:sz w:val="24"/>
              </w:rPr>
            </w:pPr>
          </w:p>
        </w:tc>
        <w:tc>
          <w:tcPr>
            <w:tcW w:w="1269" w:type="dxa"/>
            <w:gridSpan w:val="2"/>
            <w:tcBorders>
              <w:top w:val="single" w:color="auto" w:sz="4" w:space="0"/>
              <w:right w:val="single" w:color="auto" w:sz="4" w:space="0"/>
            </w:tcBorders>
            <w:vAlign w:val="center"/>
          </w:tcPr>
          <w:p w14:paraId="786B9A55">
            <w:pPr>
              <w:widowControl/>
              <w:spacing w:line="360" w:lineRule="atLeast"/>
              <w:ind w:firstLine="470" w:firstLineChars="196"/>
              <w:jc w:val="left"/>
              <w:rPr>
                <w:rFonts w:ascii="宋体" w:hAnsi="宋体"/>
                <w:sz w:val="24"/>
              </w:rPr>
            </w:pPr>
          </w:p>
        </w:tc>
        <w:tc>
          <w:tcPr>
            <w:tcW w:w="2032" w:type="dxa"/>
            <w:tcBorders>
              <w:top w:val="single" w:color="auto" w:sz="4" w:space="0"/>
              <w:left w:val="single" w:color="auto" w:sz="4" w:space="0"/>
              <w:right w:val="single" w:color="auto" w:sz="4" w:space="0"/>
            </w:tcBorders>
            <w:vAlign w:val="center"/>
          </w:tcPr>
          <w:p w14:paraId="6C82C1CD">
            <w:pPr>
              <w:widowControl/>
              <w:spacing w:line="360" w:lineRule="atLeast"/>
              <w:ind w:firstLine="470" w:firstLineChars="196"/>
              <w:jc w:val="left"/>
              <w:rPr>
                <w:rFonts w:ascii="宋体" w:hAnsi="宋体"/>
                <w:sz w:val="24"/>
              </w:rPr>
            </w:pPr>
          </w:p>
        </w:tc>
        <w:tc>
          <w:tcPr>
            <w:tcW w:w="886" w:type="dxa"/>
            <w:tcBorders>
              <w:top w:val="single" w:color="auto" w:sz="4" w:space="0"/>
              <w:left w:val="single" w:color="auto" w:sz="4" w:space="0"/>
            </w:tcBorders>
            <w:vAlign w:val="center"/>
          </w:tcPr>
          <w:p w14:paraId="4ADD27A2">
            <w:pPr>
              <w:widowControl/>
              <w:spacing w:line="360" w:lineRule="atLeast"/>
              <w:ind w:firstLine="470" w:firstLineChars="196"/>
              <w:jc w:val="left"/>
              <w:rPr>
                <w:rFonts w:ascii="宋体" w:hAnsi="宋体"/>
                <w:sz w:val="24"/>
              </w:rPr>
            </w:pPr>
          </w:p>
        </w:tc>
      </w:tr>
    </w:tbl>
    <w:p w14:paraId="7055D598">
      <w:pPr>
        <w:widowControl/>
        <w:spacing w:line="360" w:lineRule="atLeast"/>
        <w:ind w:firstLine="470" w:firstLineChars="196"/>
        <w:jc w:val="left"/>
        <w:rPr>
          <w:rFonts w:ascii="宋体"/>
          <w:sz w:val="24"/>
        </w:rPr>
      </w:pPr>
    </w:p>
    <w:p w14:paraId="4C1AE725">
      <w:pPr>
        <w:spacing w:line="360" w:lineRule="atLeast"/>
        <w:jc w:val="center"/>
        <w:rPr>
          <w:rFonts w:ascii="仿宋_GB2312" w:hAnsi="仿宋" w:eastAsia="仿宋_GB2312" w:cs="仿宋"/>
          <w:sz w:val="24"/>
        </w:rPr>
      </w:pPr>
    </w:p>
    <w:p w14:paraId="5381E0E3">
      <w:pPr>
        <w:spacing w:line="360" w:lineRule="auto"/>
        <w:ind w:firstLine="480" w:firstLineChars="200"/>
        <w:jc w:val="left"/>
        <w:rPr>
          <w:rFonts w:ascii="宋体" w:hAnsi="宋体"/>
          <w:sz w:val="24"/>
        </w:rPr>
      </w:pPr>
    </w:p>
    <w:p w14:paraId="6B0EF0CC">
      <w:pPr>
        <w:spacing w:line="360" w:lineRule="auto"/>
        <w:ind w:firstLine="480" w:firstLineChars="200"/>
        <w:jc w:val="left"/>
        <w:rPr>
          <w:rFonts w:ascii="宋体" w:hAnsi="宋体"/>
          <w:sz w:val="24"/>
        </w:rPr>
      </w:pPr>
    </w:p>
    <w:p w14:paraId="1753A84C">
      <w:pPr>
        <w:spacing w:line="360" w:lineRule="auto"/>
        <w:ind w:firstLine="480" w:firstLineChars="200"/>
        <w:jc w:val="left"/>
        <w:rPr>
          <w:rFonts w:ascii="宋体" w:hAnsi="宋体"/>
          <w:sz w:val="24"/>
        </w:rPr>
      </w:pPr>
    </w:p>
    <w:p w14:paraId="3DC29FC4">
      <w:pPr>
        <w:rPr>
          <w:rFonts w:hint="eastAsia" w:ascii="宋体" w:hAnsi="宋体"/>
          <w:sz w:val="24"/>
        </w:rPr>
      </w:pPr>
      <w:r>
        <w:rPr>
          <w:rFonts w:hint="eastAsia" w:ascii="宋体" w:hAnsi="宋体"/>
          <w:sz w:val="24"/>
        </w:rPr>
        <w:br w:type="page"/>
      </w:r>
    </w:p>
    <w:p w14:paraId="48A80E32">
      <w:pPr>
        <w:spacing w:line="360" w:lineRule="auto"/>
        <w:ind w:firstLine="480" w:firstLineChars="200"/>
        <w:jc w:val="left"/>
        <w:rPr>
          <w:rFonts w:ascii="宋体" w:hAnsi="宋体"/>
          <w:sz w:val="24"/>
        </w:rPr>
      </w:pPr>
      <w:r>
        <w:rPr>
          <w:rFonts w:hint="eastAsia" w:ascii="宋体" w:hAnsi="宋体"/>
          <w:sz w:val="24"/>
        </w:rPr>
        <w:t>3.3本项目管理、技术、服务人员情况表</w:t>
      </w:r>
    </w:p>
    <w:p w14:paraId="392ADF44">
      <w:pPr>
        <w:spacing w:line="360" w:lineRule="auto"/>
        <w:ind w:firstLine="482" w:firstLineChars="200"/>
        <w:jc w:val="left"/>
        <w:rPr>
          <w:rFonts w:ascii="宋体" w:hAnsi="宋体"/>
          <w:b/>
          <w:bCs/>
          <w:sz w:val="24"/>
        </w:rPr>
      </w:pPr>
    </w:p>
    <w:p w14:paraId="6E03F1B0">
      <w:pPr>
        <w:pStyle w:val="25"/>
        <w:widowControl/>
        <w:ind w:firstLine="0" w:firstLineChars="0"/>
        <w:jc w:val="center"/>
        <w:rPr>
          <w:rFonts w:cs="华文仿宋"/>
          <w:b/>
          <w:bCs/>
          <w:sz w:val="30"/>
          <w:szCs w:val="30"/>
        </w:rPr>
      </w:pPr>
      <w:r>
        <w:rPr>
          <w:rFonts w:hint="eastAsia" w:cs="华文仿宋"/>
          <w:b/>
          <w:bCs/>
          <w:sz w:val="30"/>
          <w:szCs w:val="30"/>
        </w:rPr>
        <w:t>本项目管理、技术、服务人员情况表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14:paraId="692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vAlign w:val="center"/>
          </w:tcPr>
          <w:p w14:paraId="5F6BBB9D">
            <w:pPr>
              <w:spacing w:line="360" w:lineRule="auto"/>
              <w:jc w:val="center"/>
              <w:rPr>
                <w:rFonts w:ascii="黑体" w:hAnsi="黑体" w:eastAsia="黑体" w:cs="黑体"/>
                <w:sz w:val="24"/>
              </w:rPr>
            </w:pPr>
            <w:r>
              <w:rPr>
                <w:rFonts w:hint="eastAsia" w:ascii="黑体" w:hAnsi="黑体" w:eastAsia="黑体" w:cs="黑体"/>
                <w:sz w:val="24"/>
              </w:rPr>
              <w:t>职责分工</w:t>
            </w:r>
          </w:p>
        </w:tc>
        <w:tc>
          <w:tcPr>
            <w:tcW w:w="1231" w:type="dxa"/>
            <w:tcBorders>
              <w:top w:val="single" w:color="auto" w:sz="4" w:space="0"/>
              <w:left w:val="single" w:color="auto" w:sz="4" w:space="0"/>
              <w:bottom w:val="single" w:color="auto" w:sz="4" w:space="0"/>
              <w:right w:val="single" w:color="auto" w:sz="4" w:space="0"/>
            </w:tcBorders>
            <w:vAlign w:val="center"/>
          </w:tcPr>
          <w:p w14:paraId="326512AC">
            <w:pPr>
              <w:spacing w:line="360" w:lineRule="auto"/>
              <w:jc w:val="center"/>
              <w:rPr>
                <w:rFonts w:ascii="黑体" w:hAnsi="黑体" w:eastAsia="黑体" w:cs="黑体"/>
                <w:sz w:val="24"/>
              </w:rPr>
            </w:pPr>
            <w:r>
              <w:rPr>
                <w:rFonts w:hint="eastAsia" w:ascii="黑体" w:hAnsi="黑体" w:eastAsia="黑体" w:cs="黑体"/>
                <w:sz w:val="24"/>
              </w:rPr>
              <w:t>姓名</w:t>
            </w:r>
          </w:p>
        </w:tc>
        <w:tc>
          <w:tcPr>
            <w:tcW w:w="1192" w:type="dxa"/>
            <w:tcBorders>
              <w:top w:val="single" w:color="auto" w:sz="4" w:space="0"/>
              <w:left w:val="single" w:color="auto" w:sz="4" w:space="0"/>
              <w:bottom w:val="single" w:color="auto" w:sz="4" w:space="0"/>
              <w:right w:val="single" w:color="auto" w:sz="4" w:space="0"/>
            </w:tcBorders>
            <w:vAlign w:val="center"/>
          </w:tcPr>
          <w:p w14:paraId="469F7A06">
            <w:pPr>
              <w:spacing w:line="360" w:lineRule="auto"/>
              <w:jc w:val="center"/>
              <w:rPr>
                <w:rFonts w:ascii="黑体" w:hAnsi="黑体" w:eastAsia="黑体" w:cs="黑体"/>
                <w:sz w:val="24"/>
              </w:rPr>
            </w:pPr>
            <w:r>
              <w:rPr>
                <w:rFonts w:hint="eastAsia" w:ascii="黑体" w:hAnsi="黑体" w:eastAsia="黑体" w:cs="黑体"/>
                <w:sz w:val="24"/>
              </w:rPr>
              <w:t>现职务</w:t>
            </w:r>
          </w:p>
        </w:tc>
        <w:tc>
          <w:tcPr>
            <w:tcW w:w="2196" w:type="dxa"/>
            <w:tcBorders>
              <w:top w:val="single" w:color="auto" w:sz="4" w:space="0"/>
              <w:left w:val="single" w:color="auto" w:sz="4" w:space="0"/>
              <w:bottom w:val="single" w:color="auto" w:sz="4" w:space="0"/>
              <w:right w:val="single" w:color="auto" w:sz="4" w:space="0"/>
            </w:tcBorders>
            <w:vAlign w:val="center"/>
          </w:tcPr>
          <w:p w14:paraId="471318EE">
            <w:pPr>
              <w:spacing w:line="360" w:lineRule="auto"/>
              <w:jc w:val="center"/>
              <w:rPr>
                <w:rFonts w:ascii="黑体" w:hAnsi="黑体" w:eastAsia="黑体" w:cs="黑体"/>
                <w:sz w:val="24"/>
              </w:rPr>
            </w:pPr>
            <w:r>
              <w:rPr>
                <w:rFonts w:hint="eastAsia" w:ascii="黑体" w:hAnsi="黑体" w:eastAsia="黑体" w:cs="黑体"/>
                <w:sz w:val="24"/>
              </w:rPr>
              <w:t>曾主持/参与的</w:t>
            </w:r>
          </w:p>
          <w:p w14:paraId="566DC0DC">
            <w:pPr>
              <w:spacing w:line="360" w:lineRule="auto"/>
              <w:jc w:val="center"/>
              <w:rPr>
                <w:rFonts w:ascii="黑体" w:hAnsi="黑体" w:eastAsia="黑体" w:cs="黑体"/>
                <w:sz w:val="24"/>
              </w:rPr>
            </w:pPr>
            <w:r>
              <w:rPr>
                <w:rFonts w:hint="eastAsia" w:ascii="黑体" w:hAnsi="黑体" w:eastAsia="黑体" w:cs="黑体"/>
                <w:sz w:val="24"/>
              </w:rPr>
              <w:t>同类项目经历</w:t>
            </w:r>
          </w:p>
        </w:tc>
        <w:tc>
          <w:tcPr>
            <w:tcW w:w="749" w:type="dxa"/>
            <w:tcBorders>
              <w:top w:val="single" w:color="auto" w:sz="4" w:space="0"/>
              <w:left w:val="single" w:color="auto" w:sz="4" w:space="0"/>
              <w:bottom w:val="single" w:color="auto" w:sz="4" w:space="0"/>
              <w:right w:val="single" w:color="auto" w:sz="4" w:space="0"/>
            </w:tcBorders>
            <w:vAlign w:val="center"/>
          </w:tcPr>
          <w:p w14:paraId="064196DF">
            <w:pPr>
              <w:spacing w:line="360" w:lineRule="auto"/>
              <w:jc w:val="center"/>
              <w:rPr>
                <w:rFonts w:ascii="黑体" w:hAnsi="黑体" w:eastAsia="黑体" w:cs="黑体"/>
                <w:sz w:val="24"/>
              </w:rPr>
            </w:pPr>
            <w:r>
              <w:rPr>
                <w:rFonts w:hint="eastAsia" w:ascii="黑体" w:hAnsi="黑体" w:eastAsia="黑体" w:cs="黑体"/>
                <w:sz w:val="24"/>
              </w:rPr>
              <w:t>等级</w:t>
            </w:r>
          </w:p>
        </w:tc>
        <w:tc>
          <w:tcPr>
            <w:tcW w:w="818" w:type="dxa"/>
            <w:tcBorders>
              <w:top w:val="single" w:color="auto" w:sz="4" w:space="0"/>
              <w:left w:val="single" w:color="auto" w:sz="4" w:space="0"/>
              <w:bottom w:val="single" w:color="auto" w:sz="4" w:space="0"/>
              <w:right w:val="single" w:color="auto" w:sz="4" w:space="0"/>
            </w:tcBorders>
            <w:vAlign w:val="center"/>
          </w:tcPr>
          <w:p w14:paraId="128A5B7A">
            <w:pPr>
              <w:spacing w:line="360" w:lineRule="auto"/>
              <w:jc w:val="center"/>
              <w:rPr>
                <w:rFonts w:ascii="黑体" w:hAnsi="黑体" w:eastAsia="黑体" w:cs="黑体"/>
                <w:sz w:val="24"/>
              </w:rPr>
            </w:pPr>
            <w:r>
              <w:rPr>
                <w:rFonts w:hint="eastAsia" w:ascii="黑体" w:hAnsi="黑体" w:eastAsia="黑体" w:cs="黑体"/>
                <w:sz w:val="24"/>
              </w:rPr>
              <w:t>专业</w:t>
            </w:r>
          </w:p>
          <w:p w14:paraId="6A3BD18E">
            <w:pPr>
              <w:spacing w:line="360" w:lineRule="auto"/>
              <w:jc w:val="center"/>
              <w:rPr>
                <w:rFonts w:ascii="黑体" w:hAnsi="黑体" w:eastAsia="黑体" w:cs="黑体"/>
                <w:sz w:val="24"/>
              </w:rPr>
            </w:pPr>
            <w:r>
              <w:rPr>
                <w:rFonts w:hint="eastAsia" w:ascii="黑体" w:hAnsi="黑体" w:eastAsia="黑体" w:cs="黑体"/>
                <w:sz w:val="24"/>
              </w:rPr>
              <w:t>工龄</w:t>
            </w:r>
          </w:p>
        </w:tc>
        <w:tc>
          <w:tcPr>
            <w:tcW w:w="1236" w:type="dxa"/>
            <w:tcBorders>
              <w:top w:val="single" w:color="auto" w:sz="4" w:space="0"/>
              <w:left w:val="single" w:color="auto" w:sz="4" w:space="0"/>
              <w:bottom w:val="single" w:color="auto" w:sz="4" w:space="0"/>
              <w:right w:val="single" w:color="auto" w:sz="4" w:space="0"/>
            </w:tcBorders>
            <w:vAlign w:val="center"/>
          </w:tcPr>
          <w:p w14:paraId="2DCADF52">
            <w:pPr>
              <w:spacing w:line="360" w:lineRule="auto"/>
              <w:jc w:val="center"/>
              <w:rPr>
                <w:rFonts w:ascii="黑体" w:hAnsi="黑体" w:eastAsia="黑体" w:cs="黑体"/>
                <w:sz w:val="24"/>
              </w:rPr>
            </w:pPr>
            <w:r>
              <w:rPr>
                <w:rFonts w:hint="eastAsia" w:ascii="黑体" w:hAnsi="黑体" w:eastAsia="黑体" w:cs="黑体"/>
                <w:sz w:val="24"/>
              </w:rPr>
              <w:t>联系电话</w:t>
            </w:r>
          </w:p>
        </w:tc>
      </w:tr>
      <w:tr w14:paraId="1A1F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vAlign w:val="center"/>
          </w:tcPr>
          <w:p w14:paraId="68C0622C">
            <w:pPr>
              <w:spacing w:line="360" w:lineRule="auto"/>
              <w:jc w:val="center"/>
              <w:rPr>
                <w:rFonts w:ascii="黑体" w:hAnsi="黑体" w:eastAsia="黑体" w:cs="黑体"/>
                <w:sz w:val="24"/>
              </w:rPr>
            </w:pPr>
            <w:r>
              <w:rPr>
                <w:rFonts w:hint="eastAsia" w:ascii="黑体" w:hAnsi="黑体" w:eastAsia="黑体" w:cs="黑体"/>
                <w:sz w:val="24"/>
              </w:rPr>
              <w:t>总负责人</w:t>
            </w:r>
          </w:p>
        </w:tc>
        <w:tc>
          <w:tcPr>
            <w:tcW w:w="1231" w:type="dxa"/>
            <w:tcBorders>
              <w:top w:val="single" w:color="auto" w:sz="4" w:space="0"/>
              <w:left w:val="single" w:color="auto" w:sz="4" w:space="0"/>
              <w:bottom w:val="nil"/>
              <w:right w:val="single" w:color="auto" w:sz="4" w:space="0"/>
            </w:tcBorders>
            <w:vAlign w:val="center"/>
          </w:tcPr>
          <w:p w14:paraId="1A8F8E64">
            <w:pPr>
              <w:jc w:val="center"/>
              <w:rPr>
                <w:rFonts w:ascii="宋体" w:hAnsi="宋体"/>
              </w:rPr>
            </w:pPr>
          </w:p>
        </w:tc>
        <w:tc>
          <w:tcPr>
            <w:tcW w:w="1192" w:type="dxa"/>
            <w:tcBorders>
              <w:top w:val="single" w:color="auto" w:sz="4" w:space="0"/>
              <w:left w:val="single" w:color="auto" w:sz="4" w:space="0"/>
              <w:bottom w:val="nil"/>
              <w:right w:val="single" w:color="auto" w:sz="4" w:space="0"/>
            </w:tcBorders>
            <w:vAlign w:val="center"/>
          </w:tcPr>
          <w:p w14:paraId="4C0B96BC">
            <w:pPr>
              <w:jc w:val="center"/>
              <w:rPr>
                <w:rFonts w:ascii="宋体" w:hAnsi="宋体"/>
              </w:rPr>
            </w:pPr>
          </w:p>
        </w:tc>
        <w:tc>
          <w:tcPr>
            <w:tcW w:w="2196" w:type="dxa"/>
            <w:tcBorders>
              <w:top w:val="single" w:color="auto" w:sz="4" w:space="0"/>
              <w:left w:val="single" w:color="auto" w:sz="4" w:space="0"/>
              <w:bottom w:val="nil"/>
              <w:right w:val="single" w:color="auto" w:sz="4" w:space="0"/>
            </w:tcBorders>
            <w:vAlign w:val="center"/>
          </w:tcPr>
          <w:p w14:paraId="4350886E">
            <w:pPr>
              <w:pStyle w:val="40"/>
              <w:keepNext w:val="0"/>
              <w:adjustRightInd/>
              <w:spacing w:before="0" w:after="0" w:line="240" w:lineRule="auto"/>
              <w:rPr>
                <w:rFonts w:ascii="宋体" w:hAnsi="宋体"/>
                <w:spacing w:val="0"/>
                <w:kern w:val="2"/>
                <w:sz w:val="21"/>
                <w:szCs w:val="21"/>
              </w:rPr>
            </w:pPr>
          </w:p>
        </w:tc>
        <w:tc>
          <w:tcPr>
            <w:tcW w:w="749" w:type="dxa"/>
            <w:tcBorders>
              <w:top w:val="single" w:color="auto" w:sz="4" w:space="0"/>
              <w:left w:val="single" w:color="auto" w:sz="4" w:space="0"/>
              <w:bottom w:val="nil"/>
              <w:right w:val="single" w:color="auto" w:sz="4" w:space="0"/>
            </w:tcBorders>
            <w:vAlign w:val="center"/>
          </w:tcPr>
          <w:p w14:paraId="4A96572E">
            <w:pPr>
              <w:jc w:val="center"/>
              <w:rPr>
                <w:rFonts w:ascii="宋体" w:hAnsi="宋体"/>
              </w:rPr>
            </w:pPr>
          </w:p>
        </w:tc>
        <w:tc>
          <w:tcPr>
            <w:tcW w:w="818" w:type="dxa"/>
            <w:tcBorders>
              <w:top w:val="single" w:color="auto" w:sz="4" w:space="0"/>
              <w:left w:val="single" w:color="auto" w:sz="4" w:space="0"/>
              <w:bottom w:val="nil"/>
              <w:right w:val="single" w:color="auto" w:sz="4" w:space="0"/>
            </w:tcBorders>
            <w:vAlign w:val="center"/>
          </w:tcPr>
          <w:p w14:paraId="7C621FA3">
            <w:pPr>
              <w:ind w:firstLine="12"/>
              <w:jc w:val="center"/>
              <w:rPr>
                <w:rFonts w:ascii="宋体" w:hAnsi="宋体"/>
              </w:rPr>
            </w:pPr>
          </w:p>
        </w:tc>
        <w:tc>
          <w:tcPr>
            <w:tcW w:w="1236" w:type="dxa"/>
            <w:tcBorders>
              <w:top w:val="single" w:color="auto" w:sz="4" w:space="0"/>
              <w:left w:val="single" w:color="auto" w:sz="4" w:space="0"/>
              <w:bottom w:val="nil"/>
              <w:right w:val="single" w:color="auto" w:sz="4" w:space="0"/>
            </w:tcBorders>
            <w:vAlign w:val="center"/>
          </w:tcPr>
          <w:p w14:paraId="41FBDA61">
            <w:pPr>
              <w:ind w:firstLine="12"/>
              <w:jc w:val="center"/>
              <w:rPr>
                <w:rFonts w:ascii="宋体" w:hAnsi="宋体"/>
              </w:rPr>
            </w:pPr>
          </w:p>
        </w:tc>
      </w:tr>
      <w:tr w14:paraId="624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1AE06821">
            <w:pPr>
              <w:spacing w:line="360" w:lineRule="auto"/>
              <w:jc w:val="center"/>
              <w:rPr>
                <w:rFonts w:ascii="黑体" w:hAnsi="黑体" w:eastAsia="黑体" w:cs="黑体"/>
                <w:sz w:val="24"/>
              </w:rPr>
            </w:pPr>
            <w:r>
              <w:rPr>
                <w:rFonts w:hint="eastAsia" w:ascii="黑体" w:hAnsi="黑体" w:eastAsia="黑体" w:cs="黑体"/>
                <w:sz w:val="24"/>
              </w:rPr>
              <w:t>主要技术人员</w:t>
            </w:r>
          </w:p>
        </w:tc>
        <w:tc>
          <w:tcPr>
            <w:tcW w:w="1231" w:type="dxa"/>
            <w:tcBorders>
              <w:top w:val="single" w:color="auto" w:sz="4" w:space="0"/>
              <w:left w:val="single" w:color="auto" w:sz="4" w:space="0"/>
              <w:bottom w:val="single" w:color="auto" w:sz="4" w:space="0"/>
              <w:right w:val="single" w:color="auto" w:sz="4" w:space="0"/>
            </w:tcBorders>
            <w:vAlign w:val="center"/>
          </w:tcPr>
          <w:p w14:paraId="3D669922">
            <w:pPr>
              <w:jc w:val="center"/>
              <w:rPr>
                <w:rFonts w:ascii="宋体" w:hAnsi="宋体"/>
              </w:rPr>
            </w:pPr>
          </w:p>
        </w:tc>
        <w:tc>
          <w:tcPr>
            <w:tcW w:w="1192" w:type="dxa"/>
            <w:tcBorders>
              <w:top w:val="single" w:color="auto" w:sz="4" w:space="0"/>
              <w:left w:val="single" w:color="auto" w:sz="4" w:space="0"/>
              <w:bottom w:val="single" w:color="auto" w:sz="4" w:space="0"/>
              <w:right w:val="single" w:color="auto" w:sz="4" w:space="0"/>
            </w:tcBorders>
            <w:vAlign w:val="center"/>
          </w:tcPr>
          <w:p w14:paraId="7ABB4EC2">
            <w:pPr>
              <w:jc w:val="center"/>
              <w:rPr>
                <w:rFonts w:ascii="宋体" w:hAnsi="宋体"/>
              </w:rPr>
            </w:pPr>
          </w:p>
        </w:tc>
        <w:tc>
          <w:tcPr>
            <w:tcW w:w="2196" w:type="dxa"/>
            <w:tcBorders>
              <w:top w:val="single" w:color="auto" w:sz="4" w:space="0"/>
              <w:left w:val="single" w:color="auto" w:sz="4" w:space="0"/>
              <w:bottom w:val="single" w:color="auto" w:sz="4" w:space="0"/>
              <w:right w:val="single" w:color="auto" w:sz="4" w:space="0"/>
            </w:tcBorders>
            <w:vAlign w:val="center"/>
          </w:tcPr>
          <w:p w14:paraId="369DEBFD">
            <w:pPr>
              <w:jc w:val="center"/>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14:paraId="23C079B5">
            <w:pPr>
              <w:jc w:val="center"/>
              <w:rPr>
                <w:rFonts w:ascii="宋体" w:hAnsi="宋体"/>
              </w:rPr>
            </w:pPr>
          </w:p>
        </w:tc>
        <w:tc>
          <w:tcPr>
            <w:tcW w:w="818" w:type="dxa"/>
            <w:tcBorders>
              <w:top w:val="single" w:color="auto" w:sz="4" w:space="0"/>
              <w:left w:val="single" w:color="auto" w:sz="4" w:space="0"/>
              <w:bottom w:val="single" w:color="auto" w:sz="4" w:space="0"/>
              <w:right w:val="single" w:color="auto" w:sz="4" w:space="0"/>
            </w:tcBorders>
            <w:vAlign w:val="center"/>
          </w:tcPr>
          <w:p w14:paraId="65DD4D87">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BC787FD">
            <w:pPr>
              <w:jc w:val="center"/>
              <w:rPr>
                <w:rFonts w:ascii="宋体" w:hAnsi="宋体"/>
              </w:rPr>
            </w:pPr>
          </w:p>
        </w:tc>
      </w:tr>
      <w:tr w14:paraId="266D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EDAB951">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vAlign w:val="center"/>
          </w:tcPr>
          <w:p w14:paraId="61AEB32F">
            <w:pPr>
              <w:jc w:val="center"/>
              <w:rPr>
                <w:rFonts w:ascii="宋体" w:hAnsi="宋体"/>
              </w:rPr>
            </w:pPr>
          </w:p>
        </w:tc>
        <w:tc>
          <w:tcPr>
            <w:tcW w:w="1192" w:type="dxa"/>
            <w:tcBorders>
              <w:top w:val="single" w:color="auto" w:sz="4" w:space="0"/>
              <w:left w:val="single" w:color="auto" w:sz="4" w:space="0"/>
              <w:bottom w:val="single" w:color="auto" w:sz="4" w:space="0"/>
              <w:right w:val="single" w:color="auto" w:sz="4" w:space="0"/>
            </w:tcBorders>
            <w:vAlign w:val="center"/>
          </w:tcPr>
          <w:p w14:paraId="2AE775A7">
            <w:pPr>
              <w:jc w:val="center"/>
              <w:rPr>
                <w:rFonts w:ascii="宋体" w:hAnsi="宋体"/>
              </w:rPr>
            </w:pPr>
          </w:p>
        </w:tc>
        <w:tc>
          <w:tcPr>
            <w:tcW w:w="2196" w:type="dxa"/>
            <w:tcBorders>
              <w:top w:val="single" w:color="auto" w:sz="4" w:space="0"/>
              <w:left w:val="single" w:color="auto" w:sz="4" w:space="0"/>
              <w:bottom w:val="single" w:color="auto" w:sz="4" w:space="0"/>
              <w:right w:val="single" w:color="auto" w:sz="4" w:space="0"/>
            </w:tcBorders>
            <w:vAlign w:val="center"/>
          </w:tcPr>
          <w:p w14:paraId="5E22AE29">
            <w:pPr>
              <w:jc w:val="center"/>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14:paraId="401B2526">
            <w:pPr>
              <w:jc w:val="center"/>
              <w:rPr>
                <w:rFonts w:ascii="宋体" w:hAnsi="宋体"/>
              </w:rPr>
            </w:pPr>
          </w:p>
        </w:tc>
        <w:tc>
          <w:tcPr>
            <w:tcW w:w="818" w:type="dxa"/>
            <w:tcBorders>
              <w:top w:val="single" w:color="auto" w:sz="4" w:space="0"/>
              <w:left w:val="single" w:color="auto" w:sz="4" w:space="0"/>
              <w:bottom w:val="single" w:color="auto" w:sz="4" w:space="0"/>
              <w:right w:val="single" w:color="auto" w:sz="4" w:space="0"/>
            </w:tcBorders>
            <w:vAlign w:val="center"/>
          </w:tcPr>
          <w:p w14:paraId="2E2267AE">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71FB0C8">
            <w:pPr>
              <w:jc w:val="center"/>
              <w:rPr>
                <w:rFonts w:ascii="宋体" w:hAnsi="宋体"/>
              </w:rPr>
            </w:pPr>
          </w:p>
        </w:tc>
      </w:tr>
      <w:tr w14:paraId="5727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16CF72FF">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vAlign w:val="center"/>
          </w:tcPr>
          <w:p w14:paraId="79525685">
            <w:pPr>
              <w:jc w:val="center"/>
              <w:rPr>
                <w:rFonts w:ascii="宋体" w:hAnsi="宋体"/>
              </w:rPr>
            </w:pPr>
            <w:r>
              <w:rPr>
                <w:rFonts w:hint="eastAsia" w:ascii="宋体" w:hAnsi="宋体"/>
              </w:rPr>
              <w:t>…</w:t>
            </w:r>
          </w:p>
        </w:tc>
        <w:tc>
          <w:tcPr>
            <w:tcW w:w="1192" w:type="dxa"/>
            <w:tcBorders>
              <w:top w:val="single" w:color="auto" w:sz="4" w:space="0"/>
              <w:left w:val="single" w:color="auto" w:sz="4" w:space="0"/>
              <w:bottom w:val="single" w:color="auto" w:sz="4" w:space="0"/>
              <w:right w:val="single" w:color="auto" w:sz="4" w:space="0"/>
            </w:tcBorders>
            <w:vAlign w:val="center"/>
          </w:tcPr>
          <w:p w14:paraId="567068A2">
            <w:pPr>
              <w:jc w:val="center"/>
              <w:rPr>
                <w:rFonts w:ascii="宋体" w:hAnsi="宋体"/>
              </w:rPr>
            </w:pPr>
          </w:p>
        </w:tc>
        <w:tc>
          <w:tcPr>
            <w:tcW w:w="2196" w:type="dxa"/>
            <w:tcBorders>
              <w:top w:val="single" w:color="auto" w:sz="4" w:space="0"/>
              <w:left w:val="single" w:color="auto" w:sz="4" w:space="0"/>
              <w:bottom w:val="single" w:color="auto" w:sz="4" w:space="0"/>
              <w:right w:val="single" w:color="auto" w:sz="4" w:space="0"/>
            </w:tcBorders>
            <w:vAlign w:val="center"/>
          </w:tcPr>
          <w:p w14:paraId="09D1C5CE">
            <w:pPr>
              <w:jc w:val="center"/>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14:paraId="13856E4A">
            <w:pPr>
              <w:jc w:val="center"/>
              <w:rPr>
                <w:rFonts w:ascii="宋体" w:hAnsi="宋体"/>
              </w:rPr>
            </w:pPr>
          </w:p>
        </w:tc>
        <w:tc>
          <w:tcPr>
            <w:tcW w:w="818" w:type="dxa"/>
            <w:tcBorders>
              <w:top w:val="single" w:color="auto" w:sz="4" w:space="0"/>
              <w:left w:val="single" w:color="auto" w:sz="4" w:space="0"/>
              <w:bottom w:val="single" w:color="auto" w:sz="4" w:space="0"/>
              <w:right w:val="single" w:color="auto" w:sz="4" w:space="0"/>
            </w:tcBorders>
            <w:vAlign w:val="center"/>
          </w:tcPr>
          <w:p w14:paraId="59268260">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89CAD97">
            <w:pPr>
              <w:jc w:val="center"/>
              <w:rPr>
                <w:rFonts w:ascii="宋体" w:hAnsi="宋体"/>
              </w:rPr>
            </w:pPr>
          </w:p>
        </w:tc>
      </w:tr>
      <w:tr w14:paraId="2AE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470020D1">
            <w:pPr>
              <w:spacing w:line="360" w:lineRule="auto"/>
              <w:jc w:val="center"/>
              <w:rPr>
                <w:rFonts w:ascii="黑体" w:hAnsi="黑体" w:eastAsia="黑体" w:cs="黑体"/>
                <w:sz w:val="24"/>
              </w:rPr>
            </w:pPr>
            <w:r>
              <w:rPr>
                <w:rFonts w:hint="eastAsia" w:ascii="黑体" w:hAnsi="黑体" w:eastAsia="黑体" w:cs="黑体"/>
                <w:sz w:val="24"/>
              </w:rPr>
              <w:t>主要售后服务人员</w:t>
            </w:r>
          </w:p>
        </w:tc>
        <w:tc>
          <w:tcPr>
            <w:tcW w:w="1231" w:type="dxa"/>
            <w:tcBorders>
              <w:top w:val="single" w:color="auto" w:sz="4" w:space="0"/>
              <w:left w:val="single" w:color="auto" w:sz="4" w:space="0"/>
              <w:bottom w:val="single" w:color="auto" w:sz="4" w:space="0"/>
              <w:right w:val="single" w:color="auto" w:sz="4" w:space="0"/>
            </w:tcBorders>
            <w:vAlign w:val="center"/>
          </w:tcPr>
          <w:p w14:paraId="47BF1730">
            <w:pPr>
              <w:jc w:val="center"/>
              <w:rPr>
                <w:rFonts w:ascii="宋体" w:hAnsi="宋体"/>
              </w:rPr>
            </w:pPr>
          </w:p>
        </w:tc>
        <w:tc>
          <w:tcPr>
            <w:tcW w:w="1192" w:type="dxa"/>
            <w:tcBorders>
              <w:top w:val="single" w:color="auto" w:sz="4" w:space="0"/>
              <w:left w:val="single" w:color="auto" w:sz="4" w:space="0"/>
              <w:bottom w:val="single" w:color="auto" w:sz="4" w:space="0"/>
              <w:right w:val="single" w:color="auto" w:sz="4" w:space="0"/>
            </w:tcBorders>
            <w:vAlign w:val="center"/>
          </w:tcPr>
          <w:p w14:paraId="4B8CA7CC">
            <w:pPr>
              <w:jc w:val="center"/>
              <w:rPr>
                <w:rFonts w:ascii="宋体" w:hAnsi="宋体"/>
              </w:rPr>
            </w:pPr>
          </w:p>
        </w:tc>
        <w:tc>
          <w:tcPr>
            <w:tcW w:w="2196" w:type="dxa"/>
            <w:tcBorders>
              <w:top w:val="single" w:color="auto" w:sz="4" w:space="0"/>
              <w:left w:val="single" w:color="auto" w:sz="4" w:space="0"/>
              <w:bottom w:val="single" w:color="auto" w:sz="4" w:space="0"/>
              <w:right w:val="single" w:color="auto" w:sz="4" w:space="0"/>
            </w:tcBorders>
            <w:vAlign w:val="center"/>
          </w:tcPr>
          <w:p w14:paraId="0E715915">
            <w:pPr>
              <w:jc w:val="center"/>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14:paraId="04F09B1A">
            <w:pPr>
              <w:jc w:val="center"/>
              <w:rPr>
                <w:rFonts w:ascii="宋体" w:hAnsi="宋体"/>
              </w:rPr>
            </w:pPr>
          </w:p>
        </w:tc>
        <w:tc>
          <w:tcPr>
            <w:tcW w:w="818" w:type="dxa"/>
            <w:tcBorders>
              <w:top w:val="single" w:color="auto" w:sz="4" w:space="0"/>
              <w:left w:val="single" w:color="auto" w:sz="4" w:space="0"/>
              <w:bottom w:val="single" w:color="auto" w:sz="4" w:space="0"/>
              <w:right w:val="single" w:color="auto" w:sz="4" w:space="0"/>
            </w:tcBorders>
            <w:vAlign w:val="center"/>
          </w:tcPr>
          <w:p w14:paraId="06F9B08D">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30ED1CA9">
            <w:pPr>
              <w:jc w:val="center"/>
              <w:rPr>
                <w:rFonts w:ascii="宋体" w:hAnsi="宋体"/>
              </w:rPr>
            </w:pPr>
          </w:p>
        </w:tc>
      </w:tr>
      <w:tr w14:paraId="58D3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0D53546D">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vAlign w:val="center"/>
          </w:tcPr>
          <w:p w14:paraId="31850EED">
            <w:pPr>
              <w:jc w:val="center"/>
              <w:rPr>
                <w:rFonts w:ascii="宋体" w:hAnsi="宋体"/>
              </w:rPr>
            </w:pPr>
          </w:p>
        </w:tc>
        <w:tc>
          <w:tcPr>
            <w:tcW w:w="1192" w:type="dxa"/>
            <w:tcBorders>
              <w:top w:val="single" w:color="auto" w:sz="4" w:space="0"/>
              <w:left w:val="single" w:color="auto" w:sz="4" w:space="0"/>
              <w:bottom w:val="single" w:color="auto" w:sz="4" w:space="0"/>
              <w:right w:val="single" w:color="auto" w:sz="4" w:space="0"/>
            </w:tcBorders>
            <w:vAlign w:val="center"/>
          </w:tcPr>
          <w:p w14:paraId="3FB3ED57">
            <w:pPr>
              <w:jc w:val="center"/>
              <w:rPr>
                <w:rFonts w:ascii="宋体" w:hAnsi="宋体"/>
              </w:rPr>
            </w:pPr>
          </w:p>
        </w:tc>
        <w:tc>
          <w:tcPr>
            <w:tcW w:w="2196" w:type="dxa"/>
            <w:tcBorders>
              <w:top w:val="single" w:color="auto" w:sz="4" w:space="0"/>
              <w:left w:val="single" w:color="auto" w:sz="4" w:space="0"/>
              <w:bottom w:val="single" w:color="auto" w:sz="4" w:space="0"/>
              <w:right w:val="single" w:color="auto" w:sz="4" w:space="0"/>
            </w:tcBorders>
            <w:vAlign w:val="center"/>
          </w:tcPr>
          <w:p w14:paraId="5FCB10C4">
            <w:pPr>
              <w:jc w:val="center"/>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14:paraId="1C9CFDDE">
            <w:pPr>
              <w:jc w:val="center"/>
              <w:rPr>
                <w:rFonts w:ascii="宋体" w:hAnsi="宋体"/>
              </w:rPr>
            </w:pPr>
          </w:p>
        </w:tc>
        <w:tc>
          <w:tcPr>
            <w:tcW w:w="818" w:type="dxa"/>
            <w:tcBorders>
              <w:top w:val="single" w:color="auto" w:sz="4" w:space="0"/>
              <w:left w:val="single" w:color="auto" w:sz="4" w:space="0"/>
              <w:bottom w:val="single" w:color="auto" w:sz="4" w:space="0"/>
              <w:right w:val="single" w:color="auto" w:sz="4" w:space="0"/>
            </w:tcBorders>
            <w:vAlign w:val="center"/>
          </w:tcPr>
          <w:p w14:paraId="05F5CAAA">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228FA867">
            <w:pPr>
              <w:jc w:val="center"/>
              <w:rPr>
                <w:rFonts w:ascii="宋体" w:hAnsi="宋体"/>
              </w:rPr>
            </w:pPr>
          </w:p>
        </w:tc>
      </w:tr>
      <w:tr w14:paraId="1E51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6DD0B99">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vAlign w:val="center"/>
          </w:tcPr>
          <w:p w14:paraId="6260C10B">
            <w:pPr>
              <w:jc w:val="center"/>
              <w:rPr>
                <w:rFonts w:ascii="宋体" w:hAnsi="宋体"/>
              </w:rPr>
            </w:pPr>
            <w:r>
              <w:rPr>
                <w:rFonts w:hint="eastAsia" w:ascii="宋体" w:hAnsi="宋体"/>
              </w:rPr>
              <w:t>…</w:t>
            </w:r>
          </w:p>
        </w:tc>
        <w:tc>
          <w:tcPr>
            <w:tcW w:w="1192" w:type="dxa"/>
            <w:tcBorders>
              <w:top w:val="single" w:color="auto" w:sz="4" w:space="0"/>
              <w:left w:val="single" w:color="auto" w:sz="4" w:space="0"/>
              <w:bottom w:val="single" w:color="auto" w:sz="4" w:space="0"/>
              <w:right w:val="single" w:color="auto" w:sz="4" w:space="0"/>
            </w:tcBorders>
            <w:vAlign w:val="center"/>
          </w:tcPr>
          <w:p w14:paraId="250E581B">
            <w:pPr>
              <w:jc w:val="center"/>
              <w:rPr>
                <w:rFonts w:ascii="宋体" w:hAnsi="宋体"/>
              </w:rPr>
            </w:pPr>
          </w:p>
        </w:tc>
        <w:tc>
          <w:tcPr>
            <w:tcW w:w="2196" w:type="dxa"/>
            <w:tcBorders>
              <w:top w:val="single" w:color="auto" w:sz="4" w:space="0"/>
              <w:left w:val="single" w:color="auto" w:sz="4" w:space="0"/>
              <w:bottom w:val="single" w:color="auto" w:sz="4" w:space="0"/>
              <w:right w:val="single" w:color="auto" w:sz="4" w:space="0"/>
            </w:tcBorders>
            <w:vAlign w:val="center"/>
          </w:tcPr>
          <w:p w14:paraId="1EC358AE">
            <w:pPr>
              <w:jc w:val="center"/>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14:paraId="419F1A5D">
            <w:pPr>
              <w:jc w:val="center"/>
              <w:rPr>
                <w:rFonts w:ascii="宋体" w:hAnsi="宋体"/>
              </w:rPr>
            </w:pPr>
          </w:p>
        </w:tc>
        <w:tc>
          <w:tcPr>
            <w:tcW w:w="818" w:type="dxa"/>
            <w:tcBorders>
              <w:top w:val="single" w:color="auto" w:sz="4" w:space="0"/>
              <w:left w:val="single" w:color="auto" w:sz="4" w:space="0"/>
              <w:bottom w:val="single" w:color="auto" w:sz="4" w:space="0"/>
              <w:right w:val="single" w:color="auto" w:sz="4" w:space="0"/>
            </w:tcBorders>
            <w:vAlign w:val="center"/>
          </w:tcPr>
          <w:p w14:paraId="41D07EED">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2D5E3F97">
            <w:pPr>
              <w:jc w:val="center"/>
              <w:rPr>
                <w:rFonts w:ascii="宋体" w:hAnsi="宋体"/>
              </w:rPr>
            </w:pPr>
          </w:p>
        </w:tc>
      </w:tr>
    </w:tbl>
    <w:p w14:paraId="7E2F7DCA">
      <w:pPr>
        <w:spacing w:line="360" w:lineRule="auto"/>
        <w:ind w:firstLine="422" w:firstLineChars="200"/>
        <w:rPr>
          <w:rFonts w:ascii="宋体" w:hAnsi="宋体"/>
          <w:b/>
          <w:bCs/>
          <w:u w:val="single"/>
        </w:rPr>
      </w:pPr>
      <w:r>
        <w:rPr>
          <w:rFonts w:hint="eastAsia" w:ascii="宋体" w:hAnsi="宋体"/>
          <w:b/>
          <w:bCs/>
          <w:u w:val="single"/>
        </w:rPr>
        <w:t>注：</w:t>
      </w:r>
    </w:p>
    <w:p w14:paraId="44118378">
      <w:pPr>
        <w:spacing w:line="360" w:lineRule="auto"/>
        <w:ind w:firstLine="422" w:firstLineChars="200"/>
        <w:rPr>
          <w:rFonts w:ascii="宋体" w:hAnsi="宋体"/>
          <w:b/>
          <w:bCs/>
          <w:u w:val="single"/>
        </w:rPr>
      </w:pPr>
      <w:r>
        <w:rPr>
          <w:rFonts w:hint="eastAsia" w:ascii="宋体" w:hAnsi="宋体"/>
          <w:b/>
          <w:bCs/>
          <w:u w:val="single"/>
        </w:rPr>
        <w:t>1.对于主要管理、技术、服务人员可另页单独介绍。</w:t>
      </w:r>
    </w:p>
    <w:p w14:paraId="4622DEE0">
      <w:pPr>
        <w:spacing w:line="360" w:lineRule="auto"/>
        <w:ind w:firstLine="422" w:firstLineChars="200"/>
        <w:rPr>
          <w:rFonts w:ascii="宋体" w:hAnsi="宋体"/>
          <w:b/>
          <w:bCs/>
          <w:u w:val="single"/>
        </w:rPr>
      </w:pPr>
      <w:r>
        <w:rPr>
          <w:rFonts w:hint="eastAsia" w:ascii="宋体" w:hAnsi="宋体"/>
          <w:b/>
          <w:bCs/>
          <w:u w:val="single"/>
        </w:rPr>
        <w:t>2.对于证明材料的特殊要求参照评审表。</w:t>
      </w:r>
    </w:p>
    <w:p w14:paraId="130D595E">
      <w:pPr>
        <w:spacing w:line="360" w:lineRule="auto"/>
        <w:jc w:val="left"/>
        <w:rPr>
          <w:rFonts w:ascii="宋体" w:hAnsi="宋体"/>
          <w:b/>
          <w:bCs/>
          <w:sz w:val="24"/>
        </w:rPr>
      </w:pPr>
    </w:p>
    <w:p w14:paraId="0FF88FF2">
      <w:pPr>
        <w:spacing w:line="360" w:lineRule="auto"/>
        <w:ind w:firstLine="482" w:firstLineChars="200"/>
        <w:rPr>
          <w:rFonts w:ascii="宋体" w:hAnsi="宋体"/>
          <w:b/>
          <w:bCs/>
          <w:sz w:val="24"/>
        </w:rPr>
      </w:pPr>
      <w:r>
        <w:rPr>
          <w:rFonts w:hint="eastAsia" w:ascii="宋体" w:hAnsi="宋体"/>
          <w:b/>
          <w:bCs/>
          <w:sz w:val="24"/>
        </w:rPr>
        <w:t>4.供应商认为对响应有利的其他资料。</w:t>
      </w:r>
    </w:p>
    <w:p w14:paraId="2E9842FF">
      <w:pPr>
        <w:rPr>
          <w:rFonts w:ascii="黑体" w:hAnsi="黑体" w:eastAsia="黑体" w:cs="黑体"/>
          <w:b/>
          <w:bCs/>
          <w:sz w:val="32"/>
          <w:szCs w:val="32"/>
        </w:rPr>
      </w:pPr>
      <w:r>
        <w:rPr>
          <w:rFonts w:hint="eastAsia" w:ascii="黑体" w:hAnsi="黑体" w:eastAsia="黑体" w:cs="黑体"/>
          <w:b/>
          <w:bCs/>
          <w:sz w:val="32"/>
          <w:szCs w:val="32"/>
        </w:rPr>
        <w:br w:type="page"/>
      </w:r>
    </w:p>
    <w:p w14:paraId="2EE31330">
      <w:pPr>
        <w:spacing w:line="360" w:lineRule="auto"/>
        <w:jc w:val="center"/>
        <w:rPr>
          <w:rFonts w:ascii="黑体" w:hAnsi="黑体" w:eastAsia="黑体" w:cs="黑体"/>
          <w:b/>
          <w:bCs/>
          <w:kern w:val="0"/>
          <w:sz w:val="32"/>
          <w:szCs w:val="32"/>
        </w:rPr>
      </w:pPr>
      <w:r>
        <w:rPr>
          <w:rFonts w:hint="eastAsia" w:ascii="黑体" w:hAnsi="黑体" w:eastAsia="黑体" w:cs="黑体"/>
          <w:b/>
          <w:bCs/>
          <w:kern w:val="0"/>
          <w:sz w:val="32"/>
          <w:szCs w:val="32"/>
        </w:rPr>
        <w:t>四、其他附件</w:t>
      </w:r>
    </w:p>
    <w:p w14:paraId="31C7FEC3">
      <w:pPr>
        <w:spacing w:before="156" w:beforeLines="50" w:line="500" w:lineRule="exact"/>
        <w:jc w:val="center"/>
        <w:rPr>
          <w:rFonts w:ascii="黑体" w:hAnsi="仿宋" w:eastAsia="黑体" w:cs="黑体"/>
          <w:b/>
          <w:bCs/>
          <w:sz w:val="32"/>
          <w:szCs w:val="32"/>
          <w:lang w:val="en-GB"/>
        </w:rPr>
      </w:pPr>
      <w:r>
        <w:rPr>
          <w:rFonts w:hint="eastAsia" w:ascii="黑体" w:hAnsi="仿宋" w:eastAsia="黑体" w:cs="黑体"/>
          <w:b/>
          <w:bCs/>
          <w:sz w:val="32"/>
          <w:szCs w:val="32"/>
        </w:rPr>
        <w:t>（一）</w:t>
      </w:r>
      <w:r>
        <w:rPr>
          <w:rFonts w:hint="eastAsia" w:ascii="黑体" w:hAnsi="仿宋" w:eastAsia="黑体" w:cs="黑体"/>
          <w:b/>
          <w:bCs/>
          <w:sz w:val="32"/>
          <w:szCs w:val="32"/>
          <w:lang w:val="en-GB"/>
        </w:rPr>
        <w:t>中小企业声明函</w:t>
      </w:r>
      <w:r>
        <w:rPr>
          <w:rFonts w:hint="eastAsia" w:ascii="黑体" w:hAnsi="仿宋" w:eastAsia="黑体" w:cs="黑体"/>
          <w:b/>
          <w:bCs/>
          <w:sz w:val="32"/>
          <w:szCs w:val="32"/>
        </w:rPr>
        <w:t>格式</w:t>
      </w:r>
      <w:r>
        <w:rPr>
          <w:rFonts w:hint="eastAsia" w:ascii="黑体" w:hAnsi="仿宋" w:eastAsia="黑体" w:cs="黑体"/>
          <w:b/>
          <w:bCs/>
          <w:sz w:val="32"/>
          <w:szCs w:val="32"/>
          <w:lang w:val="en-GB"/>
        </w:rPr>
        <w:t>、</w:t>
      </w:r>
      <w:r>
        <w:rPr>
          <w:rFonts w:hint="eastAsia" w:ascii="黑体" w:hAnsi="仿宋" w:eastAsia="黑体" w:cs="黑体"/>
          <w:b/>
          <w:bCs/>
          <w:sz w:val="32"/>
          <w:szCs w:val="32"/>
        </w:rPr>
        <w:t>监狱企业证明文件、残疾人福利单位声明函格式</w:t>
      </w:r>
    </w:p>
    <w:p w14:paraId="4A422326">
      <w:pPr>
        <w:spacing w:line="360" w:lineRule="auto"/>
        <w:ind w:firstLine="482" w:firstLineChars="200"/>
        <w:rPr>
          <w:rFonts w:ascii="宋体" w:hAnsi="宋体"/>
          <w:b/>
          <w:bCs/>
          <w:sz w:val="24"/>
        </w:rPr>
      </w:pPr>
      <w:r>
        <w:rPr>
          <w:rFonts w:hint="eastAsia" w:ascii="宋体" w:hAnsi="宋体"/>
          <w:b/>
          <w:bCs/>
          <w:sz w:val="24"/>
          <w:u w:val="single"/>
        </w:rPr>
        <w:t>特别提醒：成交供应商的《中小企业声明函》、《残疾人福利性单位声明函》或监狱企业证明文件将随成交结果公告一同公布，接受社会监督。</w:t>
      </w:r>
    </w:p>
    <w:p w14:paraId="58CD11BA">
      <w:pPr>
        <w:spacing w:line="360" w:lineRule="auto"/>
        <w:ind w:firstLine="480" w:firstLineChars="200"/>
        <w:rPr>
          <w:rFonts w:ascii="宋体" w:hAnsi="宋体"/>
          <w:sz w:val="24"/>
        </w:rPr>
      </w:pPr>
      <w:bookmarkStart w:id="130" w:name="_Toc2800"/>
      <w:bookmarkStart w:id="131" w:name="_Toc278794817"/>
      <w:r>
        <w:rPr>
          <w:rFonts w:hint="eastAsia" w:ascii="宋体" w:hAnsi="宋体"/>
          <w:sz w:val="24"/>
        </w:rPr>
        <w:t>（1）关于中小企业判定</w:t>
      </w:r>
    </w:p>
    <w:p w14:paraId="7B66464C">
      <w:pPr>
        <w:spacing w:line="360" w:lineRule="atLeast"/>
        <w:jc w:val="center"/>
        <w:rPr>
          <w:rFonts w:ascii="黑体" w:hAnsi="仿宋" w:eastAsia="黑体" w:cs="黑体"/>
          <w:sz w:val="32"/>
          <w:szCs w:val="32"/>
        </w:rPr>
      </w:pPr>
      <w:r>
        <w:rPr>
          <w:rFonts w:hint="eastAsia" w:ascii="黑体" w:hAnsi="仿宋" w:eastAsia="黑体" w:cs="黑体"/>
          <w:sz w:val="32"/>
          <w:szCs w:val="32"/>
        </w:rPr>
        <w:t>中小企业声明函（服务）</w:t>
      </w:r>
    </w:p>
    <w:p w14:paraId="5EDCCD99">
      <w:pPr>
        <w:spacing w:line="360" w:lineRule="auto"/>
        <w:ind w:firstLine="567"/>
        <w:rPr>
          <w:rFonts w:ascii="宋体" w:hAnsi="宋体"/>
          <w:kern w:val="0"/>
          <w:sz w:val="24"/>
          <w:szCs w:val="20"/>
        </w:rPr>
      </w:pPr>
      <w:r>
        <w:rPr>
          <w:rFonts w:hint="eastAsia" w:ascii="宋体" w:hAnsi="宋体"/>
          <w:kern w:val="0"/>
          <w:sz w:val="24"/>
          <w:szCs w:val="20"/>
        </w:rPr>
        <w:t>本公司（联合体）郑重声明，根据《政府采购促进中小企业发展管理办法》（财库﹝2020﹞46 号）的规定，本公司（联合体）参加</w:t>
      </w:r>
      <w:r>
        <w:rPr>
          <w:rFonts w:hint="eastAsia" w:ascii="宋体" w:hAnsi="宋体"/>
          <w:kern w:val="0"/>
          <w:sz w:val="24"/>
          <w:szCs w:val="20"/>
          <w:u w:val="single"/>
        </w:rPr>
        <w:t>（采购代理机构名称）</w:t>
      </w:r>
      <w:r>
        <w:rPr>
          <w:rFonts w:hint="eastAsia" w:ascii="宋体" w:hAnsi="宋体"/>
          <w:kern w:val="0"/>
          <w:sz w:val="24"/>
          <w:szCs w:val="20"/>
        </w:rPr>
        <w:t>的</w:t>
      </w:r>
      <w:r>
        <w:rPr>
          <w:rFonts w:hint="eastAsia" w:ascii="宋体" w:hAnsi="宋体"/>
          <w:kern w:val="0"/>
          <w:sz w:val="24"/>
          <w:szCs w:val="20"/>
          <w:u w:val="single"/>
        </w:rPr>
        <w:t>（项目名称）</w:t>
      </w:r>
      <w:r>
        <w:rPr>
          <w:rFonts w:hint="eastAsia" w:ascii="宋体" w:hAnsi="宋体"/>
          <w:kern w:val="0"/>
          <w:sz w:val="24"/>
          <w:szCs w:val="20"/>
        </w:rPr>
        <w:t>采购活动，服务全部由符合政策要求的中小企业承接。相关企业（含联合体中的中小企业、签订分包意向协议的中小企业）的具体情况如下：</w:t>
      </w:r>
    </w:p>
    <w:p w14:paraId="36D4802F">
      <w:pPr>
        <w:spacing w:line="360" w:lineRule="auto"/>
        <w:ind w:firstLine="567"/>
        <w:rPr>
          <w:rFonts w:ascii="宋体" w:hAnsi="宋体"/>
          <w:kern w:val="0"/>
          <w:sz w:val="24"/>
          <w:szCs w:val="20"/>
        </w:rPr>
      </w:pPr>
      <w:r>
        <w:rPr>
          <w:rFonts w:hint="eastAsia" w:ascii="宋体" w:hAnsi="宋体"/>
          <w:kern w:val="0"/>
          <w:sz w:val="24"/>
          <w:szCs w:val="20"/>
        </w:rPr>
        <w:t>1.</w:t>
      </w:r>
      <w:r>
        <w:rPr>
          <w:rFonts w:hint="eastAsia" w:ascii="宋体" w:hAnsi="宋体"/>
          <w:kern w:val="0"/>
          <w:sz w:val="24"/>
          <w:szCs w:val="20"/>
          <w:u w:val="single"/>
        </w:rPr>
        <w:t>（项目名称）</w:t>
      </w:r>
      <w:r>
        <w:rPr>
          <w:rFonts w:hint="eastAsia" w:ascii="宋体" w:hAnsi="宋体"/>
          <w:kern w:val="0"/>
          <w:sz w:val="24"/>
          <w:szCs w:val="20"/>
        </w:rPr>
        <w:t>，属于</w:t>
      </w:r>
      <w:r>
        <w:rPr>
          <w:rFonts w:hint="eastAsia" w:ascii="宋体" w:hAnsi="宋体"/>
          <w:kern w:val="0"/>
          <w:sz w:val="24"/>
          <w:szCs w:val="20"/>
          <w:u w:val="single"/>
        </w:rPr>
        <w:t>（采购文件中明确的所属行业）</w:t>
      </w:r>
      <w:r>
        <w:rPr>
          <w:rFonts w:hint="eastAsia" w:ascii="宋体" w:hAnsi="宋体"/>
          <w:kern w:val="0"/>
          <w:sz w:val="24"/>
          <w:szCs w:val="20"/>
        </w:rPr>
        <w:t>；承接企业为</w:t>
      </w:r>
      <w:r>
        <w:rPr>
          <w:rFonts w:hint="eastAsia" w:ascii="宋体" w:hAnsi="宋体"/>
          <w:kern w:val="0"/>
          <w:sz w:val="24"/>
          <w:szCs w:val="20"/>
          <w:u w:val="single"/>
        </w:rPr>
        <w:t>（企业名称）</w:t>
      </w:r>
      <w:r>
        <w:rPr>
          <w:rFonts w:hint="eastAsia" w:ascii="宋体" w:hAnsi="宋体"/>
          <w:kern w:val="0"/>
          <w:sz w:val="24"/>
          <w:szCs w:val="20"/>
        </w:rPr>
        <w:t>，从业人员</w:t>
      </w:r>
      <w:r>
        <w:rPr>
          <w:rFonts w:hint="eastAsia" w:ascii="宋体" w:hAnsi="宋体"/>
          <w:kern w:val="0"/>
          <w:sz w:val="24"/>
          <w:szCs w:val="20"/>
          <w:u w:val="single"/>
        </w:rPr>
        <w:t xml:space="preserve">   </w:t>
      </w:r>
      <w:r>
        <w:rPr>
          <w:rFonts w:hint="eastAsia" w:ascii="宋体" w:hAnsi="宋体"/>
          <w:kern w:val="0"/>
          <w:sz w:val="24"/>
          <w:szCs w:val="20"/>
        </w:rPr>
        <w:t>人，营业收入为</w:t>
      </w:r>
      <w:r>
        <w:rPr>
          <w:rFonts w:hint="eastAsia" w:ascii="宋体" w:hAnsi="宋体"/>
          <w:kern w:val="0"/>
          <w:sz w:val="24"/>
          <w:szCs w:val="20"/>
          <w:u w:val="single"/>
        </w:rPr>
        <w:t xml:space="preserve">   </w:t>
      </w:r>
      <w:r>
        <w:rPr>
          <w:rFonts w:hint="eastAsia" w:ascii="宋体" w:hAnsi="宋体"/>
          <w:kern w:val="0"/>
          <w:sz w:val="24"/>
          <w:szCs w:val="20"/>
        </w:rPr>
        <w:t>万元，资产总额为</w:t>
      </w:r>
      <w:r>
        <w:rPr>
          <w:rFonts w:hint="eastAsia" w:ascii="宋体" w:hAnsi="宋体"/>
          <w:kern w:val="0"/>
          <w:sz w:val="24"/>
          <w:szCs w:val="20"/>
          <w:u w:val="single"/>
        </w:rPr>
        <w:t xml:space="preserve">   </w:t>
      </w:r>
      <w:r>
        <w:rPr>
          <w:rFonts w:hint="eastAsia" w:ascii="宋体" w:hAnsi="宋体"/>
          <w:kern w:val="0"/>
          <w:sz w:val="24"/>
          <w:szCs w:val="20"/>
        </w:rPr>
        <w:t>万元，属于</w:t>
      </w:r>
      <w:r>
        <w:rPr>
          <w:rFonts w:hint="eastAsia" w:ascii="宋体" w:hAnsi="宋体"/>
          <w:kern w:val="0"/>
          <w:sz w:val="24"/>
          <w:szCs w:val="20"/>
          <w:u w:val="single"/>
        </w:rPr>
        <w:t>（中型企业</w:t>
      </w:r>
      <w:r>
        <w:rPr>
          <w:rFonts w:hint="eastAsia" w:ascii="宋体" w:hAnsi="宋体"/>
          <w:kern w:val="0"/>
          <w:sz w:val="24"/>
          <w:szCs w:val="20"/>
          <w:u w:val="single"/>
          <w:lang w:val="en-US" w:eastAsia="zh-CN"/>
        </w:rPr>
        <w:t>/</w:t>
      </w:r>
      <w:r>
        <w:rPr>
          <w:rFonts w:hint="eastAsia" w:ascii="宋体" w:hAnsi="宋体"/>
          <w:kern w:val="0"/>
          <w:sz w:val="24"/>
          <w:szCs w:val="20"/>
          <w:u w:val="single"/>
        </w:rPr>
        <w:t>小型企业</w:t>
      </w:r>
      <w:r>
        <w:rPr>
          <w:rFonts w:hint="eastAsia" w:ascii="宋体" w:hAnsi="宋体"/>
          <w:kern w:val="0"/>
          <w:sz w:val="24"/>
          <w:szCs w:val="20"/>
          <w:u w:val="single"/>
          <w:lang w:val="en-US" w:eastAsia="zh-CN"/>
        </w:rPr>
        <w:t>/</w:t>
      </w:r>
      <w:r>
        <w:rPr>
          <w:rFonts w:hint="eastAsia" w:ascii="宋体" w:hAnsi="宋体"/>
          <w:kern w:val="0"/>
          <w:sz w:val="24"/>
          <w:szCs w:val="20"/>
          <w:u w:val="single"/>
        </w:rPr>
        <w:t>微型企业）</w:t>
      </w:r>
      <w:r>
        <w:rPr>
          <w:rFonts w:hint="eastAsia" w:ascii="宋体" w:hAnsi="宋体"/>
          <w:kern w:val="0"/>
          <w:sz w:val="24"/>
          <w:szCs w:val="20"/>
        </w:rPr>
        <w:t xml:space="preserve">； </w:t>
      </w:r>
    </w:p>
    <w:p w14:paraId="7425F4F8">
      <w:pPr>
        <w:spacing w:line="360" w:lineRule="auto"/>
        <w:ind w:firstLine="567"/>
        <w:rPr>
          <w:rFonts w:ascii="宋体" w:hAnsi="宋体"/>
          <w:kern w:val="0"/>
          <w:sz w:val="24"/>
          <w:szCs w:val="20"/>
        </w:rPr>
      </w:pPr>
      <w:r>
        <w:rPr>
          <w:rFonts w:hint="eastAsia" w:ascii="宋体" w:hAnsi="宋体"/>
          <w:kern w:val="0"/>
          <w:sz w:val="24"/>
          <w:szCs w:val="20"/>
          <w:lang w:val="en-US" w:eastAsia="zh-CN"/>
        </w:rPr>
        <w:t>2</w:t>
      </w:r>
      <w:r>
        <w:rPr>
          <w:rFonts w:hint="eastAsia" w:ascii="宋体" w:hAnsi="宋体"/>
          <w:kern w:val="0"/>
          <w:sz w:val="24"/>
          <w:szCs w:val="20"/>
        </w:rPr>
        <w:t>.</w:t>
      </w:r>
      <w:r>
        <w:rPr>
          <w:rFonts w:hint="eastAsia" w:ascii="宋体" w:hAnsi="宋体"/>
          <w:kern w:val="0"/>
          <w:sz w:val="24"/>
          <w:szCs w:val="20"/>
          <w:u w:val="single"/>
        </w:rPr>
        <w:t>（项目名称）</w:t>
      </w:r>
      <w:r>
        <w:rPr>
          <w:rFonts w:hint="eastAsia" w:ascii="宋体" w:hAnsi="宋体"/>
          <w:kern w:val="0"/>
          <w:sz w:val="24"/>
          <w:szCs w:val="20"/>
        </w:rPr>
        <w:t>，属于</w:t>
      </w:r>
      <w:r>
        <w:rPr>
          <w:rFonts w:hint="eastAsia" w:ascii="宋体" w:hAnsi="宋体"/>
          <w:kern w:val="0"/>
          <w:sz w:val="24"/>
          <w:szCs w:val="20"/>
          <w:u w:val="single"/>
        </w:rPr>
        <w:t>（采购文件中明确的所属行业）</w:t>
      </w:r>
      <w:r>
        <w:rPr>
          <w:rFonts w:hint="eastAsia" w:ascii="宋体" w:hAnsi="宋体"/>
          <w:kern w:val="0"/>
          <w:sz w:val="24"/>
          <w:szCs w:val="20"/>
        </w:rPr>
        <w:t>；承接企业为</w:t>
      </w:r>
      <w:r>
        <w:rPr>
          <w:rFonts w:hint="eastAsia" w:ascii="宋体" w:hAnsi="宋体"/>
          <w:kern w:val="0"/>
          <w:sz w:val="24"/>
          <w:szCs w:val="20"/>
          <w:u w:val="single"/>
        </w:rPr>
        <w:t>（企业名称）</w:t>
      </w:r>
      <w:r>
        <w:rPr>
          <w:rFonts w:hint="eastAsia" w:ascii="宋体" w:hAnsi="宋体"/>
          <w:kern w:val="0"/>
          <w:sz w:val="24"/>
          <w:szCs w:val="20"/>
        </w:rPr>
        <w:t>，从业人员</w:t>
      </w:r>
      <w:r>
        <w:rPr>
          <w:rFonts w:hint="eastAsia" w:ascii="宋体" w:hAnsi="宋体"/>
          <w:kern w:val="0"/>
          <w:sz w:val="24"/>
          <w:szCs w:val="20"/>
          <w:u w:val="single"/>
        </w:rPr>
        <w:t xml:space="preserve">   </w:t>
      </w:r>
      <w:r>
        <w:rPr>
          <w:rFonts w:hint="eastAsia" w:ascii="宋体" w:hAnsi="宋体"/>
          <w:kern w:val="0"/>
          <w:sz w:val="24"/>
          <w:szCs w:val="20"/>
        </w:rPr>
        <w:t>人，营业收入为</w:t>
      </w:r>
      <w:r>
        <w:rPr>
          <w:rFonts w:hint="eastAsia" w:ascii="宋体" w:hAnsi="宋体"/>
          <w:kern w:val="0"/>
          <w:sz w:val="24"/>
          <w:szCs w:val="20"/>
          <w:u w:val="single"/>
        </w:rPr>
        <w:t xml:space="preserve">   </w:t>
      </w:r>
      <w:r>
        <w:rPr>
          <w:rFonts w:hint="eastAsia" w:ascii="宋体" w:hAnsi="宋体"/>
          <w:kern w:val="0"/>
          <w:sz w:val="24"/>
          <w:szCs w:val="20"/>
        </w:rPr>
        <w:t>万元，资产总额为</w:t>
      </w:r>
      <w:r>
        <w:rPr>
          <w:rFonts w:hint="eastAsia" w:ascii="宋体" w:hAnsi="宋体"/>
          <w:kern w:val="0"/>
          <w:sz w:val="24"/>
          <w:szCs w:val="20"/>
          <w:u w:val="single"/>
        </w:rPr>
        <w:t xml:space="preserve">   </w:t>
      </w:r>
      <w:r>
        <w:rPr>
          <w:rFonts w:hint="eastAsia" w:ascii="宋体" w:hAnsi="宋体"/>
          <w:kern w:val="0"/>
          <w:sz w:val="24"/>
          <w:szCs w:val="20"/>
        </w:rPr>
        <w:t>万元，属于</w:t>
      </w:r>
      <w:r>
        <w:rPr>
          <w:rFonts w:hint="eastAsia" w:ascii="宋体" w:hAnsi="宋体"/>
          <w:kern w:val="0"/>
          <w:sz w:val="24"/>
          <w:szCs w:val="20"/>
          <w:u w:val="single"/>
        </w:rPr>
        <w:t>（中型企业</w:t>
      </w:r>
      <w:r>
        <w:rPr>
          <w:rFonts w:hint="eastAsia" w:ascii="宋体" w:hAnsi="宋体"/>
          <w:kern w:val="0"/>
          <w:sz w:val="24"/>
          <w:szCs w:val="20"/>
          <w:u w:val="single"/>
          <w:lang w:val="en-US" w:eastAsia="zh-CN"/>
        </w:rPr>
        <w:t>/</w:t>
      </w:r>
      <w:r>
        <w:rPr>
          <w:rFonts w:hint="eastAsia" w:ascii="宋体" w:hAnsi="宋体"/>
          <w:kern w:val="0"/>
          <w:sz w:val="24"/>
          <w:szCs w:val="20"/>
          <w:u w:val="single"/>
        </w:rPr>
        <w:t>小型企业</w:t>
      </w:r>
      <w:r>
        <w:rPr>
          <w:rFonts w:hint="eastAsia" w:ascii="宋体" w:hAnsi="宋体"/>
          <w:kern w:val="0"/>
          <w:sz w:val="24"/>
          <w:szCs w:val="20"/>
          <w:u w:val="single"/>
          <w:lang w:val="en-US" w:eastAsia="zh-CN"/>
        </w:rPr>
        <w:t>/</w:t>
      </w:r>
      <w:r>
        <w:rPr>
          <w:rFonts w:hint="eastAsia" w:ascii="宋体" w:hAnsi="宋体"/>
          <w:kern w:val="0"/>
          <w:sz w:val="24"/>
          <w:szCs w:val="20"/>
          <w:u w:val="single"/>
        </w:rPr>
        <w:t>微型企业）</w:t>
      </w:r>
      <w:r>
        <w:rPr>
          <w:rFonts w:hint="eastAsia" w:ascii="宋体" w:hAnsi="宋体"/>
          <w:kern w:val="0"/>
          <w:sz w:val="24"/>
          <w:szCs w:val="20"/>
        </w:rPr>
        <w:t xml:space="preserve">； </w:t>
      </w:r>
    </w:p>
    <w:p w14:paraId="33208A10">
      <w:pPr>
        <w:spacing w:line="360" w:lineRule="auto"/>
        <w:ind w:firstLine="567"/>
        <w:rPr>
          <w:rFonts w:ascii="宋体" w:hAnsi="宋体"/>
          <w:kern w:val="0"/>
          <w:sz w:val="24"/>
          <w:szCs w:val="20"/>
        </w:rPr>
      </w:pPr>
      <w:r>
        <w:rPr>
          <w:rFonts w:hint="eastAsia" w:ascii="宋体" w:hAnsi="宋体"/>
          <w:kern w:val="0"/>
          <w:sz w:val="24"/>
          <w:szCs w:val="20"/>
        </w:rPr>
        <w:t xml:space="preserve"> </w:t>
      </w:r>
    </w:p>
    <w:p w14:paraId="6E8F9714">
      <w:pPr>
        <w:spacing w:line="360" w:lineRule="auto"/>
        <w:ind w:firstLine="567"/>
        <w:rPr>
          <w:rFonts w:ascii="宋体" w:hAnsi="宋体"/>
          <w:kern w:val="0"/>
          <w:sz w:val="24"/>
          <w:szCs w:val="20"/>
        </w:rPr>
      </w:pPr>
      <w:r>
        <w:rPr>
          <w:rFonts w:hint="eastAsia" w:ascii="宋体" w:hAnsi="宋体"/>
          <w:kern w:val="0"/>
          <w:sz w:val="24"/>
          <w:szCs w:val="20"/>
        </w:rPr>
        <w:t>……</w:t>
      </w:r>
    </w:p>
    <w:p w14:paraId="41EA5EC1">
      <w:pPr>
        <w:spacing w:line="360" w:lineRule="auto"/>
        <w:ind w:firstLine="567"/>
        <w:rPr>
          <w:rFonts w:ascii="宋体" w:hAnsi="宋体"/>
          <w:kern w:val="0"/>
          <w:sz w:val="24"/>
          <w:szCs w:val="20"/>
        </w:rPr>
      </w:pPr>
      <w:r>
        <w:rPr>
          <w:rFonts w:hint="eastAsia" w:ascii="宋体" w:hAnsi="宋体"/>
          <w:kern w:val="0"/>
          <w:sz w:val="24"/>
          <w:szCs w:val="20"/>
        </w:rPr>
        <w:t>以上企业，不属于大企业的分支机构，不存在控股股东为大企业的情形，也不存在与大企业的负责人为同一人的情形。</w:t>
      </w:r>
    </w:p>
    <w:p w14:paraId="56D21CA3">
      <w:pPr>
        <w:spacing w:line="360" w:lineRule="auto"/>
        <w:ind w:firstLine="567"/>
        <w:rPr>
          <w:rFonts w:ascii="宋体" w:hAnsi="宋体"/>
          <w:kern w:val="0"/>
          <w:sz w:val="24"/>
          <w:szCs w:val="20"/>
        </w:rPr>
      </w:pPr>
      <w:r>
        <w:rPr>
          <w:rFonts w:hint="eastAsia" w:ascii="宋体" w:hAnsi="宋体"/>
          <w:kern w:val="0"/>
          <w:sz w:val="24"/>
          <w:szCs w:val="20"/>
        </w:rPr>
        <w:t>本企业对上述声明内容的真实性负责。如有虚假，将依法承担相应责任。</w:t>
      </w:r>
    </w:p>
    <w:p w14:paraId="108ACC50">
      <w:pPr>
        <w:spacing w:line="360" w:lineRule="auto"/>
        <w:ind w:firstLine="567"/>
        <w:rPr>
          <w:rFonts w:ascii="宋体" w:hAnsi="宋体"/>
          <w:kern w:val="0"/>
          <w:sz w:val="24"/>
          <w:szCs w:val="20"/>
        </w:rPr>
      </w:pPr>
      <w:r>
        <w:rPr>
          <w:rFonts w:hint="eastAsia" w:ascii="宋体" w:hAnsi="宋体"/>
          <w:kern w:val="0"/>
          <w:sz w:val="24"/>
          <w:szCs w:val="20"/>
        </w:rPr>
        <w:t>供应商名称（盖章）：</w:t>
      </w:r>
    </w:p>
    <w:p w14:paraId="2ABF93AA">
      <w:pPr>
        <w:spacing w:line="360" w:lineRule="auto"/>
        <w:ind w:firstLine="567"/>
        <w:rPr>
          <w:rFonts w:ascii="宋体" w:hAnsi="宋体"/>
          <w:kern w:val="0"/>
          <w:sz w:val="24"/>
          <w:szCs w:val="20"/>
        </w:rPr>
      </w:pPr>
      <w:r>
        <w:rPr>
          <w:rFonts w:hint="eastAsia" w:ascii="宋体" w:hAnsi="宋体"/>
          <w:kern w:val="0"/>
          <w:sz w:val="24"/>
          <w:szCs w:val="20"/>
        </w:rPr>
        <w:t>日 期：</w:t>
      </w:r>
      <w:r>
        <w:rPr>
          <w:rFonts w:hint="eastAsia" w:ascii="宋体" w:hAnsi="宋体"/>
          <w:sz w:val="24"/>
        </w:rPr>
        <w:t>年月日</w:t>
      </w:r>
    </w:p>
    <w:p w14:paraId="7F1758C1">
      <w:pPr>
        <w:spacing w:line="360" w:lineRule="auto"/>
        <w:ind w:firstLine="567"/>
        <w:rPr>
          <w:rFonts w:ascii="宋体" w:hAnsi="宋体"/>
          <w:kern w:val="0"/>
          <w:sz w:val="24"/>
          <w:szCs w:val="20"/>
        </w:rPr>
      </w:pPr>
    </w:p>
    <w:p w14:paraId="35F3CCE6">
      <w:pPr>
        <w:spacing w:line="360" w:lineRule="auto"/>
        <w:ind w:firstLine="567"/>
        <w:rPr>
          <w:rFonts w:ascii="宋体" w:hAnsi="宋体"/>
          <w:color w:val="000000"/>
          <w:kern w:val="0"/>
          <w:sz w:val="18"/>
          <w:szCs w:val="18"/>
          <w:lang w:bidi="ar"/>
        </w:rPr>
      </w:pPr>
      <w:r>
        <w:rPr>
          <w:sz w:val="1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8" name="直接连接符 8"/>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2336;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DksaFL&#10;6gEAALQDAAAOAAAAAAAAAAEAIAAAACEBAABkcnMvZTJvRG9jLnhtbFBLBQYAAAAABgAGAFkBAAB9&#10;BQAAAAA=&#10;">
                <v:fill on="f" focussize="0,0"/>
                <v:stroke color="#000000" joinstyle="round"/>
                <v:imagedata o:title=""/>
                <o:lock v:ext="edit" aspectratio="f"/>
              </v:line>
            </w:pict>
          </mc:Fallback>
        </mc:AlternateContent>
      </w:r>
    </w:p>
    <w:p w14:paraId="0107AF0E">
      <w:pPr>
        <w:widowControl/>
        <w:jc w:val="left"/>
        <w:rPr>
          <w:rFonts w:ascii="宋体" w:hAnsi="宋体"/>
          <w:color w:val="000000"/>
          <w:kern w:val="0"/>
          <w:szCs w:val="21"/>
          <w:lang w:bidi="ar"/>
        </w:rPr>
      </w:pPr>
      <w:r>
        <w:rPr>
          <w:rFonts w:hint="eastAsia" w:ascii="宋体" w:hAnsi="宋体"/>
          <w:b/>
          <w:bCs/>
          <w:color w:val="000000"/>
          <w:kern w:val="0"/>
          <w:szCs w:val="21"/>
          <w:lang w:bidi="ar"/>
        </w:rPr>
        <w:t>备注：</w:t>
      </w:r>
      <w:r>
        <w:rPr>
          <w:rFonts w:hint="eastAsia" w:ascii="宋体" w:hAnsi="宋体"/>
          <w:color w:val="000000"/>
          <w:kern w:val="0"/>
          <w:szCs w:val="21"/>
          <w:lang w:bidi="ar"/>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14:paraId="0DCF0253">
      <w:pPr>
        <w:widowControl/>
        <w:jc w:val="left"/>
        <w:rPr>
          <w:rFonts w:ascii="宋体" w:hAnsi="宋体"/>
          <w:color w:val="000000"/>
          <w:kern w:val="0"/>
          <w:szCs w:val="21"/>
          <w:lang w:bidi="ar"/>
        </w:rPr>
      </w:pPr>
      <w:r>
        <w:rPr>
          <w:rFonts w:hint="eastAsia" w:ascii="宋体" w:hAnsi="宋体"/>
          <w:color w:val="000000"/>
          <w:kern w:val="0"/>
          <w:szCs w:val="21"/>
          <w:lang w:bidi="ar"/>
        </w:rPr>
        <w:t>2.从业人员、营业收入、资产总额填报上一年度数据，无上一年度数据的新成立企业可不填报。</w:t>
      </w:r>
    </w:p>
    <w:p w14:paraId="7E3FC1A9">
      <w:pPr>
        <w:spacing w:line="360" w:lineRule="auto"/>
        <w:ind w:firstLine="482" w:firstLineChars="200"/>
        <w:rPr>
          <w:rFonts w:ascii="宋体" w:hAnsi="宋体"/>
          <w:sz w:val="24"/>
        </w:rPr>
      </w:pPr>
      <w:r>
        <w:rPr>
          <w:rFonts w:hint="eastAsia" w:ascii="宋体" w:hAnsi="宋体"/>
          <w:b/>
          <w:bCs/>
          <w:sz w:val="24"/>
        </w:rPr>
        <w:br w:type="page"/>
      </w:r>
      <w:r>
        <w:rPr>
          <w:rFonts w:hint="eastAsia" w:ascii="宋体" w:hAnsi="宋体"/>
          <w:sz w:val="24"/>
        </w:rPr>
        <w:t>（2）关于监狱企业的证明文件</w:t>
      </w:r>
    </w:p>
    <w:p w14:paraId="2D65BCB6">
      <w:pPr>
        <w:pStyle w:val="25"/>
        <w:widowControl/>
        <w:ind w:firstLine="0" w:firstLineChars="0"/>
        <w:jc w:val="center"/>
        <w:rPr>
          <w:rFonts w:cs="华文仿宋"/>
          <w:b/>
          <w:bCs/>
          <w:sz w:val="30"/>
          <w:szCs w:val="30"/>
        </w:rPr>
      </w:pPr>
      <w:r>
        <w:rPr>
          <w:rFonts w:hint="eastAsia" w:cs="华文仿宋"/>
          <w:b/>
          <w:bCs/>
          <w:sz w:val="30"/>
          <w:szCs w:val="30"/>
        </w:rPr>
        <w:t>关于监狱企业的证明文件</w:t>
      </w:r>
    </w:p>
    <w:p w14:paraId="7C70520A">
      <w:pPr>
        <w:spacing w:line="360" w:lineRule="auto"/>
        <w:ind w:firstLine="480" w:firstLineChars="200"/>
        <w:rPr>
          <w:rFonts w:ascii="宋体" w:hAnsi="宋体"/>
          <w:sz w:val="24"/>
        </w:rPr>
      </w:pPr>
      <w:r>
        <w:rPr>
          <w:rFonts w:hint="eastAsia" w:ascii="宋体" w:hAnsi="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C377CD">
      <w:pPr>
        <w:spacing w:line="360" w:lineRule="auto"/>
        <w:ind w:firstLine="480" w:firstLineChars="200"/>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w:t>
      </w:r>
    </w:p>
    <w:p w14:paraId="0649CD3D">
      <w:pPr>
        <w:spacing w:line="360" w:lineRule="auto"/>
        <w:ind w:firstLine="480" w:firstLineChars="200"/>
        <w:rPr>
          <w:rFonts w:ascii="宋体" w:hAnsi="宋体"/>
          <w:sz w:val="24"/>
        </w:rPr>
      </w:pPr>
    </w:p>
    <w:p w14:paraId="4CA6A81C">
      <w:pPr>
        <w:spacing w:line="360" w:lineRule="auto"/>
        <w:ind w:firstLine="482" w:firstLineChars="200"/>
        <w:rPr>
          <w:rFonts w:ascii="宋体" w:hAnsi="宋体"/>
          <w:sz w:val="24"/>
        </w:rPr>
      </w:pPr>
      <w:r>
        <w:rPr>
          <w:rFonts w:hint="eastAsia" w:ascii="宋体" w:hAnsi="宋体"/>
          <w:b/>
          <w:bCs/>
          <w:sz w:val="24"/>
        </w:rPr>
        <w:br w:type="page"/>
      </w:r>
      <w:r>
        <w:rPr>
          <w:rFonts w:hint="eastAsia" w:ascii="宋体" w:hAnsi="宋体"/>
          <w:sz w:val="24"/>
        </w:rPr>
        <w:t>（3）关于残疾人福利性单位判定</w:t>
      </w:r>
    </w:p>
    <w:p w14:paraId="13B59A32">
      <w:pPr>
        <w:pStyle w:val="25"/>
        <w:widowControl/>
        <w:ind w:firstLine="0" w:firstLineChars="0"/>
        <w:jc w:val="center"/>
        <w:rPr>
          <w:rFonts w:cs="华文仿宋"/>
          <w:b/>
          <w:bCs/>
          <w:sz w:val="30"/>
          <w:szCs w:val="30"/>
        </w:rPr>
      </w:pPr>
      <w:r>
        <w:rPr>
          <w:rFonts w:hint="eastAsia" w:cs="华文仿宋"/>
          <w:b/>
          <w:bCs/>
          <w:sz w:val="30"/>
          <w:szCs w:val="30"/>
        </w:rPr>
        <w:t>残疾人福利单位声明函</w:t>
      </w:r>
    </w:p>
    <w:p w14:paraId="03248479">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中国残疾人联合会关于促进残疾人就业政府采购政策的通知》（财库〔2017〕141号）的规定，本单位为符合条件的残疾人福利性单位，且本单位参加（采购代理机构名称）</w:t>
      </w:r>
      <w:r>
        <w:rPr>
          <w:rFonts w:hint="eastAsia" w:ascii="宋体" w:hAnsi="宋体"/>
          <w:kern w:val="0"/>
          <w:sz w:val="24"/>
          <w:szCs w:val="20"/>
          <w:u w:val="single"/>
        </w:rPr>
        <w:t>（项目名称）</w:t>
      </w:r>
      <w:r>
        <w:rPr>
          <w:rFonts w:hint="eastAsia" w:ascii="宋体" w:hAnsi="宋体"/>
          <w:kern w:val="0"/>
          <w:sz w:val="24"/>
          <w:szCs w:val="20"/>
        </w:rPr>
        <w:t>采购活动提供本单位制造的货物（由本单位承担工程/提供服务），或者提供其他残疾人福利性单位制造的货物（不包括使用非残疾人福利性单位注册商标的货物）。</w:t>
      </w:r>
    </w:p>
    <w:p w14:paraId="4C04F161">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14:paraId="431C80E4">
      <w:pPr>
        <w:spacing w:line="360" w:lineRule="auto"/>
        <w:ind w:left="1080" w:leftChars="257" w:hanging="540"/>
        <w:jc w:val="center"/>
        <w:rPr>
          <w:rFonts w:ascii="宋体" w:hAnsi="宋体"/>
          <w:kern w:val="0"/>
          <w:sz w:val="24"/>
          <w:szCs w:val="20"/>
        </w:rPr>
      </w:pPr>
    </w:p>
    <w:p w14:paraId="7ED8EDBC">
      <w:pPr>
        <w:spacing w:line="360" w:lineRule="auto"/>
        <w:ind w:left="1080" w:leftChars="257" w:hanging="540"/>
        <w:jc w:val="center"/>
        <w:rPr>
          <w:rFonts w:ascii="宋体" w:hAnsi="宋体"/>
          <w:kern w:val="0"/>
          <w:sz w:val="24"/>
          <w:szCs w:val="20"/>
        </w:rPr>
      </w:pPr>
    </w:p>
    <w:p w14:paraId="29933944">
      <w:pPr>
        <w:spacing w:line="360" w:lineRule="auto"/>
        <w:ind w:firstLine="480" w:firstLineChars="200"/>
        <w:rPr>
          <w:rFonts w:ascii="宋体" w:cs="Times New Roman"/>
          <w:sz w:val="24"/>
          <w:u w:val="single"/>
        </w:rPr>
      </w:pPr>
      <w:r>
        <w:rPr>
          <w:rFonts w:hint="eastAsia" w:ascii="宋体" w:hAnsi="宋体"/>
          <w:sz w:val="24"/>
        </w:rPr>
        <w:t>供应商名称（盖章）：</w:t>
      </w:r>
      <w:r>
        <w:rPr>
          <w:rFonts w:ascii="宋体" w:hAnsi="宋体"/>
          <w:sz w:val="24"/>
          <w:u w:val="single"/>
        </w:rPr>
        <w:t xml:space="preserve">                        </w:t>
      </w:r>
    </w:p>
    <w:p w14:paraId="6FE984CA">
      <w:pPr>
        <w:spacing w:line="360" w:lineRule="auto"/>
        <w:ind w:firstLine="480" w:firstLineChars="200"/>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5CDF60B">
      <w:pPr>
        <w:spacing w:line="360" w:lineRule="auto"/>
        <w:ind w:firstLine="567"/>
        <w:rPr>
          <w:rFonts w:ascii="宋体" w:hAnsi="宋体"/>
          <w:color w:val="000000"/>
          <w:kern w:val="0"/>
          <w:sz w:val="18"/>
          <w:szCs w:val="18"/>
          <w:lang w:bidi="ar"/>
        </w:rPr>
      </w:pPr>
      <w:r>
        <w:rPr>
          <w:sz w:val="18"/>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9" name="直接连接符 9"/>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3360;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PGOLjHp&#10;AQAAtAMAAA4AAAAAAAAAAQAgAAAAIQEAAGRycy9lMm9Eb2MueG1sUEsFBgAAAAAGAAYAWQEAAHwF&#10;AAAAAA==&#10;">
                <v:fill on="f" focussize="0,0"/>
                <v:stroke color="#000000" joinstyle="round"/>
                <v:imagedata o:title=""/>
                <o:lock v:ext="edit" aspectratio="f"/>
              </v:line>
            </w:pict>
          </mc:Fallback>
        </mc:AlternateContent>
      </w:r>
    </w:p>
    <w:p w14:paraId="1D8A07A8">
      <w:pPr>
        <w:widowControl/>
        <w:jc w:val="left"/>
        <w:rPr>
          <w:szCs w:val="21"/>
        </w:rPr>
      </w:pPr>
      <w:r>
        <w:rPr>
          <w:rFonts w:hint="eastAsia" w:ascii="宋体" w:hAnsi="宋体"/>
          <w:b/>
          <w:bCs/>
          <w:color w:val="000000"/>
          <w:kern w:val="0"/>
          <w:szCs w:val="21"/>
          <w:lang w:bidi="ar"/>
        </w:rPr>
        <w:t>备注：</w:t>
      </w:r>
      <w:r>
        <w:rPr>
          <w:rFonts w:hint="eastAsia" w:ascii="宋体" w:hAnsi="宋体"/>
          <w:color w:val="000000"/>
          <w:kern w:val="0"/>
          <w:szCs w:val="21"/>
          <w:lang w:bidi="ar"/>
        </w:rPr>
        <w:t xml:space="preserve">根据《财政部 民政部 中国残疾人联合会关于促进残疾人就业政府采购政策的通知》（财库 </w:t>
      </w:r>
    </w:p>
    <w:p w14:paraId="3DC82FAB">
      <w:pPr>
        <w:widowControl/>
        <w:jc w:val="left"/>
        <w:rPr>
          <w:szCs w:val="21"/>
        </w:rPr>
      </w:pPr>
      <w:r>
        <w:rPr>
          <w:rFonts w:hint="eastAsia" w:ascii="宋体" w:hAnsi="宋体"/>
          <w:color w:val="000000"/>
          <w:kern w:val="0"/>
          <w:szCs w:val="21"/>
          <w:lang w:bidi="ar"/>
        </w:rPr>
        <w:t>〔2017〕141 号）的规定：</w:t>
      </w:r>
    </w:p>
    <w:p w14:paraId="122BD971">
      <w:pPr>
        <w:widowControl/>
        <w:jc w:val="left"/>
        <w:rPr>
          <w:szCs w:val="21"/>
        </w:rPr>
      </w:pPr>
      <w:r>
        <w:rPr>
          <w:rFonts w:hint="eastAsia" w:ascii="宋体" w:hAnsi="宋体"/>
          <w:color w:val="000000"/>
          <w:kern w:val="0"/>
          <w:szCs w:val="21"/>
          <w:lang w:bidi="ar"/>
        </w:rPr>
        <w:t>一、享受政府采购支持政策的残疾人福利性单位应当同时满足以下条件：</w:t>
      </w:r>
    </w:p>
    <w:p w14:paraId="2E475E4B">
      <w:pPr>
        <w:widowControl/>
        <w:jc w:val="left"/>
        <w:rPr>
          <w:szCs w:val="21"/>
        </w:rPr>
      </w:pPr>
      <w:r>
        <w:rPr>
          <w:rFonts w:hint="eastAsia" w:ascii="宋体" w:hAnsi="宋体"/>
          <w:color w:val="000000"/>
          <w:kern w:val="0"/>
          <w:szCs w:val="21"/>
          <w:lang w:bidi="ar"/>
        </w:rPr>
        <w:t xml:space="preserve">（一）安置的残疾人占本单位在职职工人数的比例不低于 </w:t>
      </w:r>
      <w:r>
        <w:rPr>
          <w:rFonts w:ascii="仿宋" w:hAnsi="仿宋" w:eastAsia="仿宋" w:cs="仿宋"/>
          <w:color w:val="000000"/>
          <w:kern w:val="0"/>
          <w:szCs w:val="21"/>
          <w:lang w:bidi="ar"/>
        </w:rPr>
        <w:t>25</w:t>
      </w:r>
      <w:r>
        <w:rPr>
          <w:rFonts w:hint="eastAsia" w:ascii="宋体" w:hAnsi="宋体"/>
          <w:color w:val="000000"/>
          <w:kern w:val="0"/>
          <w:szCs w:val="21"/>
          <w:lang w:bidi="ar"/>
        </w:rPr>
        <w:t xml:space="preserve">%（含 </w:t>
      </w:r>
      <w:r>
        <w:rPr>
          <w:rFonts w:hint="eastAsia" w:ascii="仿宋" w:hAnsi="仿宋" w:eastAsia="仿宋" w:cs="仿宋"/>
          <w:color w:val="000000"/>
          <w:kern w:val="0"/>
          <w:szCs w:val="21"/>
          <w:lang w:bidi="ar"/>
        </w:rPr>
        <w:t>25</w:t>
      </w:r>
      <w:r>
        <w:rPr>
          <w:rFonts w:hint="eastAsia" w:ascii="宋体" w:hAnsi="宋体"/>
          <w:color w:val="000000"/>
          <w:kern w:val="0"/>
          <w:szCs w:val="21"/>
          <w:lang w:bidi="ar"/>
        </w:rPr>
        <w:t>%），并且安置的残疾人人数不少于10人（含10人）；</w:t>
      </w:r>
    </w:p>
    <w:p w14:paraId="27F6A163">
      <w:pPr>
        <w:widowControl/>
        <w:jc w:val="left"/>
        <w:rPr>
          <w:szCs w:val="21"/>
        </w:rPr>
      </w:pPr>
      <w:r>
        <w:rPr>
          <w:rFonts w:hint="eastAsia" w:ascii="宋体" w:hAnsi="宋体"/>
          <w:color w:val="000000"/>
          <w:kern w:val="0"/>
          <w:szCs w:val="21"/>
          <w:lang w:bidi="ar"/>
        </w:rPr>
        <w:t>（二）依法与安置的每位残疾人签订了一年以上（含一年）的劳动合同或服务协议；</w:t>
      </w:r>
    </w:p>
    <w:p w14:paraId="3185E0CC">
      <w:pPr>
        <w:widowControl/>
        <w:jc w:val="left"/>
        <w:rPr>
          <w:szCs w:val="21"/>
        </w:rPr>
      </w:pPr>
      <w:r>
        <w:rPr>
          <w:rFonts w:hint="eastAsia" w:ascii="宋体" w:hAnsi="宋体"/>
          <w:color w:val="000000"/>
          <w:kern w:val="0"/>
          <w:szCs w:val="21"/>
          <w:lang w:bidi="ar"/>
        </w:rPr>
        <w:t>（三）为安置的每位残疾人按月足额缴纳了基本养老保险、基本医疗保险、失业保险、工伤保险和生育保险等社会保险费；</w:t>
      </w:r>
    </w:p>
    <w:p w14:paraId="1D78A3E4">
      <w:pPr>
        <w:widowControl/>
        <w:jc w:val="left"/>
        <w:rPr>
          <w:szCs w:val="21"/>
        </w:rPr>
      </w:pPr>
      <w:r>
        <w:rPr>
          <w:rFonts w:hint="eastAsia" w:ascii="宋体" w:hAnsi="宋体"/>
          <w:color w:val="000000"/>
          <w:kern w:val="0"/>
          <w:szCs w:val="21"/>
          <w:lang w:bidi="ar"/>
        </w:rPr>
        <w:t>（四）通过银行等金融机构向安置的每位残疾人，按月支付了不低于单位所在区县适用的经省级人民政府批准的月最低工资标准的工资；</w:t>
      </w:r>
    </w:p>
    <w:p w14:paraId="3C69BBBA">
      <w:pPr>
        <w:widowControl/>
        <w:jc w:val="left"/>
        <w:rPr>
          <w:rFonts w:ascii="宋体" w:hAnsi="宋体"/>
          <w:color w:val="000000"/>
          <w:kern w:val="0"/>
          <w:szCs w:val="21"/>
          <w:lang w:bidi="ar"/>
        </w:rPr>
      </w:pPr>
      <w:r>
        <w:rPr>
          <w:rFonts w:hint="eastAsia" w:ascii="宋体" w:hAnsi="宋体"/>
          <w:color w:val="000000"/>
          <w:kern w:val="0"/>
          <w:szCs w:val="21"/>
          <w:lang w:bidi="ar"/>
        </w:rPr>
        <w:t>（五）提供本单位制造的货物、承担的工程或者服务（以下简称产品），或者提供其他残疾人福利性单位制造的货物（不包括使用非残疾人福利性单位注册商标的货物）。</w:t>
      </w:r>
    </w:p>
    <w:p w14:paraId="53F4312A">
      <w:pPr>
        <w:widowControl/>
        <w:jc w:val="left"/>
        <w:rPr>
          <w:szCs w:val="21"/>
        </w:rPr>
      </w:pPr>
      <w:r>
        <w:rPr>
          <w:rFonts w:hint="eastAsia" w:ascii="宋体" w:hAnsi="宋体"/>
          <w:color w:val="000000"/>
          <w:kern w:val="0"/>
          <w:szCs w:val="21"/>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EBBF065">
      <w:pPr>
        <w:widowControl/>
        <w:jc w:val="left"/>
        <w:rPr>
          <w:szCs w:val="21"/>
        </w:rPr>
      </w:pPr>
      <w:r>
        <w:rPr>
          <w:rFonts w:hint="eastAsia" w:ascii="宋体" w:hAnsi="宋体"/>
          <w:color w:val="000000"/>
          <w:kern w:val="0"/>
          <w:szCs w:val="21"/>
          <w:lang w:bidi="ar"/>
        </w:rPr>
        <w:t>二、中标、成交供应商为残疾人福利性单位的，采购人或者其委托的采购代理机构应当随中标、成交结果同时公告其《残疾人福利性单位声明函》，接受社会监督。</w:t>
      </w:r>
    </w:p>
    <w:p w14:paraId="5ADB7AF8">
      <w:pPr>
        <w:spacing w:line="360" w:lineRule="auto"/>
        <w:jc w:val="center"/>
        <w:rPr>
          <w:rFonts w:ascii="黑体" w:hAnsi="仿宋" w:eastAsia="黑体" w:cs="黑体"/>
          <w:b/>
          <w:bCs/>
          <w:sz w:val="32"/>
          <w:szCs w:val="32"/>
          <w:lang w:val="en-GB"/>
        </w:rPr>
      </w:pPr>
      <w:r>
        <w:rPr>
          <w:rFonts w:hint="eastAsia" w:ascii="宋体" w:hAnsi="宋体"/>
          <w:b/>
          <w:bCs/>
          <w:sz w:val="24"/>
        </w:rPr>
        <w:br w:type="page"/>
      </w:r>
      <w:bookmarkEnd w:id="130"/>
      <w:r>
        <w:rPr>
          <w:rFonts w:hint="eastAsia" w:ascii="黑体" w:hAnsi="仿宋" w:eastAsia="黑体" w:cs="黑体"/>
          <w:b/>
          <w:bCs/>
          <w:sz w:val="32"/>
          <w:szCs w:val="32"/>
        </w:rPr>
        <w:t>（二）</w:t>
      </w:r>
      <w:r>
        <w:rPr>
          <w:rFonts w:hint="eastAsia" w:ascii="黑体" w:hAnsi="仿宋" w:eastAsia="黑体" w:cs="黑体"/>
          <w:b/>
          <w:bCs/>
          <w:sz w:val="32"/>
          <w:szCs w:val="32"/>
          <w:lang w:val="en-GB"/>
        </w:rPr>
        <w:t>名称变更证明</w:t>
      </w:r>
    </w:p>
    <w:p w14:paraId="69962C89">
      <w:pPr>
        <w:pStyle w:val="25"/>
        <w:widowControl/>
        <w:ind w:firstLine="0" w:firstLineChars="0"/>
        <w:jc w:val="center"/>
        <w:rPr>
          <w:rFonts w:cs="华文仿宋"/>
          <w:b/>
          <w:bCs/>
          <w:sz w:val="30"/>
          <w:szCs w:val="30"/>
          <w:lang w:val="en-GB"/>
        </w:rPr>
      </w:pPr>
      <w:r>
        <w:rPr>
          <w:rFonts w:hint="eastAsia" w:cs="华文仿宋"/>
          <w:b/>
          <w:bCs/>
          <w:sz w:val="30"/>
          <w:szCs w:val="30"/>
          <w:lang w:val="en-GB"/>
        </w:rPr>
        <w:t>名称变更</w:t>
      </w:r>
      <w:r>
        <w:rPr>
          <w:rFonts w:hint="eastAsia" w:cs="华文仿宋"/>
          <w:b/>
          <w:bCs/>
          <w:sz w:val="30"/>
          <w:szCs w:val="30"/>
        </w:rPr>
        <w:t>证明</w:t>
      </w:r>
    </w:p>
    <w:p w14:paraId="56996CB7">
      <w:pPr>
        <w:pStyle w:val="13"/>
        <w:spacing w:line="500" w:lineRule="exact"/>
        <w:ind w:left="-120" w:leftChars="-57" w:firstLine="527" w:firstLineChars="250"/>
        <w:rPr>
          <w:b/>
          <w:bCs/>
          <w:u w:val="single"/>
        </w:rPr>
      </w:pPr>
      <w:r>
        <w:rPr>
          <w:rFonts w:hint="eastAsia" w:hAnsi="宋体"/>
          <w:b/>
          <w:bCs/>
          <w:u w:val="single"/>
        </w:rPr>
        <w:t>注：供应商如果有名称变更的，应提供由工商管理部门出具的变更证明文件。（复印件加盖供应商公章）</w:t>
      </w:r>
    </w:p>
    <w:p w14:paraId="14FA439C"/>
    <w:p w14:paraId="5EEBD735"/>
    <w:p w14:paraId="66012340"/>
    <w:p w14:paraId="0277C0A3"/>
    <w:p w14:paraId="5DB749AD"/>
    <w:p w14:paraId="650AD92A"/>
    <w:p w14:paraId="15C3F000"/>
    <w:p w14:paraId="73043097"/>
    <w:p w14:paraId="4AECC460"/>
    <w:p w14:paraId="34317809"/>
    <w:p w14:paraId="630566DE">
      <w:pPr>
        <w:spacing w:line="360" w:lineRule="auto"/>
        <w:ind w:firstLine="643" w:firstLineChars="200"/>
        <w:rPr>
          <w:rFonts w:ascii="黑体" w:hAnsi="仿宋" w:eastAsia="黑体" w:cs="黑体"/>
          <w:b/>
          <w:bCs/>
          <w:sz w:val="32"/>
          <w:szCs w:val="32"/>
        </w:rPr>
      </w:pPr>
    </w:p>
    <w:p w14:paraId="0439039E">
      <w:pPr>
        <w:spacing w:line="360" w:lineRule="auto"/>
        <w:ind w:firstLine="482" w:firstLineChars="200"/>
        <w:rPr>
          <w:rFonts w:ascii="宋体" w:hAnsi="宋体"/>
          <w:b/>
          <w:bCs/>
          <w:sz w:val="24"/>
        </w:rPr>
      </w:pPr>
    </w:p>
    <w:p w14:paraId="5A4525E7">
      <w:pPr>
        <w:spacing w:line="360" w:lineRule="auto"/>
        <w:jc w:val="center"/>
        <w:rPr>
          <w:rFonts w:ascii="黑体" w:hAnsi="仿宋" w:eastAsia="黑体" w:cs="黑体"/>
          <w:b/>
          <w:bCs/>
          <w:sz w:val="32"/>
          <w:szCs w:val="32"/>
        </w:rPr>
      </w:pPr>
    </w:p>
    <w:p w14:paraId="4EB74C2E">
      <w:pPr>
        <w:spacing w:line="360" w:lineRule="auto"/>
        <w:jc w:val="center"/>
        <w:rPr>
          <w:rFonts w:ascii="黑体" w:hAnsi="仿宋" w:eastAsia="黑体" w:cs="黑体"/>
          <w:b/>
          <w:bCs/>
          <w:sz w:val="32"/>
          <w:szCs w:val="32"/>
        </w:rPr>
      </w:pPr>
    </w:p>
    <w:p w14:paraId="48B44065">
      <w:pPr>
        <w:spacing w:line="360" w:lineRule="auto"/>
        <w:rPr>
          <w:rFonts w:ascii="宋体" w:hAnsi="宋体"/>
          <w:b/>
          <w:bCs/>
          <w:sz w:val="24"/>
        </w:rPr>
      </w:pPr>
    </w:p>
    <w:p w14:paraId="2CA2FFA4">
      <w:pPr>
        <w:spacing w:line="360" w:lineRule="auto"/>
        <w:ind w:left="-2" w:leftChars="-1" w:firstLine="2"/>
        <w:jc w:val="center"/>
        <w:rPr>
          <w:rFonts w:ascii="黑体" w:hAnsi="仿宋" w:eastAsia="黑体" w:cs="黑体"/>
          <w:b/>
          <w:bCs/>
          <w:sz w:val="32"/>
          <w:szCs w:val="32"/>
        </w:rPr>
      </w:pPr>
      <w:r>
        <w:rPr>
          <w:rFonts w:hint="eastAsia" w:ascii="宋体" w:hAnsi="宋体"/>
          <w:b/>
          <w:bCs/>
          <w:sz w:val="24"/>
        </w:rPr>
        <w:br w:type="page"/>
      </w:r>
      <w:bookmarkEnd w:id="131"/>
      <w:bookmarkStart w:id="132" w:name="_Toc56347960"/>
      <w:bookmarkStart w:id="133" w:name="_Toc11405"/>
      <w:r>
        <w:rPr>
          <w:rFonts w:hint="eastAsia" w:ascii="黑体" w:hAnsi="仿宋" w:eastAsia="黑体" w:cs="黑体"/>
          <w:b/>
          <w:bCs/>
          <w:sz w:val="32"/>
          <w:szCs w:val="32"/>
        </w:rPr>
        <w:t>（三）开票资料说明函</w:t>
      </w:r>
      <w:bookmarkEnd w:id="132"/>
      <w:bookmarkEnd w:id="133"/>
    </w:p>
    <w:p w14:paraId="177CAA96">
      <w:pPr>
        <w:pStyle w:val="25"/>
        <w:widowControl/>
        <w:ind w:firstLine="0" w:firstLineChars="0"/>
        <w:jc w:val="center"/>
        <w:rPr>
          <w:rFonts w:cs="华文仿宋"/>
          <w:b/>
          <w:bCs/>
          <w:sz w:val="30"/>
          <w:szCs w:val="30"/>
        </w:rPr>
      </w:pPr>
      <w:r>
        <w:rPr>
          <w:rFonts w:hint="eastAsia" w:cs="华文仿宋"/>
          <w:b/>
          <w:bCs/>
          <w:sz w:val="30"/>
          <w:szCs w:val="30"/>
        </w:rPr>
        <w:t>开票资料说明函</w:t>
      </w:r>
    </w:p>
    <w:p w14:paraId="5D89B74A">
      <w:pPr>
        <w:adjustRightInd w:val="0"/>
        <w:snapToGrid w:val="0"/>
        <w:spacing w:line="360" w:lineRule="auto"/>
        <w:rPr>
          <w:rFonts w:ascii="宋体" w:hAnsi="宋体" w:cs="等线"/>
          <w:b/>
          <w:sz w:val="24"/>
        </w:rPr>
      </w:pPr>
      <w:r>
        <w:rPr>
          <w:rFonts w:hint="eastAsia" w:ascii="宋体" w:hAnsi="宋体" w:cs="等线"/>
          <w:b/>
          <w:sz w:val="24"/>
        </w:rPr>
        <w:t>陕西德勤招标有限公司:</w:t>
      </w:r>
    </w:p>
    <w:p w14:paraId="68233A71">
      <w:pPr>
        <w:adjustRightInd w:val="0"/>
        <w:snapToGrid w:val="0"/>
        <w:spacing w:line="360" w:lineRule="auto"/>
        <w:ind w:firstLine="480" w:firstLineChars="200"/>
        <w:rPr>
          <w:rFonts w:ascii="宋体" w:hAnsi="宋体" w:cs="等线"/>
          <w:sz w:val="24"/>
        </w:rPr>
      </w:pPr>
      <w:r>
        <w:rPr>
          <w:rFonts w:hint="eastAsia" w:ascii="宋体" w:hAnsi="宋体" w:cs="等线"/>
          <w:sz w:val="24"/>
        </w:rPr>
        <w:t>本公司</w:t>
      </w:r>
      <w:r>
        <w:rPr>
          <w:rFonts w:hint="eastAsia" w:ascii="宋体" w:hAnsi="宋体" w:cs="等线"/>
          <w:sz w:val="24"/>
          <w:u w:val="single"/>
        </w:rPr>
        <w:t xml:space="preserve">       (供应商名称)      </w:t>
      </w:r>
      <w:r>
        <w:rPr>
          <w:rFonts w:hint="eastAsia" w:ascii="宋体" w:hAnsi="宋体" w:cs="等线"/>
          <w:sz w:val="24"/>
        </w:rPr>
        <w:t>在参加在贵公司举行的</w:t>
      </w:r>
      <w:r>
        <w:rPr>
          <w:rFonts w:hint="eastAsia" w:ascii="宋体" w:hAnsi="宋体" w:cs="等线"/>
          <w:sz w:val="24"/>
          <w:u w:val="single"/>
        </w:rPr>
        <w:t xml:space="preserve">       (项目名称)      </w:t>
      </w:r>
      <w:r>
        <w:rPr>
          <w:rFonts w:hint="eastAsia" w:ascii="宋体" w:hAnsi="宋体" w:cs="等线"/>
          <w:sz w:val="24"/>
        </w:rPr>
        <w:t>(项目编号：</w:t>
      </w:r>
      <w:r>
        <w:rPr>
          <w:rFonts w:hint="eastAsia" w:ascii="宋体" w:hAnsi="宋体" w:cs="等线"/>
          <w:sz w:val="24"/>
          <w:u w:val="single"/>
        </w:rPr>
        <w:t xml:space="preserve">              </w:t>
      </w:r>
      <w:r>
        <w:rPr>
          <w:rFonts w:hint="eastAsia" w:ascii="宋体" w:hAnsi="宋体" w:cs="等线"/>
          <w:sz w:val="24"/>
        </w:rPr>
        <w:t>)的磋商中如成交，则开票类型选择</w:t>
      </w:r>
      <w:r>
        <w:rPr>
          <w:rFonts w:hint="eastAsia" w:ascii="宋体" w:hAnsi="宋体" w:cs="等线"/>
          <w:b/>
          <w:sz w:val="24"/>
          <w:u w:val="single"/>
        </w:rPr>
        <w:t>□增值税普通发票□增值税专用发票</w:t>
      </w:r>
      <w:r>
        <w:rPr>
          <w:rFonts w:hint="eastAsia" w:ascii="宋体" w:hAnsi="宋体" w:cs="等线"/>
          <w:sz w:val="24"/>
        </w:rPr>
        <w:t>（</w:t>
      </w:r>
      <w:r>
        <w:rPr>
          <w:rFonts w:hint="eastAsia" w:ascii="宋体" w:hAnsi="宋体" w:cs="等线"/>
          <w:b/>
          <w:sz w:val="24"/>
        </w:rPr>
        <w:t>请在对应的“□”打“√”，且只能选择其中一项）</w:t>
      </w:r>
      <w:r>
        <w:rPr>
          <w:rFonts w:hint="eastAsia" w:ascii="宋体" w:hAnsi="宋体" w:cs="等线"/>
          <w:sz w:val="24"/>
        </w:rPr>
        <w:t>以及我司的开票资料如下：</w:t>
      </w:r>
    </w:p>
    <w:tbl>
      <w:tblPr>
        <w:tblStyle w:val="2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3712"/>
        <w:gridCol w:w="1416"/>
        <w:gridCol w:w="1426"/>
      </w:tblGrid>
      <w:tr w14:paraId="7120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6163E1D0">
            <w:pPr>
              <w:spacing w:line="360" w:lineRule="auto"/>
              <w:jc w:val="center"/>
              <w:rPr>
                <w:rFonts w:ascii="宋体" w:hAnsi="宋体" w:cs="等线"/>
                <w:sz w:val="24"/>
              </w:rPr>
            </w:pPr>
            <w:r>
              <w:rPr>
                <w:rFonts w:hint="eastAsia" w:ascii="宋体" w:hAnsi="宋体" w:cs="等线"/>
                <w:sz w:val="24"/>
              </w:rPr>
              <w:t>单位名称</w:t>
            </w:r>
          </w:p>
        </w:tc>
        <w:tc>
          <w:tcPr>
            <w:tcW w:w="6554" w:type="dxa"/>
            <w:gridSpan w:val="3"/>
            <w:tcBorders>
              <w:top w:val="single" w:color="auto" w:sz="4" w:space="0"/>
              <w:left w:val="single" w:color="auto" w:sz="4" w:space="0"/>
              <w:bottom w:val="single" w:color="auto" w:sz="4" w:space="0"/>
              <w:right w:val="single" w:color="auto" w:sz="4" w:space="0"/>
            </w:tcBorders>
            <w:vAlign w:val="center"/>
          </w:tcPr>
          <w:p w14:paraId="18FA93E8">
            <w:pPr>
              <w:spacing w:line="360" w:lineRule="auto"/>
              <w:jc w:val="center"/>
              <w:rPr>
                <w:rFonts w:ascii="宋体" w:hAnsi="宋体" w:cs="等线"/>
                <w:sz w:val="24"/>
              </w:rPr>
            </w:pPr>
          </w:p>
        </w:tc>
      </w:tr>
      <w:tr w14:paraId="6142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08AE3B08">
            <w:pPr>
              <w:spacing w:line="360" w:lineRule="auto"/>
              <w:jc w:val="center"/>
              <w:rPr>
                <w:rFonts w:ascii="宋体" w:hAnsi="宋体" w:cs="等线"/>
                <w:sz w:val="24"/>
              </w:rPr>
            </w:pPr>
            <w:r>
              <w:rPr>
                <w:rFonts w:hint="eastAsia" w:ascii="宋体" w:hAnsi="宋体" w:cs="等线"/>
                <w:sz w:val="24"/>
              </w:rPr>
              <w:t>纳税人识别号</w:t>
            </w:r>
          </w:p>
        </w:tc>
        <w:tc>
          <w:tcPr>
            <w:tcW w:w="6554" w:type="dxa"/>
            <w:gridSpan w:val="3"/>
            <w:tcBorders>
              <w:top w:val="single" w:color="auto" w:sz="4" w:space="0"/>
              <w:left w:val="single" w:color="auto" w:sz="4" w:space="0"/>
              <w:bottom w:val="single" w:color="auto" w:sz="4" w:space="0"/>
              <w:right w:val="single" w:color="auto" w:sz="4" w:space="0"/>
            </w:tcBorders>
            <w:vAlign w:val="center"/>
          </w:tcPr>
          <w:p w14:paraId="260A7905">
            <w:pPr>
              <w:spacing w:line="360" w:lineRule="auto"/>
              <w:jc w:val="center"/>
              <w:rPr>
                <w:rFonts w:ascii="宋体" w:hAnsi="宋体" w:cs="等线"/>
                <w:sz w:val="24"/>
              </w:rPr>
            </w:pPr>
          </w:p>
        </w:tc>
      </w:tr>
      <w:tr w14:paraId="6673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2C169CED">
            <w:pPr>
              <w:spacing w:line="360" w:lineRule="auto"/>
              <w:jc w:val="center"/>
              <w:rPr>
                <w:rFonts w:ascii="宋体" w:hAnsi="宋体" w:cs="等线"/>
                <w:sz w:val="24"/>
              </w:rPr>
            </w:pPr>
            <w:r>
              <w:rPr>
                <w:rFonts w:hint="eastAsia" w:ascii="宋体" w:hAnsi="宋体" w:cs="等线"/>
                <w:sz w:val="24"/>
              </w:rPr>
              <w:t>地址</w:t>
            </w:r>
          </w:p>
        </w:tc>
        <w:tc>
          <w:tcPr>
            <w:tcW w:w="6554" w:type="dxa"/>
            <w:gridSpan w:val="3"/>
            <w:tcBorders>
              <w:top w:val="single" w:color="auto" w:sz="4" w:space="0"/>
              <w:left w:val="single" w:color="auto" w:sz="4" w:space="0"/>
              <w:bottom w:val="single" w:color="auto" w:sz="4" w:space="0"/>
              <w:right w:val="single" w:color="auto" w:sz="4" w:space="0"/>
            </w:tcBorders>
            <w:vAlign w:val="center"/>
          </w:tcPr>
          <w:p w14:paraId="6BC8B852">
            <w:pPr>
              <w:spacing w:line="360" w:lineRule="auto"/>
              <w:jc w:val="center"/>
              <w:rPr>
                <w:rFonts w:ascii="宋体" w:hAnsi="宋体" w:cs="等线"/>
                <w:sz w:val="24"/>
              </w:rPr>
            </w:pPr>
          </w:p>
        </w:tc>
      </w:tr>
      <w:tr w14:paraId="697E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54C3B107">
            <w:pPr>
              <w:spacing w:line="360" w:lineRule="auto"/>
              <w:jc w:val="center"/>
              <w:rPr>
                <w:rFonts w:ascii="宋体" w:hAnsi="宋体" w:cs="等线"/>
                <w:sz w:val="24"/>
              </w:rPr>
            </w:pPr>
            <w:r>
              <w:rPr>
                <w:rFonts w:hint="eastAsia" w:ascii="宋体" w:hAnsi="宋体" w:cs="等线"/>
                <w:sz w:val="24"/>
              </w:rPr>
              <w:t>开户银行</w:t>
            </w:r>
          </w:p>
          <w:p w14:paraId="78FF00E0">
            <w:pPr>
              <w:spacing w:line="360" w:lineRule="auto"/>
              <w:jc w:val="center"/>
              <w:rPr>
                <w:rFonts w:ascii="宋体" w:hAnsi="宋体" w:cs="等线"/>
                <w:sz w:val="24"/>
              </w:rPr>
            </w:pPr>
            <w:r>
              <w:rPr>
                <w:rFonts w:hint="eastAsia" w:ascii="宋体" w:hAnsi="宋体" w:cs="等线"/>
                <w:sz w:val="24"/>
              </w:rPr>
              <w:t>（具体到X银行X支行）</w:t>
            </w:r>
          </w:p>
        </w:tc>
        <w:tc>
          <w:tcPr>
            <w:tcW w:w="3712" w:type="dxa"/>
            <w:tcBorders>
              <w:top w:val="single" w:color="auto" w:sz="4" w:space="0"/>
              <w:left w:val="single" w:color="auto" w:sz="4" w:space="0"/>
              <w:bottom w:val="single" w:color="auto" w:sz="4" w:space="0"/>
              <w:right w:val="single" w:color="auto" w:sz="4" w:space="0"/>
            </w:tcBorders>
            <w:vAlign w:val="center"/>
          </w:tcPr>
          <w:p w14:paraId="196C0A76">
            <w:pPr>
              <w:spacing w:line="360" w:lineRule="auto"/>
              <w:jc w:val="center"/>
              <w:rPr>
                <w:rFonts w:ascii="宋体" w:hAnsi="宋体" w:cs="等线"/>
                <w:sz w:val="24"/>
              </w:rPr>
            </w:pPr>
          </w:p>
        </w:tc>
        <w:tc>
          <w:tcPr>
            <w:tcW w:w="1416" w:type="dxa"/>
            <w:tcBorders>
              <w:top w:val="single" w:color="auto" w:sz="4" w:space="0"/>
              <w:left w:val="single" w:color="auto" w:sz="4" w:space="0"/>
              <w:bottom w:val="single" w:color="auto" w:sz="4" w:space="0"/>
              <w:right w:val="single" w:color="auto" w:sz="4" w:space="0"/>
            </w:tcBorders>
            <w:vAlign w:val="center"/>
          </w:tcPr>
          <w:p w14:paraId="3F01A7DF">
            <w:pPr>
              <w:spacing w:line="360" w:lineRule="auto"/>
              <w:jc w:val="center"/>
              <w:rPr>
                <w:rFonts w:ascii="宋体" w:hAnsi="宋体" w:cs="等线"/>
                <w:sz w:val="24"/>
              </w:rPr>
            </w:pPr>
            <w:r>
              <w:rPr>
                <w:rFonts w:hint="eastAsia" w:ascii="宋体" w:hAnsi="宋体" w:cs="等线"/>
                <w:sz w:val="24"/>
              </w:rPr>
              <w:t>电话号码</w:t>
            </w:r>
          </w:p>
          <w:p w14:paraId="288F8CDE">
            <w:pPr>
              <w:spacing w:line="360" w:lineRule="auto"/>
              <w:jc w:val="center"/>
              <w:rPr>
                <w:rFonts w:ascii="宋体" w:hAnsi="宋体" w:cs="等线"/>
                <w:sz w:val="24"/>
              </w:rPr>
            </w:pPr>
            <w:r>
              <w:rPr>
                <w:rFonts w:hint="eastAsia" w:ascii="宋体" w:hAnsi="宋体" w:cs="等线"/>
                <w:sz w:val="24"/>
              </w:rPr>
              <w:t>（固定电话）</w:t>
            </w:r>
          </w:p>
        </w:tc>
        <w:tc>
          <w:tcPr>
            <w:tcW w:w="1426" w:type="dxa"/>
            <w:tcBorders>
              <w:top w:val="single" w:color="auto" w:sz="4" w:space="0"/>
              <w:left w:val="single" w:color="auto" w:sz="4" w:space="0"/>
              <w:bottom w:val="single" w:color="auto" w:sz="4" w:space="0"/>
              <w:right w:val="single" w:color="auto" w:sz="4" w:space="0"/>
            </w:tcBorders>
            <w:vAlign w:val="center"/>
          </w:tcPr>
          <w:p w14:paraId="578D851E">
            <w:pPr>
              <w:spacing w:line="360" w:lineRule="auto"/>
              <w:jc w:val="center"/>
              <w:rPr>
                <w:rFonts w:ascii="宋体" w:hAnsi="宋体" w:cs="等线"/>
                <w:sz w:val="24"/>
              </w:rPr>
            </w:pPr>
          </w:p>
        </w:tc>
      </w:tr>
      <w:tr w14:paraId="635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45D9C5B2">
            <w:pPr>
              <w:spacing w:line="360" w:lineRule="auto"/>
              <w:jc w:val="center"/>
              <w:rPr>
                <w:rFonts w:ascii="宋体" w:hAnsi="宋体" w:cs="等线"/>
                <w:sz w:val="24"/>
              </w:rPr>
            </w:pPr>
            <w:r>
              <w:rPr>
                <w:rFonts w:hint="eastAsia" w:ascii="宋体" w:hAnsi="宋体" w:cs="等线"/>
                <w:sz w:val="24"/>
              </w:rPr>
              <w:t>账    号</w:t>
            </w:r>
          </w:p>
        </w:tc>
        <w:tc>
          <w:tcPr>
            <w:tcW w:w="3712" w:type="dxa"/>
            <w:tcBorders>
              <w:top w:val="single" w:color="auto" w:sz="4" w:space="0"/>
              <w:left w:val="single" w:color="auto" w:sz="4" w:space="0"/>
              <w:bottom w:val="single" w:color="auto" w:sz="4" w:space="0"/>
              <w:right w:val="single" w:color="auto" w:sz="4" w:space="0"/>
            </w:tcBorders>
            <w:vAlign w:val="center"/>
          </w:tcPr>
          <w:p w14:paraId="404B5607">
            <w:pPr>
              <w:spacing w:line="360" w:lineRule="auto"/>
              <w:jc w:val="center"/>
              <w:rPr>
                <w:rFonts w:ascii="宋体" w:hAnsi="宋体" w:cs="等线"/>
                <w:sz w:val="24"/>
              </w:rPr>
            </w:pPr>
          </w:p>
        </w:tc>
        <w:tc>
          <w:tcPr>
            <w:tcW w:w="1416" w:type="dxa"/>
            <w:tcBorders>
              <w:top w:val="single" w:color="auto" w:sz="4" w:space="0"/>
              <w:left w:val="single" w:color="auto" w:sz="4" w:space="0"/>
              <w:bottom w:val="single" w:color="auto" w:sz="4" w:space="0"/>
              <w:right w:val="single" w:color="auto" w:sz="4" w:space="0"/>
            </w:tcBorders>
            <w:vAlign w:val="center"/>
          </w:tcPr>
          <w:p w14:paraId="158C746F">
            <w:pPr>
              <w:spacing w:line="360" w:lineRule="auto"/>
              <w:jc w:val="center"/>
              <w:rPr>
                <w:rFonts w:ascii="宋体" w:hAnsi="宋体" w:cs="等线"/>
                <w:sz w:val="24"/>
              </w:rPr>
            </w:pPr>
            <w:r>
              <w:rPr>
                <w:rFonts w:hint="eastAsia" w:ascii="宋体" w:hAnsi="宋体" w:cs="等线"/>
                <w:sz w:val="24"/>
              </w:rPr>
              <w:t>联系人及联系方式</w:t>
            </w:r>
          </w:p>
        </w:tc>
        <w:tc>
          <w:tcPr>
            <w:tcW w:w="1426" w:type="dxa"/>
            <w:tcBorders>
              <w:top w:val="single" w:color="auto" w:sz="4" w:space="0"/>
              <w:left w:val="single" w:color="auto" w:sz="4" w:space="0"/>
              <w:bottom w:val="single" w:color="auto" w:sz="4" w:space="0"/>
              <w:right w:val="single" w:color="auto" w:sz="4" w:space="0"/>
            </w:tcBorders>
            <w:vAlign w:val="center"/>
          </w:tcPr>
          <w:p w14:paraId="0CDB046F">
            <w:pPr>
              <w:spacing w:line="360" w:lineRule="auto"/>
              <w:jc w:val="center"/>
              <w:rPr>
                <w:rFonts w:ascii="宋体" w:hAnsi="宋体" w:cs="等线"/>
                <w:sz w:val="24"/>
              </w:rPr>
            </w:pPr>
          </w:p>
        </w:tc>
      </w:tr>
    </w:tbl>
    <w:p w14:paraId="3D93163F">
      <w:pPr>
        <w:adjustRightInd w:val="0"/>
        <w:snapToGrid w:val="0"/>
        <w:spacing w:line="360" w:lineRule="auto"/>
        <w:ind w:firstLine="482" w:firstLineChars="200"/>
        <w:rPr>
          <w:rFonts w:ascii="宋体" w:hAnsi="宋体" w:cs="等线"/>
          <w:b/>
          <w:sz w:val="24"/>
          <w:u w:val="single"/>
        </w:rPr>
      </w:pPr>
    </w:p>
    <w:p w14:paraId="18E43D18">
      <w:pPr>
        <w:adjustRightInd w:val="0"/>
        <w:snapToGrid w:val="0"/>
        <w:spacing w:line="360" w:lineRule="auto"/>
        <w:ind w:firstLine="482" w:firstLineChars="200"/>
        <w:rPr>
          <w:rFonts w:ascii="宋体" w:hAnsi="宋体" w:cs="等线"/>
          <w:b/>
          <w:sz w:val="24"/>
          <w:u w:val="single"/>
        </w:rPr>
      </w:pPr>
      <w:r>
        <w:rPr>
          <w:rFonts w:hint="eastAsia" w:ascii="宋体" w:hAnsi="宋体" w:cs="等线"/>
          <w:b/>
          <w:sz w:val="24"/>
          <w:u w:val="single"/>
        </w:rPr>
        <w:t>如我公司未按该要求填写、未提供有效的开票资料、未确认开具发票类型或确认的发票类型有误。同意不予更换发票类型。并愿承担由此引起的一切后果。</w:t>
      </w:r>
    </w:p>
    <w:p w14:paraId="78E4AB23">
      <w:pPr>
        <w:adjustRightInd w:val="0"/>
        <w:snapToGrid w:val="0"/>
        <w:spacing w:line="360" w:lineRule="auto"/>
        <w:ind w:firstLine="482" w:firstLineChars="200"/>
        <w:rPr>
          <w:rFonts w:ascii="宋体" w:hAnsi="宋体" w:cs="等线"/>
          <w:b/>
          <w:sz w:val="24"/>
          <w:u w:val="single"/>
        </w:rPr>
      </w:pPr>
      <w:r>
        <w:rPr>
          <w:rFonts w:hint="eastAsia" w:ascii="宋体" w:hAnsi="宋体" w:cs="等线"/>
          <w:b/>
          <w:sz w:val="24"/>
          <w:u w:val="single"/>
        </w:rPr>
        <w:t xml:space="preserve">发票及成交通知书邮寄地址（如邮寄请填写，顺丰到付寄丢不补，不填自取）：                   。 </w:t>
      </w:r>
    </w:p>
    <w:p w14:paraId="7D5D6D21">
      <w:pPr>
        <w:spacing w:line="360" w:lineRule="auto"/>
        <w:ind w:left="4725"/>
        <w:rPr>
          <w:rFonts w:ascii="宋体" w:hAnsi="宋体" w:cs="等线"/>
          <w:sz w:val="24"/>
        </w:rPr>
      </w:pPr>
      <w:r>
        <w:rPr>
          <w:rFonts w:hint="eastAsia" w:ascii="宋体" w:hAnsi="宋体" w:cs="等线"/>
          <w:sz w:val="24"/>
        </w:rPr>
        <w:tab/>
      </w:r>
    </w:p>
    <w:p w14:paraId="42888A50">
      <w:pPr>
        <w:spacing w:line="360" w:lineRule="auto"/>
        <w:ind w:left="4725"/>
        <w:jc w:val="right"/>
        <w:rPr>
          <w:rFonts w:ascii="宋体" w:hAnsi="宋体" w:cs="等线"/>
          <w:sz w:val="24"/>
        </w:rPr>
      </w:pPr>
    </w:p>
    <w:p w14:paraId="06834555">
      <w:pPr>
        <w:spacing w:line="360" w:lineRule="auto"/>
        <w:jc w:val="center"/>
        <w:rPr>
          <w:rFonts w:ascii="宋体" w:hAnsi="宋体" w:cs="等线"/>
          <w:sz w:val="24"/>
        </w:rPr>
      </w:pPr>
      <w:r>
        <w:rPr>
          <w:rFonts w:hint="eastAsia" w:ascii="宋体" w:hAnsi="宋体" w:cs="等线"/>
          <w:sz w:val="24"/>
        </w:rPr>
        <w:t xml:space="preserve">                                         供应商名称（公章）：</w:t>
      </w:r>
    </w:p>
    <w:p w14:paraId="260A923F">
      <w:pPr>
        <w:spacing w:line="360" w:lineRule="auto"/>
        <w:jc w:val="center"/>
        <w:rPr>
          <w:rFonts w:ascii="宋体" w:hAnsi="宋体" w:cs="等线"/>
          <w:sz w:val="24"/>
        </w:rPr>
      </w:pPr>
      <w:r>
        <w:rPr>
          <w:rFonts w:hint="eastAsia" w:ascii="宋体" w:hAnsi="宋体" w:cs="等线"/>
          <w:sz w:val="24"/>
        </w:rPr>
        <w:t xml:space="preserve">                                                        年   月   日</w:t>
      </w:r>
    </w:p>
    <w:p w14:paraId="35DC7294">
      <w:pPr>
        <w:rPr>
          <w:rFonts w:ascii="黑体" w:hAnsi="仿宋" w:eastAsia="黑体" w:cs="仿宋"/>
          <w:b/>
          <w:sz w:val="32"/>
          <w:szCs w:val="32"/>
          <w:lang w:val="en-GB"/>
        </w:rPr>
      </w:pPr>
      <w:r>
        <w:rPr>
          <w:rFonts w:hint="eastAsia" w:ascii="黑体" w:hAnsi="仿宋" w:eastAsia="黑体" w:cs="仿宋"/>
          <w:b/>
          <w:sz w:val="32"/>
          <w:szCs w:val="32"/>
          <w:lang w:val="en-GB"/>
        </w:rPr>
        <w:br w:type="page"/>
      </w:r>
    </w:p>
    <w:p w14:paraId="7CE2781D">
      <w:pPr>
        <w:spacing w:line="360" w:lineRule="auto"/>
        <w:jc w:val="center"/>
        <w:outlineLvl w:val="0"/>
        <w:rPr>
          <w:rFonts w:ascii="黑体" w:hAnsi="仿宋" w:eastAsia="黑体" w:cs="仿宋"/>
          <w:b/>
          <w:sz w:val="32"/>
          <w:szCs w:val="32"/>
          <w:lang w:val="en-GB"/>
        </w:rPr>
      </w:pPr>
      <w:bookmarkStart w:id="134" w:name="_Toc18401"/>
      <w:r>
        <w:rPr>
          <w:rFonts w:hint="eastAsia" w:ascii="黑体" w:hAnsi="仿宋" w:eastAsia="黑体" w:cs="仿宋"/>
          <w:b/>
          <w:sz w:val="32"/>
          <w:szCs w:val="32"/>
          <w:lang w:val="en-GB"/>
        </w:rPr>
        <w:t>封袋正面标识式样</w:t>
      </w:r>
      <w:bookmarkEnd w:id="134"/>
    </w:p>
    <w:p w14:paraId="6B84A4B7">
      <w:pPr>
        <w:spacing w:line="360" w:lineRule="atLeast"/>
        <w:jc w:val="center"/>
        <w:rPr>
          <w:rFonts w:ascii="黑体" w:hAnsi="仿宋" w:eastAsia="黑体" w:cs="仿宋"/>
          <w:b/>
          <w:sz w:val="24"/>
          <w:lang w:val="en-GB"/>
        </w:rPr>
      </w:pPr>
    </w:p>
    <w:p w14:paraId="7A0AFF01">
      <w:pPr>
        <w:pStyle w:val="23"/>
        <w:adjustRightInd w:val="0"/>
        <w:snapToGrid w:val="0"/>
        <w:spacing w:before="0" w:beforeAutospacing="0" w:after="0" w:afterAutospacing="0" w:line="360" w:lineRule="auto"/>
        <w:ind w:firstLine="481"/>
        <w:jc w:val="both"/>
        <w:rPr>
          <w:b/>
          <w:bCs/>
          <w:color w:val="auto"/>
          <w:kern w:val="2"/>
        </w:rPr>
      </w:pPr>
      <w:r>
        <w:rPr>
          <w:rFonts w:hint="eastAsia"/>
          <w:b/>
          <w:bCs/>
          <w:color w:val="auto"/>
          <w:kern w:val="2"/>
        </w:rPr>
        <w:t>格式A：响应文件封袋正面标识式样</w:t>
      </w:r>
    </w:p>
    <w:p w14:paraId="747128CF">
      <w:pPr>
        <w:pStyle w:val="23"/>
        <w:adjustRightInd w:val="0"/>
        <w:snapToGrid w:val="0"/>
        <w:spacing w:before="0" w:beforeAutospacing="0" w:after="0" w:afterAutospacing="0" w:line="360" w:lineRule="auto"/>
        <w:ind w:left="479" w:leftChars="228" w:firstLine="65" w:firstLineChars="27"/>
        <w:jc w:val="both"/>
        <w:rPr>
          <w:b/>
          <w:bCs/>
          <w:color w:val="auto"/>
          <w:kern w:val="2"/>
        </w:rPr>
      </w:pPr>
      <w:r>
        <w:rPr>
          <w:rFonts w:hint="eastAsia" w:ascii="仿宋_GB2312" w:hAnsi="仿宋" w:eastAsia="仿宋_GB2312" w:cs="仿宋"/>
          <w:b/>
        </w:rPr>
        <mc:AlternateContent>
          <mc:Choice Requires="wps">
            <w:drawing>
              <wp:inline distT="0" distB="0" distL="0" distR="0">
                <wp:extent cx="5791200" cy="3524885"/>
                <wp:effectExtent l="4445" t="4445" r="14605" b="13970"/>
                <wp:docPr id="1027"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0A37A2">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14:paraId="170AED54">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14:paraId="1146DB7B">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14:paraId="1B10F35A">
                            <w:pPr>
                              <w:rPr>
                                <w:rFonts w:ascii="仿宋" w:hAnsi="仿宋" w:eastAsia="仿宋" w:cs="仿宋"/>
                                <w:color w:val="FF0000"/>
                                <w:sz w:val="28"/>
                                <w:szCs w:val="28"/>
                              </w:rPr>
                            </w:pPr>
                            <w:r>
                              <w:rPr>
                                <w:rFonts w:hint="eastAsia" w:ascii="仿宋" w:hAnsi="仿宋" w:eastAsia="仿宋" w:cs="仿宋"/>
                                <w:sz w:val="28"/>
                                <w:szCs w:val="28"/>
                              </w:rPr>
                              <w:t xml:space="preserve">                          </w:t>
                            </w:r>
                          </w:p>
                          <w:p w14:paraId="78574A17">
                            <w:pPr>
                              <w:jc w:val="center"/>
                              <w:rPr>
                                <w:rFonts w:ascii="黑体" w:hAnsi="黑体" w:eastAsia="黑体" w:cs="黑体"/>
                                <w:b/>
                                <w:sz w:val="40"/>
                                <w:szCs w:val="40"/>
                              </w:rPr>
                            </w:pPr>
                            <w:r>
                              <w:rPr>
                                <w:rFonts w:hint="eastAsia" w:ascii="黑体" w:hAnsi="黑体" w:eastAsia="黑体" w:cs="黑体"/>
                                <w:b/>
                                <w:sz w:val="40"/>
                                <w:szCs w:val="40"/>
                              </w:rPr>
                              <w:t>响应文件（正本）</w:t>
                            </w:r>
                          </w:p>
                          <w:p w14:paraId="282929A6">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14:paraId="126751CD">
                            <w:pPr>
                              <w:widowControl/>
                              <w:tabs>
                                <w:tab w:val="left" w:pos="6300"/>
                              </w:tabs>
                              <w:snapToGrid w:val="0"/>
                              <w:spacing w:line="360" w:lineRule="auto"/>
                              <w:jc w:val="left"/>
                              <w:rPr>
                                <w:rFonts w:ascii="宋体" w:hAnsi="宋体"/>
                                <w:sz w:val="28"/>
                                <w:szCs w:val="28"/>
                              </w:rPr>
                            </w:pPr>
                          </w:p>
                          <w:p w14:paraId="2BCDFA49">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14:paraId="51686E43">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2W8ddQAAAAFAQAADwAAAAAAAAABACAAAAAiAAAAZHJz&#10;L2Rvd25yZXYueG1sUEsBAhQAFAAAAAgAh07iQF0K/iwIAgAAMAQAAA4AAAAAAAAAAQAgAAAAIwEA&#10;AGRycy9lMm9Eb2MueG1sUEsFBgAAAAAGAAYAWQEAAJ0FAAAAAA==&#10;">
                <v:fill on="t" focussize="0,0"/>
                <v:stroke color="#000000" joinstyle="miter"/>
                <v:imagedata o:title=""/>
                <o:lock v:ext="edit" aspectratio="f"/>
                <v:textbox>
                  <w:txbxContent>
                    <w:p w14:paraId="160A37A2">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14:paraId="170AED54">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14:paraId="1146DB7B">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14:paraId="1B10F35A">
                      <w:pPr>
                        <w:rPr>
                          <w:rFonts w:ascii="仿宋" w:hAnsi="仿宋" w:eastAsia="仿宋" w:cs="仿宋"/>
                          <w:color w:val="FF0000"/>
                          <w:sz w:val="28"/>
                          <w:szCs w:val="28"/>
                        </w:rPr>
                      </w:pPr>
                      <w:r>
                        <w:rPr>
                          <w:rFonts w:hint="eastAsia" w:ascii="仿宋" w:hAnsi="仿宋" w:eastAsia="仿宋" w:cs="仿宋"/>
                          <w:sz w:val="28"/>
                          <w:szCs w:val="28"/>
                        </w:rPr>
                        <w:t xml:space="preserve">                          </w:t>
                      </w:r>
                    </w:p>
                    <w:p w14:paraId="78574A17">
                      <w:pPr>
                        <w:jc w:val="center"/>
                        <w:rPr>
                          <w:rFonts w:ascii="黑体" w:hAnsi="黑体" w:eastAsia="黑体" w:cs="黑体"/>
                          <w:b/>
                          <w:sz w:val="40"/>
                          <w:szCs w:val="40"/>
                        </w:rPr>
                      </w:pPr>
                      <w:r>
                        <w:rPr>
                          <w:rFonts w:hint="eastAsia" w:ascii="黑体" w:hAnsi="黑体" w:eastAsia="黑体" w:cs="黑体"/>
                          <w:b/>
                          <w:sz w:val="40"/>
                          <w:szCs w:val="40"/>
                        </w:rPr>
                        <w:t>响应文件（正本）</w:t>
                      </w:r>
                    </w:p>
                    <w:p w14:paraId="282929A6">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14:paraId="126751CD">
                      <w:pPr>
                        <w:widowControl/>
                        <w:tabs>
                          <w:tab w:val="left" w:pos="6300"/>
                        </w:tabs>
                        <w:snapToGrid w:val="0"/>
                        <w:spacing w:line="360" w:lineRule="auto"/>
                        <w:jc w:val="left"/>
                        <w:rPr>
                          <w:rFonts w:ascii="宋体" w:hAnsi="宋体"/>
                          <w:sz w:val="28"/>
                          <w:szCs w:val="28"/>
                        </w:rPr>
                      </w:pPr>
                    </w:p>
                    <w:p w14:paraId="2BCDFA49">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14:paraId="51686E43">
                      <w:pPr>
                        <w:rPr>
                          <w:sz w:val="28"/>
                          <w:szCs w:val="28"/>
                        </w:rPr>
                      </w:pPr>
                      <w:r>
                        <w:rPr>
                          <w:rFonts w:hint="eastAsia"/>
                          <w:sz w:val="28"/>
                          <w:szCs w:val="28"/>
                        </w:rPr>
                        <w:t xml:space="preserve">                                </w:t>
                      </w:r>
                    </w:p>
                  </w:txbxContent>
                </v:textbox>
                <w10:wrap type="none"/>
                <w10:anchorlock/>
              </v:rect>
            </w:pict>
          </mc:Fallback>
        </mc:AlternateContent>
      </w:r>
      <w:r>
        <w:rPr>
          <w:rFonts w:hint="eastAsia"/>
          <w:b/>
          <w:bCs/>
          <w:color w:val="auto"/>
          <w:kern w:val="2"/>
        </w:rPr>
        <w:t>格式B：响应文件封袋正面标识式样</w:t>
      </w:r>
    </w:p>
    <w:p w14:paraId="0D805044">
      <w:pPr>
        <w:spacing w:line="360" w:lineRule="auto"/>
        <w:ind w:firstLine="482" w:firstLineChars="200"/>
        <w:rPr>
          <w:rFonts w:ascii="仿宋_GB2312" w:hAnsi="仿宋" w:eastAsia="仿宋_GB2312" w:cs="仿宋"/>
          <w:b/>
          <w:sz w:val="24"/>
        </w:rPr>
      </w:pPr>
      <w:r>
        <w:rPr>
          <w:rFonts w:hint="eastAsia" w:ascii="仿宋_GB2312" w:hAnsi="仿宋" w:eastAsia="仿宋_GB2312" w:cs="仿宋"/>
          <w:b/>
          <w:sz w:val="24"/>
        </w:rPr>
        <mc:AlternateContent>
          <mc:Choice Requires="wps">
            <w:drawing>
              <wp:inline distT="0" distB="0" distL="0" distR="0">
                <wp:extent cx="5791200" cy="3524885"/>
                <wp:effectExtent l="4445" t="4445" r="14605" b="13970"/>
                <wp:docPr id="1"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C1371B">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14:paraId="1F4CE3AC">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14:paraId="27686EAD">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14:paraId="502C3ACB">
                            <w:pPr>
                              <w:rPr>
                                <w:rFonts w:ascii="仿宋" w:hAnsi="仿宋" w:eastAsia="仿宋" w:cs="仿宋"/>
                                <w:color w:val="FF0000"/>
                                <w:sz w:val="28"/>
                                <w:szCs w:val="28"/>
                              </w:rPr>
                            </w:pPr>
                            <w:r>
                              <w:rPr>
                                <w:rFonts w:hint="eastAsia" w:ascii="仿宋" w:hAnsi="仿宋" w:eastAsia="仿宋" w:cs="仿宋"/>
                                <w:sz w:val="28"/>
                                <w:szCs w:val="28"/>
                              </w:rPr>
                              <w:t xml:space="preserve">                          </w:t>
                            </w:r>
                          </w:p>
                          <w:p w14:paraId="5198367C">
                            <w:pPr>
                              <w:jc w:val="center"/>
                              <w:rPr>
                                <w:rFonts w:ascii="黑体" w:hAnsi="黑体" w:eastAsia="黑体" w:cs="黑体"/>
                                <w:b/>
                                <w:sz w:val="40"/>
                                <w:szCs w:val="40"/>
                              </w:rPr>
                            </w:pPr>
                            <w:r>
                              <w:rPr>
                                <w:rFonts w:hint="eastAsia" w:ascii="黑体" w:hAnsi="黑体" w:eastAsia="黑体" w:cs="黑体"/>
                                <w:b/>
                                <w:sz w:val="40"/>
                                <w:szCs w:val="40"/>
                              </w:rPr>
                              <w:t>响应文件（副本）</w:t>
                            </w:r>
                          </w:p>
                          <w:p w14:paraId="6D5A0FE6">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14:paraId="496BFECE">
                            <w:pPr>
                              <w:widowControl/>
                              <w:tabs>
                                <w:tab w:val="left" w:pos="6300"/>
                              </w:tabs>
                              <w:snapToGrid w:val="0"/>
                              <w:spacing w:line="360" w:lineRule="auto"/>
                              <w:jc w:val="left"/>
                              <w:rPr>
                                <w:rFonts w:ascii="宋体" w:hAnsi="宋体"/>
                                <w:sz w:val="28"/>
                                <w:szCs w:val="28"/>
                              </w:rPr>
                            </w:pPr>
                          </w:p>
                          <w:p w14:paraId="47BD7C2A">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14:paraId="7259C0AB">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CDZrzgQCAAAtBAAADgAAAAAAAAABACAAAAAjAQAAZHJz&#10;L2Uyb0RvYy54bWxQSwUGAAAAAAYABgBZAQAAmQUAAAAA&#10;">
                <v:fill on="t" focussize="0,0"/>
                <v:stroke color="#000000" joinstyle="miter"/>
                <v:imagedata o:title=""/>
                <o:lock v:ext="edit" aspectratio="f"/>
                <v:textbox>
                  <w:txbxContent>
                    <w:p w14:paraId="44C1371B">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14:paraId="1F4CE3AC">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14:paraId="27686EAD">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14:paraId="502C3ACB">
                      <w:pPr>
                        <w:rPr>
                          <w:rFonts w:ascii="仿宋" w:hAnsi="仿宋" w:eastAsia="仿宋" w:cs="仿宋"/>
                          <w:color w:val="FF0000"/>
                          <w:sz w:val="28"/>
                          <w:szCs w:val="28"/>
                        </w:rPr>
                      </w:pPr>
                      <w:r>
                        <w:rPr>
                          <w:rFonts w:hint="eastAsia" w:ascii="仿宋" w:hAnsi="仿宋" w:eastAsia="仿宋" w:cs="仿宋"/>
                          <w:sz w:val="28"/>
                          <w:szCs w:val="28"/>
                        </w:rPr>
                        <w:t xml:space="preserve">                          </w:t>
                      </w:r>
                    </w:p>
                    <w:p w14:paraId="5198367C">
                      <w:pPr>
                        <w:jc w:val="center"/>
                        <w:rPr>
                          <w:rFonts w:ascii="黑体" w:hAnsi="黑体" w:eastAsia="黑体" w:cs="黑体"/>
                          <w:b/>
                          <w:sz w:val="40"/>
                          <w:szCs w:val="40"/>
                        </w:rPr>
                      </w:pPr>
                      <w:r>
                        <w:rPr>
                          <w:rFonts w:hint="eastAsia" w:ascii="黑体" w:hAnsi="黑体" w:eastAsia="黑体" w:cs="黑体"/>
                          <w:b/>
                          <w:sz w:val="40"/>
                          <w:szCs w:val="40"/>
                        </w:rPr>
                        <w:t>响应文件（副本）</w:t>
                      </w:r>
                    </w:p>
                    <w:p w14:paraId="6D5A0FE6">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14:paraId="496BFECE">
                      <w:pPr>
                        <w:widowControl/>
                        <w:tabs>
                          <w:tab w:val="left" w:pos="6300"/>
                        </w:tabs>
                        <w:snapToGrid w:val="0"/>
                        <w:spacing w:line="360" w:lineRule="auto"/>
                        <w:jc w:val="left"/>
                        <w:rPr>
                          <w:rFonts w:ascii="宋体" w:hAnsi="宋体"/>
                          <w:sz w:val="28"/>
                          <w:szCs w:val="28"/>
                        </w:rPr>
                      </w:pPr>
                    </w:p>
                    <w:p w14:paraId="47BD7C2A">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14:paraId="7259C0AB">
                      <w:pPr>
                        <w:rPr>
                          <w:sz w:val="28"/>
                          <w:szCs w:val="28"/>
                        </w:rPr>
                      </w:pPr>
                      <w:r>
                        <w:rPr>
                          <w:rFonts w:hint="eastAsia"/>
                          <w:sz w:val="28"/>
                          <w:szCs w:val="28"/>
                        </w:rPr>
                        <w:t xml:space="preserve">                                </w:t>
                      </w:r>
                    </w:p>
                  </w:txbxContent>
                </v:textbox>
                <w10:wrap type="none"/>
                <w10:anchorlock/>
              </v:rect>
            </w:pict>
          </mc:Fallback>
        </mc:AlternateContent>
      </w:r>
    </w:p>
    <w:p w14:paraId="0D8D0606">
      <w:pPr>
        <w:pStyle w:val="23"/>
        <w:adjustRightInd w:val="0"/>
        <w:snapToGrid w:val="0"/>
        <w:spacing w:before="0" w:beforeAutospacing="0" w:after="0" w:afterAutospacing="0" w:line="360" w:lineRule="auto"/>
        <w:ind w:firstLine="481"/>
        <w:jc w:val="both"/>
        <w:rPr>
          <w:b/>
          <w:bCs/>
          <w:color w:val="auto"/>
          <w:kern w:val="2"/>
        </w:rPr>
      </w:pPr>
    </w:p>
    <w:p w14:paraId="0C8B002C">
      <w:pPr>
        <w:pStyle w:val="23"/>
        <w:adjustRightInd w:val="0"/>
        <w:snapToGrid w:val="0"/>
        <w:spacing w:before="0" w:beforeAutospacing="0" w:after="0" w:afterAutospacing="0" w:line="360" w:lineRule="auto"/>
        <w:ind w:firstLine="481"/>
        <w:jc w:val="both"/>
        <w:rPr>
          <w:b/>
          <w:bCs/>
          <w:color w:val="auto"/>
          <w:kern w:val="2"/>
        </w:rPr>
      </w:pPr>
    </w:p>
    <w:p w14:paraId="30B74A13">
      <w:pPr>
        <w:pStyle w:val="23"/>
        <w:adjustRightInd w:val="0"/>
        <w:snapToGrid w:val="0"/>
        <w:spacing w:before="0" w:beforeAutospacing="0" w:after="0" w:afterAutospacing="0" w:line="360" w:lineRule="auto"/>
        <w:ind w:firstLine="481"/>
        <w:jc w:val="both"/>
        <w:rPr>
          <w:b/>
          <w:bCs/>
          <w:color w:val="auto"/>
          <w:kern w:val="2"/>
        </w:rPr>
      </w:pPr>
      <w:r>
        <w:rPr>
          <w:rFonts w:hint="eastAsia"/>
          <w:b/>
          <w:bCs/>
          <w:color w:val="auto"/>
          <w:kern w:val="2"/>
        </w:rPr>
        <w:t>格式C：响应文件封袋正面标识式样</w:t>
      </w:r>
    </w:p>
    <w:p w14:paraId="6E6482D5">
      <w:pPr>
        <w:spacing w:line="360" w:lineRule="auto"/>
        <w:ind w:firstLine="482" w:firstLineChars="200"/>
        <w:rPr>
          <w:rFonts w:ascii="仿宋_GB2312" w:hAnsi="仿宋" w:eastAsia="仿宋_GB2312" w:cs="仿宋"/>
          <w:b/>
          <w:sz w:val="24"/>
        </w:rPr>
      </w:pPr>
      <w:r>
        <w:rPr>
          <w:rFonts w:hint="eastAsia" w:ascii="仿宋_GB2312" w:hAnsi="仿宋" w:eastAsia="仿宋_GB2312" w:cs="仿宋"/>
          <w:b/>
          <w:sz w:val="24"/>
        </w:rPr>
        <mc:AlternateContent>
          <mc:Choice Requires="wps">
            <w:drawing>
              <wp:inline distT="0" distB="0" distL="0" distR="0">
                <wp:extent cx="5791200" cy="3524885"/>
                <wp:effectExtent l="4445" t="4445" r="14605" b="13970"/>
                <wp:docPr id="2"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DF6BDC">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14:paraId="4D7951C0">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14:paraId="3F7FCAF4">
                            <w:pPr>
                              <w:widowControl/>
                              <w:tabs>
                                <w:tab w:val="left" w:pos="6300"/>
                              </w:tabs>
                              <w:snapToGrid w:val="0"/>
                              <w:spacing w:line="360" w:lineRule="auto"/>
                              <w:jc w:val="left"/>
                            </w:pPr>
                            <w:r>
                              <w:rPr>
                                <w:rFonts w:hint="eastAsia" w:ascii="宋体" w:hAnsi="宋体"/>
                                <w:sz w:val="28"/>
                                <w:szCs w:val="28"/>
                              </w:rPr>
                              <w:t>项目名称：</w:t>
                            </w:r>
                          </w:p>
                          <w:p w14:paraId="1DBF59EA">
                            <w:pPr>
                              <w:rPr>
                                <w:rFonts w:ascii="仿宋" w:hAnsi="仿宋" w:eastAsia="仿宋" w:cs="仿宋"/>
                                <w:color w:val="FF0000"/>
                                <w:sz w:val="28"/>
                                <w:szCs w:val="28"/>
                              </w:rPr>
                            </w:pPr>
                            <w:r>
                              <w:rPr>
                                <w:rFonts w:hint="eastAsia" w:ascii="仿宋" w:hAnsi="仿宋" w:eastAsia="仿宋" w:cs="仿宋"/>
                                <w:sz w:val="28"/>
                                <w:szCs w:val="28"/>
                              </w:rPr>
                              <w:t xml:space="preserve">                          </w:t>
                            </w:r>
                          </w:p>
                          <w:p w14:paraId="2469305A">
                            <w:pPr>
                              <w:jc w:val="center"/>
                              <w:rPr>
                                <w:rFonts w:ascii="黑体" w:hAnsi="黑体" w:eastAsia="黑体" w:cs="黑体"/>
                                <w:b/>
                                <w:sz w:val="40"/>
                                <w:szCs w:val="40"/>
                              </w:rPr>
                            </w:pPr>
                            <w:r>
                              <w:rPr>
                                <w:rFonts w:hint="eastAsia" w:ascii="黑体" w:hAnsi="黑体" w:eastAsia="黑体" w:cs="黑体"/>
                                <w:b/>
                                <w:sz w:val="40"/>
                                <w:szCs w:val="40"/>
                              </w:rPr>
                              <w:t>响应文件（电子版本）</w:t>
                            </w:r>
                          </w:p>
                          <w:p w14:paraId="27B398A9">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14:paraId="6F859A6F">
                            <w:pPr>
                              <w:widowControl/>
                              <w:tabs>
                                <w:tab w:val="left" w:pos="6300"/>
                              </w:tabs>
                              <w:snapToGrid w:val="0"/>
                              <w:spacing w:line="360" w:lineRule="auto"/>
                              <w:jc w:val="left"/>
                              <w:rPr>
                                <w:rFonts w:ascii="宋体" w:hAnsi="宋体"/>
                                <w:sz w:val="28"/>
                                <w:szCs w:val="28"/>
                              </w:rPr>
                            </w:pPr>
                          </w:p>
                          <w:p w14:paraId="6A33DA1B">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14:paraId="16C200C9">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6rBmAQCAAAtBAAADgAAAAAAAAABACAAAAAjAQAAZHJz&#10;L2Uyb0RvYy54bWxQSwUGAAAAAAYABgBZAQAAmQUAAAAA&#10;">
                <v:fill on="t" focussize="0,0"/>
                <v:stroke color="#000000" joinstyle="miter"/>
                <v:imagedata o:title=""/>
                <o:lock v:ext="edit" aspectratio="f"/>
                <v:textbox>
                  <w:txbxContent>
                    <w:p w14:paraId="3EDF6BDC">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14:paraId="4D7951C0">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14:paraId="3F7FCAF4">
                      <w:pPr>
                        <w:widowControl/>
                        <w:tabs>
                          <w:tab w:val="left" w:pos="6300"/>
                        </w:tabs>
                        <w:snapToGrid w:val="0"/>
                        <w:spacing w:line="360" w:lineRule="auto"/>
                        <w:jc w:val="left"/>
                      </w:pPr>
                      <w:r>
                        <w:rPr>
                          <w:rFonts w:hint="eastAsia" w:ascii="宋体" w:hAnsi="宋体"/>
                          <w:sz w:val="28"/>
                          <w:szCs w:val="28"/>
                        </w:rPr>
                        <w:t>项目名称：</w:t>
                      </w:r>
                    </w:p>
                    <w:p w14:paraId="1DBF59EA">
                      <w:pPr>
                        <w:rPr>
                          <w:rFonts w:ascii="仿宋" w:hAnsi="仿宋" w:eastAsia="仿宋" w:cs="仿宋"/>
                          <w:color w:val="FF0000"/>
                          <w:sz w:val="28"/>
                          <w:szCs w:val="28"/>
                        </w:rPr>
                      </w:pPr>
                      <w:r>
                        <w:rPr>
                          <w:rFonts w:hint="eastAsia" w:ascii="仿宋" w:hAnsi="仿宋" w:eastAsia="仿宋" w:cs="仿宋"/>
                          <w:sz w:val="28"/>
                          <w:szCs w:val="28"/>
                        </w:rPr>
                        <w:t xml:space="preserve">                          </w:t>
                      </w:r>
                    </w:p>
                    <w:p w14:paraId="2469305A">
                      <w:pPr>
                        <w:jc w:val="center"/>
                        <w:rPr>
                          <w:rFonts w:ascii="黑体" w:hAnsi="黑体" w:eastAsia="黑体" w:cs="黑体"/>
                          <w:b/>
                          <w:sz w:val="40"/>
                          <w:szCs w:val="40"/>
                        </w:rPr>
                      </w:pPr>
                      <w:r>
                        <w:rPr>
                          <w:rFonts w:hint="eastAsia" w:ascii="黑体" w:hAnsi="黑体" w:eastAsia="黑体" w:cs="黑体"/>
                          <w:b/>
                          <w:sz w:val="40"/>
                          <w:szCs w:val="40"/>
                        </w:rPr>
                        <w:t>响应文件（电子版本）</w:t>
                      </w:r>
                    </w:p>
                    <w:p w14:paraId="27B398A9">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14:paraId="6F859A6F">
                      <w:pPr>
                        <w:widowControl/>
                        <w:tabs>
                          <w:tab w:val="left" w:pos="6300"/>
                        </w:tabs>
                        <w:snapToGrid w:val="0"/>
                        <w:spacing w:line="360" w:lineRule="auto"/>
                        <w:jc w:val="left"/>
                        <w:rPr>
                          <w:rFonts w:ascii="宋体" w:hAnsi="宋体"/>
                          <w:sz w:val="28"/>
                          <w:szCs w:val="28"/>
                        </w:rPr>
                      </w:pPr>
                    </w:p>
                    <w:p w14:paraId="6A33DA1B">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14:paraId="16C200C9">
                      <w:pPr>
                        <w:rPr>
                          <w:sz w:val="28"/>
                          <w:szCs w:val="28"/>
                        </w:rPr>
                      </w:pPr>
                      <w:r>
                        <w:rPr>
                          <w:rFonts w:hint="eastAsia"/>
                          <w:sz w:val="28"/>
                          <w:szCs w:val="28"/>
                        </w:rPr>
                        <w:t xml:space="preserve">                                </w:t>
                      </w:r>
                    </w:p>
                  </w:txbxContent>
                </v:textbox>
                <w10:wrap type="none"/>
                <w10:anchorlock/>
              </v:rect>
            </w:pict>
          </mc:Fallback>
        </mc:AlternateContent>
      </w:r>
    </w:p>
    <w:p w14:paraId="0C6D77FC">
      <w:pPr>
        <w:spacing w:line="360" w:lineRule="auto"/>
        <w:ind w:firstLine="422" w:firstLineChars="200"/>
        <w:rPr>
          <w:b/>
          <w:bCs/>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Sweetie">
    <w:panose1 w:val="020B0606030804020204"/>
    <w:charset w:val="00"/>
    <w:family w:val="auto"/>
    <w:pitch w:val="default"/>
    <w:sig w:usb0="E00002EF" w:usb1="4000205B" w:usb2="00000028" w:usb3="00000000" w:csb0="200001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 w:name="华文仿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B5DA">
    <w:pPr>
      <w:pStyle w:val="17"/>
      <w:pBdr>
        <w:bottom w:val="double" w:color="auto" w:sz="8" w:space="1"/>
      </w:pBdr>
      <w:jc w:val="left"/>
      <w:rPr>
        <w:rFonts w:ascii="黑体" w:hAnsi="黑体" w:eastAsia="黑体" w:cs="黑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1035">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D51035">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hint="eastAsia" w:ascii="黑体" w:hAnsi="黑体" w:eastAsia="黑体" w:cs="黑体"/>
      </w:rPr>
      <w:t>陕西德勤招标有限公司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9378">
    <w:pPr>
      <w:pStyle w:val="17"/>
      <w:pBdr>
        <w:bottom w:val="double" w:color="auto" w:sz="8" w:space="1"/>
      </w:pBdr>
      <w:jc w:val="left"/>
      <w:rPr>
        <w:rFonts w:ascii="黑体" w:hAnsi="黑体" w:eastAsia="黑体" w:cs="黑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E517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CE517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hint="eastAsia" w:ascii="黑体" w:hAnsi="黑体" w:eastAsia="黑体" w:cs="黑体"/>
      </w:rPr>
      <w:t>陕西德勤招标有限公司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1C3D">
    <w:pPr>
      <w:pStyle w:val="17"/>
      <w:pBdr>
        <w:bottom w:val="double" w:color="auto" w:sz="8" w:space="1"/>
      </w:pBdr>
      <w:jc w:val="left"/>
      <w:rPr>
        <w:rFonts w:ascii="黑体" w:hAnsi="黑体" w:eastAsia="黑体" w:cs="黑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0C79C">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E0C79C">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hint="eastAsia" w:ascii="黑体" w:hAnsi="黑体" w:eastAsia="黑体" w:cs="黑体"/>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3518">
    <w:pPr>
      <w:pStyle w:val="17"/>
      <w:pBdr>
        <w:bottom w:val="double" w:color="auto" w:sz="8" w:space="1"/>
      </w:pBdr>
      <w:jc w:val="left"/>
      <w:rPr>
        <w:rFonts w:ascii="黑体" w:hAnsi="黑体" w:eastAsia="黑体" w:cs="黑体"/>
      </w:rPr>
    </w:pPr>
    <w:r>
      <w:rPr>
        <w:rFonts w:hint="eastAsia" w:ascii="黑体" w:hAnsi="黑体" w:eastAsia="黑体" w:cs="黑体"/>
        <w:lang w:eastAsia="zh-CN"/>
      </w:rPr>
      <w:t>网络安全服务项目</w:t>
    </w:r>
    <w:r>
      <w:rPr>
        <w:rFonts w:hint="eastAsia" w:ascii="黑体" w:hAnsi="黑体" w:eastAsia="黑体" w:cs="黑体"/>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E518"/>
    <w:multiLevelType w:val="singleLevel"/>
    <w:tmpl w:val="8B28E518"/>
    <w:lvl w:ilvl="0" w:tentative="0">
      <w:start w:val="1"/>
      <w:numFmt w:val="bullet"/>
      <w:lvlText w:val=""/>
      <w:lvlJc w:val="left"/>
      <w:pPr>
        <w:ind w:left="420" w:hanging="420"/>
      </w:pPr>
      <w:rPr>
        <w:rFonts w:hint="default" w:ascii="Wingdings" w:hAnsi="Wingdings"/>
      </w:rPr>
    </w:lvl>
  </w:abstractNum>
  <w:abstractNum w:abstractNumId="1">
    <w:nsid w:val="A99A7921"/>
    <w:multiLevelType w:val="singleLevel"/>
    <w:tmpl w:val="A99A7921"/>
    <w:lvl w:ilvl="0" w:tentative="0">
      <w:start w:val="14"/>
      <w:numFmt w:val="decimal"/>
      <w:lvlText w:val="%1."/>
      <w:lvlJc w:val="left"/>
      <w:pPr>
        <w:tabs>
          <w:tab w:val="left" w:pos="312"/>
        </w:tabs>
      </w:pPr>
    </w:lvl>
  </w:abstractNum>
  <w:abstractNum w:abstractNumId="2">
    <w:nsid w:val="488C6FAD"/>
    <w:multiLevelType w:val="multilevel"/>
    <w:tmpl w:val="488C6F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zMTcxODczODNkNjg0NGQ4ODVkZWU3OWJjN2Y2ZjYifQ=="/>
  </w:docVars>
  <w:rsids>
    <w:rsidRoot w:val="617C2A61"/>
    <w:rsid w:val="00015C14"/>
    <w:rsid w:val="00027678"/>
    <w:rsid w:val="00073B21"/>
    <w:rsid w:val="000F4AA2"/>
    <w:rsid w:val="001427C2"/>
    <w:rsid w:val="00151261"/>
    <w:rsid w:val="001A76DA"/>
    <w:rsid w:val="001B1AAB"/>
    <w:rsid w:val="001E05CE"/>
    <w:rsid w:val="002212C3"/>
    <w:rsid w:val="0022744F"/>
    <w:rsid w:val="0023708E"/>
    <w:rsid w:val="00247348"/>
    <w:rsid w:val="0025703B"/>
    <w:rsid w:val="002645D2"/>
    <w:rsid w:val="002B1EBE"/>
    <w:rsid w:val="00365B52"/>
    <w:rsid w:val="00373C47"/>
    <w:rsid w:val="00385F1C"/>
    <w:rsid w:val="00391A9E"/>
    <w:rsid w:val="00394DD7"/>
    <w:rsid w:val="003C1586"/>
    <w:rsid w:val="004A4474"/>
    <w:rsid w:val="004A621D"/>
    <w:rsid w:val="004B580B"/>
    <w:rsid w:val="004B7923"/>
    <w:rsid w:val="005575D0"/>
    <w:rsid w:val="005A4CEC"/>
    <w:rsid w:val="005C7608"/>
    <w:rsid w:val="005E1A09"/>
    <w:rsid w:val="005E538B"/>
    <w:rsid w:val="005E5E0A"/>
    <w:rsid w:val="005F5448"/>
    <w:rsid w:val="0060727A"/>
    <w:rsid w:val="00635E20"/>
    <w:rsid w:val="00667CE4"/>
    <w:rsid w:val="006A4244"/>
    <w:rsid w:val="006C1B63"/>
    <w:rsid w:val="006D2B4D"/>
    <w:rsid w:val="0072699E"/>
    <w:rsid w:val="007563DF"/>
    <w:rsid w:val="00797060"/>
    <w:rsid w:val="007B7F64"/>
    <w:rsid w:val="00830366"/>
    <w:rsid w:val="008B5C39"/>
    <w:rsid w:val="008C2394"/>
    <w:rsid w:val="008E69F7"/>
    <w:rsid w:val="00932D56"/>
    <w:rsid w:val="00941E03"/>
    <w:rsid w:val="009563E2"/>
    <w:rsid w:val="00967B40"/>
    <w:rsid w:val="00972806"/>
    <w:rsid w:val="00981547"/>
    <w:rsid w:val="009C7811"/>
    <w:rsid w:val="00A05FC2"/>
    <w:rsid w:val="00A452FB"/>
    <w:rsid w:val="00A53810"/>
    <w:rsid w:val="00A8423D"/>
    <w:rsid w:val="00AA5CD0"/>
    <w:rsid w:val="00AB677D"/>
    <w:rsid w:val="00B35C62"/>
    <w:rsid w:val="00BB2C30"/>
    <w:rsid w:val="00BD573F"/>
    <w:rsid w:val="00C446C9"/>
    <w:rsid w:val="00C55968"/>
    <w:rsid w:val="00C718B9"/>
    <w:rsid w:val="00C73EED"/>
    <w:rsid w:val="00C77772"/>
    <w:rsid w:val="00C810C1"/>
    <w:rsid w:val="00CC74CD"/>
    <w:rsid w:val="00CF195A"/>
    <w:rsid w:val="00D00C4C"/>
    <w:rsid w:val="00D03E39"/>
    <w:rsid w:val="00D63AB1"/>
    <w:rsid w:val="00E270D3"/>
    <w:rsid w:val="00E6246B"/>
    <w:rsid w:val="00E81237"/>
    <w:rsid w:val="00EB4622"/>
    <w:rsid w:val="00EC61F7"/>
    <w:rsid w:val="00F31458"/>
    <w:rsid w:val="00F97498"/>
    <w:rsid w:val="00FC6E64"/>
    <w:rsid w:val="01392227"/>
    <w:rsid w:val="01E36F83"/>
    <w:rsid w:val="01EC3E90"/>
    <w:rsid w:val="024408EC"/>
    <w:rsid w:val="024C78F9"/>
    <w:rsid w:val="028445EC"/>
    <w:rsid w:val="03426734"/>
    <w:rsid w:val="03534455"/>
    <w:rsid w:val="0375430C"/>
    <w:rsid w:val="039019E1"/>
    <w:rsid w:val="03CE3EC1"/>
    <w:rsid w:val="03EE0A1C"/>
    <w:rsid w:val="04421579"/>
    <w:rsid w:val="04651CD8"/>
    <w:rsid w:val="04D924AF"/>
    <w:rsid w:val="04DC01EC"/>
    <w:rsid w:val="05A51BE6"/>
    <w:rsid w:val="05C07B8D"/>
    <w:rsid w:val="05C57234"/>
    <w:rsid w:val="06663F14"/>
    <w:rsid w:val="06711BDB"/>
    <w:rsid w:val="06861187"/>
    <w:rsid w:val="068D5C4C"/>
    <w:rsid w:val="06B86A37"/>
    <w:rsid w:val="06E23AB3"/>
    <w:rsid w:val="06ED4932"/>
    <w:rsid w:val="071977CA"/>
    <w:rsid w:val="07743DDC"/>
    <w:rsid w:val="08156B2D"/>
    <w:rsid w:val="08285411"/>
    <w:rsid w:val="086E0928"/>
    <w:rsid w:val="089A79C2"/>
    <w:rsid w:val="08AE4A25"/>
    <w:rsid w:val="08C607F0"/>
    <w:rsid w:val="09240D1F"/>
    <w:rsid w:val="09660AAA"/>
    <w:rsid w:val="09AB18D7"/>
    <w:rsid w:val="09B671FF"/>
    <w:rsid w:val="09CE4698"/>
    <w:rsid w:val="0A1026E6"/>
    <w:rsid w:val="0A3B3B14"/>
    <w:rsid w:val="0ACA6D38"/>
    <w:rsid w:val="0B3A5964"/>
    <w:rsid w:val="0C0F3620"/>
    <w:rsid w:val="0C3342E6"/>
    <w:rsid w:val="0C8C4370"/>
    <w:rsid w:val="0CA4781F"/>
    <w:rsid w:val="0CB15E2B"/>
    <w:rsid w:val="0DD80757"/>
    <w:rsid w:val="0DEA2616"/>
    <w:rsid w:val="0E2D6EE3"/>
    <w:rsid w:val="0E5B539D"/>
    <w:rsid w:val="0E7A5BBB"/>
    <w:rsid w:val="0EA35FE3"/>
    <w:rsid w:val="0F272618"/>
    <w:rsid w:val="0F8C6A7D"/>
    <w:rsid w:val="0F9D3A55"/>
    <w:rsid w:val="0FA15454"/>
    <w:rsid w:val="0FA81261"/>
    <w:rsid w:val="0FB75ADD"/>
    <w:rsid w:val="0FE87B2E"/>
    <w:rsid w:val="0FFF04C0"/>
    <w:rsid w:val="100F64D3"/>
    <w:rsid w:val="119E5C63"/>
    <w:rsid w:val="11A445D7"/>
    <w:rsid w:val="11DA5AB3"/>
    <w:rsid w:val="11E3642A"/>
    <w:rsid w:val="11E76F04"/>
    <w:rsid w:val="127021BC"/>
    <w:rsid w:val="12FE6DF1"/>
    <w:rsid w:val="13705C7A"/>
    <w:rsid w:val="1408553C"/>
    <w:rsid w:val="140F22EF"/>
    <w:rsid w:val="141259D8"/>
    <w:rsid w:val="14B1213B"/>
    <w:rsid w:val="14E34033"/>
    <w:rsid w:val="1501536A"/>
    <w:rsid w:val="156E6238"/>
    <w:rsid w:val="15CF16A7"/>
    <w:rsid w:val="16646293"/>
    <w:rsid w:val="16825C82"/>
    <w:rsid w:val="16CF452D"/>
    <w:rsid w:val="185321C0"/>
    <w:rsid w:val="18792207"/>
    <w:rsid w:val="18C654B9"/>
    <w:rsid w:val="197C29B3"/>
    <w:rsid w:val="198B60AF"/>
    <w:rsid w:val="1A0A54AD"/>
    <w:rsid w:val="1AE5550F"/>
    <w:rsid w:val="1B15472E"/>
    <w:rsid w:val="1B942062"/>
    <w:rsid w:val="1BA4249C"/>
    <w:rsid w:val="1BE5423F"/>
    <w:rsid w:val="1CB81654"/>
    <w:rsid w:val="1CD7778A"/>
    <w:rsid w:val="1D427BC4"/>
    <w:rsid w:val="1E4F5A7B"/>
    <w:rsid w:val="1E881677"/>
    <w:rsid w:val="1EB26468"/>
    <w:rsid w:val="1FFD299A"/>
    <w:rsid w:val="20375807"/>
    <w:rsid w:val="205F5E0A"/>
    <w:rsid w:val="21793E62"/>
    <w:rsid w:val="217D3465"/>
    <w:rsid w:val="21DD2AD4"/>
    <w:rsid w:val="22574461"/>
    <w:rsid w:val="225C194C"/>
    <w:rsid w:val="227916F9"/>
    <w:rsid w:val="228826BC"/>
    <w:rsid w:val="23011242"/>
    <w:rsid w:val="230218F2"/>
    <w:rsid w:val="230F302B"/>
    <w:rsid w:val="23AF3EE9"/>
    <w:rsid w:val="23F24EDE"/>
    <w:rsid w:val="23F948A4"/>
    <w:rsid w:val="241218F0"/>
    <w:rsid w:val="24AD73A0"/>
    <w:rsid w:val="24D26BA3"/>
    <w:rsid w:val="25B46E47"/>
    <w:rsid w:val="260823CB"/>
    <w:rsid w:val="26591245"/>
    <w:rsid w:val="265D28C0"/>
    <w:rsid w:val="267D04DC"/>
    <w:rsid w:val="26C45CE5"/>
    <w:rsid w:val="26C807D1"/>
    <w:rsid w:val="26D20A42"/>
    <w:rsid w:val="27BA32C8"/>
    <w:rsid w:val="27CF0377"/>
    <w:rsid w:val="28043432"/>
    <w:rsid w:val="28820782"/>
    <w:rsid w:val="288F427A"/>
    <w:rsid w:val="28BE6FEB"/>
    <w:rsid w:val="28D42BF9"/>
    <w:rsid w:val="28D63020"/>
    <w:rsid w:val="28F316C1"/>
    <w:rsid w:val="28FA4E70"/>
    <w:rsid w:val="291C346A"/>
    <w:rsid w:val="291E73BB"/>
    <w:rsid w:val="29260D2C"/>
    <w:rsid w:val="29A21595"/>
    <w:rsid w:val="29CE5A60"/>
    <w:rsid w:val="2A1F2A07"/>
    <w:rsid w:val="2ADE10A4"/>
    <w:rsid w:val="2B5B79A3"/>
    <w:rsid w:val="2B856638"/>
    <w:rsid w:val="2BFD6B16"/>
    <w:rsid w:val="2C3A38C6"/>
    <w:rsid w:val="2D213381"/>
    <w:rsid w:val="2E3C7C90"/>
    <w:rsid w:val="2F0B154A"/>
    <w:rsid w:val="2F6F3552"/>
    <w:rsid w:val="2F9E5F1A"/>
    <w:rsid w:val="3011734D"/>
    <w:rsid w:val="306E4DCA"/>
    <w:rsid w:val="30A45AD9"/>
    <w:rsid w:val="30D36097"/>
    <w:rsid w:val="312D19CC"/>
    <w:rsid w:val="315F792B"/>
    <w:rsid w:val="3172742B"/>
    <w:rsid w:val="318D6C29"/>
    <w:rsid w:val="31AD282D"/>
    <w:rsid w:val="31C02A3F"/>
    <w:rsid w:val="320A1909"/>
    <w:rsid w:val="323B7BCC"/>
    <w:rsid w:val="3249734A"/>
    <w:rsid w:val="33B277B5"/>
    <w:rsid w:val="33B421B0"/>
    <w:rsid w:val="344477C7"/>
    <w:rsid w:val="34624D8C"/>
    <w:rsid w:val="34854DFA"/>
    <w:rsid w:val="34F474AA"/>
    <w:rsid w:val="3516176E"/>
    <w:rsid w:val="353E6D29"/>
    <w:rsid w:val="359E1D04"/>
    <w:rsid w:val="35FF4906"/>
    <w:rsid w:val="37207864"/>
    <w:rsid w:val="37685DEA"/>
    <w:rsid w:val="37F63E0A"/>
    <w:rsid w:val="3833384F"/>
    <w:rsid w:val="38521F98"/>
    <w:rsid w:val="38AB7C44"/>
    <w:rsid w:val="38AF07C9"/>
    <w:rsid w:val="391B0E12"/>
    <w:rsid w:val="39425056"/>
    <w:rsid w:val="395963ED"/>
    <w:rsid w:val="3A1952FA"/>
    <w:rsid w:val="3A19684F"/>
    <w:rsid w:val="3A4217A7"/>
    <w:rsid w:val="3A4E260F"/>
    <w:rsid w:val="3A5656CD"/>
    <w:rsid w:val="3A607983"/>
    <w:rsid w:val="3BAB0CF4"/>
    <w:rsid w:val="3C060596"/>
    <w:rsid w:val="3C161516"/>
    <w:rsid w:val="3C841336"/>
    <w:rsid w:val="3D535B26"/>
    <w:rsid w:val="3DC41242"/>
    <w:rsid w:val="3E4D3884"/>
    <w:rsid w:val="3EAD7F28"/>
    <w:rsid w:val="3EC30088"/>
    <w:rsid w:val="3F250382"/>
    <w:rsid w:val="3F4D1727"/>
    <w:rsid w:val="3FAF0F73"/>
    <w:rsid w:val="404448BC"/>
    <w:rsid w:val="41102C51"/>
    <w:rsid w:val="41930014"/>
    <w:rsid w:val="42092077"/>
    <w:rsid w:val="42881465"/>
    <w:rsid w:val="42C00539"/>
    <w:rsid w:val="436875EB"/>
    <w:rsid w:val="43987102"/>
    <w:rsid w:val="439C5F61"/>
    <w:rsid w:val="43B41D58"/>
    <w:rsid w:val="445554AC"/>
    <w:rsid w:val="4467501D"/>
    <w:rsid w:val="447D6872"/>
    <w:rsid w:val="44891C4D"/>
    <w:rsid w:val="44E14F36"/>
    <w:rsid w:val="44F85D4E"/>
    <w:rsid w:val="45014C2B"/>
    <w:rsid w:val="45303661"/>
    <w:rsid w:val="456654AD"/>
    <w:rsid w:val="45834AE1"/>
    <w:rsid w:val="45912351"/>
    <w:rsid w:val="45C274ED"/>
    <w:rsid w:val="45E12F90"/>
    <w:rsid w:val="46805A88"/>
    <w:rsid w:val="46F77971"/>
    <w:rsid w:val="47A82E30"/>
    <w:rsid w:val="47AC1E96"/>
    <w:rsid w:val="482254E2"/>
    <w:rsid w:val="488F6D1D"/>
    <w:rsid w:val="48F873C3"/>
    <w:rsid w:val="491F618D"/>
    <w:rsid w:val="492928A1"/>
    <w:rsid w:val="49A83EA5"/>
    <w:rsid w:val="49AF76EC"/>
    <w:rsid w:val="49B760FE"/>
    <w:rsid w:val="49CF51F6"/>
    <w:rsid w:val="49E35703"/>
    <w:rsid w:val="4A7F1081"/>
    <w:rsid w:val="4C6D1C55"/>
    <w:rsid w:val="4C963723"/>
    <w:rsid w:val="4CE96291"/>
    <w:rsid w:val="4DC24777"/>
    <w:rsid w:val="4DC85289"/>
    <w:rsid w:val="4DFF0278"/>
    <w:rsid w:val="4E0C3E05"/>
    <w:rsid w:val="4EDC589A"/>
    <w:rsid w:val="4F015476"/>
    <w:rsid w:val="4F4420B0"/>
    <w:rsid w:val="4F5F526E"/>
    <w:rsid w:val="4FAD0170"/>
    <w:rsid w:val="4FB915A4"/>
    <w:rsid w:val="4FEC5C84"/>
    <w:rsid w:val="5037643E"/>
    <w:rsid w:val="50432573"/>
    <w:rsid w:val="5119769F"/>
    <w:rsid w:val="511B583B"/>
    <w:rsid w:val="51981FA8"/>
    <w:rsid w:val="51C63972"/>
    <w:rsid w:val="51E76D85"/>
    <w:rsid w:val="52081BED"/>
    <w:rsid w:val="523E4BD7"/>
    <w:rsid w:val="52B73695"/>
    <w:rsid w:val="52E27482"/>
    <w:rsid w:val="53355980"/>
    <w:rsid w:val="533E0AE0"/>
    <w:rsid w:val="54291207"/>
    <w:rsid w:val="543930AE"/>
    <w:rsid w:val="544F298E"/>
    <w:rsid w:val="546B4EB8"/>
    <w:rsid w:val="54D9517B"/>
    <w:rsid w:val="556E6117"/>
    <w:rsid w:val="55B57FCA"/>
    <w:rsid w:val="56AE003B"/>
    <w:rsid w:val="56BC2AC2"/>
    <w:rsid w:val="56CD45A9"/>
    <w:rsid w:val="57790E97"/>
    <w:rsid w:val="57D91936"/>
    <w:rsid w:val="58585849"/>
    <w:rsid w:val="586A76A9"/>
    <w:rsid w:val="587D45F9"/>
    <w:rsid w:val="58AE00FF"/>
    <w:rsid w:val="58D63144"/>
    <w:rsid w:val="58DB50A3"/>
    <w:rsid w:val="58F00A48"/>
    <w:rsid w:val="59B038CE"/>
    <w:rsid w:val="59B2243E"/>
    <w:rsid w:val="5A2636E6"/>
    <w:rsid w:val="5A554CDC"/>
    <w:rsid w:val="5A6B0001"/>
    <w:rsid w:val="5A791FD7"/>
    <w:rsid w:val="5AF41329"/>
    <w:rsid w:val="5B0C2DF5"/>
    <w:rsid w:val="5B5208E2"/>
    <w:rsid w:val="5B8222CD"/>
    <w:rsid w:val="5BC16D26"/>
    <w:rsid w:val="5C1D4723"/>
    <w:rsid w:val="5CAD2799"/>
    <w:rsid w:val="5CC56163"/>
    <w:rsid w:val="5D810DF0"/>
    <w:rsid w:val="5DBF2EEB"/>
    <w:rsid w:val="5DCD7F52"/>
    <w:rsid w:val="5E437DA5"/>
    <w:rsid w:val="5E752CEA"/>
    <w:rsid w:val="5E9F7435"/>
    <w:rsid w:val="5F197F02"/>
    <w:rsid w:val="5F465B03"/>
    <w:rsid w:val="5F646C0E"/>
    <w:rsid w:val="5F7F7431"/>
    <w:rsid w:val="5FBA0E88"/>
    <w:rsid w:val="602B68C3"/>
    <w:rsid w:val="60432042"/>
    <w:rsid w:val="604C342F"/>
    <w:rsid w:val="60822B6A"/>
    <w:rsid w:val="617A528A"/>
    <w:rsid w:val="617C2A61"/>
    <w:rsid w:val="61E635CD"/>
    <w:rsid w:val="625C5BC9"/>
    <w:rsid w:val="62D8451C"/>
    <w:rsid w:val="631A7A79"/>
    <w:rsid w:val="63D454B4"/>
    <w:rsid w:val="65461FD1"/>
    <w:rsid w:val="65474D35"/>
    <w:rsid w:val="65A15DC7"/>
    <w:rsid w:val="666C2CE2"/>
    <w:rsid w:val="667173B8"/>
    <w:rsid w:val="66FB157C"/>
    <w:rsid w:val="671244F9"/>
    <w:rsid w:val="672C55DE"/>
    <w:rsid w:val="678E5BEE"/>
    <w:rsid w:val="67B51A77"/>
    <w:rsid w:val="67F82970"/>
    <w:rsid w:val="68035B34"/>
    <w:rsid w:val="68696473"/>
    <w:rsid w:val="688370ED"/>
    <w:rsid w:val="693B136E"/>
    <w:rsid w:val="698931BC"/>
    <w:rsid w:val="6A1A2066"/>
    <w:rsid w:val="6A855EEE"/>
    <w:rsid w:val="6A9B532B"/>
    <w:rsid w:val="6AB8445C"/>
    <w:rsid w:val="6ADE2CC8"/>
    <w:rsid w:val="6ADF15F7"/>
    <w:rsid w:val="6AE94E76"/>
    <w:rsid w:val="6B04480B"/>
    <w:rsid w:val="6B483A74"/>
    <w:rsid w:val="6CAA6BE6"/>
    <w:rsid w:val="6D2D6E53"/>
    <w:rsid w:val="6D582D10"/>
    <w:rsid w:val="6E4D0886"/>
    <w:rsid w:val="6EFB6535"/>
    <w:rsid w:val="6F3C2A7E"/>
    <w:rsid w:val="6F3F5890"/>
    <w:rsid w:val="6F5E29F5"/>
    <w:rsid w:val="6F75237F"/>
    <w:rsid w:val="6FA1557F"/>
    <w:rsid w:val="6FBB308A"/>
    <w:rsid w:val="6FF4023B"/>
    <w:rsid w:val="6FFC691F"/>
    <w:rsid w:val="70737E30"/>
    <w:rsid w:val="70905CC7"/>
    <w:rsid w:val="70E02425"/>
    <w:rsid w:val="70EA6ACB"/>
    <w:rsid w:val="70F20B74"/>
    <w:rsid w:val="713E7841"/>
    <w:rsid w:val="714722B5"/>
    <w:rsid w:val="71CD3369"/>
    <w:rsid w:val="723605E3"/>
    <w:rsid w:val="72A84721"/>
    <w:rsid w:val="72EF0E04"/>
    <w:rsid w:val="73362E22"/>
    <w:rsid w:val="73CE5F00"/>
    <w:rsid w:val="747807AC"/>
    <w:rsid w:val="75D30C43"/>
    <w:rsid w:val="76554A32"/>
    <w:rsid w:val="76B851FC"/>
    <w:rsid w:val="772559B4"/>
    <w:rsid w:val="77A056C8"/>
    <w:rsid w:val="77F7138B"/>
    <w:rsid w:val="783748A4"/>
    <w:rsid w:val="785C59A7"/>
    <w:rsid w:val="791B3788"/>
    <w:rsid w:val="7955751A"/>
    <w:rsid w:val="795D3FA6"/>
    <w:rsid w:val="79841F42"/>
    <w:rsid w:val="79B853F7"/>
    <w:rsid w:val="79BE42D9"/>
    <w:rsid w:val="79DD7FF0"/>
    <w:rsid w:val="7A41094B"/>
    <w:rsid w:val="7A4B0019"/>
    <w:rsid w:val="7A7A343F"/>
    <w:rsid w:val="7AFD7441"/>
    <w:rsid w:val="7B8107C8"/>
    <w:rsid w:val="7BB80BF5"/>
    <w:rsid w:val="7C052E4F"/>
    <w:rsid w:val="7C134B67"/>
    <w:rsid w:val="7CD945F1"/>
    <w:rsid w:val="7D58112F"/>
    <w:rsid w:val="7DB0367D"/>
    <w:rsid w:val="7DD547CA"/>
    <w:rsid w:val="7E8471DF"/>
    <w:rsid w:val="7F2F234A"/>
    <w:rsid w:val="7FB4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kern w:val="44"/>
      <w:sz w:val="30"/>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2" w:lineRule="auto"/>
      <w:outlineLvl w:val="2"/>
    </w:pPr>
    <w:rPr>
      <w:b/>
      <w:sz w:val="32"/>
    </w:rPr>
  </w:style>
  <w:style w:type="paragraph" w:styleId="5">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link w:val="55"/>
    <w:qFormat/>
    <w:uiPriority w:val="0"/>
    <w:pPr>
      <w:jc w:val="left"/>
    </w:p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next w:val="1"/>
    <w:link w:val="57"/>
    <w:qFormat/>
    <w:uiPriority w:val="99"/>
    <w:rPr>
      <w:rFonts w:cs="Times New Roman"/>
      <w:kern w:val="0"/>
    </w:rPr>
  </w:style>
  <w:style w:type="paragraph" w:styleId="11">
    <w:name w:val="Body Text Indent"/>
    <w:basedOn w:val="1"/>
    <w:qFormat/>
    <w:uiPriority w:val="0"/>
    <w:pPr>
      <w:ind w:firstLine="480"/>
    </w:pPr>
    <w:rPr>
      <w:rFonts w:ascii="宋体" w:hAnsi="宋体"/>
    </w:rPr>
  </w:style>
  <w:style w:type="paragraph" w:styleId="12">
    <w:name w:val="toc 3"/>
    <w:basedOn w:val="1"/>
    <w:next w:val="1"/>
    <w:semiHidden/>
    <w:qFormat/>
    <w:uiPriority w:val="0"/>
    <w:pPr>
      <w:ind w:left="420"/>
      <w:jc w:val="left"/>
    </w:pPr>
    <w:rPr>
      <w:rFonts w:ascii="Times New Roman" w:hAnsi="Times New Roman" w:cs="Times New Roman"/>
      <w:i/>
      <w:iCs/>
      <w:sz w:val="20"/>
      <w:szCs w:val="20"/>
    </w:rPr>
  </w:style>
  <w:style w:type="paragraph" w:styleId="13">
    <w:name w:val="Plain Text"/>
    <w:basedOn w:val="1"/>
    <w:next w:val="5"/>
    <w:qFormat/>
    <w:uiPriority w:val="0"/>
    <w:rPr>
      <w:rFonts w:ascii="宋体" w:hAnsi="Courier New"/>
      <w:szCs w:val="21"/>
    </w:rPr>
  </w:style>
  <w:style w:type="paragraph" w:styleId="14">
    <w:name w:val="Date"/>
    <w:basedOn w:val="1"/>
    <w:next w:val="1"/>
    <w:qFormat/>
    <w:uiPriority w:val="0"/>
    <w:pPr>
      <w:autoSpaceDE w:val="0"/>
      <w:autoSpaceDN w:val="0"/>
      <w:adjustRightInd w:val="0"/>
      <w:textAlignment w:val="baseline"/>
    </w:pPr>
    <w:rPr>
      <w:rFonts w:ascii="宋体"/>
      <w:sz w:val="28"/>
    </w:rPr>
  </w:style>
  <w:style w:type="paragraph" w:styleId="15">
    <w:name w:val="Balloon Text"/>
    <w:basedOn w:val="1"/>
    <w:link w:val="21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4"/>
    <w:basedOn w:val="1"/>
    <w:next w:val="1"/>
    <w:semiHidden/>
    <w:qFormat/>
    <w:uiPriority w:val="0"/>
    <w:pPr>
      <w:ind w:left="630"/>
      <w:jc w:val="left"/>
    </w:pPr>
    <w:rPr>
      <w:rFonts w:ascii="Times New Roman" w:hAnsi="Times New Roman" w:cs="Times New Roman"/>
      <w:sz w:val="18"/>
      <w:szCs w:val="18"/>
    </w:rPr>
  </w:style>
  <w:style w:type="paragraph" w:styleId="20">
    <w:name w:val="index heading"/>
    <w:basedOn w:val="1"/>
    <w:next w:val="21"/>
    <w:qFormat/>
    <w:uiPriority w:val="0"/>
    <w:rPr>
      <w:rFonts w:ascii="Times New Roman" w:hAnsi="Times New Roman"/>
      <w:szCs w:val="20"/>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annotation subject"/>
    <w:basedOn w:val="8"/>
    <w:next w:val="8"/>
    <w:link w:val="56"/>
    <w:qFormat/>
    <w:uiPriority w:val="0"/>
    <w:rPr>
      <w:b/>
      <w:bCs/>
    </w:rPr>
  </w:style>
  <w:style w:type="paragraph" w:styleId="25">
    <w:name w:val="Body Text First Indent"/>
    <w:basedOn w:val="10"/>
    <w:next w:val="26"/>
    <w:unhideWhenUsed/>
    <w:qFormat/>
    <w:uiPriority w:val="99"/>
    <w:pPr>
      <w:ind w:firstLine="420" w:firstLineChars="100"/>
    </w:pPr>
  </w:style>
  <w:style w:type="paragraph" w:styleId="26">
    <w:name w:val="Body Text First Indent 2"/>
    <w:basedOn w:val="11"/>
    <w:next w:val="1"/>
    <w:qFormat/>
    <w:uiPriority w:val="0"/>
    <w:pPr>
      <w:tabs>
        <w:tab w:val="left" w:pos="0"/>
      </w:tabs>
      <w:ind w:firstLine="420" w:firstLineChars="200"/>
    </w:pPr>
    <w:rPr>
      <w:rFonts w:eastAsia="楷体_GB2312"/>
      <w:b/>
    </w:rPr>
  </w:style>
  <w:style w:type="table" w:styleId="28">
    <w:name w:val="Table Grid"/>
    <w:basedOn w:val="27"/>
    <w:qFormat/>
    <w:uiPriority w:val="39"/>
    <w:rPr>
      <w:rFonts w:asciiTheme="minorHAnsi" w:hAnsiTheme="minorHAnsi" w:eastAsiaTheme="minorEastAsia" w:cstheme="minorBidi"/>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99"/>
    <w:rPr>
      <w:rFonts w:ascii="Tahoma" w:hAnsi="Tahoma" w:eastAsia="宋体" w:cs="Tahoma"/>
      <w:b/>
      <w:bCs/>
      <w:spacing w:val="10"/>
      <w:sz w:val="24"/>
      <w:szCs w:val="24"/>
      <w:lang w:val="en-US" w:eastAsia="zh-CN"/>
    </w:rPr>
  </w:style>
  <w:style w:type="character" w:styleId="31">
    <w:name w:val="FollowedHyperlink"/>
    <w:basedOn w:val="29"/>
    <w:qFormat/>
    <w:uiPriority w:val="0"/>
    <w:rPr>
      <w:color w:val="800080"/>
      <w:u w:val="single"/>
    </w:rPr>
  </w:style>
  <w:style w:type="character" w:styleId="32">
    <w:name w:val="Hyperlink"/>
    <w:qFormat/>
    <w:uiPriority w:val="99"/>
    <w:rPr>
      <w:color w:val="333333"/>
      <w:u w:val="none"/>
    </w:rPr>
  </w:style>
  <w:style w:type="character" w:styleId="33">
    <w:name w:val="annotation reference"/>
    <w:basedOn w:val="29"/>
    <w:qFormat/>
    <w:uiPriority w:val="0"/>
    <w:rPr>
      <w:sz w:val="21"/>
      <w:szCs w:val="21"/>
    </w:rPr>
  </w:style>
  <w:style w:type="paragraph" w:customStyle="1" w:styleId="34">
    <w:name w:val="正常"/>
    <w:basedOn w:val="35"/>
    <w:qFormat/>
    <w:uiPriority w:val="0"/>
    <w:rPr>
      <w:sz w:val="24"/>
    </w:rPr>
  </w:style>
  <w:style w:type="paragraph" w:customStyle="1" w:styleId="35">
    <w:name w:val="小正常"/>
    <w:basedOn w:val="1"/>
    <w:qFormat/>
    <w:uiPriority w:val="0"/>
    <w:rPr>
      <w:rFonts w:cs="Times New Roman"/>
      <w:sz w:val="20"/>
      <w:szCs w:val="20"/>
    </w:rPr>
  </w:style>
  <w:style w:type="paragraph" w:customStyle="1" w:styleId="36">
    <w:name w:val="样式 10 磅"/>
    <w:qFormat/>
    <w:uiPriority w:val="0"/>
    <w:pPr>
      <w:widowControl w:val="0"/>
      <w:jc w:val="both"/>
      <w:pPrChange w:id="0" w:author="Microsoft 帐户" w:date="2026-04-08T08:06:00Z">
        <w:pPr>
          <w:widowControl w:val="0"/>
          <w:jc w:val="both"/>
        </w:pPr>
      </w:pPrChange>
    </w:pPr>
    <w:rPr>
      <w:rFonts w:ascii="Times New Roman" w:hAnsi="Times New Roman" w:eastAsia="宋体" w:cs="Times New Roman"/>
      <w:kern w:val="2"/>
      <w:sz w:val="21"/>
      <w:szCs w:val="24"/>
      <w:lang w:val="en-US" w:eastAsia="zh-CN" w:bidi="ar-SA"/>
      <w:rPrChange w:id="1" w:author="Microsoft 帐户" w:date="2026-04-08T08:06:00Z">
        <w:rPr>
          <w:rFonts w:eastAsia="宋体"/>
          <w:kern w:val="2"/>
          <w:sz w:val="21"/>
          <w:szCs w:val="24"/>
          <w:lang w:val="en-US" w:eastAsia="zh-CN" w:bidi="ar-SA"/>
        </w:rPr>
      </w:rPrChange>
    </w:rPr>
  </w:style>
  <w:style w:type="paragraph" w:customStyle="1" w:styleId="37">
    <w:name w:val="Default"/>
    <w:next w:val="38"/>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8">
    <w:name w:val="TOC 71"/>
    <w:next w:val="1"/>
    <w:qFormat/>
    <w:uiPriority w:val="0"/>
    <w:pPr>
      <w:wordWrap w:val="0"/>
      <w:ind w:left="2550"/>
      <w:jc w:val="both"/>
      <w:pPrChange w:id="2" w:author="Microsoft 帐户" w:date="2026-04-08T08:06:00Z">
        <w:pPr>
          <w:wordWrap w:val="0"/>
          <w:ind w:left="2550"/>
          <w:jc w:val="both"/>
        </w:pPr>
      </w:pPrChange>
    </w:pPr>
    <w:rPr>
      <w:rFonts w:ascii="Times New Roman" w:hAnsi="Times New Roman" w:eastAsia="宋体" w:cs="Times New Roman"/>
      <w:sz w:val="21"/>
      <w:szCs w:val="22"/>
      <w:lang w:val="en-US" w:eastAsia="zh-CN" w:bidi="ar-SA"/>
      <w:rPrChange w:id="3" w:author="Microsoft 帐户" w:date="2026-04-08T08:06:00Z">
        <w:rPr>
          <w:rFonts w:eastAsia="宋体"/>
          <w:sz w:val="21"/>
          <w:szCs w:val="22"/>
          <w:lang w:val="en-US" w:eastAsia="zh-CN" w:bidi="ar-SA"/>
        </w:rPr>
      </w:rPrChange>
    </w:rPr>
  </w:style>
  <w:style w:type="paragraph" w:customStyle="1" w:styleId="3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0">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41">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2">
    <w:name w:val="_Style 2"/>
    <w:basedOn w:val="1"/>
    <w:qFormat/>
    <w:uiPriority w:val="34"/>
    <w:pPr>
      <w:ind w:firstLine="420" w:firstLineChars="200"/>
    </w:pPr>
    <w:rPr>
      <w:szCs w:val="20"/>
    </w:rPr>
  </w:style>
  <w:style w:type="paragraph" w:styleId="43">
    <w:name w:val="List Paragraph"/>
    <w:basedOn w:val="1"/>
    <w:qFormat/>
    <w:uiPriority w:val="0"/>
    <w:pPr>
      <w:ind w:firstLine="420" w:firstLineChars="200"/>
    </w:pPr>
  </w:style>
  <w:style w:type="paragraph" w:customStyle="1" w:styleId="44">
    <w:name w:val="纯文本1"/>
    <w:basedOn w:val="1"/>
    <w:qFormat/>
    <w:uiPriority w:val="0"/>
    <w:rPr>
      <w:rFonts w:ascii="宋体" w:hAnsi="Courier New" w:cs="Times New Roman"/>
      <w:szCs w:val="22"/>
    </w:rPr>
  </w:style>
  <w:style w:type="paragraph" w:customStyle="1" w:styleId="45">
    <w:name w:val="正文缩进1"/>
    <w:basedOn w:val="1"/>
    <w:qFormat/>
    <w:uiPriority w:val="0"/>
    <w:pPr>
      <w:autoSpaceDE w:val="0"/>
      <w:autoSpaceDN w:val="0"/>
      <w:adjustRightInd w:val="0"/>
      <w:ind w:firstLine="420"/>
      <w:jc w:val="left"/>
    </w:pPr>
    <w:rPr>
      <w:rFonts w:ascii="宋体"/>
      <w:kern w:val="0"/>
      <w:sz w:val="24"/>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47">
    <w:name w:val="_Style 12"/>
    <w:basedOn w:val="1"/>
    <w:next w:val="43"/>
    <w:qFormat/>
    <w:uiPriority w:val="34"/>
    <w:pPr>
      <w:spacing w:line="360" w:lineRule="auto"/>
      <w:ind w:firstLine="420" w:firstLineChars="200"/>
    </w:pPr>
    <w:rPr>
      <w:rFonts w:ascii="Arial" w:hAnsi="Arial"/>
      <w:sz w:val="24"/>
      <w:szCs w:val="22"/>
    </w:rPr>
  </w:style>
  <w:style w:type="character" w:customStyle="1" w:styleId="48">
    <w:name w:val="标题 1 Char"/>
    <w:qFormat/>
    <w:locked/>
    <w:uiPriority w:val="99"/>
    <w:rPr>
      <w:rFonts w:ascii="Calibri" w:hAnsi="Calibri" w:cs="Calibri"/>
      <w:b/>
      <w:bCs/>
      <w:kern w:val="44"/>
      <w:sz w:val="44"/>
      <w:szCs w:val="44"/>
    </w:rPr>
  </w:style>
  <w:style w:type="paragraph" w:customStyle="1" w:styleId="49">
    <w:name w:val="09正文_wh"/>
    <w:qFormat/>
    <w:uiPriority w:val="0"/>
    <w:pPr>
      <w:spacing w:line="300" w:lineRule="auto"/>
      <w:ind w:firstLine="200" w:firstLineChars="200"/>
      <w:jc w:val="both"/>
      <w:pPrChange w:id="4" w:author="Microsoft 帐户" w:date="2026-04-08T08:06:00Z">
        <w:pPr>
          <w:spacing w:line="300" w:lineRule="auto"/>
          <w:ind w:firstLine="200" w:firstLineChars="200"/>
          <w:jc w:val="both"/>
        </w:pPr>
      </w:pPrChange>
    </w:pPr>
    <w:rPr>
      <w:rFonts w:ascii="Times New Roman" w:hAnsi="Times New Roman" w:eastAsia="宋体" w:cs="Times New Roman"/>
      <w:sz w:val="28"/>
      <w:lang w:val="en-US" w:eastAsia="zh-CN" w:bidi="ar-SA"/>
      <w:rPrChange w:id="5" w:author="Microsoft 帐户" w:date="2026-04-08T08:06:00Z">
        <w:rPr>
          <w:rFonts w:eastAsia="宋体"/>
          <w:sz w:val="28"/>
          <w:lang w:val="en-US" w:eastAsia="zh-CN" w:bidi="ar-SA"/>
        </w:rPr>
      </w:rPrChange>
    </w:rPr>
  </w:style>
  <w:style w:type="paragraph" w:customStyle="1" w:styleId="50">
    <w:name w:val="无间隔1"/>
    <w:qFormat/>
    <w:uiPriority w:val="0"/>
    <w:pPr>
      <w:widowControl w:val="0"/>
      <w:jc w:val="both"/>
      <w:pPrChange w:id="6" w:author="Microsoft 帐户" w:date="2026-04-08T08:06:00Z">
        <w:pPr>
          <w:widowControl w:val="0"/>
          <w:jc w:val="both"/>
        </w:pPr>
      </w:pPrChange>
    </w:pPr>
    <w:rPr>
      <w:rFonts w:ascii="Times New Roman" w:hAnsi="Times New Roman" w:eastAsia="宋体" w:cs="Times New Roman"/>
      <w:kern w:val="2"/>
      <w:sz w:val="21"/>
      <w:szCs w:val="22"/>
      <w:lang w:val="en-US" w:eastAsia="zh-CN" w:bidi="ar-SA"/>
      <w:rPrChange w:id="7" w:author="Microsoft 帐户" w:date="2026-04-08T08:06:00Z">
        <w:rPr>
          <w:rFonts w:eastAsia="宋体"/>
          <w:kern w:val="2"/>
          <w:sz w:val="21"/>
          <w:szCs w:val="22"/>
          <w:lang w:val="en-US" w:eastAsia="zh-CN" w:bidi="ar-SA"/>
        </w:rPr>
      </w:rPrChange>
    </w:rPr>
  </w:style>
  <w:style w:type="paragraph" w:customStyle="1" w:styleId="51">
    <w:name w:val="Table Paragraph"/>
    <w:basedOn w:val="1"/>
    <w:qFormat/>
    <w:uiPriority w:val="99"/>
    <w:pPr>
      <w:autoSpaceDE w:val="0"/>
      <w:autoSpaceDN w:val="0"/>
      <w:jc w:val="left"/>
    </w:pPr>
    <w:rPr>
      <w:rFonts w:ascii="宋体" w:hAnsi="宋体"/>
      <w:kern w:val="0"/>
      <w:sz w:val="22"/>
      <w:szCs w:val="22"/>
      <w:lang w:eastAsia="en-US"/>
    </w:rPr>
  </w:style>
  <w:style w:type="paragraph" w:customStyle="1" w:styleId="52">
    <w:name w:val="正文（缩进 2 字符）"/>
    <w:basedOn w:val="1"/>
    <w:qFormat/>
    <w:uiPriority w:val="99"/>
    <w:pPr>
      <w:ind w:firstLine="200" w:firstLineChars="200"/>
    </w:p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宋体" w:hAnsi="宋体"/>
      <w:sz w:val="23"/>
      <w:szCs w:val="23"/>
      <w:lang w:eastAsia="en-US"/>
    </w:rPr>
  </w:style>
  <w:style w:type="character" w:customStyle="1" w:styleId="55">
    <w:name w:val="批注文字 Char"/>
    <w:basedOn w:val="29"/>
    <w:link w:val="8"/>
    <w:qFormat/>
    <w:uiPriority w:val="0"/>
    <w:rPr>
      <w:rFonts w:ascii="Calibri" w:hAnsi="Calibri" w:cs="宋体"/>
      <w:kern w:val="2"/>
      <w:sz w:val="21"/>
      <w:szCs w:val="24"/>
    </w:rPr>
  </w:style>
  <w:style w:type="character" w:customStyle="1" w:styleId="56">
    <w:name w:val="批注主题 Char"/>
    <w:basedOn w:val="55"/>
    <w:link w:val="24"/>
    <w:qFormat/>
    <w:uiPriority w:val="0"/>
    <w:rPr>
      <w:rFonts w:ascii="Calibri" w:hAnsi="Calibri" w:cs="宋体"/>
      <w:b/>
      <w:bCs/>
      <w:kern w:val="2"/>
      <w:sz w:val="21"/>
      <w:szCs w:val="24"/>
    </w:rPr>
  </w:style>
  <w:style w:type="character" w:customStyle="1" w:styleId="57">
    <w:name w:val="正文文本 Char"/>
    <w:basedOn w:val="29"/>
    <w:link w:val="10"/>
    <w:qFormat/>
    <w:uiPriority w:val="99"/>
    <w:rPr>
      <w:rFonts w:ascii="Calibri" w:hAnsi="Calibri"/>
      <w:sz w:val="21"/>
      <w:szCs w:val="24"/>
    </w:rPr>
  </w:style>
  <w:style w:type="character" w:customStyle="1" w:styleId="58">
    <w:name w:val="cm-builtin"/>
    <w:basedOn w:val="29"/>
    <w:qFormat/>
    <w:uiPriority w:val="0"/>
    <w:rPr>
      <w:color w:val="FF9D00"/>
    </w:rPr>
  </w:style>
  <w:style w:type="character" w:customStyle="1" w:styleId="59">
    <w:name w:val="cm-attribute"/>
    <w:basedOn w:val="29"/>
    <w:qFormat/>
    <w:uiPriority w:val="0"/>
    <w:rPr>
      <w:color w:val="82C6E0"/>
    </w:rPr>
  </w:style>
  <w:style w:type="character" w:customStyle="1" w:styleId="60">
    <w:name w:val="cm-attribute1"/>
    <w:basedOn w:val="29"/>
    <w:qFormat/>
    <w:uiPriority w:val="0"/>
    <w:rPr>
      <w:color w:val="3300AA"/>
    </w:rPr>
  </w:style>
  <w:style w:type="character" w:customStyle="1" w:styleId="61">
    <w:name w:val="cm-attribute2"/>
    <w:basedOn w:val="29"/>
    <w:qFormat/>
    <w:uiPriority w:val="0"/>
    <w:rPr>
      <w:color w:val="90A959"/>
    </w:rPr>
  </w:style>
  <w:style w:type="character" w:customStyle="1" w:styleId="62">
    <w:name w:val="cm-attribute3"/>
    <w:basedOn w:val="29"/>
    <w:qFormat/>
    <w:uiPriority w:val="0"/>
    <w:rPr>
      <w:color w:val="66D9EF"/>
    </w:rPr>
  </w:style>
  <w:style w:type="character" w:customStyle="1" w:styleId="63">
    <w:name w:val="cm-attribute4"/>
    <w:basedOn w:val="29"/>
    <w:qFormat/>
    <w:uiPriority w:val="0"/>
    <w:rPr>
      <w:color w:val="3300AA"/>
    </w:rPr>
  </w:style>
  <w:style w:type="character" w:customStyle="1" w:styleId="64">
    <w:name w:val="cm-attribute5"/>
    <w:basedOn w:val="29"/>
    <w:qFormat/>
    <w:uiPriority w:val="0"/>
    <w:rPr>
      <w:color w:val="FF9E59"/>
    </w:rPr>
  </w:style>
  <w:style w:type="character" w:customStyle="1" w:styleId="65">
    <w:name w:val="cm-attribute6"/>
    <w:basedOn w:val="29"/>
    <w:qFormat/>
    <w:uiPriority w:val="0"/>
    <w:rPr>
      <w:color w:val="50FA7B"/>
    </w:rPr>
  </w:style>
  <w:style w:type="character" w:customStyle="1" w:styleId="66">
    <w:name w:val="cm-attribute7"/>
    <w:basedOn w:val="29"/>
    <w:qFormat/>
    <w:uiPriority w:val="0"/>
    <w:rPr>
      <w:color w:val="2D2006"/>
    </w:rPr>
  </w:style>
  <w:style w:type="character" w:customStyle="1" w:styleId="67">
    <w:name w:val="cm-attribute8"/>
    <w:basedOn w:val="29"/>
    <w:qFormat/>
    <w:uiPriority w:val="0"/>
    <w:rPr>
      <w:color w:val="7EA656"/>
    </w:rPr>
  </w:style>
  <w:style w:type="character" w:customStyle="1" w:styleId="68">
    <w:name w:val="cm-variable-2"/>
    <w:basedOn w:val="29"/>
    <w:qFormat/>
    <w:uiPriority w:val="0"/>
    <w:rPr>
      <w:color w:val="7BD827"/>
    </w:rPr>
  </w:style>
  <w:style w:type="character" w:customStyle="1" w:styleId="69">
    <w:name w:val="cm-special"/>
    <w:basedOn w:val="29"/>
    <w:qFormat/>
    <w:uiPriority w:val="0"/>
    <w:rPr>
      <w:color w:val="FF9D00"/>
    </w:rPr>
  </w:style>
  <w:style w:type="character" w:customStyle="1" w:styleId="70">
    <w:name w:val="cm-tag"/>
    <w:basedOn w:val="29"/>
    <w:qFormat/>
    <w:uiPriority w:val="0"/>
    <w:rPr>
      <w:color w:val="7BD827"/>
    </w:rPr>
  </w:style>
  <w:style w:type="character" w:customStyle="1" w:styleId="71">
    <w:name w:val="cm-tag1"/>
    <w:basedOn w:val="29"/>
    <w:qFormat/>
    <w:uiPriority w:val="0"/>
    <w:rPr>
      <w:color w:val="000000"/>
    </w:rPr>
  </w:style>
  <w:style w:type="character" w:customStyle="1" w:styleId="72">
    <w:name w:val="cm-tag2"/>
    <w:basedOn w:val="29"/>
    <w:qFormat/>
    <w:uiPriority w:val="0"/>
    <w:rPr>
      <w:color w:val="6A9FB5"/>
    </w:rPr>
  </w:style>
  <w:style w:type="character" w:customStyle="1" w:styleId="73">
    <w:name w:val="cm-tag3"/>
    <w:basedOn w:val="29"/>
    <w:qFormat/>
    <w:uiPriority w:val="0"/>
    <w:rPr>
      <w:color w:val="9EFFFF"/>
    </w:rPr>
  </w:style>
  <w:style w:type="character" w:customStyle="1" w:styleId="74">
    <w:name w:val="cm-tag4"/>
    <w:basedOn w:val="29"/>
    <w:qFormat/>
    <w:uiPriority w:val="0"/>
    <w:rPr>
      <w:color w:val="0000C0"/>
    </w:rPr>
  </w:style>
  <w:style w:type="character" w:customStyle="1" w:styleId="75">
    <w:name w:val="cm-tag5"/>
    <w:basedOn w:val="29"/>
    <w:qFormat/>
    <w:uiPriority w:val="0"/>
    <w:rPr>
      <w:color w:val="9EFFFF"/>
    </w:rPr>
  </w:style>
  <w:style w:type="character" w:customStyle="1" w:styleId="76">
    <w:name w:val="cm-tag6"/>
    <w:basedOn w:val="29"/>
    <w:qFormat/>
    <w:uiPriority w:val="0"/>
    <w:rPr>
      <w:color w:val="FFFFFF"/>
    </w:rPr>
  </w:style>
  <w:style w:type="character" w:customStyle="1" w:styleId="77">
    <w:name w:val="cm-tag7"/>
    <w:basedOn w:val="29"/>
    <w:qFormat/>
    <w:uiPriority w:val="0"/>
    <w:rPr>
      <w:color w:val="896724"/>
    </w:rPr>
  </w:style>
  <w:style w:type="character" w:customStyle="1" w:styleId="78">
    <w:name w:val="cm-tag8"/>
    <w:basedOn w:val="29"/>
    <w:qFormat/>
    <w:uiPriority w:val="0"/>
    <w:rPr>
      <w:i/>
      <w:iCs/>
      <w:color w:val="669900"/>
    </w:rPr>
  </w:style>
  <w:style w:type="character" w:customStyle="1" w:styleId="79">
    <w:name w:val="cm-tag9"/>
    <w:basedOn w:val="29"/>
    <w:qFormat/>
    <w:uiPriority w:val="0"/>
    <w:rPr>
      <w:color w:val="000000"/>
    </w:rPr>
  </w:style>
  <w:style w:type="character" w:customStyle="1" w:styleId="80">
    <w:name w:val="not([class*=suffix])"/>
    <w:basedOn w:val="29"/>
    <w:qFormat/>
    <w:uiPriority w:val="0"/>
  </w:style>
  <w:style w:type="character" w:customStyle="1" w:styleId="81">
    <w:name w:val="cm-operator"/>
    <w:basedOn w:val="29"/>
    <w:qFormat/>
    <w:uiPriority w:val="0"/>
    <w:rPr>
      <w:color w:val="000000"/>
    </w:rPr>
  </w:style>
  <w:style w:type="character" w:customStyle="1" w:styleId="82">
    <w:name w:val="cm-unit"/>
    <w:basedOn w:val="29"/>
    <w:qFormat/>
    <w:uiPriority w:val="0"/>
    <w:rPr>
      <w:color w:val="063289"/>
    </w:rPr>
  </w:style>
  <w:style w:type="character" w:customStyle="1" w:styleId="83">
    <w:name w:val="hover"/>
    <w:basedOn w:val="29"/>
    <w:qFormat/>
    <w:uiPriority w:val="0"/>
    <w:rPr>
      <w:color w:val="8B02B5"/>
    </w:rPr>
  </w:style>
  <w:style w:type="character" w:customStyle="1" w:styleId="84">
    <w:name w:val="cm-variable-3"/>
    <w:basedOn w:val="29"/>
    <w:qFormat/>
    <w:uiPriority w:val="0"/>
    <w:rPr>
      <w:color w:val="FFFFFF"/>
    </w:rPr>
  </w:style>
  <w:style w:type="character" w:customStyle="1" w:styleId="85">
    <w:name w:val="cm-variable-31"/>
    <w:basedOn w:val="29"/>
    <w:qFormat/>
    <w:uiPriority w:val="0"/>
    <w:rPr>
      <w:color w:val="000000"/>
    </w:rPr>
  </w:style>
  <w:style w:type="character" w:customStyle="1" w:styleId="86">
    <w:name w:val="cm-variable-32"/>
    <w:basedOn w:val="29"/>
    <w:qFormat/>
    <w:uiPriority w:val="0"/>
    <w:rPr>
      <w:color w:val="66D9EF"/>
    </w:rPr>
  </w:style>
  <w:style w:type="character" w:customStyle="1" w:styleId="87">
    <w:name w:val="cm-variable-33"/>
    <w:basedOn w:val="29"/>
    <w:qFormat/>
    <w:uiPriority w:val="0"/>
    <w:rPr>
      <w:color w:val="000000"/>
    </w:rPr>
  </w:style>
  <w:style w:type="character" w:customStyle="1" w:styleId="88">
    <w:name w:val="cm-variable-34"/>
    <w:basedOn w:val="29"/>
    <w:qFormat/>
    <w:uiPriority w:val="0"/>
    <w:rPr>
      <w:color w:val="FFFFFF"/>
    </w:rPr>
  </w:style>
  <w:style w:type="character" w:customStyle="1" w:styleId="89">
    <w:name w:val="cm-variable-35"/>
    <w:basedOn w:val="29"/>
    <w:qFormat/>
    <w:uiPriority w:val="0"/>
    <w:rPr>
      <w:color w:val="FF79C6"/>
    </w:rPr>
  </w:style>
  <w:style w:type="character" w:customStyle="1" w:styleId="90">
    <w:name w:val="cm-variable-36"/>
    <w:basedOn w:val="29"/>
    <w:qFormat/>
    <w:uiPriority w:val="0"/>
    <w:rPr>
      <w:color w:val="1659DF"/>
    </w:rPr>
  </w:style>
  <w:style w:type="character" w:customStyle="1" w:styleId="91">
    <w:name w:val="cm-variable-37"/>
    <w:basedOn w:val="29"/>
    <w:qFormat/>
    <w:uiPriority w:val="0"/>
    <w:rPr>
      <w:color w:val="0077AA"/>
    </w:rPr>
  </w:style>
  <w:style w:type="character" w:customStyle="1" w:styleId="92">
    <w:name w:val="cm-variable-38"/>
    <w:basedOn w:val="29"/>
    <w:qFormat/>
    <w:uiPriority w:val="0"/>
    <w:rPr>
      <w:color w:val="000000"/>
    </w:rPr>
  </w:style>
  <w:style w:type="character" w:customStyle="1" w:styleId="93">
    <w:name w:val="cm-variable4"/>
    <w:basedOn w:val="29"/>
    <w:qFormat/>
    <w:uiPriority w:val="0"/>
    <w:rPr>
      <w:color w:val="000000"/>
    </w:rPr>
  </w:style>
  <w:style w:type="character" w:customStyle="1" w:styleId="94">
    <w:name w:val="cm-em2"/>
    <w:basedOn w:val="29"/>
    <w:qFormat/>
    <w:uiPriority w:val="0"/>
    <w:rPr>
      <w:color w:val="2D2006"/>
    </w:rPr>
  </w:style>
  <w:style w:type="character" w:customStyle="1" w:styleId="95">
    <w:name w:val="cm-bracket"/>
    <w:basedOn w:val="29"/>
    <w:qFormat/>
    <w:uiPriority w:val="0"/>
    <w:rPr>
      <w:color w:val="FF00FF"/>
    </w:rPr>
  </w:style>
  <w:style w:type="character" w:customStyle="1" w:styleId="96">
    <w:name w:val="cm-bracket1"/>
    <w:basedOn w:val="29"/>
    <w:qFormat/>
    <w:uiPriority w:val="0"/>
    <w:rPr>
      <w:color w:val="CCCC77"/>
      <w:shd w:val="clear" w:color="auto" w:fill="FFFAE3"/>
    </w:rPr>
  </w:style>
  <w:style w:type="character" w:customStyle="1" w:styleId="97">
    <w:name w:val="cm-bracket2"/>
    <w:basedOn w:val="29"/>
    <w:qFormat/>
    <w:uiPriority w:val="0"/>
    <w:rPr>
      <w:color w:val="90A959"/>
    </w:rPr>
  </w:style>
  <w:style w:type="character" w:customStyle="1" w:styleId="98">
    <w:name w:val="cm-bracket3"/>
    <w:basedOn w:val="29"/>
    <w:qFormat/>
    <w:uiPriority w:val="0"/>
    <w:rPr>
      <w:color w:val="F8F8F2"/>
    </w:rPr>
  </w:style>
  <w:style w:type="character" w:customStyle="1" w:styleId="99">
    <w:name w:val="cm-bracket4"/>
    <w:basedOn w:val="29"/>
    <w:qFormat/>
    <w:uiPriority w:val="0"/>
    <w:rPr>
      <w:color w:val="000000"/>
      <w:shd w:val="clear" w:color="auto" w:fill="E8F2FF"/>
    </w:rPr>
  </w:style>
  <w:style w:type="character" w:customStyle="1" w:styleId="100">
    <w:name w:val="cm-bracket5"/>
    <w:basedOn w:val="29"/>
    <w:qFormat/>
    <w:uiPriority w:val="0"/>
    <w:rPr>
      <w:color w:val="D8D8D8"/>
    </w:rPr>
  </w:style>
  <w:style w:type="character" w:customStyle="1" w:styleId="101">
    <w:name w:val="cm-bracket6"/>
    <w:basedOn w:val="29"/>
    <w:qFormat/>
    <w:uiPriority w:val="0"/>
    <w:rPr>
      <w:color w:val="063289"/>
      <w:shd w:val="clear" w:color="auto" w:fill="E3DCCE"/>
    </w:rPr>
  </w:style>
  <w:style w:type="character" w:customStyle="1" w:styleId="102">
    <w:name w:val="cm-bracket7"/>
    <w:basedOn w:val="29"/>
    <w:qFormat/>
    <w:uiPriority w:val="0"/>
    <w:rPr>
      <w:color w:val="000000"/>
      <w:shd w:val="clear" w:color="auto" w:fill="E8F2FF"/>
    </w:rPr>
  </w:style>
  <w:style w:type="character" w:customStyle="1" w:styleId="103">
    <w:name w:val="cm-header4"/>
    <w:basedOn w:val="29"/>
    <w:qFormat/>
    <w:uiPriority w:val="0"/>
    <w:rPr>
      <w:color w:val="AE81FF"/>
    </w:rPr>
  </w:style>
  <w:style w:type="character" w:customStyle="1" w:styleId="104">
    <w:name w:val="cm-qualifier"/>
    <w:basedOn w:val="29"/>
    <w:qFormat/>
    <w:uiPriority w:val="0"/>
    <w:rPr>
      <w:color w:val="555555"/>
    </w:rPr>
  </w:style>
  <w:style w:type="character" w:customStyle="1" w:styleId="105">
    <w:name w:val="cm-link6"/>
    <w:basedOn w:val="29"/>
    <w:qFormat/>
    <w:uiPriority w:val="0"/>
    <w:rPr>
      <w:color w:val="F4C20B"/>
    </w:rPr>
  </w:style>
  <w:style w:type="character" w:customStyle="1" w:styleId="106">
    <w:name w:val="cm-link7"/>
    <w:basedOn w:val="29"/>
    <w:qFormat/>
    <w:uiPriority w:val="0"/>
    <w:rPr>
      <w:color w:val="0000FF"/>
    </w:rPr>
  </w:style>
  <w:style w:type="character" w:customStyle="1" w:styleId="107">
    <w:name w:val="cm-link8"/>
    <w:basedOn w:val="29"/>
    <w:qFormat/>
    <w:uiPriority w:val="0"/>
    <w:rPr>
      <w:color w:val="AA759F"/>
    </w:rPr>
  </w:style>
  <w:style w:type="character" w:customStyle="1" w:styleId="108">
    <w:name w:val="cm-link9"/>
    <w:basedOn w:val="29"/>
    <w:qFormat/>
    <w:uiPriority w:val="0"/>
    <w:rPr>
      <w:color w:val="AE81FF"/>
    </w:rPr>
  </w:style>
  <w:style w:type="character" w:customStyle="1" w:styleId="109">
    <w:name w:val="cm-link10"/>
    <w:basedOn w:val="29"/>
    <w:qFormat/>
    <w:uiPriority w:val="0"/>
    <w:rPr>
      <w:color w:val="555555"/>
    </w:rPr>
  </w:style>
  <w:style w:type="character" w:customStyle="1" w:styleId="110">
    <w:name w:val="cm-link11"/>
    <w:basedOn w:val="29"/>
    <w:qFormat/>
    <w:uiPriority w:val="0"/>
    <w:rPr>
      <w:color w:val="845DC4"/>
    </w:rPr>
  </w:style>
  <w:style w:type="character" w:customStyle="1" w:styleId="111">
    <w:name w:val="cm-link12"/>
    <w:basedOn w:val="29"/>
    <w:qFormat/>
    <w:uiPriority w:val="0"/>
    <w:rPr>
      <w:color w:val="063289"/>
    </w:rPr>
  </w:style>
  <w:style w:type="character" w:customStyle="1" w:styleId="112">
    <w:name w:val="cm-number"/>
    <w:basedOn w:val="29"/>
    <w:qFormat/>
    <w:uiPriority w:val="0"/>
    <w:rPr>
      <w:color w:val="82C6E0"/>
    </w:rPr>
  </w:style>
  <w:style w:type="character" w:customStyle="1" w:styleId="113">
    <w:name w:val="cm-number1"/>
    <w:basedOn w:val="29"/>
    <w:qFormat/>
    <w:uiPriority w:val="0"/>
    <w:rPr>
      <w:color w:val="0000FF"/>
    </w:rPr>
  </w:style>
  <w:style w:type="character" w:customStyle="1" w:styleId="114">
    <w:name w:val="cm-number2"/>
    <w:basedOn w:val="29"/>
    <w:qFormat/>
    <w:uiPriority w:val="0"/>
    <w:rPr>
      <w:color w:val="AA759F"/>
    </w:rPr>
  </w:style>
  <w:style w:type="character" w:customStyle="1" w:styleId="115">
    <w:name w:val="cm-number3"/>
    <w:basedOn w:val="29"/>
    <w:qFormat/>
    <w:uiPriority w:val="0"/>
    <w:rPr>
      <w:color w:val="AE81FF"/>
    </w:rPr>
  </w:style>
  <w:style w:type="character" w:customStyle="1" w:styleId="116">
    <w:name w:val="cm-number4"/>
    <w:basedOn w:val="29"/>
    <w:qFormat/>
    <w:uiPriority w:val="0"/>
    <w:rPr>
      <w:color w:val="116644"/>
    </w:rPr>
  </w:style>
  <w:style w:type="character" w:customStyle="1" w:styleId="117">
    <w:name w:val="cm-number5"/>
    <w:basedOn w:val="29"/>
    <w:qFormat/>
    <w:uiPriority w:val="0"/>
    <w:rPr>
      <w:color w:val="FF80E1"/>
    </w:rPr>
  </w:style>
  <w:style w:type="character" w:customStyle="1" w:styleId="118">
    <w:name w:val="cm-number6"/>
    <w:basedOn w:val="29"/>
    <w:qFormat/>
    <w:uiPriority w:val="0"/>
    <w:rPr>
      <w:color w:val="50FA7B"/>
    </w:rPr>
  </w:style>
  <w:style w:type="character" w:customStyle="1" w:styleId="119">
    <w:name w:val="cm-number7"/>
    <w:basedOn w:val="29"/>
    <w:qFormat/>
    <w:uiPriority w:val="0"/>
    <w:rPr>
      <w:color w:val="2D2006"/>
    </w:rPr>
  </w:style>
  <w:style w:type="character" w:customStyle="1" w:styleId="120">
    <w:name w:val="cm-number8"/>
    <w:basedOn w:val="29"/>
    <w:qFormat/>
    <w:uiPriority w:val="0"/>
    <w:rPr>
      <w:color w:val="116644"/>
    </w:rPr>
  </w:style>
  <w:style w:type="character" w:customStyle="1" w:styleId="121">
    <w:name w:val="cm-atom"/>
    <w:basedOn w:val="29"/>
    <w:qFormat/>
    <w:uiPriority w:val="0"/>
    <w:rPr>
      <w:color w:val="F4C20B"/>
    </w:rPr>
  </w:style>
  <w:style w:type="character" w:customStyle="1" w:styleId="122">
    <w:name w:val="cm-atom1"/>
    <w:basedOn w:val="29"/>
    <w:qFormat/>
    <w:uiPriority w:val="0"/>
    <w:rPr>
      <w:b/>
      <w:bCs/>
      <w:color w:val="000080"/>
    </w:rPr>
  </w:style>
  <w:style w:type="character" w:customStyle="1" w:styleId="123">
    <w:name w:val="cm-atom2"/>
    <w:basedOn w:val="29"/>
    <w:qFormat/>
    <w:uiPriority w:val="0"/>
    <w:rPr>
      <w:color w:val="AA759F"/>
    </w:rPr>
  </w:style>
  <w:style w:type="character" w:customStyle="1" w:styleId="124">
    <w:name w:val="cm-atom3"/>
    <w:basedOn w:val="29"/>
    <w:qFormat/>
    <w:uiPriority w:val="0"/>
    <w:rPr>
      <w:color w:val="AE81FF"/>
    </w:rPr>
  </w:style>
  <w:style w:type="character" w:customStyle="1" w:styleId="125">
    <w:name w:val="cm-atom4"/>
    <w:basedOn w:val="29"/>
    <w:qFormat/>
    <w:uiPriority w:val="0"/>
    <w:rPr>
      <w:color w:val="221199"/>
    </w:rPr>
  </w:style>
  <w:style w:type="character" w:customStyle="1" w:styleId="126">
    <w:name w:val="cm-atom5"/>
    <w:basedOn w:val="29"/>
    <w:qFormat/>
    <w:uiPriority w:val="0"/>
    <w:rPr>
      <w:color w:val="845DC4"/>
    </w:rPr>
  </w:style>
  <w:style w:type="character" w:customStyle="1" w:styleId="127">
    <w:name w:val="cm-atom6"/>
    <w:basedOn w:val="29"/>
    <w:qFormat/>
    <w:uiPriority w:val="0"/>
    <w:rPr>
      <w:color w:val="BD93F9"/>
    </w:rPr>
  </w:style>
  <w:style w:type="character" w:customStyle="1" w:styleId="128">
    <w:name w:val="cm-atom7"/>
    <w:basedOn w:val="29"/>
    <w:qFormat/>
    <w:uiPriority w:val="0"/>
    <w:rPr>
      <w:color w:val="063289"/>
    </w:rPr>
  </w:style>
  <w:style w:type="character" w:customStyle="1" w:styleId="129">
    <w:name w:val="cm-atom8"/>
    <w:basedOn w:val="29"/>
    <w:qFormat/>
    <w:uiPriority w:val="0"/>
    <w:rPr>
      <w:color w:val="6C8CD5"/>
    </w:rPr>
  </w:style>
  <w:style w:type="character" w:customStyle="1" w:styleId="130">
    <w:name w:val="cm-comment5"/>
    <w:basedOn w:val="29"/>
    <w:qFormat/>
    <w:uiPriority w:val="0"/>
    <w:rPr>
      <w:i/>
      <w:iCs/>
      <w:color w:val="999999"/>
    </w:rPr>
  </w:style>
  <w:style w:type="character" w:customStyle="1" w:styleId="131">
    <w:name w:val="cm-comment6"/>
    <w:basedOn w:val="29"/>
    <w:qFormat/>
    <w:uiPriority w:val="0"/>
    <w:rPr>
      <w:color w:val="808080"/>
    </w:rPr>
  </w:style>
  <w:style w:type="character" w:customStyle="1" w:styleId="132">
    <w:name w:val="cm-comment7"/>
    <w:basedOn w:val="29"/>
    <w:qFormat/>
    <w:uiPriority w:val="0"/>
    <w:rPr>
      <w:color w:val="8F5536"/>
    </w:rPr>
  </w:style>
  <w:style w:type="character" w:customStyle="1" w:styleId="133">
    <w:name w:val="cm-comment8"/>
    <w:basedOn w:val="29"/>
    <w:qFormat/>
    <w:uiPriority w:val="0"/>
    <w:rPr>
      <w:color w:val="75715E"/>
    </w:rPr>
  </w:style>
  <w:style w:type="character" w:customStyle="1" w:styleId="134">
    <w:name w:val="cm-comment9"/>
    <w:basedOn w:val="29"/>
    <w:qFormat/>
    <w:uiPriority w:val="0"/>
    <w:rPr>
      <w:color w:val="3F7F5F"/>
    </w:rPr>
  </w:style>
  <w:style w:type="character" w:customStyle="1" w:styleId="135">
    <w:name w:val="cm-comment10"/>
    <w:basedOn w:val="29"/>
    <w:qFormat/>
    <w:uiPriority w:val="0"/>
    <w:rPr>
      <w:color w:val="0088FF"/>
    </w:rPr>
  </w:style>
  <w:style w:type="character" w:customStyle="1" w:styleId="136">
    <w:name w:val="cm-comment11"/>
    <w:basedOn w:val="29"/>
    <w:qFormat/>
    <w:uiPriority w:val="0"/>
    <w:rPr>
      <w:color w:val="6272A4"/>
    </w:rPr>
  </w:style>
  <w:style w:type="character" w:customStyle="1" w:styleId="137">
    <w:name w:val="cm-comment12"/>
    <w:basedOn w:val="29"/>
    <w:qFormat/>
    <w:uiPriority w:val="0"/>
    <w:rPr>
      <w:color w:val="B6AD9A"/>
    </w:rPr>
  </w:style>
  <w:style w:type="character" w:customStyle="1" w:styleId="138">
    <w:name w:val="cm-comment13"/>
    <w:basedOn w:val="29"/>
    <w:qFormat/>
    <w:uiPriority w:val="0"/>
    <w:rPr>
      <w:i/>
      <w:iCs/>
      <w:color w:val="0080FF"/>
    </w:rPr>
  </w:style>
  <w:style w:type="character" w:customStyle="1" w:styleId="139">
    <w:name w:val="cm-type"/>
    <w:basedOn w:val="29"/>
    <w:qFormat/>
    <w:uiPriority w:val="0"/>
    <w:rPr>
      <w:color w:val="FFFFFF"/>
    </w:rPr>
  </w:style>
  <w:style w:type="character" w:customStyle="1" w:styleId="140">
    <w:name w:val="cm-type1"/>
    <w:basedOn w:val="29"/>
    <w:qFormat/>
    <w:uiPriority w:val="0"/>
    <w:rPr>
      <w:color w:val="000000"/>
    </w:rPr>
  </w:style>
  <w:style w:type="character" w:customStyle="1" w:styleId="141">
    <w:name w:val="cm-type2"/>
    <w:basedOn w:val="29"/>
    <w:qFormat/>
    <w:uiPriority w:val="0"/>
    <w:rPr>
      <w:color w:val="66D9EF"/>
    </w:rPr>
  </w:style>
  <w:style w:type="character" w:customStyle="1" w:styleId="142">
    <w:name w:val="cm-type3"/>
    <w:basedOn w:val="29"/>
    <w:qFormat/>
    <w:uiPriority w:val="0"/>
    <w:rPr>
      <w:color w:val="0000C0"/>
    </w:rPr>
  </w:style>
  <w:style w:type="character" w:customStyle="1" w:styleId="143">
    <w:name w:val="cm-type4"/>
    <w:basedOn w:val="29"/>
    <w:qFormat/>
    <w:uiPriority w:val="0"/>
    <w:rPr>
      <w:color w:val="FFB86C"/>
    </w:rPr>
  </w:style>
  <w:style w:type="character" w:customStyle="1" w:styleId="144">
    <w:name w:val="cm-type5"/>
    <w:basedOn w:val="29"/>
    <w:qFormat/>
    <w:uiPriority w:val="0"/>
    <w:rPr>
      <w:color w:val="896724"/>
    </w:rPr>
  </w:style>
  <w:style w:type="character" w:customStyle="1" w:styleId="145">
    <w:name w:val="cm-type6"/>
    <w:basedOn w:val="29"/>
    <w:qFormat/>
    <w:uiPriority w:val="0"/>
    <w:rPr>
      <w:color w:val="0077AA"/>
    </w:rPr>
  </w:style>
  <w:style w:type="character" w:customStyle="1" w:styleId="146">
    <w:name w:val="cm-type7"/>
    <w:basedOn w:val="29"/>
    <w:qFormat/>
    <w:uiPriority w:val="0"/>
    <w:rPr>
      <w:color w:val="000000"/>
    </w:rPr>
  </w:style>
  <w:style w:type="character" w:customStyle="1" w:styleId="147">
    <w:name w:val="cm-keyword"/>
    <w:basedOn w:val="29"/>
    <w:qFormat/>
    <w:uiPriority w:val="0"/>
    <w:rPr>
      <w:color w:val="FF00FF"/>
    </w:rPr>
  </w:style>
  <w:style w:type="character" w:customStyle="1" w:styleId="148">
    <w:name w:val="cm-keyword1"/>
    <w:basedOn w:val="29"/>
    <w:qFormat/>
    <w:uiPriority w:val="0"/>
    <w:rPr>
      <w:b/>
      <w:bCs/>
      <w:color w:val="000080"/>
    </w:rPr>
  </w:style>
  <w:style w:type="character" w:customStyle="1" w:styleId="149">
    <w:name w:val="cm-keyword2"/>
    <w:basedOn w:val="29"/>
    <w:qFormat/>
    <w:uiPriority w:val="0"/>
    <w:rPr>
      <w:color w:val="AC4142"/>
    </w:rPr>
  </w:style>
  <w:style w:type="character" w:customStyle="1" w:styleId="150">
    <w:name w:val="cm-keyword3"/>
    <w:basedOn w:val="29"/>
    <w:qFormat/>
    <w:uiPriority w:val="0"/>
    <w:rPr>
      <w:color w:val="F92672"/>
    </w:rPr>
  </w:style>
  <w:style w:type="character" w:customStyle="1" w:styleId="151">
    <w:name w:val="cm-keyword4"/>
    <w:basedOn w:val="29"/>
    <w:qFormat/>
    <w:uiPriority w:val="0"/>
    <w:rPr>
      <w:b/>
      <w:bCs/>
      <w:color w:val="7F0055"/>
    </w:rPr>
  </w:style>
  <w:style w:type="character" w:customStyle="1" w:styleId="152">
    <w:name w:val="cm-keyword5"/>
    <w:basedOn w:val="29"/>
    <w:qFormat/>
    <w:uiPriority w:val="0"/>
    <w:rPr>
      <w:color w:val="FFEE80"/>
    </w:rPr>
  </w:style>
  <w:style w:type="character" w:customStyle="1" w:styleId="153">
    <w:name w:val="cm-keyword6"/>
    <w:basedOn w:val="29"/>
    <w:qFormat/>
    <w:uiPriority w:val="0"/>
    <w:rPr>
      <w:color w:val="FF79C6"/>
    </w:rPr>
  </w:style>
  <w:style w:type="character" w:customStyle="1" w:styleId="154">
    <w:name w:val="cm-keyword7"/>
    <w:basedOn w:val="29"/>
    <w:qFormat/>
    <w:uiPriority w:val="0"/>
    <w:rPr>
      <w:color w:val="063289"/>
    </w:rPr>
  </w:style>
  <w:style w:type="character" w:customStyle="1" w:styleId="155">
    <w:name w:val="cm-keyword8"/>
    <w:basedOn w:val="29"/>
    <w:qFormat/>
    <w:uiPriority w:val="0"/>
    <w:rPr>
      <w:b/>
      <w:bCs/>
      <w:color w:val="5A5CAD"/>
    </w:rPr>
  </w:style>
  <w:style w:type="character" w:customStyle="1" w:styleId="156">
    <w:name w:val="cm-string"/>
    <w:basedOn w:val="29"/>
    <w:qFormat/>
    <w:uiPriority w:val="0"/>
    <w:rPr>
      <w:color w:val="F08047"/>
    </w:rPr>
  </w:style>
  <w:style w:type="character" w:customStyle="1" w:styleId="157">
    <w:name w:val="cm-string1"/>
    <w:basedOn w:val="29"/>
    <w:qFormat/>
    <w:uiPriority w:val="0"/>
    <w:rPr>
      <w:color w:val="008000"/>
    </w:rPr>
  </w:style>
  <w:style w:type="character" w:customStyle="1" w:styleId="158">
    <w:name w:val="cm-string2"/>
    <w:basedOn w:val="29"/>
    <w:qFormat/>
    <w:uiPriority w:val="0"/>
    <w:rPr>
      <w:color w:val="F4BF75"/>
    </w:rPr>
  </w:style>
  <w:style w:type="character" w:customStyle="1" w:styleId="159">
    <w:name w:val="cm-string3"/>
    <w:basedOn w:val="29"/>
    <w:qFormat/>
    <w:uiPriority w:val="0"/>
    <w:rPr>
      <w:color w:val="E6DB74"/>
    </w:rPr>
  </w:style>
  <w:style w:type="character" w:customStyle="1" w:styleId="160">
    <w:name w:val="cm-string4"/>
    <w:basedOn w:val="29"/>
    <w:qFormat/>
    <w:uiPriority w:val="0"/>
    <w:rPr>
      <w:color w:val="2A00FF"/>
    </w:rPr>
  </w:style>
  <w:style w:type="character" w:customStyle="1" w:styleId="161">
    <w:name w:val="cm-string5"/>
    <w:basedOn w:val="29"/>
    <w:qFormat/>
    <w:uiPriority w:val="0"/>
    <w:rPr>
      <w:color w:val="3AD900"/>
    </w:rPr>
  </w:style>
  <w:style w:type="character" w:customStyle="1" w:styleId="162">
    <w:name w:val="cm-string6"/>
    <w:basedOn w:val="29"/>
    <w:qFormat/>
    <w:uiPriority w:val="0"/>
    <w:rPr>
      <w:color w:val="F08047"/>
    </w:rPr>
  </w:style>
  <w:style w:type="character" w:customStyle="1" w:styleId="163">
    <w:name w:val="cm-string7"/>
    <w:basedOn w:val="29"/>
    <w:qFormat/>
    <w:uiPriority w:val="0"/>
    <w:rPr>
      <w:color w:val="F1FA8C"/>
    </w:rPr>
  </w:style>
  <w:style w:type="character" w:customStyle="1" w:styleId="164">
    <w:name w:val="cm-string8"/>
    <w:basedOn w:val="29"/>
    <w:qFormat/>
    <w:uiPriority w:val="0"/>
    <w:rPr>
      <w:color w:val="1659DF"/>
    </w:rPr>
  </w:style>
  <w:style w:type="character" w:customStyle="1" w:styleId="165">
    <w:name w:val="cm-string9"/>
    <w:basedOn w:val="29"/>
    <w:qFormat/>
    <w:uiPriority w:val="0"/>
    <w:rPr>
      <w:color w:val="FF0000"/>
    </w:rPr>
  </w:style>
  <w:style w:type="character" w:customStyle="1" w:styleId="166">
    <w:name w:val="cm-meta"/>
    <w:basedOn w:val="29"/>
    <w:qFormat/>
    <w:uiPriority w:val="0"/>
    <w:rPr>
      <w:color w:val="FF00FF"/>
    </w:rPr>
  </w:style>
  <w:style w:type="character" w:customStyle="1" w:styleId="167">
    <w:name w:val="cm-meta1"/>
    <w:basedOn w:val="29"/>
    <w:qFormat/>
    <w:uiPriority w:val="0"/>
    <w:rPr>
      <w:color w:val="808000"/>
    </w:rPr>
  </w:style>
  <w:style w:type="character" w:customStyle="1" w:styleId="168">
    <w:name w:val="cm-meta2"/>
    <w:basedOn w:val="29"/>
    <w:qFormat/>
    <w:uiPriority w:val="0"/>
    <w:rPr>
      <w:color w:val="FF1717"/>
    </w:rPr>
  </w:style>
  <w:style w:type="character" w:customStyle="1" w:styleId="169">
    <w:name w:val="cm-meta3"/>
    <w:basedOn w:val="29"/>
    <w:qFormat/>
    <w:uiPriority w:val="0"/>
    <w:rPr>
      <w:color w:val="FF9D00"/>
    </w:rPr>
  </w:style>
  <w:style w:type="character" w:customStyle="1" w:styleId="170">
    <w:name w:val="cm-meta4"/>
    <w:basedOn w:val="29"/>
    <w:qFormat/>
    <w:uiPriority w:val="0"/>
    <w:rPr>
      <w:color w:val="F8F8F2"/>
    </w:rPr>
  </w:style>
  <w:style w:type="character" w:customStyle="1" w:styleId="171">
    <w:name w:val="cm-meta5"/>
    <w:basedOn w:val="29"/>
    <w:qFormat/>
    <w:uiPriority w:val="0"/>
    <w:rPr>
      <w:color w:val="FFFF00"/>
    </w:rPr>
  </w:style>
  <w:style w:type="character" w:customStyle="1" w:styleId="172">
    <w:name w:val="cm-def8"/>
    <w:basedOn w:val="29"/>
    <w:qFormat/>
    <w:uiPriority w:val="0"/>
    <w:rPr>
      <w:color w:val="FFFFFF"/>
    </w:rPr>
  </w:style>
  <w:style w:type="character" w:customStyle="1" w:styleId="173">
    <w:name w:val="cm-def9"/>
    <w:basedOn w:val="29"/>
    <w:qFormat/>
    <w:uiPriority w:val="0"/>
    <w:rPr>
      <w:color w:val="000000"/>
    </w:rPr>
  </w:style>
  <w:style w:type="character" w:customStyle="1" w:styleId="174">
    <w:name w:val="cm-def10"/>
    <w:basedOn w:val="29"/>
    <w:qFormat/>
    <w:uiPriority w:val="0"/>
    <w:rPr>
      <w:color w:val="D28445"/>
    </w:rPr>
  </w:style>
  <w:style w:type="character" w:customStyle="1" w:styleId="175">
    <w:name w:val="cm-def11"/>
    <w:basedOn w:val="29"/>
    <w:qFormat/>
    <w:uiPriority w:val="0"/>
    <w:rPr>
      <w:color w:val="FD971F"/>
    </w:rPr>
  </w:style>
  <w:style w:type="character" w:customStyle="1" w:styleId="176">
    <w:name w:val="cm-def12"/>
    <w:basedOn w:val="29"/>
    <w:qFormat/>
    <w:uiPriority w:val="0"/>
    <w:rPr>
      <w:color w:val="0000FF"/>
    </w:rPr>
  </w:style>
  <w:style w:type="character" w:customStyle="1" w:styleId="177">
    <w:name w:val="cm-def13"/>
    <w:basedOn w:val="29"/>
    <w:qFormat/>
    <w:uiPriority w:val="0"/>
    <w:rPr>
      <w:color w:val="FFFFFF"/>
    </w:rPr>
  </w:style>
  <w:style w:type="character" w:customStyle="1" w:styleId="178">
    <w:name w:val="cm-def14"/>
    <w:basedOn w:val="29"/>
    <w:qFormat/>
    <w:uiPriority w:val="0"/>
    <w:rPr>
      <w:color w:val="50FA7B"/>
    </w:rPr>
  </w:style>
  <w:style w:type="character" w:customStyle="1" w:styleId="179">
    <w:name w:val="cm-def15"/>
    <w:basedOn w:val="29"/>
    <w:qFormat/>
    <w:uiPriority w:val="0"/>
    <w:rPr>
      <w:color w:val="2D2006"/>
    </w:rPr>
  </w:style>
  <w:style w:type="character" w:customStyle="1" w:styleId="180">
    <w:name w:val="cm-def16"/>
    <w:basedOn w:val="29"/>
    <w:qFormat/>
    <w:uiPriority w:val="0"/>
    <w:rPr>
      <w:i/>
      <w:iCs/>
      <w:color w:val="0077AA"/>
    </w:rPr>
  </w:style>
  <w:style w:type="character" w:customStyle="1" w:styleId="181">
    <w:name w:val="cm-def17"/>
    <w:basedOn w:val="29"/>
    <w:qFormat/>
    <w:uiPriority w:val="0"/>
    <w:rPr>
      <w:u w:val="single"/>
    </w:rPr>
  </w:style>
  <w:style w:type="character" w:customStyle="1" w:styleId="182">
    <w:name w:val="cm-string-2"/>
    <w:basedOn w:val="29"/>
    <w:qFormat/>
    <w:uiPriority w:val="0"/>
    <w:rPr>
      <w:color w:val="008000"/>
    </w:rPr>
  </w:style>
  <w:style w:type="character" w:customStyle="1" w:styleId="183">
    <w:name w:val="cm-string-21"/>
    <w:basedOn w:val="29"/>
    <w:qFormat/>
    <w:uiPriority w:val="0"/>
    <w:rPr>
      <w:color w:val="F1FA8C"/>
    </w:rPr>
  </w:style>
  <w:style w:type="character" w:customStyle="1" w:styleId="184">
    <w:name w:val="codemirror-matchingbracket"/>
    <w:basedOn w:val="29"/>
    <w:qFormat/>
    <w:uiPriority w:val="0"/>
    <w:rPr>
      <w:color w:val="FF00FF"/>
    </w:rPr>
  </w:style>
  <w:style w:type="character" w:customStyle="1" w:styleId="185">
    <w:name w:val="codemirror-matchingbracket1"/>
    <w:basedOn w:val="29"/>
    <w:qFormat/>
    <w:uiPriority w:val="0"/>
  </w:style>
  <w:style w:type="character" w:customStyle="1" w:styleId="186">
    <w:name w:val="codemirror-matchingbracket2"/>
    <w:basedOn w:val="29"/>
    <w:qFormat/>
    <w:uiPriority w:val="0"/>
    <w:rPr>
      <w:color w:val="00BB00"/>
    </w:rPr>
  </w:style>
  <w:style w:type="character" w:customStyle="1" w:styleId="187">
    <w:name w:val="cm-error"/>
    <w:basedOn w:val="29"/>
    <w:qFormat/>
    <w:uiPriority w:val="0"/>
    <w:rPr>
      <w:color w:val="AF2018"/>
    </w:rPr>
  </w:style>
  <w:style w:type="character" w:customStyle="1" w:styleId="188">
    <w:name w:val="cm-error1"/>
    <w:basedOn w:val="29"/>
    <w:qFormat/>
    <w:uiPriority w:val="0"/>
    <w:rPr>
      <w:color w:val="000000"/>
    </w:rPr>
  </w:style>
  <w:style w:type="character" w:customStyle="1" w:styleId="189">
    <w:name w:val="cm-error2"/>
    <w:basedOn w:val="29"/>
    <w:qFormat/>
    <w:uiPriority w:val="0"/>
    <w:rPr>
      <w:color w:val="505050"/>
      <w:shd w:val="clear" w:color="auto" w:fill="AC4142"/>
    </w:rPr>
  </w:style>
  <w:style w:type="character" w:customStyle="1" w:styleId="190">
    <w:name w:val="cm-error3"/>
    <w:basedOn w:val="29"/>
    <w:qFormat/>
    <w:uiPriority w:val="0"/>
    <w:rPr>
      <w:color w:val="FFFFFF"/>
      <w:u w:val="single"/>
      <w:shd w:val="clear" w:color="auto" w:fill="F92672"/>
    </w:rPr>
  </w:style>
  <w:style w:type="character" w:customStyle="1" w:styleId="191">
    <w:name w:val="cm-error4"/>
    <w:basedOn w:val="29"/>
    <w:qFormat/>
    <w:uiPriority w:val="0"/>
    <w:rPr>
      <w:color w:val="000000"/>
    </w:rPr>
  </w:style>
  <w:style w:type="character" w:customStyle="1" w:styleId="192">
    <w:name w:val="cm-error5"/>
    <w:basedOn w:val="29"/>
    <w:qFormat/>
    <w:uiPriority w:val="0"/>
    <w:rPr>
      <w:color w:val="9D1E15"/>
    </w:rPr>
  </w:style>
  <w:style w:type="character" w:customStyle="1" w:styleId="193">
    <w:name w:val="cm-error6"/>
    <w:basedOn w:val="29"/>
    <w:qFormat/>
    <w:uiPriority w:val="0"/>
    <w:rPr>
      <w:color w:val="FAF8F5"/>
      <w:u w:val="single"/>
    </w:rPr>
  </w:style>
  <w:style w:type="character" w:customStyle="1" w:styleId="194">
    <w:name w:val="cm-error7"/>
    <w:basedOn w:val="29"/>
    <w:qFormat/>
    <w:uiPriority w:val="0"/>
    <w:rPr>
      <w:color w:val="000000"/>
      <w:shd w:val="clear" w:color="auto" w:fill="FFFF00"/>
    </w:rPr>
  </w:style>
  <w:style w:type="character" w:customStyle="1" w:styleId="195">
    <w:name w:val="cm-invalidchar2"/>
    <w:basedOn w:val="29"/>
    <w:qFormat/>
    <w:uiPriority w:val="0"/>
    <w:rPr>
      <w:color w:val="FF0000"/>
    </w:rPr>
  </w:style>
  <w:style w:type="character" w:customStyle="1" w:styleId="196">
    <w:name w:val="cm-property4"/>
    <w:basedOn w:val="29"/>
    <w:qFormat/>
    <w:uiPriority w:val="0"/>
    <w:rPr>
      <w:color w:val="000000"/>
    </w:rPr>
  </w:style>
  <w:style w:type="character" w:customStyle="1" w:styleId="197">
    <w:name w:val="cm-property5"/>
    <w:basedOn w:val="29"/>
    <w:qFormat/>
    <w:uiPriority w:val="0"/>
    <w:rPr>
      <w:color w:val="90A959"/>
    </w:rPr>
  </w:style>
  <w:style w:type="character" w:customStyle="1" w:styleId="198">
    <w:name w:val="cm-property6"/>
    <w:basedOn w:val="29"/>
    <w:qFormat/>
    <w:uiPriority w:val="0"/>
    <w:rPr>
      <w:color w:val="A6E22E"/>
    </w:rPr>
  </w:style>
  <w:style w:type="character" w:customStyle="1" w:styleId="199">
    <w:name w:val="cm-property7"/>
    <w:basedOn w:val="29"/>
    <w:qFormat/>
    <w:uiPriority w:val="0"/>
    <w:rPr>
      <w:color w:val="000000"/>
    </w:rPr>
  </w:style>
  <w:style w:type="character" w:customStyle="1" w:styleId="200">
    <w:name w:val="cm-property8"/>
    <w:basedOn w:val="29"/>
    <w:qFormat/>
    <w:uiPriority w:val="0"/>
    <w:rPr>
      <w:color w:val="66D9EF"/>
    </w:rPr>
  </w:style>
  <w:style w:type="character" w:customStyle="1" w:styleId="201">
    <w:name w:val="cm-property9"/>
    <w:basedOn w:val="29"/>
    <w:qFormat/>
    <w:uiPriority w:val="0"/>
    <w:rPr>
      <w:color w:val="B29762"/>
    </w:rPr>
  </w:style>
  <w:style w:type="character" w:customStyle="1" w:styleId="202">
    <w:name w:val="codemirror-nonmatchingbracket"/>
    <w:basedOn w:val="29"/>
    <w:qFormat/>
    <w:uiPriority w:val="0"/>
    <w:rPr>
      <w:color w:val="AA2222"/>
    </w:rPr>
  </w:style>
  <w:style w:type="character" w:customStyle="1" w:styleId="203">
    <w:name w:val="codemirror-selectedtext"/>
    <w:basedOn w:val="29"/>
    <w:qFormat/>
    <w:uiPriority w:val="0"/>
  </w:style>
  <w:style w:type="character" w:customStyle="1" w:styleId="204">
    <w:name w:val="cm-positive2"/>
    <w:basedOn w:val="29"/>
    <w:qFormat/>
    <w:uiPriority w:val="0"/>
    <w:rPr>
      <w:color w:val="896724"/>
    </w:rPr>
  </w:style>
  <w:style w:type="character" w:customStyle="1" w:styleId="205">
    <w:name w:val="cm-quote2"/>
    <w:basedOn w:val="29"/>
    <w:qFormat/>
    <w:uiPriority w:val="0"/>
    <w:rPr>
      <w:color w:val="063289"/>
    </w:rPr>
  </w:style>
  <w:style w:type="character" w:customStyle="1" w:styleId="206">
    <w:name w:val="cm-punctuation"/>
    <w:basedOn w:val="29"/>
    <w:qFormat/>
    <w:uiPriority w:val="0"/>
    <w:rPr>
      <w:color w:val="063289"/>
    </w:rPr>
  </w:style>
  <w:style w:type="character" w:customStyle="1" w:styleId="207">
    <w:name w:val="cm-url"/>
    <w:basedOn w:val="29"/>
    <w:qFormat/>
    <w:uiPriority w:val="0"/>
    <w:rPr>
      <w:color w:val="896724"/>
    </w:rPr>
  </w:style>
  <w:style w:type="character" w:customStyle="1" w:styleId="208">
    <w:name w:val="cm-negative2"/>
    <w:basedOn w:val="29"/>
    <w:qFormat/>
    <w:uiPriority w:val="0"/>
    <w:rPr>
      <w:color w:val="063289"/>
    </w:rPr>
  </w:style>
  <w:style w:type="character" w:customStyle="1" w:styleId="209">
    <w:name w:val="cm-hr3"/>
    <w:basedOn w:val="29"/>
    <w:qFormat/>
    <w:uiPriority w:val="0"/>
    <w:rPr>
      <w:color w:val="063289"/>
    </w:rPr>
  </w:style>
  <w:style w:type="paragraph" w:customStyle="1" w:styleId="210">
    <w:name w:val="null3"/>
    <w:hidden/>
    <w:qFormat/>
    <w:uiPriority w:val="0"/>
    <w:rPr>
      <w:rFonts w:hint="eastAsia" w:asciiTheme="minorHAnsi" w:hAnsiTheme="minorHAnsi" w:eastAsiaTheme="minorEastAsia" w:cstheme="minorBidi"/>
      <w:lang w:val="en-US" w:eastAsia="zh-Hans" w:bidi="ar-SA"/>
    </w:rPr>
  </w:style>
  <w:style w:type="paragraph" w:customStyle="1" w:styleId="211">
    <w:name w:val="*正文"/>
    <w:basedOn w:val="1"/>
    <w:qFormat/>
    <w:uiPriority w:val="0"/>
    <w:pPr>
      <w:spacing w:line="360" w:lineRule="auto"/>
      <w:pPrChange w:id="8" w:author="Microsoft 帐户" w:date="2026-04-08T08:06:00Z">
        <w:pPr>
          <w:widowControl w:val="0"/>
          <w:spacing w:line="360" w:lineRule="auto"/>
          <w:jc w:val="both"/>
        </w:pPr>
      </w:pPrChange>
    </w:pPr>
    <w:rPr>
      <w:rFonts w:eastAsiaTheme="minorEastAsia"/>
      <w:rPrChange w:id="9" w:author="Microsoft 帐户" w:date="2026-04-08T08:06:00Z">
        <w:rPr>
          <w:rFonts w:ascii="Calibri" w:hAnsi="Calibri" w:cs="宋体" w:eastAsiaTheme="minorEastAsia"/>
          <w:kern w:val="2"/>
          <w:sz w:val="21"/>
          <w:szCs w:val="24"/>
          <w:lang w:val="en-US" w:eastAsia="zh-CN" w:bidi="ar-SA"/>
        </w:rPr>
      </w:rPrChange>
    </w:rPr>
  </w:style>
  <w:style w:type="paragraph" w:customStyle="1" w:styleId="212">
    <w:name w:val="正文一"/>
    <w:basedOn w:val="1"/>
    <w:qFormat/>
    <w:uiPriority w:val="0"/>
    <w:pPr>
      <w:widowControl/>
      <w:spacing w:before="120" w:after="120" w:line="360" w:lineRule="auto"/>
      <w:ind w:firstLine="200" w:firstLineChars="200"/>
      <w:jc w:val="left"/>
      <w:pPrChange w:id="10" w:author="Microsoft 帐户" w:date="2026-04-08T08:06:00Z">
        <w:pPr>
          <w:spacing w:before="120" w:after="120" w:line="360" w:lineRule="auto"/>
          <w:ind w:firstLine="200" w:firstLineChars="200"/>
        </w:pPr>
      </w:pPrChange>
    </w:pPr>
    <w:rPr>
      <w:rFonts w:ascii="Times New Roman" w:hAnsi="Times New Roman"/>
      <w:kern w:val="0"/>
      <w:szCs w:val="21"/>
      <w:rPrChange w:id="11" w:author="Microsoft 帐户" w:date="2026-04-08T08:06:00Z">
        <w:rPr>
          <w:rFonts w:eastAsia="宋体" w:cs="宋体"/>
          <w:sz w:val="21"/>
          <w:szCs w:val="21"/>
          <w:lang w:val="en-US" w:eastAsia="zh-CN" w:bidi="ar-SA"/>
        </w:rPr>
      </w:rPrChange>
    </w:rPr>
  </w:style>
  <w:style w:type="paragraph" w:customStyle="1" w:styleId="213">
    <w:name w:val="正文首行缩进（绿盟科技）"/>
    <w:basedOn w:val="1"/>
    <w:qFormat/>
    <w:uiPriority w:val="99"/>
    <w:pPr>
      <w:widowControl/>
      <w:spacing w:after="50" w:line="300" w:lineRule="auto"/>
      <w:ind w:firstLine="200" w:firstLineChars="200"/>
      <w:jc w:val="left"/>
      <w:pPrChange w:id="12" w:author="Microsoft 帐户" w:date="2026-04-08T08:06:00Z">
        <w:pPr>
          <w:spacing w:after="50" w:line="300" w:lineRule="auto"/>
          <w:ind w:firstLine="200" w:firstLineChars="200"/>
        </w:pPr>
      </w:pPrChange>
    </w:pPr>
    <w:rPr>
      <w:rFonts w:ascii="Arial" w:hAnsi="Arial" w:cs="Times New Roman"/>
      <w:kern w:val="0"/>
      <w:szCs w:val="21"/>
      <w:rPrChange w:id="13" w:author="Microsoft 帐户" w:date="2026-04-08T08:06:00Z">
        <w:rPr>
          <w:rFonts w:ascii="Arial" w:hAnsi="Arial" w:eastAsia="宋体"/>
          <w:sz w:val="21"/>
          <w:szCs w:val="21"/>
          <w:lang w:val="en-US" w:eastAsia="zh-CN" w:bidi="ar-SA"/>
        </w:rPr>
      </w:rPrChange>
    </w:rPr>
  </w:style>
  <w:style w:type="character" w:customStyle="1" w:styleId="214">
    <w:name w:val="批注框文本 Char"/>
    <w:basedOn w:val="29"/>
    <w:link w:val="15"/>
    <w:qFormat/>
    <w:uiPriority w:val="0"/>
    <w:rPr>
      <w:rFonts w:ascii="Calibri" w:hAnsi="Calibri" w:cs="宋体"/>
      <w:kern w:val="2"/>
      <w:sz w:val="18"/>
      <w:szCs w:val="18"/>
    </w:rPr>
  </w:style>
  <w:style w:type="character" w:customStyle="1" w:styleId="215">
    <w:name w:val="cm-comment"/>
    <w:basedOn w:val="29"/>
    <w:qFormat/>
    <w:uiPriority w:val="0"/>
    <w:rPr>
      <w:i/>
      <w:iCs/>
      <w:color w:val="999999"/>
    </w:rPr>
  </w:style>
  <w:style w:type="character" w:customStyle="1" w:styleId="216">
    <w:name w:val="cm-link"/>
    <w:basedOn w:val="29"/>
    <w:qFormat/>
    <w:uiPriority w:val="0"/>
    <w:rPr>
      <w:color w:val="F4C20B"/>
    </w:rPr>
  </w:style>
  <w:style w:type="character" w:customStyle="1" w:styleId="217">
    <w:name w:val="cm-link1"/>
    <w:basedOn w:val="29"/>
    <w:qFormat/>
    <w:uiPriority w:val="0"/>
    <w:rPr>
      <w:color w:val="FF9E59"/>
    </w:rPr>
  </w:style>
  <w:style w:type="character" w:customStyle="1" w:styleId="218">
    <w:name w:val="cm-link2"/>
    <w:basedOn w:val="29"/>
    <w:qFormat/>
    <w:uiPriority w:val="0"/>
    <w:rPr>
      <w:color w:val="66D9EF"/>
    </w:rPr>
  </w:style>
  <w:style w:type="character" w:customStyle="1" w:styleId="219">
    <w:name w:val="cm-link3"/>
    <w:basedOn w:val="29"/>
    <w:qFormat/>
    <w:uiPriority w:val="0"/>
    <w:rPr>
      <w:color w:val="8F5536"/>
    </w:rPr>
  </w:style>
  <w:style w:type="character" w:customStyle="1" w:styleId="220">
    <w:name w:val="cm-link4"/>
    <w:basedOn w:val="29"/>
    <w:qFormat/>
    <w:uiPriority w:val="0"/>
    <w:rPr>
      <w:color w:val="063289"/>
    </w:rPr>
  </w:style>
  <w:style w:type="character" w:customStyle="1" w:styleId="221">
    <w:name w:val="cm-link5"/>
    <w:basedOn w:val="29"/>
    <w:qFormat/>
    <w:uiPriority w:val="0"/>
    <w:rPr>
      <w:color w:val="3300AA"/>
    </w:rPr>
  </w:style>
  <w:style w:type="character" w:customStyle="1" w:styleId="222">
    <w:name w:val="cm-hr"/>
    <w:basedOn w:val="29"/>
    <w:qFormat/>
    <w:uiPriority w:val="0"/>
    <w:rPr>
      <w:color w:val="063289"/>
    </w:rPr>
  </w:style>
  <w:style w:type="character" w:customStyle="1" w:styleId="223">
    <w:name w:val="cm-variable-21"/>
    <w:basedOn w:val="29"/>
    <w:qFormat/>
    <w:uiPriority w:val="0"/>
    <w:rPr>
      <w:color w:val="9EFFFF"/>
    </w:rPr>
  </w:style>
  <w:style w:type="character" w:customStyle="1" w:styleId="224">
    <w:name w:val="cm-variable-22"/>
    <w:basedOn w:val="29"/>
    <w:qFormat/>
    <w:uiPriority w:val="0"/>
    <w:rPr>
      <w:color w:val="9EFFFF"/>
    </w:rPr>
  </w:style>
  <w:style w:type="character" w:customStyle="1" w:styleId="225">
    <w:name w:val="cm-variable-23"/>
    <w:basedOn w:val="29"/>
    <w:qFormat/>
    <w:uiPriority w:val="0"/>
    <w:rPr>
      <w:color w:val="6A9FB5"/>
    </w:rPr>
  </w:style>
  <w:style w:type="character" w:customStyle="1" w:styleId="226">
    <w:name w:val="cm-variable-24"/>
    <w:basedOn w:val="29"/>
    <w:qFormat/>
    <w:uiPriority w:val="0"/>
    <w:rPr>
      <w:color w:val="FFFFFF"/>
    </w:rPr>
  </w:style>
  <w:style w:type="character" w:customStyle="1" w:styleId="227">
    <w:name w:val="cm-variable-25"/>
    <w:basedOn w:val="29"/>
    <w:qFormat/>
    <w:uiPriority w:val="0"/>
    <w:rPr>
      <w:i/>
      <w:iCs/>
      <w:color w:val="669900"/>
      <w:u w:val="none"/>
    </w:rPr>
  </w:style>
  <w:style w:type="character" w:customStyle="1" w:styleId="228">
    <w:name w:val="cm-variable-26"/>
    <w:basedOn w:val="29"/>
    <w:qFormat/>
    <w:uiPriority w:val="0"/>
    <w:rPr>
      <w:color w:val="0000C0"/>
    </w:rPr>
  </w:style>
  <w:style w:type="character" w:customStyle="1" w:styleId="229">
    <w:name w:val="cm-variable-27"/>
    <w:basedOn w:val="29"/>
    <w:qFormat/>
    <w:uiPriority w:val="0"/>
    <w:rPr>
      <w:color w:val="000000"/>
    </w:rPr>
  </w:style>
  <w:style w:type="character" w:customStyle="1" w:styleId="230">
    <w:name w:val="cm-variable-28"/>
    <w:basedOn w:val="29"/>
    <w:qFormat/>
    <w:uiPriority w:val="0"/>
    <w:rPr>
      <w:color w:val="000000"/>
    </w:rPr>
  </w:style>
  <w:style w:type="character" w:customStyle="1" w:styleId="231">
    <w:name w:val="cm-variable-29"/>
    <w:basedOn w:val="29"/>
    <w:qFormat/>
    <w:uiPriority w:val="0"/>
    <w:rPr>
      <w:color w:val="896724"/>
    </w:rPr>
  </w:style>
  <w:style w:type="character" w:customStyle="1" w:styleId="232">
    <w:name w:val="cm-def"/>
    <w:basedOn w:val="29"/>
    <w:qFormat/>
    <w:uiPriority w:val="0"/>
    <w:rPr>
      <w:color w:val="FFFFFF"/>
    </w:rPr>
  </w:style>
  <w:style w:type="character" w:customStyle="1" w:styleId="233">
    <w:name w:val="cm-def1"/>
    <w:basedOn w:val="29"/>
    <w:qFormat/>
    <w:uiPriority w:val="0"/>
    <w:rPr>
      <w:color w:val="FFFFFF"/>
    </w:rPr>
  </w:style>
  <w:style w:type="character" w:customStyle="1" w:styleId="234">
    <w:name w:val="cm-def2"/>
    <w:basedOn w:val="29"/>
    <w:qFormat/>
    <w:uiPriority w:val="0"/>
    <w:rPr>
      <w:color w:val="FD971F"/>
    </w:rPr>
  </w:style>
  <w:style w:type="character" w:customStyle="1" w:styleId="235">
    <w:name w:val="cm-def3"/>
    <w:basedOn w:val="29"/>
    <w:qFormat/>
    <w:uiPriority w:val="0"/>
    <w:rPr>
      <w:color w:val="D28445"/>
    </w:rPr>
  </w:style>
  <w:style w:type="character" w:customStyle="1" w:styleId="236">
    <w:name w:val="cm-def4"/>
    <w:basedOn w:val="29"/>
    <w:qFormat/>
    <w:uiPriority w:val="0"/>
    <w:rPr>
      <w:color w:val="50FA7B"/>
    </w:rPr>
  </w:style>
  <w:style w:type="character" w:customStyle="1" w:styleId="237">
    <w:name w:val="cm-def5"/>
    <w:basedOn w:val="29"/>
    <w:qFormat/>
    <w:uiPriority w:val="0"/>
    <w:rPr>
      <w:i/>
      <w:iCs/>
      <w:color w:val="0077AA"/>
    </w:rPr>
  </w:style>
  <w:style w:type="character" w:customStyle="1" w:styleId="238">
    <w:name w:val="cm-def6"/>
    <w:basedOn w:val="29"/>
    <w:qFormat/>
    <w:uiPriority w:val="0"/>
    <w:rPr>
      <w:color w:val="0000FF"/>
    </w:rPr>
  </w:style>
  <w:style w:type="character" w:customStyle="1" w:styleId="239">
    <w:name w:val="cm-def7"/>
    <w:basedOn w:val="29"/>
    <w:qFormat/>
    <w:uiPriority w:val="0"/>
    <w:rPr>
      <w:u w:val="single"/>
    </w:rPr>
  </w:style>
  <w:style w:type="character" w:customStyle="1" w:styleId="240">
    <w:name w:val="cm-special1"/>
    <w:basedOn w:val="29"/>
    <w:qFormat/>
    <w:uiPriority w:val="0"/>
    <w:rPr>
      <w:color w:val="FF9E59"/>
    </w:rPr>
  </w:style>
  <w:style w:type="character" w:customStyle="1" w:styleId="241">
    <w:name w:val="not([class*=suffix])1"/>
    <w:basedOn w:val="29"/>
    <w:qFormat/>
    <w:uiPriority w:val="0"/>
  </w:style>
  <w:style w:type="character" w:customStyle="1" w:styleId="242">
    <w:name w:val="cm-operator6"/>
    <w:basedOn w:val="29"/>
    <w:qFormat/>
    <w:uiPriority w:val="0"/>
    <w:rPr>
      <w:color w:val="FF79C6"/>
    </w:rPr>
  </w:style>
  <w:style w:type="character" w:customStyle="1" w:styleId="243">
    <w:name w:val="cm-property10"/>
    <w:basedOn w:val="29"/>
    <w:qFormat/>
    <w:uiPriority w:val="0"/>
    <w:rPr>
      <w:color w:val="000000"/>
    </w:rPr>
  </w:style>
  <w:style w:type="character" w:customStyle="1" w:styleId="244">
    <w:name w:val="cm-property11"/>
    <w:basedOn w:val="29"/>
    <w:qFormat/>
    <w:uiPriority w:val="0"/>
    <w:rPr>
      <w:color w:val="1659DF"/>
    </w:rPr>
  </w:style>
  <w:style w:type="character" w:customStyle="1" w:styleId="245">
    <w:name w:val="cm-variable6"/>
    <w:basedOn w:val="29"/>
    <w:qFormat/>
    <w:uiPriority w:val="0"/>
    <w:rPr>
      <w:color w:val="F8F8F2"/>
    </w:rPr>
  </w:style>
  <w:style w:type="character" w:customStyle="1" w:styleId="246">
    <w:name w:val="cm-variable7"/>
    <w:basedOn w:val="29"/>
    <w:qFormat/>
    <w:uiPriority w:val="0"/>
    <w:rPr>
      <w:color w:val="90A959"/>
    </w:rPr>
  </w:style>
  <w:style w:type="character" w:customStyle="1" w:styleId="247">
    <w:name w:val="cm-variable8"/>
    <w:basedOn w:val="29"/>
    <w:qFormat/>
    <w:uiPriority w:val="0"/>
    <w:rPr>
      <w:color w:val="50FA7B"/>
    </w:rPr>
  </w:style>
  <w:style w:type="character" w:customStyle="1" w:styleId="248">
    <w:name w:val="cm-variable9"/>
    <w:basedOn w:val="29"/>
    <w:qFormat/>
    <w:uiPriority w:val="0"/>
    <w:rPr>
      <w:color w:val="000000"/>
    </w:rPr>
  </w:style>
  <w:style w:type="character" w:customStyle="1" w:styleId="249">
    <w:name w:val="cm-variable10"/>
    <w:basedOn w:val="29"/>
    <w:qFormat/>
    <w:uiPriority w:val="0"/>
    <w:rPr>
      <w:color w:val="000000"/>
    </w:rPr>
  </w:style>
  <w:style w:type="character" w:customStyle="1" w:styleId="250">
    <w:name w:val="cm-variable11"/>
    <w:basedOn w:val="29"/>
    <w:uiPriority w:val="0"/>
    <w:rPr>
      <w:color w:val="000000"/>
    </w:rPr>
  </w:style>
  <w:style w:type="character" w:customStyle="1" w:styleId="251">
    <w:name w:val="cm-variable12"/>
    <w:basedOn w:val="29"/>
    <w:qFormat/>
    <w:uiPriority w:val="0"/>
    <w:rPr>
      <w:color w:val="063289"/>
    </w:rPr>
  </w:style>
  <w:style w:type="character" w:customStyle="1" w:styleId="252">
    <w:name w:val="cm-header6"/>
    <w:basedOn w:val="29"/>
    <w:qFormat/>
    <w:uiPriority w:val="0"/>
    <w:rPr>
      <w:color w:val="AE81FF"/>
    </w:rPr>
  </w:style>
  <w:style w:type="character" w:customStyle="1" w:styleId="253">
    <w:name w:val="cm-header7"/>
    <w:basedOn w:val="29"/>
    <w:qFormat/>
    <w:uiPriority w:val="0"/>
    <w:rPr>
      <w:color w:val="2D2006"/>
    </w:rPr>
  </w:style>
  <w:style w:type="character" w:customStyle="1" w:styleId="254">
    <w:name w:val="cm-string-28"/>
    <w:basedOn w:val="29"/>
    <w:qFormat/>
    <w:uiPriority w:val="0"/>
    <w:rPr>
      <w:color w:val="F1FA8C"/>
    </w:rPr>
  </w:style>
  <w:style w:type="character" w:customStyle="1" w:styleId="255">
    <w:name w:val="cm-string-29"/>
    <w:basedOn w:val="29"/>
    <w:uiPriority w:val="0"/>
    <w:rPr>
      <w:color w:val="FF5500"/>
    </w:rPr>
  </w:style>
  <w:style w:type="character" w:customStyle="1" w:styleId="256">
    <w:name w:val="cm-string-210"/>
    <w:basedOn w:val="29"/>
    <w:uiPriority w:val="0"/>
    <w:rPr>
      <w:color w:val="008000"/>
    </w:rPr>
  </w:style>
  <w:style w:type="character" w:customStyle="1" w:styleId="257">
    <w:name w:val="cm-string-211"/>
    <w:basedOn w:val="29"/>
    <w:uiPriority w:val="0"/>
    <w:rPr>
      <w:color w:val="896724"/>
    </w:rPr>
  </w:style>
  <w:style w:type="character" w:customStyle="1" w:styleId="258">
    <w:name w:val="cm-qualifier8"/>
    <w:basedOn w:val="29"/>
    <w:qFormat/>
    <w:uiPriority w:val="0"/>
    <w:rPr>
      <w:color w:val="50FA7B"/>
    </w:rPr>
  </w:style>
  <w:style w:type="character" w:customStyle="1" w:styleId="259">
    <w:name w:val="cm-qualifier9"/>
    <w:basedOn w:val="29"/>
    <w:qFormat/>
    <w:uiPriority w:val="0"/>
    <w:rPr>
      <w:color w:val="555555"/>
    </w:rPr>
  </w:style>
  <w:style w:type="character" w:customStyle="1" w:styleId="260">
    <w:name w:val="cm-qualifier10"/>
    <w:basedOn w:val="29"/>
    <w:qFormat/>
    <w:uiPriority w:val="0"/>
  </w:style>
  <w:style w:type="character" w:customStyle="1" w:styleId="261">
    <w:name w:val="cm-qualifier11"/>
    <w:basedOn w:val="29"/>
    <w:qFormat/>
    <w:uiPriority w:val="0"/>
    <w:rPr>
      <w:color w:val="555555"/>
    </w:rPr>
  </w:style>
  <w:style w:type="character" w:customStyle="1" w:styleId="262">
    <w:name w:val="cm-qualifier12"/>
    <w:basedOn w:val="29"/>
    <w:qFormat/>
    <w:uiPriority w:val="0"/>
    <w:rPr>
      <w:color w:val="2D200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4FBA4-7ABF-45E7-9034-7F3732670B03}">
  <ds:schemaRefs/>
</ds:datastoreItem>
</file>

<file path=docProps/app.xml><?xml version="1.0" encoding="utf-8"?>
<Properties xmlns="http://schemas.openxmlformats.org/officeDocument/2006/extended-properties" xmlns:vt="http://schemas.openxmlformats.org/officeDocument/2006/docPropsVTypes">
  <Template>Normal</Template>
  <Company>Razer</Company>
  <Pages>82</Pages>
  <Words>7698</Words>
  <Characters>8354</Characters>
  <Lines>298</Lines>
  <Paragraphs>84</Paragraphs>
  <TotalTime>18</TotalTime>
  <ScaleCrop>false</ScaleCrop>
  <LinksUpToDate>false</LinksUpToDate>
  <CharactersWithSpaces>8504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2024-08-05T12:21:00Z</dcterms:created>
  <dc:creator>Administrator</dc:creator>
  <cp:lastModifiedBy>admin</cp:lastModifiedBy>
  <cp:lastPrinted>2018-07-09T02:58:00Z</cp:lastPrinted>
  <dcterms:modified xsi:type="dcterms:W3CDTF">2026-04-24T04:54:21Z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37DDFD3FB07545DA86BF51C24E5781E1_13</vt:lpwstr>
  </property>
  <property fmtid="{D5CDD505-2E9C-101B-9397-08002B2CF9AE}" pid="4" name="KSOTemplateDocerSaveRecord">
    <vt:lpwstr>eyJoZGlkIjoiY2YzMTcxODczODNkNjg0NGQ4ODVkZWU3OWJjN2Y2ZjYiLCJ1c2VySWQiOiIyMzI0Njk3NzUifQ==</vt:lpwstr>
  </property>
</Properties>
</file>