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7F21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采购需求</w:t>
      </w:r>
    </w:p>
    <w:p w14:paraId="15247B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FB924C7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一、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项目概况</w:t>
      </w:r>
    </w:p>
    <w:p w14:paraId="12077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（一）基本情况</w:t>
      </w:r>
    </w:p>
    <w:p w14:paraId="1590841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陕西省高速公路ETC发行服务系统于2015年全国高速公路电子不停车收费联网工程（陕西段）建设完成，期间经过营改增改造、取消省界收费站等重大升级与改造。该系统承载我省的ETC发行售后、数据汇聚、业务管理、清分结算、线上服务、运行监管、信息交互等核心业务，满足ETC联网发行、清分结算、客户服务等管理要求。</w:t>
      </w:r>
    </w:p>
    <w:p w14:paraId="46BEB7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（二）服务范围</w:t>
      </w:r>
    </w:p>
    <w:p w14:paraId="5C910AF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0" w:line="360" w:lineRule="auto"/>
        <w:ind w:left="0" w:right="404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负责陕西省高速公路ETC发行服务系统应用软件（详见下表）日常运行维护、故障处置、缺陷修复、异常处理等服务。负责与部省中心、合作机构系统间的信息交互、数据传输、报表统计、异常处理、业务培训、技术指导等服务。</w:t>
      </w:r>
    </w:p>
    <w:tbl>
      <w:tblPr>
        <w:tblStyle w:val="5"/>
        <w:tblW w:w="8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7"/>
        <w:gridCol w:w="2758"/>
        <w:gridCol w:w="4653"/>
      </w:tblGrid>
      <w:tr w14:paraId="12E8C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noWrap w:val="0"/>
            <w:vAlign w:val="center"/>
          </w:tcPr>
          <w:p w14:paraId="11E23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C0C0C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758" w:type="dxa"/>
            <w:noWrap w:val="0"/>
            <w:vAlign w:val="center"/>
          </w:tcPr>
          <w:p w14:paraId="5D978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C0C0C"/>
                <w:sz w:val="24"/>
                <w:szCs w:val="24"/>
                <w:lang w:val="en-US" w:eastAsia="zh-CN"/>
              </w:rPr>
              <w:t>类别</w:t>
            </w:r>
          </w:p>
        </w:tc>
        <w:tc>
          <w:tcPr>
            <w:tcW w:w="4653" w:type="dxa"/>
            <w:noWrap w:val="0"/>
            <w:vAlign w:val="center"/>
          </w:tcPr>
          <w:p w14:paraId="0D66B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C0C0C"/>
                <w:sz w:val="24"/>
                <w:szCs w:val="24"/>
                <w:lang w:val="en-US" w:eastAsia="zh-CN"/>
              </w:rPr>
              <w:t>系统名称</w:t>
            </w:r>
          </w:p>
        </w:tc>
      </w:tr>
      <w:tr w14:paraId="2A422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restart"/>
            <w:noWrap w:val="0"/>
            <w:vAlign w:val="center"/>
          </w:tcPr>
          <w:p w14:paraId="273ED6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758" w:type="dxa"/>
            <w:vMerge w:val="restart"/>
            <w:noWrap w:val="0"/>
            <w:vAlign w:val="center"/>
          </w:tcPr>
          <w:p w14:paraId="3A904F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ETC发行服务系统</w:t>
            </w:r>
          </w:p>
        </w:tc>
        <w:tc>
          <w:tcPr>
            <w:tcW w:w="4653" w:type="dxa"/>
            <w:noWrap w:val="0"/>
            <w:vAlign w:val="center"/>
          </w:tcPr>
          <w:p w14:paraId="60FDA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网点发行与服务接口平台</w:t>
            </w:r>
          </w:p>
        </w:tc>
      </w:tr>
      <w:tr w14:paraId="000B2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continue"/>
            <w:noWrap w:val="0"/>
            <w:vAlign w:val="center"/>
          </w:tcPr>
          <w:p w14:paraId="62040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2758" w:type="dxa"/>
            <w:vMerge w:val="continue"/>
            <w:noWrap w:val="0"/>
            <w:vAlign w:val="center"/>
          </w:tcPr>
          <w:p w14:paraId="42677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4653" w:type="dxa"/>
            <w:noWrap w:val="0"/>
            <w:vAlign w:val="center"/>
          </w:tcPr>
          <w:p w14:paraId="1EEFF9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银行账务接口平台</w:t>
            </w:r>
          </w:p>
        </w:tc>
      </w:tr>
      <w:tr w14:paraId="0A3F9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continue"/>
            <w:noWrap w:val="0"/>
            <w:vAlign w:val="center"/>
          </w:tcPr>
          <w:p w14:paraId="5EE6A8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2758" w:type="dxa"/>
            <w:vMerge w:val="continue"/>
            <w:noWrap w:val="0"/>
            <w:vAlign w:val="center"/>
          </w:tcPr>
          <w:p w14:paraId="737EDB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4653" w:type="dxa"/>
            <w:noWrap w:val="0"/>
            <w:vAlign w:val="center"/>
          </w:tcPr>
          <w:p w14:paraId="7D468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分对分接口平台</w:t>
            </w:r>
          </w:p>
        </w:tc>
      </w:tr>
      <w:tr w14:paraId="67590A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continue"/>
            <w:noWrap w:val="0"/>
            <w:vAlign w:val="center"/>
          </w:tcPr>
          <w:p w14:paraId="3955D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2758" w:type="dxa"/>
            <w:vMerge w:val="continue"/>
            <w:noWrap w:val="0"/>
            <w:vAlign w:val="center"/>
          </w:tcPr>
          <w:p w14:paraId="2E768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4653" w:type="dxa"/>
            <w:noWrap w:val="0"/>
            <w:vAlign w:val="center"/>
          </w:tcPr>
          <w:p w14:paraId="21444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公共服务平台</w:t>
            </w:r>
          </w:p>
        </w:tc>
      </w:tr>
      <w:tr w14:paraId="68D25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continue"/>
            <w:noWrap w:val="0"/>
            <w:vAlign w:val="center"/>
          </w:tcPr>
          <w:p w14:paraId="320B91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2758" w:type="dxa"/>
            <w:vMerge w:val="continue"/>
            <w:noWrap w:val="0"/>
            <w:vAlign w:val="center"/>
          </w:tcPr>
          <w:p w14:paraId="6F371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4653" w:type="dxa"/>
            <w:noWrap w:val="0"/>
            <w:vAlign w:val="center"/>
          </w:tcPr>
          <w:p w14:paraId="54F6A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手持终端发行与服务系统</w:t>
            </w:r>
          </w:p>
        </w:tc>
      </w:tr>
      <w:tr w14:paraId="556A5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continue"/>
            <w:noWrap w:val="0"/>
            <w:vAlign w:val="center"/>
          </w:tcPr>
          <w:p w14:paraId="3328C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2758" w:type="dxa"/>
            <w:vMerge w:val="continue"/>
            <w:noWrap w:val="0"/>
            <w:vAlign w:val="center"/>
          </w:tcPr>
          <w:p w14:paraId="11A9D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4653" w:type="dxa"/>
            <w:noWrap w:val="0"/>
            <w:vAlign w:val="center"/>
          </w:tcPr>
          <w:p w14:paraId="751C8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发行认证子系统</w:t>
            </w:r>
          </w:p>
        </w:tc>
      </w:tr>
      <w:tr w14:paraId="279FB8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continue"/>
            <w:noWrap w:val="0"/>
            <w:vAlign w:val="center"/>
          </w:tcPr>
          <w:p w14:paraId="2A166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2758" w:type="dxa"/>
            <w:vMerge w:val="continue"/>
            <w:noWrap w:val="0"/>
            <w:vAlign w:val="center"/>
          </w:tcPr>
          <w:p w14:paraId="16BEB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4653" w:type="dxa"/>
            <w:noWrap w:val="0"/>
            <w:vAlign w:val="center"/>
          </w:tcPr>
          <w:p w14:paraId="14C4A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营改增子系统</w:t>
            </w:r>
          </w:p>
        </w:tc>
      </w:tr>
      <w:tr w14:paraId="24632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continue"/>
            <w:noWrap w:val="0"/>
            <w:vAlign w:val="center"/>
          </w:tcPr>
          <w:p w14:paraId="55497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2758" w:type="dxa"/>
            <w:vMerge w:val="continue"/>
            <w:noWrap w:val="0"/>
            <w:vAlign w:val="center"/>
          </w:tcPr>
          <w:p w14:paraId="6F9F7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4653" w:type="dxa"/>
            <w:noWrap w:val="0"/>
            <w:vAlign w:val="center"/>
          </w:tcPr>
          <w:p w14:paraId="569DF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客服中心子系统</w:t>
            </w:r>
          </w:p>
        </w:tc>
      </w:tr>
      <w:tr w14:paraId="5CB7E2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continue"/>
            <w:noWrap w:val="0"/>
            <w:vAlign w:val="center"/>
          </w:tcPr>
          <w:p w14:paraId="3F05D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2758" w:type="dxa"/>
            <w:vMerge w:val="continue"/>
            <w:noWrap w:val="0"/>
            <w:vAlign w:val="center"/>
          </w:tcPr>
          <w:p w14:paraId="1A46F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4653" w:type="dxa"/>
            <w:noWrap w:val="0"/>
            <w:vAlign w:val="center"/>
          </w:tcPr>
          <w:p w14:paraId="46B1B2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运行监控子系统</w:t>
            </w:r>
          </w:p>
        </w:tc>
      </w:tr>
      <w:tr w14:paraId="2C44F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continue"/>
            <w:noWrap w:val="0"/>
            <w:vAlign w:val="center"/>
          </w:tcPr>
          <w:p w14:paraId="57E30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2758" w:type="dxa"/>
            <w:vMerge w:val="continue"/>
            <w:noWrap w:val="0"/>
            <w:vAlign w:val="center"/>
          </w:tcPr>
          <w:p w14:paraId="6BF8F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4653" w:type="dxa"/>
            <w:noWrap w:val="0"/>
            <w:vAlign w:val="center"/>
          </w:tcPr>
          <w:p w14:paraId="3EC37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用户管理子系统</w:t>
            </w:r>
          </w:p>
        </w:tc>
      </w:tr>
      <w:tr w14:paraId="31605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restart"/>
            <w:noWrap w:val="0"/>
            <w:vAlign w:val="center"/>
          </w:tcPr>
          <w:p w14:paraId="100AE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758" w:type="dxa"/>
            <w:vMerge w:val="restart"/>
            <w:noWrap w:val="0"/>
            <w:vAlign w:val="center"/>
          </w:tcPr>
          <w:p w14:paraId="4C3BE9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互联网发行平台</w:t>
            </w:r>
          </w:p>
        </w:tc>
        <w:tc>
          <w:tcPr>
            <w:tcW w:w="4653" w:type="dxa"/>
            <w:noWrap w:val="0"/>
            <w:vAlign w:val="center"/>
          </w:tcPr>
          <w:p w14:paraId="312BC9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ETC网上营业厅</w:t>
            </w:r>
          </w:p>
        </w:tc>
      </w:tr>
      <w:tr w14:paraId="1037A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continue"/>
            <w:noWrap w:val="0"/>
            <w:vAlign w:val="center"/>
          </w:tcPr>
          <w:p w14:paraId="23C6F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2758" w:type="dxa"/>
            <w:vMerge w:val="continue"/>
            <w:noWrap w:val="0"/>
            <w:vAlign w:val="center"/>
          </w:tcPr>
          <w:p w14:paraId="5FDA1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4653" w:type="dxa"/>
            <w:noWrap w:val="0"/>
            <w:vAlign w:val="center"/>
          </w:tcPr>
          <w:p w14:paraId="00761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三秦通微信小程序</w:t>
            </w:r>
          </w:p>
        </w:tc>
      </w:tr>
      <w:tr w14:paraId="7E6E4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restart"/>
            <w:noWrap w:val="0"/>
            <w:vAlign w:val="center"/>
          </w:tcPr>
          <w:p w14:paraId="03285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758" w:type="dxa"/>
            <w:vMerge w:val="restart"/>
            <w:noWrap w:val="0"/>
            <w:vAlign w:val="center"/>
          </w:tcPr>
          <w:p w14:paraId="7418B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ETC结算系统</w:t>
            </w:r>
          </w:p>
        </w:tc>
        <w:tc>
          <w:tcPr>
            <w:tcW w:w="4653" w:type="dxa"/>
            <w:noWrap w:val="0"/>
            <w:vAlign w:val="center"/>
          </w:tcPr>
          <w:p w14:paraId="4D8C4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清分结算子系统</w:t>
            </w:r>
          </w:p>
        </w:tc>
      </w:tr>
      <w:tr w14:paraId="2F9C8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continue"/>
            <w:noWrap w:val="0"/>
            <w:vAlign w:val="center"/>
          </w:tcPr>
          <w:p w14:paraId="26C27C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2758" w:type="dxa"/>
            <w:vMerge w:val="continue"/>
            <w:noWrap w:val="0"/>
            <w:vAlign w:val="center"/>
          </w:tcPr>
          <w:p w14:paraId="20B11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4653" w:type="dxa"/>
            <w:noWrap w:val="0"/>
            <w:vAlign w:val="center"/>
          </w:tcPr>
          <w:p w14:paraId="662AF6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信息交互子系统</w:t>
            </w:r>
          </w:p>
        </w:tc>
      </w:tr>
      <w:tr w14:paraId="56534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continue"/>
            <w:noWrap w:val="0"/>
            <w:vAlign w:val="center"/>
          </w:tcPr>
          <w:p w14:paraId="08EAD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2758" w:type="dxa"/>
            <w:vMerge w:val="continue"/>
            <w:noWrap w:val="0"/>
            <w:vAlign w:val="center"/>
          </w:tcPr>
          <w:p w14:paraId="09B89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4653" w:type="dxa"/>
            <w:noWrap w:val="0"/>
            <w:vAlign w:val="center"/>
          </w:tcPr>
          <w:p w14:paraId="43D8F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数据传输子系统</w:t>
            </w:r>
          </w:p>
        </w:tc>
      </w:tr>
      <w:tr w14:paraId="0B0B6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continue"/>
            <w:noWrap w:val="0"/>
            <w:vAlign w:val="center"/>
          </w:tcPr>
          <w:p w14:paraId="72505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2758" w:type="dxa"/>
            <w:vMerge w:val="continue"/>
            <w:noWrap w:val="0"/>
            <w:vAlign w:val="center"/>
          </w:tcPr>
          <w:p w14:paraId="055DE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4653" w:type="dxa"/>
            <w:noWrap w:val="0"/>
            <w:vAlign w:val="center"/>
          </w:tcPr>
          <w:p w14:paraId="65295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数据汇聚子系统</w:t>
            </w:r>
          </w:p>
        </w:tc>
      </w:tr>
      <w:tr w14:paraId="11854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67" w:type="dxa"/>
            <w:vMerge w:val="continue"/>
            <w:noWrap w:val="0"/>
            <w:vAlign w:val="center"/>
          </w:tcPr>
          <w:p w14:paraId="5DC3FE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2758" w:type="dxa"/>
            <w:vMerge w:val="continue"/>
            <w:noWrap w:val="0"/>
            <w:vAlign w:val="center"/>
          </w:tcPr>
          <w:p w14:paraId="36DF6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</w:p>
        </w:tc>
        <w:tc>
          <w:tcPr>
            <w:tcW w:w="4653" w:type="dxa"/>
            <w:noWrap w:val="0"/>
            <w:vAlign w:val="center"/>
          </w:tcPr>
          <w:p w14:paraId="1DCD6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收费站点管理系统</w:t>
            </w:r>
          </w:p>
        </w:tc>
      </w:tr>
      <w:tr w14:paraId="7F1E4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967" w:type="dxa"/>
            <w:noWrap w:val="0"/>
            <w:vAlign w:val="center"/>
          </w:tcPr>
          <w:p w14:paraId="2745C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758" w:type="dxa"/>
            <w:noWrap w:val="0"/>
            <w:vAlign w:val="center"/>
          </w:tcPr>
          <w:p w14:paraId="33126C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交通网点培训及终端</w:t>
            </w:r>
          </w:p>
        </w:tc>
        <w:tc>
          <w:tcPr>
            <w:tcW w:w="4653" w:type="dxa"/>
            <w:noWrap w:val="0"/>
            <w:vAlign w:val="center"/>
          </w:tcPr>
          <w:p w14:paraId="2A528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sz w:val="24"/>
                <w:szCs w:val="24"/>
                <w:lang w:val="en-US" w:eastAsia="zh-CN"/>
              </w:rPr>
              <w:t>技术指导和日常培训</w:t>
            </w:r>
          </w:p>
        </w:tc>
      </w:tr>
    </w:tbl>
    <w:p w14:paraId="06EDCF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0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服务内容</w:t>
      </w:r>
    </w:p>
    <w:p w14:paraId="06FF48C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服务商应能够提供针对ETC发行服务系统软件相对完整的现场技术保障工作。保障业务系统功能正常，性能稳定，信息安全有效交互、数据存储和备份安全。对于发生的软件故障能够及时修复，处置软件系统异常状态，以及提供相关业务软件的咨询与指导。主要内容如下：</w:t>
      </w:r>
    </w:p>
    <w:p w14:paraId="39B9C1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（一）提供ETC发行服务系统应用软件正常运行所需的现场技术保障服务，定期组织软件功能巡检，检查软件的配置、日志文件等，及时发现并处理异常情况。定期对业务数据和软件配置进行备份，确保ETC发行业务能够正常、连续、稳定的开展，及时处理发行服务、认证监管、清分结算、争议处理等方面的软件问题。</w:t>
      </w:r>
    </w:p>
    <w:p w14:paraId="76F2F5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（二）提供ETC发行服务系统软件系统监测和状态监控等，做好软件日常关键性业务的监测，合理调整优化，处置警告及报错状态。确保软件系统持续稳定运行。</w:t>
      </w:r>
    </w:p>
    <w:p w14:paraId="42D024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（三）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 w:bidi="zh-CN"/>
        </w:rPr>
        <w:t>提供ETC清分结算系统数据传输交互、记账确认、争议判定等功能正常运行，修正因系统异常或人为因素导致的数据偏差，保障软件系统与部省中心、合作银行间数据核对、传输解析等业务正常开展。解决发现的部省清分结算和银行请款结算的数据差异问题。</w:t>
      </w:r>
    </w:p>
    <w:p w14:paraId="1E919A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（四）协助合作银行分对分接入、数据请求、验证等技术联调，及时处置对外发行认证、接口调用、功能服务等异常问题。确保合作银行系统与发行服务系统间清分结算、交易对账、名单交互等业务正常开展。保障软件系统查询统计功能，处理相关业务系统间非正常的数据差异。</w:t>
      </w:r>
    </w:p>
    <w:p w14:paraId="057687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 w:bidi="zh-CN"/>
        </w:rPr>
        <w:t>（五）协助做好ETC发行服务系统的功能完善工作，针对系统出现的问题，做好需求功能设计、系统软件修复与系统升级等工作。</w:t>
      </w:r>
    </w:p>
    <w:p w14:paraId="797F0FA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协助完成ETC发行服务系统的培训，主要面向相关业务人员及协作团队，开展软件功能的技术培训与业务指导。</w:t>
      </w:r>
    </w:p>
    <w:p w14:paraId="3FE440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（七）提供收费站点省级管理软件正常运行所需的保障性服务。确保站点上传的交易数据及时、准确的交互处理、保障收费站点省级收费管理平台安全稳定运行。</w:t>
      </w:r>
    </w:p>
    <w:p w14:paraId="2C45F4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0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三、服务要求</w:t>
      </w:r>
    </w:p>
    <w:p w14:paraId="5FF974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（一）服务要求</w:t>
      </w:r>
    </w:p>
    <w:p w14:paraId="0555FC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2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1.服务时间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202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6年7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月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日至202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年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月30日。</w:t>
      </w:r>
    </w:p>
    <w:p w14:paraId="38A0A7C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0" w:line="360" w:lineRule="auto"/>
        <w:ind w:left="0" w:right="404" w:firstLine="480" w:firstLineChars="200"/>
        <w:jc w:val="both"/>
        <w:textAlignment w:val="auto"/>
        <w:outlineLvl w:val="2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.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服务方式：主要包括日常巡检、运行保障、缺陷修复与功能完善、应急处置。</w:t>
      </w:r>
    </w:p>
    <w:p w14:paraId="704B7734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360" w:lineRule="auto"/>
        <w:ind w:left="0" w:leftChars="0" w:right="0" w:rightChars="0" w:firstLine="480" w:firstLineChars="200"/>
        <w:jc w:val="both"/>
        <w:textAlignment w:val="auto"/>
        <w:outlineLvl w:val="3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（1）日常巡检。每日（至少1次）针对ETC发行服务系统应用软件、第三方中间件等开展常态化检查，确保发行认证、公共接口、网点服务、数据备份、运行监测等各项软件功能运转正常。及时处置各类软件突发故障和异常问题，发现并记录运行状态情况，及时反馈不良或隐患信息。</w:t>
      </w:r>
    </w:p>
    <w:p w14:paraId="1CF8A7ED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360" w:lineRule="auto"/>
        <w:ind w:left="0" w:leftChars="0" w:right="0" w:rightChars="0" w:firstLine="480" w:firstLineChars="200"/>
        <w:jc w:val="both"/>
        <w:textAlignment w:val="auto"/>
        <w:outlineLvl w:val="3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（2）运行保障。针对ETC发行服务系统、ETC发行服务网点、合作银行、ETC拓展应用运营商在与ETC日常使用、异常处理等方面提供现场或远程技术支持，解决相关软件和数据的异常问题。为ETC发行服务系统运行中产生的各类软件异常提供技术支持，包括功能故障诊断、数据异常排查、系统状态恢复等，协助相关团队定位并解决技术问题，同时配合完成数据查询与验证。确保ETC交易传输解析、结算记账、争议判定、请款划拨功能正常使用；完成特殊时期交易判定、拦截和争议处理技术支持。协助做好争议交易处理和证据提交等工作。协助合作银行请款确认和对账核算的技术支持工作。</w:t>
      </w:r>
    </w:p>
    <w:p w14:paraId="5B857590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360" w:lineRule="auto"/>
        <w:ind w:left="0" w:leftChars="0" w:right="0" w:rightChars="0" w:firstLine="480" w:firstLineChars="200"/>
        <w:jc w:val="both"/>
        <w:textAlignment w:val="auto"/>
        <w:outlineLvl w:val="3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（3）软件修复。针对ETC发行服务业务运行中遇到的系统问题，开展软件功能修复工作，负责相关模块的设计、测试验证及生产环境部署。持续优化系统架构，提升功能模块内聚，降低模块间耦合，增强软件模块化水平与整体运行效率。</w:t>
      </w:r>
    </w:p>
    <w:p w14:paraId="0109164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360" w:lineRule="auto"/>
        <w:ind w:left="0" w:leftChars="0" w:right="0" w:rightChars="0" w:firstLine="480" w:firstLineChars="200"/>
        <w:jc w:val="both"/>
        <w:textAlignment w:val="auto"/>
        <w:outlineLvl w:val="3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（4）应急响应与处理。结合日常巡检和运行保障情况，提供软件宕机、服务中断、网络异常等意见与处置建议。协助开展软件系统快速恢复和正常运行，制定详尽有效的解决方案和措施。协助相关单位做好硬件故障修复后的软件测试和验证。</w:t>
      </w:r>
    </w:p>
    <w:p w14:paraId="447C5DC4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360" w:lineRule="auto"/>
        <w:ind w:left="0" w:leftChars="0" w:right="0" w:rightChars="0" w:firstLine="480" w:firstLineChars="200"/>
        <w:jc w:val="both"/>
        <w:textAlignment w:val="auto"/>
        <w:outlineLvl w:val="3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（5）故障维护响应处理。能够及时响应处理软件系统出现的故障，响应时效要求如下：</w:t>
      </w:r>
    </w:p>
    <w:p w14:paraId="4106BA3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0C0C0C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C0C0C"/>
          <w:kern w:val="2"/>
          <w:sz w:val="24"/>
          <w:szCs w:val="24"/>
          <w:lang w:val="en-US" w:eastAsia="zh-CN" w:bidi="ar-SA"/>
        </w:rPr>
        <w:t>维护响应及处理时间</w:t>
      </w:r>
    </w:p>
    <w:tbl>
      <w:tblPr>
        <w:tblStyle w:val="5"/>
        <w:tblW w:w="8107" w:type="dxa"/>
        <w:tblInd w:w="2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0"/>
        <w:gridCol w:w="2286"/>
        <w:gridCol w:w="2241"/>
      </w:tblGrid>
      <w:tr w14:paraId="63A1F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580" w:type="dxa"/>
            <w:noWrap w:val="0"/>
            <w:vAlign w:val="center"/>
          </w:tcPr>
          <w:p w14:paraId="4D5400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  <w:t>系统功能</w:t>
            </w:r>
          </w:p>
        </w:tc>
        <w:tc>
          <w:tcPr>
            <w:tcW w:w="2286" w:type="dxa"/>
            <w:noWrap w:val="0"/>
            <w:vAlign w:val="center"/>
          </w:tcPr>
          <w:p w14:paraId="21D597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  <w:t>响应时间</w:t>
            </w:r>
          </w:p>
        </w:tc>
        <w:tc>
          <w:tcPr>
            <w:tcW w:w="2241" w:type="dxa"/>
            <w:noWrap w:val="0"/>
            <w:vAlign w:val="center"/>
          </w:tcPr>
          <w:p w14:paraId="612B37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  <w:t>处理时间</w:t>
            </w:r>
          </w:p>
        </w:tc>
      </w:tr>
      <w:tr w14:paraId="1E4EC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3580" w:type="dxa"/>
            <w:noWrap w:val="0"/>
            <w:vAlign w:val="center"/>
          </w:tcPr>
          <w:p w14:paraId="0231DE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  <w:t>ETC发行服务系统</w:t>
            </w:r>
          </w:p>
        </w:tc>
        <w:tc>
          <w:tcPr>
            <w:tcW w:w="2286" w:type="dxa"/>
            <w:noWrap w:val="0"/>
            <w:vAlign w:val="center"/>
          </w:tcPr>
          <w:p w14:paraId="386A63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  <w:t>30分钟内</w:t>
            </w:r>
          </w:p>
        </w:tc>
        <w:tc>
          <w:tcPr>
            <w:tcW w:w="2241" w:type="dxa"/>
            <w:noWrap w:val="0"/>
            <w:vAlign w:val="center"/>
          </w:tcPr>
          <w:p w14:paraId="57374D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  <w:t>3小时内</w:t>
            </w:r>
          </w:p>
        </w:tc>
      </w:tr>
      <w:tr w14:paraId="3F687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3580" w:type="dxa"/>
            <w:noWrap w:val="0"/>
            <w:vAlign w:val="center"/>
          </w:tcPr>
          <w:p w14:paraId="5DF56E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  <w:t>清分结算系统（包括结算相关业务系统）</w:t>
            </w:r>
          </w:p>
        </w:tc>
        <w:tc>
          <w:tcPr>
            <w:tcW w:w="2286" w:type="dxa"/>
            <w:noWrap w:val="0"/>
            <w:vAlign w:val="center"/>
          </w:tcPr>
          <w:p w14:paraId="5EE551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  <w:t>30分钟内</w:t>
            </w:r>
          </w:p>
        </w:tc>
        <w:tc>
          <w:tcPr>
            <w:tcW w:w="2241" w:type="dxa"/>
            <w:noWrap w:val="0"/>
            <w:vAlign w:val="center"/>
          </w:tcPr>
          <w:p w14:paraId="1972F4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  <w:t>3小时内</w:t>
            </w:r>
          </w:p>
        </w:tc>
      </w:tr>
      <w:tr w14:paraId="68BF1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3580" w:type="dxa"/>
            <w:noWrap w:val="0"/>
            <w:vAlign w:val="center"/>
          </w:tcPr>
          <w:p w14:paraId="48E578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  <w:t>三秦通小程序、网厅</w:t>
            </w:r>
          </w:p>
        </w:tc>
        <w:tc>
          <w:tcPr>
            <w:tcW w:w="2286" w:type="dxa"/>
            <w:noWrap w:val="0"/>
            <w:vAlign w:val="center"/>
          </w:tcPr>
          <w:p w14:paraId="15CF4E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  <w:t>30分钟内</w:t>
            </w:r>
          </w:p>
        </w:tc>
        <w:tc>
          <w:tcPr>
            <w:tcW w:w="2241" w:type="dxa"/>
            <w:noWrap w:val="0"/>
            <w:vAlign w:val="center"/>
          </w:tcPr>
          <w:p w14:paraId="794DC5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  <w:t>3小时内</w:t>
            </w:r>
          </w:p>
        </w:tc>
      </w:tr>
      <w:tr w14:paraId="58A36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3580" w:type="dxa"/>
            <w:noWrap w:val="0"/>
            <w:vAlign w:val="center"/>
          </w:tcPr>
          <w:p w14:paraId="10CB98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  <w:t>运行监控系统</w:t>
            </w:r>
          </w:p>
        </w:tc>
        <w:tc>
          <w:tcPr>
            <w:tcW w:w="2286" w:type="dxa"/>
            <w:noWrap w:val="0"/>
            <w:vAlign w:val="center"/>
          </w:tcPr>
          <w:p w14:paraId="221C6A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  <w:t>30分钟内</w:t>
            </w:r>
          </w:p>
        </w:tc>
        <w:tc>
          <w:tcPr>
            <w:tcW w:w="2241" w:type="dxa"/>
            <w:noWrap w:val="0"/>
            <w:vAlign w:val="center"/>
          </w:tcPr>
          <w:p w14:paraId="67D611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C0C0C"/>
                <w:kern w:val="2"/>
                <w:sz w:val="24"/>
                <w:szCs w:val="24"/>
                <w:lang w:val="en-US" w:eastAsia="zh-CN" w:bidi="ar-SA"/>
              </w:rPr>
              <w:t>3小时内</w:t>
            </w:r>
          </w:p>
        </w:tc>
      </w:tr>
    </w:tbl>
    <w:p w14:paraId="7E044CD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snapToGrid/>
        <w:spacing w:before="100" w:line="360" w:lineRule="auto"/>
        <w:ind w:left="0" w:right="404" w:firstLine="480" w:firstLineChars="200"/>
        <w:jc w:val="both"/>
        <w:textAlignment w:val="auto"/>
        <w:outlineLvl w:val="2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3.服务报告的要求</w:t>
      </w:r>
    </w:p>
    <w:p w14:paraId="5E5C49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本服务项目的交付物包含但不限于以下内容：</w:t>
      </w:r>
    </w:p>
    <w:p w14:paraId="2AC308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《***系统软件日常巡检记录表》</w:t>
      </w:r>
    </w:p>
    <w:p w14:paraId="28A99E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《***系统软件月度运维报告》</w:t>
      </w:r>
    </w:p>
    <w:p w14:paraId="640E81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《***系统软件运维服务总结报告》</w:t>
      </w:r>
    </w:p>
    <w:p w14:paraId="24BC19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《***系统软件故障处理记录表》（若有）</w:t>
      </w:r>
    </w:p>
    <w:p w14:paraId="561A33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以及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其他需要的材料。</w:t>
      </w:r>
    </w:p>
    <w:p w14:paraId="09A56F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人员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与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管理要求</w:t>
      </w:r>
    </w:p>
    <w:p w14:paraId="33FD520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为确保服务工作的顺利开展，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服务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eastAsia="zh-CN"/>
        </w:rPr>
        <w:t>商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应对服务人员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素质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及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能力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整体把关，原则上应满足以下条件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eastAsia="zh-CN"/>
        </w:rPr>
        <w:t>：</w:t>
      </w:r>
    </w:p>
    <w:p w14:paraId="079778F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1.服务商拟投入本项目的专业技术服务团队应不少于5人，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/>
        </w:rPr>
        <w:t>需提供人员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真实且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/>
        </w:rPr>
        <w:t>详细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信息与从业经历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/>
        </w:rPr>
        <w:t>。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其中，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指定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名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项目负责人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项目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负责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人员应具体负责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项目统筹管理、资源协调、服务质量。</w:t>
      </w:r>
    </w:p>
    <w:p w14:paraId="59D5A3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2.项目技术服务人员应熟悉高速公路ETC发行服务系统软件架构、熟悉高速公路ETC发行服务业务流程、熟悉高速公路ETC发行服务和清分结算业务现状，具备软件系统故障快速修复能力。具有ETC发行服务系统技术培训和业务咨询经历，并具有丰富的系统运维经验。服务商须提供项目技术服务人员不少于 6个月的社保缴纳材料。</w:t>
      </w:r>
    </w:p>
    <w:p w14:paraId="1E6B4C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</w:pPr>
      <w:bookmarkStart w:id="1" w:name="_GoBack"/>
      <w:bookmarkEnd w:id="1"/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3.服务商应保证提供不少于3人的5×8小时工作日驻场技术服务。重大会议、活动、节假日（春节、国庆、两会）及专项护网期间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应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提供7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×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24小时应急响应服务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驻场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服务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产生的一切费用由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服务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eastAsia="zh-CN"/>
        </w:rPr>
        <w:t>商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自行承担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</w:rPr>
        <w:t>。</w:t>
      </w:r>
    </w:p>
    <w:p w14:paraId="7D53BEA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4.服务商须提供项目所投入维护人员6个月社保缴纳证明材料。未经采购方书面同意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/>
        </w:rPr>
        <w:t>，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服务商不得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/>
        </w:rPr>
        <w:t>擅自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 w:eastAsia="zh-CN"/>
        </w:rPr>
        <w:t>变更和替换项目驻场维护人员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highlight w:val="none"/>
          <w:lang w:val="en-US"/>
        </w:rPr>
        <w:t>。</w:t>
      </w:r>
    </w:p>
    <w:p w14:paraId="43E044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outlineLvl w:val="1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eastAsia="zh-CN"/>
        </w:rPr>
        <w:t>（三）安全要求</w:t>
      </w:r>
    </w:p>
    <w:p w14:paraId="27DF42E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right="0"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highlight w:val="none"/>
          <w:lang w:val="en-US" w:eastAsia="zh-CN" w:bidi="ar-SA"/>
        </w:rPr>
        <w:t>服务商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具备健全的网络安全服务体系，具有网络安全隐患排查、完善加固、预警监测、应对攻击等服务能力，配备具有相关技术能力的网络安全专职人员，为本项目提供漏洞检测、策略配置、加固整改、安全监测、应急处置等保障措施，确保系统安全稳定运行。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highlight w:val="none"/>
          <w:lang w:val="en-US" w:eastAsia="zh-CN" w:bidi="ar-SA"/>
        </w:rPr>
        <w:t>服务商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未发生过重大网络安全事件。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highlight w:val="none"/>
          <w:lang w:val="en-US" w:eastAsia="zh-CN" w:bidi="ar-SA"/>
        </w:rPr>
        <w:t>服务商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能够按照中心项目的统一要求签署《网络安全责任协议》（见附件）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61787E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（四）保密要求</w:t>
      </w:r>
    </w:p>
    <w:p w14:paraId="38351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8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highlight w:val="none"/>
          <w:lang w:val="en-US" w:eastAsia="zh-CN" w:bidi="ar-SA"/>
        </w:rPr>
        <w:t>项目实施过程中所收集、产生的所有与本项目相关的文档、资料，包括文字、图片、表格、数字等各种形式所属权均归属甲方。服务商必须对所涉及到的内容保密，服务商及服务人员应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按照中心项目的统一要求签署《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highlight w:val="none"/>
          <w:lang w:val="en-US" w:eastAsia="zh-CN" w:bidi="ar-SA"/>
        </w:rPr>
        <w:t>保密协议》（见附件）。</w:t>
      </w:r>
    </w:p>
    <w:p w14:paraId="3D82EA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（五）违约责任</w:t>
      </w:r>
    </w:p>
    <w:p w14:paraId="284A739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1.按《</w:t>
      </w:r>
      <w:bookmarkStart w:id="0" w:name="OLE_LINK105"/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中华人民共和国民法典》中</w:t>
      </w:r>
      <w:bookmarkEnd w:id="0"/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的相关条款执行。</w:t>
      </w:r>
    </w:p>
    <w:p w14:paraId="305815E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2.未按合同要求提供服务或服务质量不能满足技术要求的，甲方有权终止合同。对擅自开展合同内涉及的系统软件开展功能修改调整、版本升级等操作影响全省业务正常运行，根据造成的实际损失及影响进行责任追究。</w:t>
      </w:r>
    </w:p>
    <w:p w14:paraId="4CFEB1F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3.因乙方违约造成甲方损失的，由乙方承担全部的损失赔偿责任，包括但不限于直接经济损失及甲方因此开支的交通费、公证费、鉴定费、诉讼费、仲裁费、律师费、保全费、保险费等一切费用。</w:t>
      </w:r>
    </w:p>
    <w:p w14:paraId="1CB33F7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4.服务商如不能及时开具全额发票或采购人要求的保函，采购人有权延时付款且不承担违约责任，直至服务商开具全额发票或采购人要求的保函后再进行付款。</w:t>
      </w:r>
    </w:p>
    <w:p w14:paraId="64E190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（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</w:rPr>
        <w:t>）</w:t>
      </w: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履约验收要求</w:t>
      </w:r>
    </w:p>
    <w:p w14:paraId="1F0E965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C0C0C"/>
          <w:sz w:val="24"/>
          <w:szCs w:val="24"/>
          <w:lang w:val="en-US" w:eastAsia="zh-CN"/>
        </w:rPr>
        <w:t>项目履约验收主体为采购人，验收工作流程为供应商提出验收申请之日起30日内，由采购人组织验收工作。本项目为一次性验收，采购人严格按照招标文件、投标文件和合同约定内容进行履约验收。</w:t>
      </w:r>
    </w:p>
    <w:sectPr>
      <w:pgSz w:w="11906" w:h="16838"/>
      <w:pgMar w:top="1440" w:right="1701" w:bottom="1383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267A5F"/>
    <w:multiLevelType w:val="singleLevel"/>
    <w:tmpl w:val="97267A5F"/>
    <w:lvl w:ilvl="0" w:tentative="0">
      <w:start w:val="6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766FAB"/>
    <w:rsid w:val="6776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Body Text First Indent"/>
    <w:basedOn w:val="2"/>
    <w:qFormat/>
    <w:uiPriority w:val="0"/>
    <w:pPr>
      <w:spacing w:after="120"/>
      <w:ind w:firstLine="420" w:firstLineChars="100"/>
    </w:pPr>
    <w:rPr>
      <w:sz w:val="21"/>
    </w:rPr>
  </w:style>
  <w:style w:type="table" w:styleId="5">
    <w:name w:val="Table Grid"/>
    <w:basedOn w:val="4"/>
    <w:qFormat/>
    <w:uiPriority w:val="5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2026-05-11T06:45:00Z</dcterms:created>
  <dc:creator>知子</dc:creator>
  <cp:lastModifiedBy>知子</cp:lastModifiedBy>
  <dcterms:modified xsi:type="dcterms:W3CDTF">2026-05-11T06:51:17Z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67A0B904DB9140A78477E9687FB0D736_11</vt:lpwstr>
  </property>
  <property fmtid="{D5CDD505-2E9C-101B-9397-08002B2CF9AE}" pid="4" name="KSOTemplateDocerSaveRecord">
    <vt:lpwstr>eyJoZGlkIjoiMmQyYzYzYTI2MjQ2OGY1N2ZmZWYxOGNiNTQwMjNiYmYiLCJ1c2VySWQiOiI0ODM2OTkwMzcifQ==</vt:lpwstr>
  </property>
</Properties>
</file>