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BD9E1">
      <w:pPr>
        <w:pStyle w:val="63"/>
        <w:tabs>
          <w:tab w:val="right" w:leader="dot" w:pos="8618"/>
        </w:tabs>
        <w:jc w:val="both"/>
        <w:rPr>
          <w:rFonts w:hint="eastAsia" w:ascii="宋体" w:hAnsi="宋体" w:eastAsia="宋体" w:cs="宋体"/>
          <w:b/>
          <w:bCs/>
          <w:color w:val="auto"/>
          <w:sz w:val="28"/>
          <w:szCs w:val="28"/>
          <w:highlight w:val="none"/>
        </w:rPr>
      </w:pPr>
      <w:bookmarkStart w:id="0" w:name="_Toc29945_WPSOffice_Type1"/>
      <w:r>
        <w:drawing>
          <wp:inline distT="0" distB="0" distL="114300" distR="114300">
            <wp:extent cx="5720080" cy="7464425"/>
            <wp:effectExtent l="0" t="0" r="13970" b="317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5720080" cy="7464425"/>
                    </a:xfrm>
                    <a:prstGeom prst="rect">
                      <a:avLst/>
                    </a:prstGeom>
                    <a:noFill/>
                    <a:ln>
                      <a:noFill/>
                    </a:ln>
                  </pic:spPr>
                </pic:pic>
              </a:graphicData>
            </a:graphic>
          </wp:inline>
        </w:drawing>
      </w:r>
    </w:p>
    <w:p w14:paraId="40384FCA">
      <w:pPr>
        <w:pStyle w:val="63"/>
        <w:tabs>
          <w:tab w:val="right" w:leader="dot" w:pos="8618"/>
        </w:tabs>
        <w:jc w:val="center"/>
        <w:rPr>
          <w:rFonts w:hint="eastAsia" w:ascii="宋体" w:hAnsi="宋体" w:eastAsia="宋体" w:cs="宋体"/>
          <w:b/>
          <w:bCs/>
          <w:color w:val="auto"/>
          <w:sz w:val="28"/>
          <w:szCs w:val="28"/>
          <w:highlight w:val="none"/>
        </w:rPr>
      </w:pPr>
    </w:p>
    <w:p w14:paraId="30374F03">
      <w:pPr>
        <w:pStyle w:val="63"/>
        <w:tabs>
          <w:tab w:val="right" w:leader="dot" w:pos="8618"/>
        </w:tabs>
        <w:jc w:val="center"/>
        <w:rPr>
          <w:rFonts w:hint="eastAsia" w:ascii="宋体" w:hAnsi="宋体" w:eastAsia="宋体" w:cs="宋体"/>
          <w:b/>
          <w:bCs/>
          <w:color w:val="auto"/>
          <w:sz w:val="28"/>
          <w:szCs w:val="28"/>
          <w:highlight w:val="none"/>
        </w:rPr>
      </w:pPr>
    </w:p>
    <w:p w14:paraId="7397CA83">
      <w:pPr>
        <w:pStyle w:val="63"/>
        <w:tabs>
          <w:tab w:val="right" w:leader="dot" w:pos="8618"/>
        </w:tabs>
        <w:jc w:val="both"/>
        <w:rPr>
          <w:rFonts w:hint="eastAsia" w:ascii="宋体" w:hAnsi="宋体" w:eastAsia="宋体" w:cs="宋体"/>
          <w:b/>
          <w:bCs/>
          <w:color w:val="auto"/>
          <w:sz w:val="28"/>
          <w:szCs w:val="28"/>
          <w:highlight w:val="none"/>
        </w:rPr>
      </w:pPr>
    </w:p>
    <w:p w14:paraId="5AE2425D">
      <w:pPr>
        <w:pStyle w:val="63"/>
        <w:tabs>
          <w:tab w:val="right" w:leader="dot" w:pos="8618"/>
        </w:tabs>
        <w:jc w:val="both"/>
        <w:rPr>
          <w:rFonts w:hint="eastAsia" w:ascii="宋体" w:hAnsi="宋体" w:eastAsia="宋体" w:cs="宋体"/>
          <w:b/>
          <w:bCs/>
          <w:color w:val="auto"/>
          <w:sz w:val="28"/>
          <w:szCs w:val="28"/>
          <w:highlight w:val="none"/>
        </w:rPr>
      </w:pPr>
    </w:p>
    <w:p w14:paraId="6C7FA7AD">
      <w:pPr>
        <w:pStyle w:val="63"/>
        <w:tabs>
          <w:tab w:val="right" w:leader="dot" w:pos="8618"/>
        </w:tabs>
        <w:jc w:val="both"/>
        <w:rPr>
          <w:rFonts w:hint="eastAsia" w:ascii="宋体" w:hAnsi="宋体" w:eastAsia="宋体" w:cs="宋体"/>
          <w:b/>
          <w:bCs/>
          <w:color w:val="auto"/>
          <w:sz w:val="28"/>
          <w:szCs w:val="28"/>
          <w:highlight w:val="none"/>
        </w:rPr>
      </w:pPr>
    </w:p>
    <w:p w14:paraId="13D4726D">
      <w:pPr>
        <w:pStyle w:val="63"/>
        <w:tabs>
          <w:tab w:val="right" w:leader="dot" w:pos="8618"/>
        </w:tabs>
        <w:jc w:val="center"/>
        <w:rPr>
          <w:rFonts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目  录</w:t>
      </w:r>
      <w:bookmarkEnd w:id="0"/>
    </w:p>
    <w:p w14:paraId="28A7E25E">
      <w:pPr>
        <w:pStyle w:val="20"/>
        <w:keepNext w:val="0"/>
        <w:keepLines w:val="0"/>
        <w:pageBreakBefore w:val="0"/>
        <w:tabs>
          <w:tab w:val="right" w:leader="dot" w:pos="8618"/>
        </w:tabs>
        <w:kinsoku/>
        <w:wordWrap/>
        <w:overflowPunct/>
        <w:topLinePunct w:val="0"/>
        <w:autoSpaceDE/>
        <w:autoSpaceDN/>
        <w:bidi w:val="0"/>
        <w:adjustRightInd/>
        <w:snapToGrid/>
        <w:spacing w:line="360" w:lineRule="auto"/>
        <w:ind w:right="0" w:rightChars="0" w:firstLine="0" w:firstLineChars="0"/>
        <w:textAlignment w:val="auto"/>
        <w:outlineLvl w:val="9"/>
        <w:rPr>
          <w:rFonts w:hint="eastAsia" w:ascii="宋体" w:hAnsi="宋体" w:eastAsia="宋体" w:cs="宋体"/>
          <w:b/>
          <w:bCs/>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"1-3" \h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_Toc14298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 xml:space="preserve">第一部分 </w:t>
      </w:r>
      <w:r>
        <w:rPr>
          <w:rFonts w:hint="eastAsia" w:ascii="宋体" w:hAnsi="宋体" w:eastAsia="宋体" w:cs="宋体"/>
          <w:b/>
          <w:bCs/>
          <w:sz w:val="24"/>
          <w:szCs w:val="24"/>
          <w:highlight w:val="none"/>
          <w:lang w:eastAsia="zh-CN"/>
        </w:rPr>
        <w:t>竞争性磋商公告</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PAGEREF _Toc14298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3</w:t>
      </w:r>
      <w:r>
        <w:rPr>
          <w:rFonts w:hint="eastAsia" w:ascii="宋体" w:hAnsi="宋体" w:eastAsia="宋体" w:cs="宋体"/>
          <w:b/>
          <w:bCs/>
          <w:sz w:val="24"/>
          <w:szCs w:val="24"/>
          <w:highlight w:val="none"/>
        </w:rPr>
        <w:fldChar w:fldCharType="end"/>
      </w:r>
      <w:r>
        <w:rPr>
          <w:rFonts w:hint="eastAsia" w:ascii="宋体" w:hAnsi="宋体" w:eastAsia="宋体" w:cs="宋体"/>
          <w:b/>
          <w:bCs/>
          <w:color w:val="auto"/>
          <w:sz w:val="24"/>
          <w:szCs w:val="24"/>
          <w:highlight w:val="none"/>
        </w:rPr>
        <w:fldChar w:fldCharType="end"/>
      </w:r>
    </w:p>
    <w:p w14:paraId="3472BAC9">
      <w:pPr>
        <w:pStyle w:val="20"/>
        <w:keepNext w:val="0"/>
        <w:keepLines w:val="0"/>
        <w:pageBreakBefore w:val="0"/>
        <w:tabs>
          <w:tab w:val="right" w:leader="dot" w:pos="8618"/>
        </w:tabs>
        <w:kinsoku/>
        <w:wordWrap/>
        <w:overflowPunct/>
        <w:topLinePunct w:val="0"/>
        <w:autoSpaceDE/>
        <w:autoSpaceDN/>
        <w:bidi w:val="0"/>
        <w:adjustRightInd/>
        <w:snapToGrid/>
        <w:spacing w:line="360" w:lineRule="auto"/>
        <w:ind w:right="0" w:rightChars="0" w:firstLine="0" w:firstLineChars="0"/>
        <w:textAlignment w:val="auto"/>
        <w:outlineLvl w:val="9"/>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_Toc3881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第二部分 供应商须知</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PAGEREF _Toc3881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9</w:t>
      </w:r>
      <w:r>
        <w:rPr>
          <w:rFonts w:hint="eastAsia" w:ascii="宋体" w:hAnsi="宋体" w:eastAsia="宋体" w:cs="宋体"/>
          <w:b/>
          <w:bCs/>
          <w:sz w:val="24"/>
          <w:szCs w:val="24"/>
          <w:highlight w:val="none"/>
        </w:rPr>
        <w:fldChar w:fldCharType="end"/>
      </w:r>
      <w:r>
        <w:rPr>
          <w:rFonts w:hint="eastAsia" w:ascii="宋体" w:hAnsi="宋体" w:eastAsia="宋体" w:cs="宋体"/>
          <w:b/>
          <w:bCs/>
          <w:color w:val="auto"/>
          <w:sz w:val="24"/>
          <w:szCs w:val="24"/>
          <w:highlight w:val="none"/>
        </w:rPr>
        <w:fldChar w:fldCharType="end"/>
      </w:r>
    </w:p>
    <w:p w14:paraId="01CA676D">
      <w:pPr>
        <w:pStyle w:val="20"/>
        <w:keepNext w:val="0"/>
        <w:keepLines w:val="0"/>
        <w:pageBreakBefore w:val="0"/>
        <w:tabs>
          <w:tab w:val="right" w:leader="dot" w:pos="8618"/>
        </w:tabs>
        <w:kinsoku/>
        <w:wordWrap/>
        <w:overflowPunct/>
        <w:topLinePunct w:val="0"/>
        <w:autoSpaceDE/>
        <w:autoSpaceDN/>
        <w:bidi w:val="0"/>
        <w:adjustRightInd/>
        <w:snapToGrid/>
        <w:spacing w:line="360" w:lineRule="auto"/>
        <w:ind w:right="0" w:rightChars="0" w:firstLine="0" w:firstLineChars="0"/>
        <w:textAlignment w:val="auto"/>
        <w:outlineLvl w:val="9"/>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_Toc17500 </w:instrText>
      </w:r>
      <w:r>
        <w:rPr>
          <w:rFonts w:hint="eastAsia" w:ascii="宋体" w:hAnsi="宋体" w:eastAsia="宋体" w:cs="宋体"/>
          <w:b/>
          <w:bCs/>
          <w:sz w:val="24"/>
          <w:szCs w:val="24"/>
          <w:highlight w:val="none"/>
        </w:rPr>
        <w:fldChar w:fldCharType="separate"/>
      </w:r>
      <w:r>
        <w:rPr>
          <w:rFonts w:hint="eastAsia" w:ascii="宋体" w:hAnsi="宋体" w:eastAsia="宋体" w:cs="宋体"/>
          <w:b/>
          <w:bCs/>
          <w:kern w:val="0"/>
          <w:sz w:val="24"/>
          <w:szCs w:val="24"/>
          <w:highlight w:val="none"/>
        </w:rPr>
        <w:t>第三部分 采购内容及要求</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PAGEREF _Toc17500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43</w:t>
      </w:r>
      <w:r>
        <w:rPr>
          <w:rFonts w:hint="eastAsia" w:ascii="宋体" w:hAnsi="宋体" w:eastAsia="宋体" w:cs="宋体"/>
          <w:b/>
          <w:bCs/>
          <w:sz w:val="24"/>
          <w:szCs w:val="24"/>
          <w:highlight w:val="none"/>
        </w:rPr>
        <w:fldChar w:fldCharType="end"/>
      </w:r>
      <w:r>
        <w:rPr>
          <w:rFonts w:hint="eastAsia" w:ascii="宋体" w:hAnsi="宋体" w:eastAsia="宋体" w:cs="宋体"/>
          <w:b/>
          <w:bCs/>
          <w:color w:val="auto"/>
          <w:sz w:val="24"/>
          <w:szCs w:val="24"/>
          <w:highlight w:val="none"/>
        </w:rPr>
        <w:fldChar w:fldCharType="end"/>
      </w:r>
    </w:p>
    <w:p w14:paraId="48A797C0">
      <w:pPr>
        <w:pStyle w:val="20"/>
        <w:keepNext w:val="0"/>
        <w:keepLines w:val="0"/>
        <w:pageBreakBefore w:val="0"/>
        <w:tabs>
          <w:tab w:val="right" w:leader="dot" w:pos="8618"/>
        </w:tabs>
        <w:kinsoku/>
        <w:wordWrap/>
        <w:overflowPunct/>
        <w:topLinePunct w:val="0"/>
        <w:autoSpaceDE/>
        <w:autoSpaceDN/>
        <w:bidi w:val="0"/>
        <w:adjustRightInd/>
        <w:snapToGrid/>
        <w:spacing w:line="360" w:lineRule="auto"/>
        <w:ind w:right="0" w:rightChars="0" w:firstLine="0" w:firstLineChars="0"/>
        <w:textAlignment w:val="auto"/>
        <w:outlineLvl w:val="9"/>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_Toc16848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第四部分 合同条款</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PAGEREF _Toc16848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46</w:t>
      </w:r>
      <w:r>
        <w:rPr>
          <w:rFonts w:hint="eastAsia" w:ascii="宋体" w:hAnsi="宋体" w:eastAsia="宋体" w:cs="宋体"/>
          <w:b/>
          <w:bCs/>
          <w:sz w:val="24"/>
          <w:szCs w:val="24"/>
          <w:highlight w:val="none"/>
        </w:rPr>
        <w:fldChar w:fldCharType="end"/>
      </w:r>
      <w:r>
        <w:rPr>
          <w:rFonts w:hint="eastAsia" w:ascii="宋体" w:hAnsi="宋体" w:eastAsia="宋体" w:cs="宋体"/>
          <w:b/>
          <w:bCs/>
          <w:color w:val="auto"/>
          <w:sz w:val="24"/>
          <w:szCs w:val="24"/>
          <w:highlight w:val="none"/>
        </w:rPr>
        <w:fldChar w:fldCharType="end"/>
      </w:r>
    </w:p>
    <w:p w14:paraId="7952C378">
      <w:pPr>
        <w:pStyle w:val="20"/>
        <w:keepNext w:val="0"/>
        <w:keepLines w:val="0"/>
        <w:pageBreakBefore w:val="0"/>
        <w:tabs>
          <w:tab w:val="right" w:leader="dot" w:pos="8618"/>
        </w:tabs>
        <w:kinsoku/>
        <w:wordWrap/>
        <w:overflowPunct/>
        <w:topLinePunct w:val="0"/>
        <w:autoSpaceDE/>
        <w:autoSpaceDN/>
        <w:bidi w:val="0"/>
        <w:adjustRightInd/>
        <w:snapToGrid/>
        <w:spacing w:line="360" w:lineRule="auto"/>
        <w:ind w:right="0" w:rightChars="0" w:firstLine="0" w:firstLineChars="0"/>
        <w:textAlignment w:val="auto"/>
        <w:outlineLvl w:val="9"/>
        <w:rPr>
          <w:rFonts w:hint="default" w:ascii="宋体" w:hAnsi="宋体" w:eastAsia="宋体" w:cs="宋体"/>
          <w:b w:val="0"/>
          <w:bCs w:val="0"/>
          <w:sz w:val="24"/>
          <w:szCs w:val="24"/>
          <w:highlight w:val="none"/>
          <w:lang w:val="en-US" w:eastAsia="zh-CN"/>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_Toc18172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第五部分 竞争性磋商响应文件格式</w:t>
      </w:r>
      <w:r>
        <w:rPr>
          <w:rFonts w:hint="eastAsia" w:ascii="宋体" w:hAnsi="宋体" w:eastAsia="宋体" w:cs="宋体"/>
          <w:b/>
          <w:bCs/>
          <w:sz w:val="24"/>
          <w:szCs w:val="24"/>
          <w:highlight w:val="none"/>
        </w:rPr>
        <w:tab/>
      </w:r>
      <w:r>
        <w:rPr>
          <w:rFonts w:hint="eastAsia" w:ascii="宋体" w:hAnsi="宋体" w:eastAsia="宋体" w:cs="宋体"/>
          <w:b/>
          <w:bCs/>
          <w:color w:val="auto"/>
          <w:sz w:val="24"/>
          <w:szCs w:val="24"/>
          <w:highlight w:val="none"/>
        </w:rPr>
        <w:fldChar w:fldCharType="end"/>
      </w:r>
      <w:r>
        <w:rPr>
          <w:rFonts w:hint="eastAsia" w:ascii="宋体" w:hAnsi="宋体" w:cs="宋体"/>
          <w:b/>
          <w:bCs/>
          <w:color w:val="auto"/>
          <w:sz w:val="24"/>
          <w:szCs w:val="24"/>
          <w:highlight w:val="none"/>
          <w:lang w:val="en-US" w:eastAsia="zh-CN"/>
        </w:rPr>
        <w:t>68</w:t>
      </w:r>
    </w:p>
    <w:p w14:paraId="5FA68628">
      <w:pPr>
        <w:pStyle w:val="63"/>
        <w:keepNext w:val="0"/>
        <w:keepLines w:val="0"/>
        <w:pageBreakBefore w:val="0"/>
        <w:tabs>
          <w:tab w:val="right" w:leader="dot" w:pos="8618"/>
        </w:tabs>
        <w:kinsoku/>
        <w:wordWrap/>
        <w:overflowPunct/>
        <w:topLinePunct w:val="0"/>
        <w:autoSpaceDE/>
        <w:autoSpaceDN/>
        <w:bidi w:val="0"/>
        <w:adjustRightInd/>
        <w:snapToGrid/>
        <w:spacing w:line="360" w:lineRule="auto"/>
        <w:ind w:right="0" w:rightChars="0" w:firstLine="0" w:firstLineChars="0"/>
        <w:textAlignment w:val="auto"/>
        <w:outlineLvl w:val="9"/>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fldChar w:fldCharType="end"/>
      </w:r>
    </w:p>
    <w:p w14:paraId="593E49AD">
      <w:pPr>
        <w:pStyle w:val="63"/>
        <w:tabs>
          <w:tab w:val="left" w:pos="5891"/>
        </w:tabs>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b/>
      </w:r>
    </w:p>
    <w:p w14:paraId="28B0E841">
      <w:pPr>
        <w:pStyle w:val="63"/>
        <w:tabs>
          <w:tab w:val="right" w:leader="dot" w:pos="8618"/>
        </w:tabs>
        <w:spacing w:line="360" w:lineRule="auto"/>
        <w:rPr>
          <w:rFonts w:ascii="宋体" w:hAnsi="宋体" w:eastAsia="宋体" w:cs="宋体"/>
          <w:color w:val="auto"/>
          <w:sz w:val="24"/>
          <w:szCs w:val="24"/>
          <w:highlight w:val="none"/>
        </w:rPr>
      </w:pPr>
    </w:p>
    <w:p w14:paraId="04257C3C">
      <w:pPr>
        <w:pStyle w:val="63"/>
        <w:tabs>
          <w:tab w:val="right" w:leader="dot" w:pos="8618"/>
        </w:tabs>
        <w:spacing w:line="360" w:lineRule="auto"/>
        <w:rPr>
          <w:rFonts w:ascii="宋体" w:hAnsi="宋体" w:eastAsia="宋体" w:cs="宋体"/>
          <w:color w:val="auto"/>
          <w:sz w:val="24"/>
          <w:szCs w:val="24"/>
          <w:highlight w:val="none"/>
        </w:rPr>
      </w:pPr>
    </w:p>
    <w:p w14:paraId="2B1B10E2">
      <w:pPr>
        <w:pStyle w:val="63"/>
        <w:tabs>
          <w:tab w:val="right" w:leader="dot" w:pos="8618"/>
        </w:tabs>
        <w:spacing w:line="360" w:lineRule="auto"/>
        <w:rPr>
          <w:rFonts w:ascii="宋体" w:hAnsi="宋体" w:eastAsia="宋体" w:cs="宋体"/>
          <w:color w:val="auto"/>
          <w:sz w:val="24"/>
          <w:szCs w:val="24"/>
          <w:highlight w:val="none"/>
        </w:rPr>
      </w:pPr>
    </w:p>
    <w:p w14:paraId="033DBD99">
      <w:pPr>
        <w:pStyle w:val="63"/>
        <w:tabs>
          <w:tab w:val="right" w:leader="dot" w:pos="8618"/>
        </w:tabs>
        <w:spacing w:line="360" w:lineRule="auto"/>
        <w:rPr>
          <w:rFonts w:ascii="宋体" w:hAnsi="宋体" w:eastAsia="宋体" w:cs="宋体"/>
          <w:color w:val="auto"/>
          <w:sz w:val="24"/>
          <w:szCs w:val="24"/>
          <w:highlight w:val="none"/>
        </w:rPr>
      </w:pPr>
    </w:p>
    <w:p w14:paraId="3348EE1E">
      <w:pPr>
        <w:pStyle w:val="63"/>
        <w:tabs>
          <w:tab w:val="right" w:leader="dot" w:pos="8618"/>
        </w:tabs>
        <w:spacing w:line="360" w:lineRule="auto"/>
        <w:rPr>
          <w:rFonts w:ascii="宋体" w:hAnsi="宋体" w:eastAsia="宋体" w:cs="宋体"/>
          <w:color w:val="auto"/>
          <w:sz w:val="24"/>
          <w:szCs w:val="24"/>
          <w:highlight w:val="none"/>
        </w:rPr>
      </w:pPr>
    </w:p>
    <w:p w14:paraId="4ACF7347">
      <w:pPr>
        <w:pStyle w:val="63"/>
        <w:tabs>
          <w:tab w:val="right" w:leader="dot" w:pos="8618"/>
        </w:tabs>
        <w:spacing w:line="360" w:lineRule="auto"/>
        <w:rPr>
          <w:rFonts w:ascii="宋体" w:hAnsi="宋体" w:eastAsia="宋体" w:cs="宋体"/>
          <w:color w:val="auto"/>
          <w:sz w:val="24"/>
          <w:szCs w:val="24"/>
          <w:highlight w:val="none"/>
        </w:rPr>
      </w:pPr>
    </w:p>
    <w:p w14:paraId="03033EB5">
      <w:pPr>
        <w:pStyle w:val="63"/>
        <w:tabs>
          <w:tab w:val="right" w:leader="dot" w:pos="8618"/>
        </w:tabs>
        <w:spacing w:line="360" w:lineRule="auto"/>
        <w:rPr>
          <w:rFonts w:ascii="宋体" w:hAnsi="宋体" w:eastAsia="宋体" w:cs="宋体"/>
          <w:color w:val="auto"/>
          <w:sz w:val="24"/>
          <w:szCs w:val="24"/>
          <w:highlight w:val="none"/>
        </w:rPr>
      </w:pPr>
    </w:p>
    <w:p w14:paraId="66561B9B">
      <w:pPr>
        <w:pStyle w:val="63"/>
        <w:tabs>
          <w:tab w:val="right" w:leader="dot" w:pos="8618"/>
        </w:tabs>
        <w:spacing w:line="360" w:lineRule="auto"/>
        <w:rPr>
          <w:rFonts w:ascii="宋体" w:hAnsi="宋体" w:eastAsia="宋体" w:cs="宋体"/>
          <w:color w:val="auto"/>
          <w:sz w:val="24"/>
          <w:szCs w:val="24"/>
          <w:highlight w:val="none"/>
        </w:rPr>
      </w:pPr>
    </w:p>
    <w:p w14:paraId="009C3878">
      <w:pPr>
        <w:pStyle w:val="63"/>
        <w:tabs>
          <w:tab w:val="right" w:leader="dot" w:pos="8618"/>
        </w:tabs>
        <w:spacing w:line="360" w:lineRule="auto"/>
        <w:rPr>
          <w:rFonts w:ascii="宋体" w:hAnsi="宋体" w:eastAsia="宋体" w:cs="宋体"/>
          <w:color w:val="auto"/>
          <w:sz w:val="24"/>
          <w:szCs w:val="24"/>
          <w:highlight w:val="none"/>
        </w:rPr>
      </w:pPr>
    </w:p>
    <w:p w14:paraId="203592B7">
      <w:pPr>
        <w:pStyle w:val="63"/>
        <w:tabs>
          <w:tab w:val="right" w:leader="dot" w:pos="8618"/>
        </w:tabs>
        <w:spacing w:line="360" w:lineRule="auto"/>
        <w:rPr>
          <w:rFonts w:ascii="宋体" w:hAnsi="宋体" w:eastAsia="宋体" w:cs="宋体"/>
          <w:color w:val="auto"/>
          <w:sz w:val="24"/>
          <w:szCs w:val="24"/>
          <w:highlight w:val="none"/>
        </w:rPr>
      </w:pPr>
    </w:p>
    <w:p w14:paraId="6D0C116E">
      <w:pPr>
        <w:pStyle w:val="63"/>
        <w:tabs>
          <w:tab w:val="right" w:leader="dot" w:pos="8618"/>
        </w:tabs>
        <w:spacing w:line="360" w:lineRule="auto"/>
        <w:rPr>
          <w:rFonts w:ascii="宋体" w:hAnsi="宋体" w:eastAsia="宋体" w:cs="宋体"/>
          <w:color w:val="auto"/>
          <w:sz w:val="24"/>
          <w:szCs w:val="24"/>
          <w:highlight w:val="none"/>
        </w:rPr>
      </w:pPr>
    </w:p>
    <w:p w14:paraId="51845EB5">
      <w:pPr>
        <w:pStyle w:val="63"/>
        <w:tabs>
          <w:tab w:val="right" w:leader="dot" w:pos="8618"/>
        </w:tabs>
        <w:spacing w:line="360" w:lineRule="auto"/>
        <w:rPr>
          <w:rFonts w:ascii="宋体" w:hAnsi="宋体" w:eastAsia="宋体" w:cs="宋体"/>
          <w:color w:val="auto"/>
          <w:sz w:val="24"/>
          <w:szCs w:val="24"/>
          <w:highlight w:val="none"/>
        </w:rPr>
      </w:pPr>
    </w:p>
    <w:p w14:paraId="763F8081">
      <w:pPr>
        <w:pStyle w:val="63"/>
        <w:tabs>
          <w:tab w:val="right" w:leader="dot" w:pos="8618"/>
        </w:tabs>
        <w:spacing w:line="360" w:lineRule="auto"/>
        <w:rPr>
          <w:rFonts w:ascii="宋体" w:hAnsi="宋体" w:eastAsia="宋体" w:cs="宋体"/>
          <w:color w:val="auto"/>
          <w:sz w:val="24"/>
          <w:szCs w:val="24"/>
          <w:highlight w:val="none"/>
        </w:rPr>
      </w:pPr>
    </w:p>
    <w:p w14:paraId="572FD052">
      <w:pPr>
        <w:pStyle w:val="63"/>
        <w:tabs>
          <w:tab w:val="right" w:leader="dot" w:pos="8618"/>
        </w:tabs>
        <w:spacing w:line="360" w:lineRule="auto"/>
        <w:rPr>
          <w:rFonts w:ascii="宋体" w:hAnsi="宋体" w:eastAsia="宋体" w:cs="宋体"/>
          <w:color w:val="auto"/>
          <w:sz w:val="24"/>
          <w:szCs w:val="24"/>
          <w:highlight w:val="none"/>
        </w:rPr>
      </w:pPr>
    </w:p>
    <w:p w14:paraId="6F9794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color w:val="auto"/>
          <w:kern w:val="0"/>
          <w:sz w:val="24"/>
          <w:szCs w:val="24"/>
          <w:highlight w:val="none"/>
          <w:lang w:eastAsia="zh-CN"/>
        </w:rPr>
      </w:pPr>
      <w:bookmarkStart w:id="1" w:name="_Toc1741_WPSOffice_Level1"/>
      <w:bookmarkStart w:id="2" w:name="_Toc14298"/>
      <w:bookmarkStart w:id="3" w:name="_Toc29386_WPSOffice_Level1"/>
      <w:r>
        <w:rPr>
          <w:rFonts w:hint="eastAsia" w:ascii="宋体" w:hAnsi="宋体" w:cs="宋体"/>
          <w:b/>
          <w:color w:val="auto"/>
          <w:sz w:val="24"/>
          <w:szCs w:val="24"/>
          <w:highlight w:val="none"/>
        </w:rPr>
        <w:t xml:space="preserve">第一部分 </w:t>
      </w:r>
      <w:bookmarkEnd w:id="1"/>
      <w:bookmarkEnd w:id="2"/>
      <w:r>
        <w:rPr>
          <w:rFonts w:hint="eastAsia" w:ascii="宋体" w:hAnsi="宋体" w:eastAsia="宋体" w:cs="宋体"/>
          <w:b/>
          <w:color w:val="auto"/>
          <w:sz w:val="24"/>
          <w:szCs w:val="24"/>
          <w:highlight w:val="none"/>
          <w:lang w:eastAsia="zh-CN"/>
        </w:rPr>
        <w:t>竞争性磋商公告</w:t>
      </w:r>
    </w:p>
    <w:p w14:paraId="5548483B">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bookmarkStart w:id="4" w:name="_Toc14937"/>
      <w:bookmarkStart w:id="5" w:name="_Toc10659"/>
      <w:bookmarkStart w:id="6" w:name="_Toc28025"/>
      <w:r>
        <w:rPr>
          <w:rFonts w:hint="eastAsia" w:ascii="宋体" w:hAnsi="宋体" w:eastAsia="宋体" w:cs="宋体"/>
          <w:color w:val="auto"/>
          <w:sz w:val="24"/>
          <w:szCs w:val="24"/>
          <w:highlight w:val="none"/>
        </w:rPr>
        <w:t>项目概况</w:t>
      </w:r>
    </w:p>
    <w:p w14:paraId="0A52BA27">
      <w:pPr>
        <w:keepNext w:val="0"/>
        <w:keepLines w:val="0"/>
        <w:pageBreakBefore w:val="0"/>
        <w:widowControl w:val="0"/>
        <w:kinsoku/>
        <w:wordWrap/>
        <w:overflowPunct/>
        <w:topLinePunct w:val="0"/>
        <w:autoSpaceDE/>
        <w:autoSpaceDN/>
        <w:bidi w:val="0"/>
        <w:adjustRightInd/>
        <w:snapToGrid/>
        <w:spacing w:line="312" w:lineRule="auto"/>
        <w:ind w:firstLine="50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秦雍城遗址秦公一号大墓祭祀坑保护展示工程施工及监理(三次)</w:t>
      </w:r>
      <w:r>
        <w:rPr>
          <w:rFonts w:hint="eastAsia" w:ascii="宋体" w:hAnsi="宋体" w:eastAsia="宋体" w:cs="宋体"/>
          <w:color w:val="auto"/>
          <w:sz w:val="24"/>
          <w:szCs w:val="24"/>
          <w:highlight w:val="none"/>
          <w:lang w:val="en-US" w:eastAsia="zh-CN"/>
        </w:rPr>
        <w:t>采购项目</w:t>
      </w:r>
      <w:r>
        <w:rPr>
          <w:rFonts w:hint="eastAsia" w:ascii="宋体" w:hAnsi="宋体" w:eastAsia="宋体" w:cs="宋体"/>
          <w:color w:val="auto"/>
          <w:sz w:val="24"/>
          <w:szCs w:val="24"/>
          <w:highlight w:val="none"/>
        </w:rPr>
        <w:t>的潜在供应商应在全国公共资源交易平台（陕西省.宝鸡市）获取采购文件，并于202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时00分（北京时间）前提交响应文件。</w:t>
      </w:r>
    </w:p>
    <w:p w14:paraId="6C3218BB">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3A068A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500" w:firstLineChars="200"/>
        <w:jc w:val="both"/>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项目编号：</w:t>
      </w:r>
      <w:r>
        <w:rPr>
          <w:rFonts w:hint="eastAsia" w:ascii="宋体" w:hAnsi="宋体" w:cs="宋体"/>
          <w:color w:val="auto"/>
          <w:kern w:val="0"/>
          <w:sz w:val="24"/>
          <w:szCs w:val="24"/>
          <w:highlight w:val="none"/>
          <w:lang w:val="en-US" w:eastAsia="zh-CN" w:bidi="ar-SA"/>
        </w:rPr>
        <w:t>SXHXBJ-2026-03-001.3B1</w:t>
      </w:r>
    </w:p>
    <w:p w14:paraId="14DA11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500" w:firstLineChars="200"/>
        <w:jc w:val="both"/>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项目名称：</w:t>
      </w:r>
      <w:r>
        <w:rPr>
          <w:rFonts w:hint="eastAsia" w:ascii="宋体" w:hAnsi="宋体" w:cs="宋体"/>
          <w:color w:val="auto"/>
          <w:kern w:val="0"/>
          <w:sz w:val="24"/>
          <w:szCs w:val="24"/>
          <w:highlight w:val="none"/>
          <w:lang w:val="en-US" w:eastAsia="zh-CN" w:bidi="ar-SA"/>
        </w:rPr>
        <w:t>秦雍城遗址秦公一号大墓祭祀坑保护展示工程施工及监理(三次)</w:t>
      </w:r>
    </w:p>
    <w:p w14:paraId="5AD4B2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500" w:firstLineChars="200"/>
        <w:jc w:val="both"/>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采购方式：竞争性磋商</w:t>
      </w:r>
    </w:p>
    <w:p w14:paraId="6D7B2F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500" w:firstLineChars="200"/>
        <w:jc w:val="both"/>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预算金额：</w:t>
      </w:r>
      <w:r>
        <w:rPr>
          <w:rFonts w:hint="eastAsia" w:ascii="宋体" w:hAnsi="宋体" w:cs="宋体"/>
          <w:color w:val="auto"/>
          <w:kern w:val="0"/>
          <w:sz w:val="24"/>
          <w:szCs w:val="24"/>
          <w:highlight w:val="none"/>
          <w:lang w:val="en-US" w:eastAsia="zh-CN" w:bidi="ar-SA"/>
        </w:rPr>
        <w:t>15</w:t>
      </w:r>
      <w:r>
        <w:rPr>
          <w:rFonts w:hint="eastAsia" w:ascii="宋体" w:hAnsi="宋体" w:eastAsia="宋体" w:cs="宋体"/>
          <w:color w:val="auto"/>
          <w:kern w:val="0"/>
          <w:sz w:val="24"/>
          <w:szCs w:val="24"/>
          <w:highlight w:val="none"/>
          <w:lang w:val="en-US" w:eastAsia="zh-CN" w:bidi="ar-SA"/>
        </w:rPr>
        <w:t xml:space="preserve">0000.00元 </w:t>
      </w:r>
    </w:p>
    <w:p w14:paraId="399BAC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right="0" w:firstLine="500" w:firstLineChars="200"/>
        <w:jc w:val="both"/>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采购需求：</w:t>
      </w:r>
    </w:p>
    <w:p w14:paraId="3F957E1F">
      <w:pPr>
        <w:keepNext w:val="0"/>
        <w:keepLines w:val="0"/>
        <w:pageBreakBefore w:val="0"/>
        <w:widowControl/>
        <w:kinsoku/>
        <w:overflowPunct/>
        <w:topLinePunct w:val="0"/>
        <w:autoSpaceDE/>
        <w:autoSpaceDN/>
        <w:bidi w:val="0"/>
        <w:spacing w:line="312" w:lineRule="auto"/>
        <w:ind w:firstLine="1000" w:firstLineChars="4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合同包</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kern w:val="0"/>
          <w:sz w:val="24"/>
          <w:szCs w:val="24"/>
          <w:highlight w:val="none"/>
          <w:lang w:val="en-US" w:eastAsia="zh-CN" w:bidi="ar-SA"/>
        </w:rPr>
        <w:t>秦雍城遗址秦公一号大墓祭祀坑保护展示工程监理（三次）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p>
    <w:p w14:paraId="2230A77E">
      <w:pPr>
        <w:keepNext w:val="0"/>
        <w:keepLines w:val="0"/>
        <w:pageBreakBefore w:val="0"/>
        <w:widowControl/>
        <w:kinsoku/>
        <w:overflowPunct/>
        <w:topLinePunct w:val="0"/>
        <w:autoSpaceDE/>
        <w:autoSpaceDN/>
        <w:bidi w:val="0"/>
        <w:spacing w:line="312" w:lineRule="auto"/>
        <w:ind w:firstLine="1000" w:firstLineChars="4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合同包预算金额：</w:t>
      </w:r>
      <w:r>
        <w:rPr>
          <w:rFonts w:hint="eastAsia" w:ascii="宋体" w:hAnsi="宋体" w:eastAsia="宋体" w:cs="宋体"/>
          <w:i w:val="0"/>
          <w:iCs w:val="0"/>
          <w:caps w:val="0"/>
          <w:color w:val="222222"/>
          <w:spacing w:val="0"/>
          <w:sz w:val="24"/>
          <w:szCs w:val="24"/>
          <w:highlight w:val="none"/>
        </w:rPr>
        <w:t>150000.00</w:t>
      </w:r>
      <w:r>
        <w:rPr>
          <w:rFonts w:hint="eastAsia" w:ascii="宋体" w:hAnsi="宋体" w:eastAsia="宋体" w:cs="宋体"/>
          <w:color w:val="auto"/>
          <w:kern w:val="0"/>
          <w:sz w:val="24"/>
          <w:szCs w:val="24"/>
          <w:highlight w:val="none"/>
        </w:rPr>
        <w:t>元</w:t>
      </w:r>
    </w:p>
    <w:p w14:paraId="058AE56E">
      <w:pPr>
        <w:keepNext w:val="0"/>
        <w:keepLines w:val="0"/>
        <w:pageBreakBefore w:val="0"/>
        <w:widowControl/>
        <w:kinsoku/>
        <w:overflowPunct/>
        <w:topLinePunct w:val="0"/>
        <w:autoSpaceDE/>
        <w:autoSpaceDN/>
        <w:bidi w:val="0"/>
        <w:spacing w:line="312" w:lineRule="auto"/>
        <w:ind w:firstLine="1000" w:firstLineChars="4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合同包最高限价：</w:t>
      </w:r>
      <w:r>
        <w:rPr>
          <w:rFonts w:hint="eastAsia" w:ascii="宋体" w:hAnsi="宋体" w:eastAsia="宋体" w:cs="宋体"/>
          <w:i w:val="0"/>
          <w:iCs w:val="0"/>
          <w:caps w:val="0"/>
          <w:color w:val="222222"/>
          <w:spacing w:val="0"/>
          <w:sz w:val="24"/>
          <w:szCs w:val="24"/>
          <w:highlight w:val="none"/>
        </w:rPr>
        <w:t>1</w:t>
      </w:r>
      <w:r>
        <w:rPr>
          <w:rFonts w:hint="eastAsia" w:ascii="宋体" w:hAnsi="宋体" w:eastAsia="宋体" w:cs="宋体"/>
          <w:i w:val="0"/>
          <w:iCs w:val="0"/>
          <w:caps w:val="0"/>
          <w:color w:val="222222"/>
          <w:spacing w:val="0"/>
          <w:sz w:val="24"/>
          <w:szCs w:val="24"/>
          <w:highlight w:val="none"/>
          <w:lang w:val="en-US" w:eastAsia="zh-CN"/>
        </w:rPr>
        <w:t>4</w:t>
      </w:r>
      <w:r>
        <w:rPr>
          <w:rFonts w:hint="eastAsia" w:ascii="宋体" w:hAnsi="宋体" w:eastAsia="宋体" w:cs="宋体"/>
          <w:i w:val="0"/>
          <w:iCs w:val="0"/>
          <w:caps w:val="0"/>
          <w:color w:val="222222"/>
          <w:spacing w:val="0"/>
          <w:sz w:val="24"/>
          <w:szCs w:val="24"/>
          <w:highlight w:val="none"/>
        </w:rPr>
        <w:t>0000.00</w:t>
      </w:r>
      <w:r>
        <w:rPr>
          <w:rFonts w:hint="eastAsia" w:ascii="宋体" w:hAnsi="宋体" w:eastAsia="宋体" w:cs="宋体"/>
          <w:color w:val="auto"/>
          <w:kern w:val="0"/>
          <w:sz w:val="24"/>
          <w:szCs w:val="24"/>
          <w:highlight w:val="none"/>
        </w:rPr>
        <w:t>元</w:t>
      </w:r>
    </w:p>
    <w:tbl>
      <w:tblPr>
        <w:tblStyle w:val="29"/>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84"/>
        <w:gridCol w:w="2032"/>
        <w:gridCol w:w="1205"/>
        <w:gridCol w:w="1118"/>
        <w:gridCol w:w="1875"/>
        <w:gridCol w:w="1540"/>
      </w:tblGrid>
      <w:tr w14:paraId="58F341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6" w:hRule="atLeast"/>
          <w:tblHeader/>
        </w:trPr>
        <w:tc>
          <w:tcPr>
            <w:tcW w:w="61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D817C26">
            <w:pPr>
              <w:keepNext w:val="0"/>
              <w:keepLines w:val="0"/>
              <w:pageBreakBefore w:val="0"/>
              <w:widowControl/>
              <w:kinsoku/>
              <w:wordWrap w:val="0"/>
              <w:overflowPunct/>
              <w:topLinePunct w:val="0"/>
              <w:autoSpaceDE/>
              <w:autoSpaceDN/>
              <w:bidi w:val="0"/>
              <w:adjustRightInd w:val="0"/>
              <w:snapToGrid w:val="0"/>
              <w:spacing w:line="312" w:lineRule="auto"/>
              <w:ind w:left="0" w:firstLine="0" w:firstLine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品目号</w:t>
            </w:r>
          </w:p>
        </w:tc>
        <w:tc>
          <w:tcPr>
            <w:tcW w:w="114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43B6100">
            <w:pPr>
              <w:keepNext w:val="0"/>
              <w:keepLines w:val="0"/>
              <w:pageBreakBefore w:val="0"/>
              <w:widowControl/>
              <w:kinsoku/>
              <w:wordWrap w:val="0"/>
              <w:overflowPunct/>
              <w:topLinePunct w:val="0"/>
              <w:autoSpaceDE/>
              <w:autoSpaceDN/>
              <w:bidi w:val="0"/>
              <w:adjustRightInd w:val="0"/>
              <w:snapToGrid w:val="0"/>
              <w:spacing w:line="312" w:lineRule="auto"/>
              <w:ind w:left="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品目名称</w:t>
            </w:r>
          </w:p>
        </w:tc>
        <w:tc>
          <w:tcPr>
            <w:tcW w:w="68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9935F7">
            <w:pPr>
              <w:keepNext w:val="0"/>
              <w:keepLines w:val="0"/>
              <w:pageBreakBefore w:val="0"/>
              <w:widowControl/>
              <w:kinsoku/>
              <w:wordWrap w:val="0"/>
              <w:overflowPunct/>
              <w:topLinePunct w:val="0"/>
              <w:autoSpaceDE/>
              <w:autoSpaceDN/>
              <w:bidi w:val="0"/>
              <w:adjustRightInd w:val="0"/>
              <w:snapToGrid w:val="0"/>
              <w:spacing w:line="312" w:lineRule="auto"/>
              <w:ind w:left="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采购标的</w:t>
            </w:r>
          </w:p>
        </w:tc>
        <w:tc>
          <w:tcPr>
            <w:tcW w:w="63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A9E1187">
            <w:pPr>
              <w:keepNext w:val="0"/>
              <w:keepLines w:val="0"/>
              <w:pageBreakBefore w:val="0"/>
              <w:widowControl/>
              <w:kinsoku/>
              <w:wordWrap w:val="0"/>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数量</w:t>
            </w:r>
          </w:p>
          <w:p w14:paraId="3876AC3A">
            <w:pPr>
              <w:keepNext w:val="0"/>
              <w:keepLines w:val="0"/>
              <w:pageBreakBefore w:val="0"/>
              <w:widowControl/>
              <w:kinsoku/>
              <w:wordWrap w:val="0"/>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(单位)</w:t>
            </w:r>
          </w:p>
        </w:tc>
        <w:tc>
          <w:tcPr>
            <w:tcW w:w="105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A17FA20">
            <w:pPr>
              <w:keepNext w:val="0"/>
              <w:keepLines w:val="0"/>
              <w:pageBreakBefore w:val="0"/>
              <w:widowControl/>
              <w:kinsoku/>
              <w:wordWrap w:val="0"/>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技术规格、</w:t>
            </w:r>
          </w:p>
          <w:p w14:paraId="2C086553">
            <w:pPr>
              <w:keepNext w:val="0"/>
              <w:keepLines w:val="0"/>
              <w:pageBreakBefore w:val="0"/>
              <w:widowControl/>
              <w:kinsoku/>
              <w:wordWrap w:val="0"/>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参数及要求</w:t>
            </w:r>
          </w:p>
        </w:tc>
        <w:tc>
          <w:tcPr>
            <w:tcW w:w="86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6C72E6F">
            <w:pPr>
              <w:keepNext w:val="0"/>
              <w:keepLines w:val="0"/>
              <w:pageBreakBefore w:val="0"/>
              <w:widowControl/>
              <w:kinsoku/>
              <w:wordWrap w:val="0"/>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品目预算（元）</w:t>
            </w:r>
          </w:p>
        </w:tc>
      </w:tr>
      <w:tr w14:paraId="168427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5" w:hRule="atLeast"/>
        </w:trPr>
        <w:tc>
          <w:tcPr>
            <w:tcW w:w="61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A985F3F">
            <w:pPr>
              <w:keepNext w:val="0"/>
              <w:keepLines w:val="0"/>
              <w:pageBreakBefore w:val="0"/>
              <w:widowControl/>
              <w:kinsoku/>
              <w:overflowPunct/>
              <w:topLinePunct w:val="0"/>
              <w:autoSpaceDE/>
              <w:autoSpaceDN/>
              <w:bidi w:val="0"/>
              <w:adjustRightInd w:val="0"/>
              <w:snapToGrid w:val="0"/>
              <w:spacing w:line="312" w:lineRule="auto"/>
              <w:ind w:left="0" w:firstLine="0" w:firstLineChars="0"/>
              <w:jc w:val="center"/>
              <w:textAlignment w:val="auto"/>
              <w:rPr>
                <w:rFonts w:hint="eastAsia" w:ascii="宋体" w:hAnsi="宋体" w:eastAsia="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-1</w:t>
            </w:r>
          </w:p>
        </w:tc>
        <w:tc>
          <w:tcPr>
            <w:tcW w:w="114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A93F861">
            <w:pPr>
              <w:keepNext w:val="0"/>
              <w:keepLines w:val="0"/>
              <w:pageBreakBefore w:val="0"/>
              <w:widowControl/>
              <w:kinsoku/>
              <w:overflowPunct/>
              <w:topLinePunct w:val="0"/>
              <w:autoSpaceDE/>
              <w:autoSpaceDN/>
              <w:bidi w:val="0"/>
              <w:adjustRightInd w:val="0"/>
              <w:snapToGrid w:val="0"/>
              <w:spacing w:line="312" w:lineRule="auto"/>
              <w:ind w:left="0" w:firstLine="0" w:firstLineChars="0"/>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aps w:val="0"/>
                <w:color w:val="222222"/>
                <w:spacing w:val="0"/>
                <w:sz w:val="24"/>
                <w:szCs w:val="24"/>
                <w:highlight w:val="none"/>
              </w:rPr>
              <w:t>其他建筑工程</w:t>
            </w:r>
          </w:p>
        </w:tc>
        <w:tc>
          <w:tcPr>
            <w:tcW w:w="68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33F62E8">
            <w:pPr>
              <w:keepNext w:val="0"/>
              <w:keepLines w:val="0"/>
              <w:pageBreakBefore w:val="0"/>
              <w:widowControl/>
              <w:kinsoku/>
              <w:overflowPunct/>
              <w:topLinePunct w:val="0"/>
              <w:autoSpaceDE/>
              <w:autoSpaceDN/>
              <w:bidi w:val="0"/>
              <w:adjustRightInd w:val="0"/>
              <w:snapToGrid w:val="0"/>
              <w:spacing w:line="312" w:lineRule="auto"/>
              <w:ind w:left="0" w:firstLine="0" w:firstLineChars="0"/>
              <w:jc w:val="center"/>
              <w:textAlignment w:val="auto"/>
              <w:rPr>
                <w:rFonts w:hint="eastAsia" w:ascii="宋体" w:hAnsi="宋体" w:eastAsia="宋体" w:cs="宋体"/>
                <w:color w:val="auto"/>
                <w:kern w:val="0"/>
                <w:sz w:val="24"/>
                <w:szCs w:val="24"/>
                <w:highlight w:val="none"/>
                <w:lang w:eastAsia="zh-CN" w:bidi="ar"/>
              </w:rPr>
            </w:pPr>
            <w:r>
              <w:rPr>
                <w:rFonts w:hint="eastAsia" w:ascii="宋体" w:hAnsi="宋体" w:eastAsia="宋体" w:cs="宋体"/>
                <w:i w:val="0"/>
                <w:iCs w:val="0"/>
                <w:caps w:val="0"/>
                <w:color w:val="222222"/>
                <w:spacing w:val="0"/>
                <w:sz w:val="24"/>
                <w:szCs w:val="24"/>
                <w:highlight w:val="none"/>
              </w:rPr>
              <w:t>监理</w:t>
            </w:r>
          </w:p>
        </w:tc>
        <w:tc>
          <w:tcPr>
            <w:tcW w:w="63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8C31EA9">
            <w:pPr>
              <w:keepNext w:val="0"/>
              <w:keepLines w:val="0"/>
              <w:pageBreakBefore w:val="0"/>
              <w:widowControl/>
              <w:kinsoku/>
              <w:overflowPunct/>
              <w:topLinePunct w:val="0"/>
              <w:autoSpaceDE/>
              <w:autoSpaceDN/>
              <w:bidi w:val="0"/>
              <w:adjustRightInd w:val="0"/>
              <w:snapToGrid w:val="0"/>
              <w:spacing w:line="312" w:lineRule="auto"/>
              <w:ind w:left="0" w:firstLine="0" w:firstLineChars="0"/>
              <w:jc w:val="righ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1（项）</w:t>
            </w:r>
          </w:p>
        </w:tc>
        <w:tc>
          <w:tcPr>
            <w:tcW w:w="105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D476BFF">
            <w:pPr>
              <w:keepNext w:val="0"/>
              <w:keepLines w:val="0"/>
              <w:pageBreakBefore w:val="0"/>
              <w:widowControl/>
              <w:tabs>
                <w:tab w:val="left" w:pos="490"/>
              </w:tabs>
              <w:kinsoku/>
              <w:wordWrap w:val="0"/>
              <w:overflowPunct/>
              <w:topLinePunct w:val="0"/>
              <w:autoSpaceDE/>
              <w:autoSpaceDN/>
              <w:bidi w:val="0"/>
              <w:adjustRightInd w:val="0"/>
              <w:snapToGrid w:val="0"/>
              <w:spacing w:line="312" w:lineRule="auto"/>
              <w:ind w:left="0" w:firstLine="0" w:firstLineChars="0"/>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详见采购文件</w:t>
            </w:r>
          </w:p>
        </w:tc>
        <w:tc>
          <w:tcPr>
            <w:tcW w:w="86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1B1B64E">
            <w:pPr>
              <w:keepNext w:val="0"/>
              <w:keepLines w:val="0"/>
              <w:pageBreakBefore w:val="0"/>
              <w:widowControl/>
              <w:kinsoku/>
              <w:overflowPunct/>
              <w:topLinePunct w:val="0"/>
              <w:autoSpaceDE/>
              <w:autoSpaceDN/>
              <w:bidi w:val="0"/>
              <w:adjustRightInd w:val="0"/>
              <w:snapToGrid w:val="0"/>
              <w:spacing w:line="312" w:lineRule="auto"/>
              <w:ind w:left="0" w:firstLine="0" w:firstLine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aps w:val="0"/>
                <w:color w:val="222222"/>
                <w:spacing w:val="0"/>
                <w:sz w:val="24"/>
                <w:szCs w:val="24"/>
                <w:highlight w:val="none"/>
              </w:rPr>
              <w:t>150000.00</w:t>
            </w:r>
          </w:p>
        </w:tc>
      </w:tr>
    </w:tbl>
    <w:p w14:paraId="1D1D4DDD">
      <w:pPr>
        <w:keepNext w:val="0"/>
        <w:keepLines w:val="0"/>
        <w:pageBreakBefore w:val="0"/>
        <w:kinsoku/>
        <w:wordWrap/>
        <w:overflowPunct/>
        <w:topLinePunct w:val="0"/>
        <w:autoSpaceDE/>
        <w:autoSpaceDN/>
        <w:bidi w:val="0"/>
        <w:adjustRightInd w:val="0"/>
        <w:snapToGrid w:val="0"/>
        <w:spacing w:line="312" w:lineRule="auto"/>
        <w:ind w:firstLine="1000" w:firstLineChars="400"/>
        <w:rPr>
          <w:rFonts w:hint="eastAsia" w:ascii="宋体" w:hAnsi="宋体" w:eastAsia="宋体" w:cs="宋体"/>
          <w:color w:val="auto"/>
          <w:sz w:val="24"/>
          <w:szCs w:val="24"/>
          <w:highlight w:val="none"/>
        </w:rPr>
      </w:pPr>
    </w:p>
    <w:p w14:paraId="1387128C">
      <w:pPr>
        <w:keepNext w:val="0"/>
        <w:keepLines w:val="0"/>
        <w:pageBreakBefore w:val="0"/>
        <w:widowControl w:val="0"/>
        <w:kinsoku/>
        <w:wordWrap/>
        <w:overflowPunct/>
        <w:topLinePunct w:val="0"/>
        <w:autoSpaceDE/>
        <w:autoSpaceDN/>
        <w:bidi w:val="0"/>
        <w:adjustRightInd w:val="0"/>
        <w:snapToGrid w:val="0"/>
        <w:spacing w:line="312" w:lineRule="auto"/>
        <w:ind w:firstLine="100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本合同包不接受联合体投标</w:t>
      </w:r>
    </w:p>
    <w:p w14:paraId="69B32C3B">
      <w:pPr>
        <w:keepNext w:val="0"/>
        <w:keepLines w:val="0"/>
        <w:pageBreakBefore w:val="0"/>
        <w:kinsoku/>
        <w:wordWrap/>
        <w:overflowPunct/>
        <w:topLinePunct w:val="0"/>
        <w:autoSpaceDE/>
        <w:autoSpaceDN/>
        <w:bidi w:val="0"/>
        <w:adjustRightInd w:val="0"/>
        <w:snapToGrid w:val="0"/>
        <w:spacing w:line="312" w:lineRule="auto"/>
        <w:ind w:firstLine="1000" w:firstLineChars="4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lang w:val="en-US" w:eastAsia="zh-CN"/>
        </w:rPr>
        <w:t>以合同签订为准。</w:t>
      </w:r>
    </w:p>
    <w:p w14:paraId="428BFE25">
      <w:pPr>
        <w:keepNext w:val="0"/>
        <w:keepLines w:val="0"/>
        <w:pageBreakBefore w:val="0"/>
        <w:widowControl/>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eastAsia="zh-CN"/>
        </w:rPr>
        <w:t>申请人的</w:t>
      </w:r>
      <w:r>
        <w:rPr>
          <w:rFonts w:hint="eastAsia" w:ascii="宋体" w:hAnsi="宋体" w:eastAsia="宋体" w:cs="宋体"/>
          <w:b/>
          <w:bCs/>
          <w:color w:val="auto"/>
          <w:sz w:val="24"/>
          <w:szCs w:val="24"/>
          <w:highlight w:val="none"/>
        </w:rPr>
        <w:t>资格要求</w:t>
      </w:r>
      <w:bookmarkEnd w:id="4"/>
      <w:bookmarkEnd w:id="5"/>
      <w:bookmarkEnd w:id="6"/>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 xml:space="preserve"> </w:t>
      </w:r>
    </w:p>
    <w:p w14:paraId="28A83983">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50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满足《中华人民共和国政府采购法》第二十二条规定</w:t>
      </w:r>
    </w:p>
    <w:p w14:paraId="22E85E17">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50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落实政府采购政策需满足的资格要求：</w:t>
      </w:r>
    </w:p>
    <w:p w14:paraId="636C9636">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50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合同包1(</w:t>
      </w:r>
      <w:r>
        <w:rPr>
          <w:rFonts w:hint="eastAsia" w:ascii="宋体" w:hAnsi="宋体" w:cs="宋体"/>
          <w:color w:val="auto"/>
          <w:kern w:val="0"/>
          <w:sz w:val="24"/>
          <w:szCs w:val="24"/>
          <w:highlight w:val="none"/>
          <w:lang w:eastAsia="zh-CN"/>
        </w:rPr>
        <w:t>秦雍城遗址秦公一号大墓祭祀坑保护展示工程监理（三次）</w:t>
      </w:r>
      <w:r>
        <w:rPr>
          <w:rFonts w:hint="eastAsia" w:ascii="宋体" w:hAnsi="宋体" w:eastAsia="宋体" w:cs="宋体"/>
          <w:color w:val="auto"/>
          <w:kern w:val="0"/>
          <w:sz w:val="24"/>
          <w:szCs w:val="24"/>
          <w:highlight w:val="none"/>
        </w:rPr>
        <w:t>)落实政府采购政策需满足的资格要求如下</w:t>
      </w:r>
      <w:r>
        <w:rPr>
          <w:rFonts w:hint="eastAsia" w:ascii="宋体" w:hAnsi="宋体" w:eastAsia="宋体" w:cs="宋体"/>
          <w:color w:val="auto"/>
          <w:kern w:val="0"/>
          <w:sz w:val="24"/>
          <w:szCs w:val="24"/>
          <w:highlight w:val="none"/>
          <w:lang w:eastAsia="zh-CN"/>
        </w:rPr>
        <w:t>：</w:t>
      </w:r>
    </w:p>
    <w:p w14:paraId="60D50517">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50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关于政府采购支持监狱企业发展有关问题的通知》（财库〔2014〕68号）、《关于促进残疾人就业政府采购政策的通知》（财库〔2017〕141号）、《政府采购促进中小企业发展管理办法》（财库〔2020〕46号）、《关于进一步加大政府采购支持中小企业力度的通知》（财库〔2022〕19号）；</w:t>
      </w:r>
    </w:p>
    <w:p w14:paraId="2D9161CC">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50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p>
    <w:p w14:paraId="5DD3F8A1">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50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14:paraId="78A14502">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50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（4）陕西省财政厅关于印发《陕西省中小企业政府采购信用融资办法》（陕财办采〔2018〕23 号）、《陕西省财政厅关于加快推进我省中小企业政府采购信用融资工作的通知》（陕财办采〔2020〕15 号）、《陕西省财政厅关于落实政府采购支持中小企业政策有关事项的通知》（陕财办采〔2022〕10号）；</w:t>
      </w:r>
    </w:p>
    <w:p w14:paraId="715EED1D">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50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（5）《关于政府采购优先购买福利性企业产品和服务的意见》（陕民发〔2015〕1号）；</w:t>
      </w:r>
    </w:p>
    <w:p w14:paraId="0238523C">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50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（6）《国务院办公厅关于在政府采购中实施本国产品标准及相关政策的通知》国办发〔2025〕34号。</w:t>
      </w:r>
    </w:p>
    <w:p w14:paraId="0AD3505C">
      <w:pPr>
        <w:keepNext w:val="0"/>
        <w:keepLines w:val="0"/>
        <w:pageBreakBefore w:val="0"/>
        <w:widowControl/>
        <w:numPr>
          <w:ilvl w:val="0"/>
          <w:numId w:val="1"/>
        </w:numPr>
        <w:kinsoku/>
        <w:wordWrap/>
        <w:overflowPunct/>
        <w:topLinePunct w:val="0"/>
        <w:autoSpaceDE/>
        <w:autoSpaceDN/>
        <w:bidi w:val="0"/>
        <w:adjustRightInd/>
        <w:snapToGrid/>
        <w:spacing w:line="312" w:lineRule="auto"/>
        <w:ind w:left="0" w:leftChars="0" w:right="0" w:rightChars="0" w:firstLine="50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本项目的特定资格要求：</w:t>
      </w:r>
    </w:p>
    <w:p w14:paraId="51CA3804">
      <w:pPr>
        <w:widowControl/>
        <w:spacing w:line="500" w:lineRule="exact"/>
        <w:ind w:firstLine="500" w:firstLineChars="200"/>
        <w:jc w:val="left"/>
        <w:rPr>
          <w:rFonts w:hint="eastAsia" w:ascii="宋体" w:hAnsi="宋体" w:eastAsia="宋体" w:cs="宋体"/>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合同包1(</w:t>
      </w:r>
      <w:r>
        <w:rPr>
          <w:rFonts w:hint="eastAsia" w:asciiTheme="minorEastAsia" w:hAnsiTheme="minorEastAsia" w:eastAsiaTheme="minorEastAsia" w:cstheme="minorEastAsia"/>
          <w:color w:val="auto"/>
          <w:kern w:val="0"/>
          <w:sz w:val="24"/>
          <w:szCs w:val="24"/>
          <w:highlight w:val="none"/>
          <w:lang w:eastAsia="zh-CN"/>
        </w:rPr>
        <w:t>秦雍城遗址秦公一号大墓祭祀坑保护展示工程监理（三次）</w:t>
      </w:r>
      <w:r>
        <w:rPr>
          <w:rFonts w:hint="eastAsia" w:asciiTheme="minorEastAsia" w:hAnsiTheme="minorEastAsia" w:eastAsiaTheme="minorEastAsia" w:cstheme="minorEastAsia"/>
          <w:color w:val="auto"/>
          <w:kern w:val="0"/>
          <w:sz w:val="24"/>
          <w:szCs w:val="24"/>
          <w:highlight w:val="none"/>
        </w:rPr>
        <w:t>)特定资格要求如下：</w:t>
      </w:r>
    </w:p>
    <w:p w14:paraId="7C31CED9">
      <w:pPr>
        <w:keepNext w:val="0"/>
        <w:keepLines w:val="0"/>
        <w:pageBreakBefore w:val="0"/>
        <w:widowControl w:val="0"/>
        <w:kinsoku/>
        <w:wordWrap w:val="0"/>
        <w:overflowPunct/>
        <w:topLinePunct w:val="0"/>
        <w:autoSpaceDE/>
        <w:autoSpaceDN/>
        <w:bidi w:val="0"/>
        <w:adjustRightInd/>
        <w:snapToGrid/>
        <w:spacing w:line="312" w:lineRule="auto"/>
        <w:ind w:firstLine="50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3.1 具有独立承担民事责任能力的法人、其他组织或自然人，并出具合法有效的营业执照或事业单位法人证书等国家规定的相关证明，自然人参与的提供其身份证明（复印件加盖供应商公章）</w:t>
      </w:r>
      <w:r>
        <w:rPr>
          <w:rFonts w:hint="eastAsia" w:ascii="宋体" w:hAnsi="宋体" w:eastAsia="宋体" w:cs="宋体"/>
          <w:color w:val="auto"/>
          <w:sz w:val="24"/>
          <w:szCs w:val="24"/>
          <w:highlight w:val="none"/>
        </w:rPr>
        <w:t>；</w:t>
      </w:r>
    </w:p>
    <w:p w14:paraId="495AF5E9">
      <w:pPr>
        <w:keepNext w:val="0"/>
        <w:keepLines w:val="0"/>
        <w:pageBreakBefore w:val="0"/>
        <w:widowControl w:val="0"/>
        <w:kinsoku/>
        <w:wordWrap w:val="0"/>
        <w:overflowPunct/>
        <w:topLinePunct w:val="0"/>
        <w:autoSpaceDE/>
        <w:autoSpaceDN/>
        <w:bidi w:val="0"/>
        <w:adjustRightInd/>
        <w:snapToGrid/>
        <w:spacing w:line="312" w:lineRule="auto"/>
        <w:ind w:firstLine="50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 提供2024或2025年度经审计的财务报告（至少包括资产负债表和利润表，成立时间至提交响应文件截止时间不足一年的可提供成立后任意时段的资产负债表），报告须真实有效并符合《关于加强审计报告查验工作的通知》（财会[2023]15号）文件的要求，报告须赋二维码；或其开标前三个月内基本存款账户开户银行出具的资信证明及基本存款账户开户许可证（或基本存款账户信息）；或信用担保机构出具的投标担保函。（以上三种形式的资料提供任何一种即可，</w:t>
      </w:r>
      <w:r>
        <w:rPr>
          <w:rFonts w:hint="eastAsia" w:ascii="宋体" w:hAnsi="宋体" w:eastAsia="宋体" w:cs="宋体"/>
          <w:sz w:val="24"/>
          <w:szCs w:val="24"/>
          <w:highlight w:val="none"/>
        </w:rPr>
        <w:t>复印件加盖供应商公章</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p>
    <w:p w14:paraId="3ADEBCF2">
      <w:pPr>
        <w:keepNext w:val="0"/>
        <w:keepLines w:val="0"/>
        <w:pageBreakBefore w:val="0"/>
        <w:widowControl w:val="0"/>
        <w:kinsoku/>
        <w:wordWrap w:val="0"/>
        <w:overflowPunct/>
        <w:topLinePunct w:val="0"/>
        <w:autoSpaceDE/>
        <w:autoSpaceDN/>
        <w:bidi w:val="0"/>
        <w:adjustRightInd/>
        <w:snapToGrid/>
        <w:spacing w:line="312" w:lineRule="auto"/>
        <w:ind w:firstLine="50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 </w:t>
      </w:r>
      <w:r>
        <w:rPr>
          <w:rFonts w:hint="eastAsia" w:ascii="宋体" w:hAnsi="宋体" w:eastAsia="宋体" w:cs="宋体"/>
          <w:color w:val="auto"/>
          <w:sz w:val="24"/>
          <w:szCs w:val="24"/>
          <w:highlight w:val="none"/>
        </w:rPr>
        <w:t>有依法缴纳社会保障资金的良好记录：提供</w:t>
      </w:r>
      <w:r>
        <w:rPr>
          <w:rFonts w:hint="eastAsia" w:ascii="宋体" w:hAnsi="宋体" w:eastAsia="宋体" w:cs="宋体"/>
          <w:color w:val="auto"/>
          <w:sz w:val="24"/>
          <w:szCs w:val="24"/>
          <w:highlight w:val="none"/>
          <w:lang w:val="en-US" w:eastAsia="zh-CN"/>
        </w:rPr>
        <w:t>2025年9月至今</w:t>
      </w:r>
      <w:r>
        <w:rPr>
          <w:rFonts w:hint="eastAsia" w:ascii="宋体" w:hAnsi="宋体" w:eastAsia="宋体" w:cs="宋体"/>
          <w:color w:val="auto"/>
          <w:sz w:val="24"/>
          <w:szCs w:val="24"/>
          <w:highlight w:val="none"/>
          <w:lang w:eastAsia="zh-CN"/>
        </w:rPr>
        <w:t>任意一</w:t>
      </w:r>
      <w:r>
        <w:rPr>
          <w:rFonts w:hint="eastAsia" w:ascii="宋体" w:hAnsi="宋体" w:eastAsia="宋体" w:cs="宋体"/>
          <w:color w:val="auto"/>
          <w:sz w:val="24"/>
          <w:szCs w:val="24"/>
          <w:highlight w:val="none"/>
        </w:rPr>
        <w:t>个月</w:t>
      </w:r>
      <w:r>
        <w:rPr>
          <w:rFonts w:hint="eastAsia" w:ascii="宋体" w:hAnsi="宋体" w:eastAsia="宋体" w:cs="宋体"/>
          <w:color w:val="auto"/>
          <w:sz w:val="24"/>
          <w:szCs w:val="24"/>
          <w:highlight w:val="none"/>
          <w:lang w:val="en-US" w:eastAsia="zh-CN"/>
        </w:rPr>
        <w:t>已缴存</w:t>
      </w:r>
      <w:r>
        <w:rPr>
          <w:rFonts w:hint="eastAsia" w:ascii="宋体" w:hAnsi="宋体" w:eastAsia="宋体" w:cs="宋体"/>
          <w:color w:val="auto"/>
          <w:sz w:val="24"/>
          <w:szCs w:val="24"/>
          <w:highlight w:val="none"/>
        </w:rPr>
        <w:t>的社会保障资金缴存单据或社保机构开具的社会保险参保缴费情况证明。依法不需要缴纳社会保障资金的供应商应提供相关文件证明（复印件加盖供应商公章）；</w:t>
      </w:r>
    </w:p>
    <w:p w14:paraId="02A3DF00">
      <w:pPr>
        <w:keepNext w:val="0"/>
        <w:keepLines w:val="0"/>
        <w:pageBreakBefore w:val="0"/>
        <w:widowControl w:val="0"/>
        <w:kinsoku/>
        <w:wordWrap w:val="0"/>
        <w:overflowPunct/>
        <w:topLinePunct w:val="0"/>
        <w:autoSpaceDE/>
        <w:autoSpaceDN/>
        <w:bidi w:val="0"/>
        <w:adjustRightInd/>
        <w:snapToGrid/>
        <w:spacing w:line="312" w:lineRule="auto"/>
        <w:ind w:firstLine="50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 </w:t>
      </w:r>
      <w:r>
        <w:rPr>
          <w:rFonts w:hint="eastAsia" w:ascii="宋体" w:hAnsi="宋体" w:eastAsia="宋体" w:cs="宋体"/>
          <w:color w:val="auto"/>
          <w:sz w:val="24"/>
          <w:szCs w:val="24"/>
          <w:highlight w:val="none"/>
        </w:rPr>
        <w:t>有依法缴纳税收的良好记录：提供</w:t>
      </w:r>
      <w:r>
        <w:rPr>
          <w:rFonts w:hint="eastAsia" w:ascii="宋体" w:hAnsi="宋体" w:eastAsia="宋体" w:cs="宋体"/>
          <w:color w:val="auto"/>
          <w:sz w:val="24"/>
          <w:szCs w:val="24"/>
          <w:highlight w:val="none"/>
          <w:lang w:val="en-US" w:eastAsia="zh-CN"/>
        </w:rPr>
        <w:t>2025年9月至今</w:t>
      </w:r>
      <w:r>
        <w:rPr>
          <w:rFonts w:hint="eastAsia" w:ascii="宋体" w:hAnsi="宋体" w:eastAsia="宋体" w:cs="宋体"/>
          <w:color w:val="auto"/>
          <w:sz w:val="24"/>
          <w:szCs w:val="24"/>
          <w:highlight w:val="none"/>
          <w:lang w:eastAsia="zh-CN"/>
        </w:rPr>
        <w:t>任意一</w:t>
      </w:r>
      <w:r>
        <w:rPr>
          <w:rFonts w:hint="eastAsia" w:ascii="宋体" w:hAnsi="宋体" w:eastAsia="宋体" w:cs="宋体"/>
          <w:color w:val="auto"/>
          <w:sz w:val="24"/>
          <w:szCs w:val="24"/>
          <w:highlight w:val="none"/>
        </w:rPr>
        <w:t>个月</w:t>
      </w:r>
      <w:r>
        <w:rPr>
          <w:rFonts w:hint="eastAsia" w:ascii="宋体" w:hAnsi="宋体" w:eastAsia="宋体" w:cs="宋体"/>
          <w:color w:val="auto"/>
          <w:sz w:val="24"/>
          <w:szCs w:val="24"/>
          <w:highlight w:val="none"/>
          <w:lang w:val="en-US" w:eastAsia="zh-CN"/>
        </w:rPr>
        <w:t>已缴纳</w:t>
      </w:r>
      <w:r>
        <w:rPr>
          <w:rFonts w:hint="eastAsia" w:ascii="宋体" w:hAnsi="宋体" w:eastAsia="宋体" w:cs="宋体"/>
          <w:color w:val="auto"/>
          <w:sz w:val="24"/>
          <w:szCs w:val="24"/>
          <w:highlight w:val="none"/>
        </w:rPr>
        <w:t>的纳税证明或完税证明，依法免税的供应商应提供相关证明材料（复印件加盖供应商公章）；</w:t>
      </w:r>
    </w:p>
    <w:p w14:paraId="1F9C8DD0">
      <w:pPr>
        <w:keepNext w:val="0"/>
        <w:keepLines w:val="0"/>
        <w:pageBreakBefore w:val="0"/>
        <w:widowControl w:val="0"/>
        <w:kinsoku/>
        <w:wordWrap w:val="0"/>
        <w:overflowPunct/>
        <w:topLinePunct w:val="0"/>
        <w:autoSpaceDE/>
        <w:autoSpaceDN/>
        <w:bidi w:val="0"/>
        <w:adjustRightInd/>
        <w:snapToGrid/>
        <w:spacing w:line="312" w:lineRule="auto"/>
        <w:ind w:firstLine="50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 </w:t>
      </w:r>
      <w:r>
        <w:rPr>
          <w:rFonts w:hint="eastAsia" w:ascii="宋体" w:hAnsi="宋体" w:eastAsia="宋体" w:cs="宋体"/>
          <w:color w:val="auto"/>
          <w:sz w:val="24"/>
          <w:szCs w:val="24"/>
          <w:highlight w:val="none"/>
        </w:rPr>
        <w:t>提供具有履行本合同所必需的设备和专业技术能力的</w:t>
      </w:r>
      <w:r>
        <w:rPr>
          <w:rFonts w:hint="eastAsia" w:ascii="宋体" w:hAnsi="宋体" w:eastAsia="宋体" w:cs="宋体"/>
          <w:color w:val="auto"/>
          <w:sz w:val="24"/>
          <w:szCs w:val="24"/>
          <w:highlight w:val="none"/>
          <w:lang w:val="en-US" w:eastAsia="zh-CN"/>
        </w:rPr>
        <w:t>承诺书</w:t>
      </w:r>
      <w:r>
        <w:rPr>
          <w:rFonts w:hint="eastAsia" w:ascii="宋体" w:hAnsi="宋体" w:eastAsia="宋体" w:cs="宋体"/>
          <w:color w:val="auto"/>
          <w:sz w:val="24"/>
          <w:szCs w:val="24"/>
          <w:highlight w:val="none"/>
        </w:rPr>
        <w:t>；</w:t>
      </w:r>
    </w:p>
    <w:p w14:paraId="5AD36455">
      <w:pPr>
        <w:keepNext w:val="0"/>
        <w:keepLines w:val="0"/>
        <w:pageBreakBefore w:val="0"/>
        <w:widowControl w:val="0"/>
        <w:kinsoku/>
        <w:wordWrap w:val="0"/>
        <w:overflowPunct/>
        <w:topLinePunct w:val="0"/>
        <w:autoSpaceDE/>
        <w:autoSpaceDN/>
        <w:bidi w:val="0"/>
        <w:adjustRightInd/>
        <w:snapToGrid/>
        <w:spacing w:line="312" w:lineRule="auto"/>
        <w:ind w:firstLine="50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 xml:space="preserve"> 提供参加</w:t>
      </w:r>
      <w:r>
        <w:rPr>
          <w:rFonts w:hint="eastAsia" w:ascii="宋体" w:hAnsi="宋体" w:eastAsia="宋体" w:cs="宋体"/>
          <w:color w:val="auto"/>
          <w:sz w:val="24"/>
          <w:szCs w:val="24"/>
          <w:highlight w:val="none"/>
          <w:lang w:eastAsia="zh-CN"/>
        </w:rPr>
        <w:t>本次</w:t>
      </w:r>
      <w:r>
        <w:rPr>
          <w:rFonts w:hint="eastAsia" w:ascii="宋体" w:hAnsi="宋体" w:eastAsia="宋体" w:cs="宋体"/>
          <w:color w:val="auto"/>
          <w:sz w:val="24"/>
          <w:szCs w:val="24"/>
          <w:highlight w:val="none"/>
        </w:rPr>
        <w:t>政府采购活动前三年内在经营活动中没有重大违法记录的书面声明</w:t>
      </w:r>
      <w:r>
        <w:rPr>
          <w:rFonts w:hint="eastAsia" w:ascii="宋体" w:hAnsi="宋体" w:eastAsia="宋体" w:cs="宋体"/>
          <w:color w:val="auto"/>
          <w:sz w:val="24"/>
          <w:szCs w:val="24"/>
          <w:highlight w:val="none"/>
          <w:lang w:eastAsia="zh-CN"/>
        </w:rPr>
        <w:t>；</w:t>
      </w:r>
    </w:p>
    <w:p w14:paraId="4D1DEF8C">
      <w:pPr>
        <w:keepNext w:val="0"/>
        <w:keepLines w:val="0"/>
        <w:pageBreakBefore w:val="0"/>
        <w:widowControl w:val="0"/>
        <w:kinsoku/>
        <w:wordWrap w:val="0"/>
        <w:overflowPunct/>
        <w:topLinePunct w:val="0"/>
        <w:autoSpaceDE/>
        <w:autoSpaceDN/>
        <w:bidi w:val="0"/>
        <w:adjustRightInd/>
        <w:snapToGrid/>
        <w:spacing w:line="312" w:lineRule="auto"/>
        <w:ind w:firstLine="50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 法定代表人直接参加磋商的，须提供法定代表人身份证明书（附法定代表人身份证复印件并加盖公章）；委托代理人参加磋商的，须提供法定代表人授权委托书（附法定代表人及委托代理人身份证复印件并加盖公章）</w:t>
      </w:r>
      <w:r>
        <w:rPr>
          <w:rFonts w:hint="eastAsia" w:ascii="宋体" w:hAnsi="宋体" w:eastAsia="宋体" w:cs="宋体"/>
          <w:color w:val="auto"/>
          <w:sz w:val="24"/>
          <w:szCs w:val="24"/>
          <w:highlight w:val="none"/>
        </w:rPr>
        <w:t>；</w:t>
      </w:r>
    </w:p>
    <w:p w14:paraId="30634117">
      <w:pPr>
        <w:keepNext w:val="0"/>
        <w:keepLines w:val="0"/>
        <w:pageBreakBefore w:val="0"/>
        <w:widowControl w:val="0"/>
        <w:kinsoku/>
        <w:wordWrap w:val="0"/>
        <w:overflowPunct/>
        <w:topLinePunct w:val="0"/>
        <w:autoSpaceDE/>
        <w:autoSpaceDN/>
        <w:bidi w:val="0"/>
        <w:adjustRightInd/>
        <w:snapToGrid/>
        <w:spacing w:line="312" w:lineRule="auto"/>
        <w:ind w:firstLine="50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lang w:eastAsia="zh-CN"/>
        </w:rPr>
        <w:t>供应商须具备国家文物局颁发的文物保护工程监理甲级企业资质（业务范围含古文化遗址古墓葬）；</w:t>
      </w:r>
    </w:p>
    <w:p w14:paraId="3032F96A">
      <w:pPr>
        <w:keepNext w:val="0"/>
        <w:keepLines w:val="0"/>
        <w:pageBreakBefore w:val="0"/>
        <w:widowControl w:val="0"/>
        <w:kinsoku/>
        <w:wordWrap w:val="0"/>
        <w:overflowPunct/>
        <w:topLinePunct w:val="0"/>
        <w:autoSpaceDE/>
        <w:autoSpaceDN/>
        <w:bidi w:val="0"/>
        <w:adjustRightInd/>
        <w:snapToGrid/>
        <w:spacing w:line="312" w:lineRule="auto"/>
        <w:ind w:firstLine="50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9 供应商拟派项目责任监理师应具有文物保护工程责任监理师证书，并提供2025年9月至今供应商为其缴纳的连续三个月养老保险证明且无在建项目（提供无在建承诺，承诺真实性的法律责任自负）；</w:t>
      </w:r>
    </w:p>
    <w:p w14:paraId="7B6D088E">
      <w:pPr>
        <w:keepNext w:val="0"/>
        <w:keepLines w:val="0"/>
        <w:pageBreakBefore w:val="0"/>
        <w:widowControl w:val="0"/>
        <w:kinsoku/>
        <w:wordWrap w:val="0"/>
        <w:overflowPunct/>
        <w:topLinePunct w:val="0"/>
        <w:autoSpaceDE/>
        <w:autoSpaceDN/>
        <w:bidi w:val="0"/>
        <w:adjustRightInd/>
        <w:snapToGrid/>
        <w:spacing w:line="312" w:lineRule="auto"/>
        <w:ind w:firstLine="50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10 供应商及法定代表人未被列入“中国执行信息公开网”（http://zxgk.court.gov.cn/shixin/）失信被执行人名单，供应商未被列入“信用中国”网站（www.creditchina.gov.cn）重大税收违法失信主体，供应商未被列入“中国政府采购网”（www.ccgp.gov.cn）政府采购严重违法失信行为记录名单；</w:t>
      </w:r>
    </w:p>
    <w:p w14:paraId="5BBC4E38">
      <w:pPr>
        <w:keepNext w:val="0"/>
        <w:keepLines w:val="0"/>
        <w:pageBreakBefore w:val="0"/>
        <w:widowControl w:val="0"/>
        <w:kinsoku/>
        <w:wordWrap w:val="0"/>
        <w:overflowPunct/>
        <w:topLinePunct w:val="0"/>
        <w:autoSpaceDE/>
        <w:autoSpaceDN/>
        <w:bidi w:val="0"/>
        <w:adjustRightInd/>
        <w:snapToGrid/>
        <w:spacing w:line="312" w:lineRule="auto"/>
        <w:ind w:firstLine="50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11单位负责人为同一人或者存在控股、管理关系的不同单位，不得参加同一合同项下的政府采购活动；</w:t>
      </w:r>
    </w:p>
    <w:p w14:paraId="160F1308">
      <w:pPr>
        <w:keepNext w:val="0"/>
        <w:keepLines w:val="0"/>
        <w:pageBreakBefore w:val="0"/>
        <w:widowControl w:val="0"/>
        <w:kinsoku/>
        <w:wordWrap w:val="0"/>
        <w:overflowPunct/>
        <w:topLinePunct w:val="0"/>
        <w:autoSpaceDE/>
        <w:autoSpaceDN/>
        <w:bidi w:val="0"/>
        <w:adjustRightInd/>
        <w:snapToGrid/>
        <w:spacing w:line="312" w:lineRule="auto"/>
        <w:ind w:firstLine="50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本项目不接受联合体磋商</w:t>
      </w:r>
      <w:r>
        <w:rPr>
          <w:rFonts w:hint="eastAsia" w:ascii="宋体" w:hAnsi="宋体" w:cs="宋体"/>
          <w:color w:val="auto"/>
          <w:sz w:val="24"/>
          <w:szCs w:val="24"/>
          <w:highlight w:val="none"/>
          <w:lang w:eastAsia="zh-CN"/>
        </w:rPr>
        <w:t>；</w:t>
      </w:r>
    </w:p>
    <w:p w14:paraId="727D3DA7">
      <w:pPr>
        <w:keepNext w:val="0"/>
        <w:keepLines w:val="0"/>
        <w:pageBreakBefore w:val="0"/>
        <w:widowControl w:val="0"/>
        <w:kinsoku/>
        <w:wordWrap w:val="0"/>
        <w:overflowPunct/>
        <w:topLinePunct w:val="0"/>
        <w:autoSpaceDE/>
        <w:autoSpaceDN/>
        <w:bidi w:val="0"/>
        <w:adjustRightInd/>
        <w:snapToGrid/>
        <w:spacing w:line="312" w:lineRule="auto"/>
        <w:ind w:firstLine="50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3.13本项目专门面向中小企业采购，供应商须提供中小企业声明函（如有虚假，将依法承担相应责任）。</w:t>
      </w:r>
    </w:p>
    <w:p w14:paraId="45375CE8">
      <w:pPr>
        <w:keepNext w:val="0"/>
        <w:keepLines w:val="0"/>
        <w:pageBreakBefore w:val="0"/>
        <w:widowControl/>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color w:val="auto"/>
          <w:kern w:val="0"/>
          <w:sz w:val="24"/>
          <w:szCs w:val="24"/>
          <w:highlight w:val="none"/>
        </w:rPr>
      </w:pPr>
      <w:bookmarkStart w:id="7" w:name="_Toc14862"/>
      <w:bookmarkStart w:id="8" w:name="_Toc18165"/>
      <w:bookmarkStart w:id="9" w:name="_Toc2309"/>
      <w:r>
        <w:rPr>
          <w:rFonts w:hint="eastAsia" w:ascii="宋体" w:hAnsi="宋体" w:eastAsia="宋体" w:cs="宋体"/>
          <w:b/>
          <w:bCs/>
          <w:color w:val="auto"/>
          <w:sz w:val="24"/>
          <w:szCs w:val="24"/>
          <w:highlight w:val="none"/>
        </w:rPr>
        <w:t>三、</w:t>
      </w:r>
      <w:bookmarkEnd w:id="7"/>
      <w:bookmarkEnd w:id="8"/>
      <w:bookmarkEnd w:id="9"/>
      <w:r>
        <w:rPr>
          <w:rFonts w:hint="eastAsia" w:ascii="宋体" w:hAnsi="宋体" w:eastAsia="宋体" w:cs="宋体"/>
          <w:b/>
          <w:bCs/>
          <w:color w:val="auto"/>
          <w:sz w:val="24"/>
          <w:szCs w:val="24"/>
          <w:highlight w:val="none"/>
          <w:lang w:eastAsia="zh-CN"/>
        </w:rPr>
        <w:t>获取采购文件</w:t>
      </w:r>
      <w:r>
        <w:rPr>
          <w:rFonts w:hint="eastAsia" w:ascii="宋体" w:hAnsi="宋体" w:eastAsia="宋体" w:cs="宋体"/>
          <w:b/>
          <w:bCs/>
          <w:color w:val="auto"/>
          <w:sz w:val="24"/>
          <w:szCs w:val="24"/>
          <w:highlight w:val="none"/>
        </w:rPr>
        <w:t xml:space="preserve"> </w:t>
      </w:r>
    </w:p>
    <w:p w14:paraId="63B3C8E1">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50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时间：2026年0</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rPr>
        <w:t>日至2026年04月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日，每天上午00:00:00至12:00:00，下午12:00:00至23:59:59（北京时间）</w:t>
      </w:r>
    </w:p>
    <w:p w14:paraId="5F88F250">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50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途径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全国公共资源交易平台（陕西省·宝鸡市）</w:t>
      </w:r>
    </w:p>
    <w:p w14:paraId="23A45787">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50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方式：在线获取</w:t>
      </w:r>
    </w:p>
    <w:p w14:paraId="51DE2A98">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500"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售价：</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元</w:t>
      </w:r>
    </w:p>
    <w:p w14:paraId="5B6DECFC">
      <w:pPr>
        <w:keepNext w:val="0"/>
        <w:keepLines w:val="0"/>
        <w:pageBreakBefore w:val="0"/>
        <w:widowControl/>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color w:val="auto"/>
          <w:sz w:val="24"/>
          <w:szCs w:val="24"/>
          <w:highlight w:val="none"/>
        </w:rPr>
      </w:pPr>
      <w:bookmarkStart w:id="10" w:name="_Toc18793"/>
      <w:bookmarkStart w:id="11" w:name="_Toc20955"/>
      <w:bookmarkStart w:id="12" w:name="_Toc6873"/>
      <w:r>
        <w:rPr>
          <w:rFonts w:hint="eastAsia" w:ascii="宋体" w:hAnsi="宋体" w:eastAsia="宋体" w:cs="宋体"/>
          <w:b/>
          <w:bCs/>
          <w:color w:val="auto"/>
          <w:sz w:val="24"/>
          <w:szCs w:val="24"/>
          <w:highlight w:val="none"/>
        </w:rPr>
        <w:t>四、响应文件</w:t>
      </w:r>
      <w:bookmarkEnd w:id="10"/>
      <w:bookmarkEnd w:id="11"/>
      <w:bookmarkEnd w:id="12"/>
      <w:r>
        <w:rPr>
          <w:rFonts w:hint="eastAsia" w:ascii="宋体" w:hAnsi="宋体" w:eastAsia="宋体" w:cs="宋体"/>
          <w:b/>
          <w:bCs/>
          <w:color w:val="auto"/>
          <w:sz w:val="24"/>
          <w:szCs w:val="24"/>
          <w:highlight w:val="none"/>
          <w:lang w:eastAsia="zh-CN"/>
        </w:rPr>
        <w:t>提交</w:t>
      </w:r>
      <w:r>
        <w:rPr>
          <w:rFonts w:hint="eastAsia" w:ascii="宋体" w:hAnsi="宋体" w:eastAsia="宋体" w:cs="宋体"/>
          <w:b/>
          <w:bCs/>
          <w:color w:val="auto"/>
          <w:sz w:val="24"/>
          <w:szCs w:val="24"/>
          <w:highlight w:val="none"/>
        </w:rPr>
        <w:t xml:space="preserve"> </w:t>
      </w:r>
    </w:p>
    <w:p w14:paraId="40232A08">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500" w:firstLineChars="200"/>
        <w:jc w:val="left"/>
        <w:textAlignment w:val="auto"/>
        <w:outlineLvl w:val="9"/>
        <w:rPr>
          <w:rFonts w:hint="eastAsia" w:ascii="宋体" w:hAnsi="宋体" w:eastAsia="宋体" w:cs="宋体"/>
          <w:color w:val="auto"/>
          <w:sz w:val="24"/>
          <w:szCs w:val="24"/>
          <w:highlight w:val="none"/>
        </w:rPr>
      </w:pPr>
      <w:bookmarkStart w:id="13" w:name="_Toc18013"/>
      <w:bookmarkStart w:id="14" w:name="_Toc21649"/>
      <w:bookmarkStart w:id="15" w:name="_Toc19162"/>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val="en-US" w:eastAsia="zh-CN"/>
        </w:rPr>
        <w:t>2026年0</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日09</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rPr>
        <w:t>00秒（北京时间）</w:t>
      </w:r>
    </w:p>
    <w:p w14:paraId="1E5CEAAE">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50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地点：全国公共资源交易平台（陕西省·宝鸡市）线上提交</w:t>
      </w:r>
    </w:p>
    <w:p w14:paraId="7DDB549B">
      <w:pPr>
        <w:keepNext w:val="0"/>
        <w:keepLines w:val="0"/>
        <w:pageBreakBefore w:val="0"/>
        <w:widowControl/>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五、</w:t>
      </w:r>
      <w:bookmarkEnd w:id="13"/>
      <w:bookmarkEnd w:id="14"/>
      <w:bookmarkEnd w:id="15"/>
      <w:r>
        <w:rPr>
          <w:rFonts w:hint="eastAsia" w:ascii="宋体" w:hAnsi="宋体" w:eastAsia="宋体" w:cs="宋体"/>
          <w:b/>
          <w:bCs/>
          <w:color w:val="auto"/>
          <w:sz w:val="24"/>
          <w:szCs w:val="24"/>
          <w:highlight w:val="none"/>
          <w:lang w:eastAsia="zh-CN"/>
        </w:rPr>
        <w:t>开启</w:t>
      </w:r>
    </w:p>
    <w:p w14:paraId="28DC360B">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50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2026年0</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09</w:t>
      </w:r>
      <w:bookmarkStart w:id="86" w:name="_GoBack"/>
      <w:bookmarkEnd w:id="86"/>
      <w:r>
        <w:rPr>
          <w:rFonts w:hint="eastAsia" w:ascii="宋体" w:hAnsi="宋体" w:eastAsia="宋体" w:cs="宋体"/>
          <w:color w:val="auto"/>
          <w:sz w:val="24"/>
          <w:szCs w:val="24"/>
          <w:highlight w:val="none"/>
          <w:lang w:val="en-US" w:eastAsia="zh-CN"/>
        </w:rPr>
        <w:t>时00分</w:t>
      </w:r>
      <w:r>
        <w:rPr>
          <w:rFonts w:hint="eastAsia" w:ascii="宋体" w:hAnsi="宋体" w:eastAsia="宋体" w:cs="宋体"/>
          <w:color w:val="auto"/>
          <w:sz w:val="24"/>
          <w:szCs w:val="24"/>
          <w:highlight w:val="none"/>
          <w:lang w:eastAsia="zh-CN"/>
        </w:rPr>
        <w:t>00秒</w:t>
      </w:r>
      <w:r>
        <w:rPr>
          <w:rFonts w:hint="eastAsia" w:ascii="宋体" w:hAnsi="宋体" w:eastAsia="宋体" w:cs="宋体"/>
          <w:color w:val="auto"/>
          <w:sz w:val="24"/>
          <w:szCs w:val="24"/>
          <w:highlight w:val="none"/>
        </w:rPr>
        <w:t>（北京时间）</w:t>
      </w:r>
    </w:p>
    <w:p w14:paraId="67A6E070">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50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地点：全国公共资源交易平台（陕西省·宝鸡市）不见面开标大厅</w:t>
      </w:r>
    </w:p>
    <w:p w14:paraId="3AD9A98B">
      <w:pPr>
        <w:keepNext w:val="0"/>
        <w:keepLines w:val="0"/>
        <w:pageBreakBefore w:val="0"/>
        <w:widowControl/>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六、公告期限</w:t>
      </w:r>
    </w:p>
    <w:p w14:paraId="6AF39387">
      <w:pPr>
        <w:pStyle w:val="5"/>
        <w:keepNext w:val="0"/>
        <w:keepLines w:val="0"/>
        <w:pageBreakBefore w:val="0"/>
        <w:numPr>
          <w:ilvl w:val="0"/>
          <w:numId w:val="0"/>
        </w:numPr>
        <w:kinsoku/>
        <w:wordWrap/>
        <w:overflowPunct/>
        <w:topLinePunct w:val="0"/>
        <w:autoSpaceDE/>
        <w:autoSpaceDN/>
        <w:bidi w:val="0"/>
        <w:adjustRightInd/>
        <w:snapToGrid/>
        <w:spacing w:line="312" w:lineRule="auto"/>
        <w:ind w:left="0" w:leftChars="0" w:right="0" w:rightChars="0" w:firstLine="50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自本公告发布之日起3个工作日。</w:t>
      </w:r>
    </w:p>
    <w:p w14:paraId="44DB7E1F">
      <w:pPr>
        <w:keepNext w:val="0"/>
        <w:keepLines w:val="0"/>
        <w:pageBreakBefore w:val="0"/>
        <w:widowControl/>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color w:val="auto"/>
          <w:sz w:val="24"/>
          <w:szCs w:val="24"/>
          <w:highlight w:val="none"/>
          <w:lang w:eastAsia="zh-CN"/>
        </w:rPr>
      </w:pPr>
      <w:bookmarkStart w:id="16" w:name="_Toc25247"/>
      <w:bookmarkStart w:id="17" w:name="_Toc1305"/>
      <w:bookmarkStart w:id="18" w:name="_Toc26162"/>
      <w:r>
        <w:rPr>
          <w:rFonts w:hint="eastAsia" w:ascii="宋体" w:hAnsi="宋体" w:eastAsia="宋体" w:cs="宋体"/>
          <w:b/>
          <w:bCs/>
          <w:color w:val="auto"/>
          <w:sz w:val="24"/>
          <w:szCs w:val="24"/>
          <w:highlight w:val="none"/>
          <w:lang w:eastAsia="zh-CN"/>
        </w:rPr>
        <w:t>七、其他补充事宜</w:t>
      </w:r>
    </w:p>
    <w:p w14:paraId="7AB217EB">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baseline"/>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.本项目的潜在供应商使用捆绑CA证书登录全国公共资源交易平台（陕西省.宝鸡市）宝鸡市公共资源交易中心（http://ggzy.baoji.gov.cn/）</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交易平台〖首页〉电子交易平台〉企业端〗后</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在〖招标公告/出让公告〗模块中选择有意向的项目点击“我要投标”</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可从〖我的项目〉项目流程〉交易文件下载〗中下载电子文件（*.SXSZF 格式）。网上响应成功并在文件下载时限内从电子交易平台下载采购文件后</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应随时关注交易平台。如有答疑文件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应及时下载答疑文件（*.sxstf 格式）并使用最终答疑文件编制响应文件。如因自身原因未在下载时限内从电子交易平台下载采购文件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或未下载并使用最终答疑文件编制响应文件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导致无法编制（上传）响应文件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自行承担不利后果；</w:t>
      </w:r>
    </w:p>
    <w:p w14:paraId="67CDAF14">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baseline"/>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.供应商在网上填写单位信息</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单位名称、营业执照相关信息</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时应与采购文件要求及后期上传的电子响应文件中相关信息一致</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否则造成资格审查不通过的后果自负；</w:t>
      </w:r>
    </w:p>
    <w:p w14:paraId="7C1E81BD">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baseline"/>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6"/>
          <w:kern w:val="0"/>
          <w:sz w:val="24"/>
          <w:szCs w:val="24"/>
          <w:highlight w:val="none"/>
        </w:rPr>
        <w:t>本项目为“全流程电子化”</w:t>
      </w:r>
      <w:r>
        <w:rPr>
          <w:rFonts w:hint="eastAsia" w:ascii="宋体" w:hAnsi="宋体" w:eastAsia="宋体" w:cs="宋体"/>
          <w:color w:val="auto"/>
          <w:spacing w:val="-6"/>
          <w:kern w:val="0"/>
          <w:sz w:val="24"/>
          <w:szCs w:val="24"/>
          <w:highlight w:val="none"/>
          <w:lang w:eastAsia="zh-CN"/>
        </w:rPr>
        <w:t>，</w:t>
      </w:r>
      <w:r>
        <w:rPr>
          <w:rFonts w:hint="eastAsia" w:ascii="宋体" w:hAnsi="宋体" w:eastAsia="宋体" w:cs="宋体"/>
          <w:color w:val="auto"/>
          <w:spacing w:val="-6"/>
          <w:kern w:val="0"/>
          <w:sz w:val="24"/>
          <w:szCs w:val="24"/>
          <w:highlight w:val="none"/>
        </w:rPr>
        <w:t>不见面开标模式</w:t>
      </w:r>
      <w:r>
        <w:rPr>
          <w:rFonts w:hint="eastAsia" w:ascii="宋体" w:hAnsi="宋体" w:eastAsia="宋体" w:cs="宋体"/>
          <w:color w:val="auto"/>
          <w:spacing w:val="-6"/>
          <w:kern w:val="0"/>
          <w:sz w:val="24"/>
          <w:szCs w:val="24"/>
          <w:highlight w:val="none"/>
          <w:lang w:eastAsia="zh-CN"/>
        </w:rPr>
        <w:t>，</w:t>
      </w:r>
      <w:r>
        <w:rPr>
          <w:rFonts w:hint="eastAsia" w:ascii="宋体" w:hAnsi="宋体" w:eastAsia="宋体" w:cs="宋体"/>
          <w:color w:val="auto"/>
          <w:spacing w:val="-6"/>
          <w:kern w:val="0"/>
          <w:sz w:val="24"/>
          <w:szCs w:val="24"/>
          <w:highlight w:val="none"/>
        </w:rPr>
        <w:t>实行线上电子投标方式</w:t>
      </w:r>
      <w:r>
        <w:rPr>
          <w:rFonts w:hint="eastAsia" w:ascii="宋体" w:hAnsi="宋体" w:eastAsia="宋体" w:cs="宋体"/>
          <w:color w:val="auto"/>
          <w:spacing w:val="-6"/>
          <w:kern w:val="0"/>
          <w:sz w:val="24"/>
          <w:szCs w:val="24"/>
          <w:highlight w:val="none"/>
          <w:lang w:eastAsia="zh-CN"/>
        </w:rPr>
        <w:t>，</w:t>
      </w:r>
      <w:r>
        <w:rPr>
          <w:rFonts w:hint="eastAsia" w:ascii="宋体" w:hAnsi="宋体" w:eastAsia="宋体" w:cs="宋体"/>
          <w:color w:val="auto"/>
          <w:spacing w:val="-6"/>
          <w:kern w:val="0"/>
          <w:sz w:val="24"/>
          <w:szCs w:val="24"/>
          <w:highlight w:val="none"/>
        </w:rPr>
        <w:t>各供应商须自行在网上下载采购文件、缴纳投标保证金</w:t>
      </w:r>
      <w:r>
        <w:rPr>
          <w:rFonts w:hint="eastAsia" w:ascii="宋体" w:hAnsi="宋体" w:eastAsia="宋体" w:cs="宋体"/>
          <w:color w:val="auto"/>
          <w:spacing w:val="-6"/>
          <w:kern w:val="0"/>
          <w:sz w:val="24"/>
          <w:szCs w:val="24"/>
          <w:highlight w:val="none"/>
          <w:lang w:eastAsia="zh-CN"/>
        </w:rPr>
        <w:t>，</w:t>
      </w:r>
      <w:r>
        <w:rPr>
          <w:rFonts w:hint="eastAsia" w:ascii="宋体" w:hAnsi="宋体" w:eastAsia="宋体" w:cs="宋体"/>
          <w:color w:val="auto"/>
          <w:spacing w:val="-6"/>
          <w:kern w:val="0"/>
          <w:sz w:val="24"/>
          <w:szCs w:val="24"/>
          <w:highlight w:val="none"/>
        </w:rPr>
        <w:t>登录全国公共资源交易平台</w:t>
      </w:r>
      <w:r>
        <w:rPr>
          <w:rFonts w:hint="eastAsia" w:ascii="宋体" w:hAnsi="宋体" w:eastAsia="宋体" w:cs="宋体"/>
          <w:color w:val="auto"/>
          <w:spacing w:val="-6"/>
          <w:kern w:val="0"/>
          <w:sz w:val="24"/>
          <w:szCs w:val="24"/>
          <w:highlight w:val="none"/>
          <w:lang w:eastAsia="zh-CN"/>
        </w:rPr>
        <w:t>（</w:t>
      </w:r>
      <w:r>
        <w:rPr>
          <w:rFonts w:hint="eastAsia" w:ascii="宋体" w:hAnsi="宋体" w:eastAsia="宋体" w:cs="宋体"/>
          <w:color w:val="auto"/>
          <w:spacing w:val="-6"/>
          <w:kern w:val="0"/>
          <w:sz w:val="24"/>
          <w:szCs w:val="24"/>
          <w:highlight w:val="none"/>
        </w:rPr>
        <w:t>陕西省.宝鸡市</w:t>
      </w:r>
      <w:r>
        <w:rPr>
          <w:rFonts w:hint="eastAsia" w:ascii="宋体" w:hAnsi="宋体" w:eastAsia="宋体" w:cs="宋体"/>
          <w:color w:val="auto"/>
          <w:spacing w:val="-6"/>
          <w:kern w:val="0"/>
          <w:sz w:val="24"/>
          <w:szCs w:val="24"/>
          <w:highlight w:val="none"/>
          <w:lang w:eastAsia="zh-CN"/>
        </w:rPr>
        <w:t>）</w:t>
      </w:r>
      <w:r>
        <w:rPr>
          <w:rFonts w:hint="eastAsia" w:ascii="宋体" w:hAnsi="宋体" w:eastAsia="宋体" w:cs="宋体"/>
          <w:color w:val="auto"/>
          <w:spacing w:val="-6"/>
          <w:kern w:val="0"/>
          <w:sz w:val="24"/>
          <w:szCs w:val="24"/>
          <w:highlight w:val="none"/>
        </w:rPr>
        <w:t>宝鸡市公共资源交易中心</w:t>
      </w:r>
      <w:r>
        <w:rPr>
          <w:rFonts w:hint="eastAsia" w:ascii="宋体" w:hAnsi="宋体" w:eastAsia="宋体" w:cs="宋体"/>
          <w:color w:val="auto"/>
          <w:spacing w:val="-6"/>
          <w:kern w:val="0"/>
          <w:sz w:val="24"/>
          <w:szCs w:val="24"/>
          <w:highlight w:val="none"/>
          <w:lang w:eastAsia="zh-CN"/>
        </w:rPr>
        <w:t>（</w:t>
      </w:r>
      <w:r>
        <w:rPr>
          <w:rFonts w:hint="eastAsia" w:ascii="宋体" w:hAnsi="宋体" w:eastAsia="宋体" w:cs="宋体"/>
          <w:color w:val="auto"/>
          <w:spacing w:val="-6"/>
          <w:kern w:val="0"/>
          <w:sz w:val="24"/>
          <w:szCs w:val="24"/>
          <w:highlight w:val="none"/>
        </w:rPr>
        <w:t>http://ggzy.baoji.gov.cn/</w:t>
      </w:r>
      <w:r>
        <w:rPr>
          <w:rFonts w:hint="eastAsia" w:ascii="宋体" w:hAnsi="宋体" w:eastAsia="宋体" w:cs="宋体"/>
          <w:color w:val="auto"/>
          <w:spacing w:val="-6"/>
          <w:kern w:val="0"/>
          <w:sz w:val="24"/>
          <w:szCs w:val="24"/>
          <w:highlight w:val="none"/>
          <w:lang w:eastAsia="zh-CN"/>
        </w:rPr>
        <w:t>）</w:t>
      </w:r>
      <w:r>
        <w:rPr>
          <w:rFonts w:hint="eastAsia" w:ascii="宋体" w:hAnsi="宋体" w:eastAsia="宋体" w:cs="宋体"/>
          <w:color w:val="auto"/>
          <w:spacing w:val="-6"/>
          <w:kern w:val="0"/>
          <w:sz w:val="24"/>
          <w:szCs w:val="24"/>
          <w:highlight w:val="none"/>
        </w:rPr>
        <w:t>-服务指南-下载专区-下载“政府采购电子化交易-投标单位培训实操演示及操作手册”和“</w:t>
      </w:r>
      <w:r>
        <w:rPr>
          <w:rFonts w:hint="eastAsia" w:ascii="宋体" w:hAnsi="宋体" w:eastAsia="宋体" w:cs="宋体"/>
          <w:color w:val="auto"/>
          <w:spacing w:val="-6"/>
          <w:kern w:val="0"/>
          <w:sz w:val="24"/>
          <w:szCs w:val="24"/>
          <w:highlight w:val="none"/>
        </w:rPr>
        <w:fldChar w:fldCharType="begin"/>
      </w:r>
      <w:r>
        <w:rPr>
          <w:rFonts w:hint="eastAsia" w:ascii="宋体" w:hAnsi="宋体" w:eastAsia="宋体" w:cs="宋体"/>
          <w:color w:val="auto"/>
          <w:spacing w:val="-6"/>
          <w:kern w:val="0"/>
          <w:sz w:val="24"/>
          <w:szCs w:val="24"/>
          <w:highlight w:val="none"/>
        </w:rPr>
        <w:instrText xml:space="preserve"> HYPERLINK "javascript:void(0);" \o "宝鸡不见面开标大厅操作手册-投标人.docx" </w:instrText>
      </w:r>
      <w:r>
        <w:rPr>
          <w:rFonts w:hint="eastAsia" w:ascii="宋体" w:hAnsi="宋体" w:eastAsia="宋体" w:cs="宋体"/>
          <w:color w:val="auto"/>
          <w:spacing w:val="-6"/>
          <w:kern w:val="0"/>
          <w:sz w:val="24"/>
          <w:szCs w:val="24"/>
          <w:highlight w:val="none"/>
        </w:rPr>
        <w:fldChar w:fldCharType="separate"/>
      </w:r>
      <w:r>
        <w:rPr>
          <w:rFonts w:hint="eastAsia" w:ascii="宋体" w:hAnsi="宋体" w:eastAsia="宋体" w:cs="宋体"/>
          <w:color w:val="auto"/>
          <w:spacing w:val="-6"/>
          <w:kern w:val="0"/>
          <w:sz w:val="24"/>
          <w:szCs w:val="24"/>
          <w:highlight w:val="none"/>
        </w:rPr>
        <w:t>宝鸡不见面开标大厅操作手册-投标人</w:t>
      </w:r>
      <w:r>
        <w:rPr>
          <w:rFonts w:hint="eastAsia" w:ascii="宋体" w:hAnsi="宋体" w:eastAsia="宋体" w:cs="宋体"/>
          <w:color w:val="auto"/>
          <w:spacing w:val="-6"/>
          <w:kern w:val="0"/>
          <w:sz w:val="24"/>
          <w:szCs w:val="24"/>
          <w:highlight w:val="none"/>
        </w:rPr>
        <w:fldChar w:fldCharType="end"/>
      </w:r>
      <w:r>
        <w:rPr>
          <w:rFonts w:hint="eastAsia" w:ascii="宋体" w:hAnsi="宋体" w:eastAsia="宋体" w:cs="宋体"/>
          <w:color w:val="auto"/>
          <w:spacing w:val="-6"/>
          <w:kern w:val="0"/>
          <w:sz w:val="24"/>
          <w:szCs w:val="24"/>
          <w:highlight w:val="none"/>
        </w:rPr>
        <w:t>”</w:t>
      </w:r>
      <w:r>
        <w:rPr>
          <w:rFonts w:hint="eastAsia" w:ascii="宋体" w:hAnsi="宋体" w:eastAsia="宋体" w:cs="宋体"/>
          <w:color w:val="auto"/>
          <w:spacing w:val="-6"/>
          <w:kern w:val="0"/>
          <w:sz w:val="24"/>
          <w:szCs w:val="24"/>
          <w:highlight w:val="none"/>
          <w:lang w:eastAsia="zh-CN"/>
        </w:rPr>
        <w:t>，</w:t>
      </w:r>
      <w:r>
        <w:rPr>
          <w:rFonts w:hint="eastAsia" w:ascii="宋体" w:hAnsi="宋体" w:eastAsia="宋体" w:cs="宋体"/>
          <w:color w:val="auto"/>
          <w:spacing w:val="-6"/>
          <w:kern w:val="0"/>
          <w:sz w:val="24"/>
          <w:szCs w:val="24"/>
          <w:highlight w:val="none"/>
        </w:rPr>
        <w:t>并下载政府采购电子标书制作工具</w:t>
      </w:r>
      <w:r>
        <w:rPr>
          <w:rFonts w:hint="eastAsia" w:ascii="宋体" w:hAnsi="宋体" w:eastAsia="宋体" w:cs="宋体"/>
          <w:color w:val="auto"/>
          <w:spacing w:val="-6"/>
          <w:kern w:val="0"/>
          <w:sz w:val="24"/>
          <w:szCs w:val="24"/>
          <w:highlight w:val="none"/>
          <w:lang w:eastAsia="zh-CN"/>
        </w:rPr>
        <w:t>，</w:t>
      </w:r>
      <w:r>
        <w:rPr>
          <w:rFonts w:hint="eastAsia" w:ascii="宋体" w:hAnsi="宋体" w:eastAsia="宋体" w:cs="宋体"/>
          <w:color w:val="auto"/>
          <w:spacing w:val="-6"/>
          <w:kern w:val="0"/>
          <w:sz w:val="24"/>
          <w:szCs w:val="24"/>
          <w:highlight w:val="none"/>
        </w:rPr>
        <w:t>按照流程制作电子标书并在规定的响应文件递交截止时前上传加密电子响应文件。开启时间前提前登录“宝鸡市公共资源交易不见面开标</w:t>
      </w:r>
      <w:r>
        <w:rPr>
          <w:rFonts w:hint="eastAsia" w:ascii="宋体" w:hAnsi="宋体" w:eastAsia="宋体" w:cs="宋体"/>
          <w:color w:val="auto"/>
          <w:spacing w:val="-6"/>
          <w:kern w:val="0"/>
          <w:sz w:val="24"/>
          <w:szCs w:val="24"/>
          <w:highlight w:val="none"/>
          <w:lang w:eastAsia="zh-CN"/>
        </w:rPr>
        <w:t>大厅</w:t>
      </w:r>
      <w:r>
        <w:rPr>
          <w:rFonts w:hint="eastAsia" w:ascii="宋体" w:hAnsi="宋体" w:eastAsia="宋体" w:cs="宋体"/>
          <w:color w:val="auto"/>
          <w:spacing w:val="-6"/>
          <w:kern w:val="0"/>
          <w:sz w:val="24"/>
          <w:szCs w:val="24"/>
          <w:highlight w:val="none"/>
        </w:rPr>
        <w:t>”；</w:t>
      </w:r>
    </w:p>
    <w:p w14:paraId="60B761A5">
      <w:pPr>
        <w:keepNext w:val="0"/>
        <w:keepLines w:val="0"/>
        <w:pageBreakBefore w:val="0"/>
        <w:widowControl w:val="0"/>
        <w:kinsoku/>
        <w:overflowPunct/>
        <w:topLinePunct w:val="0"/>
        <w:autoSpaceDE/>
        <w:autoSpaceDN/>
        <w:bidi w:val="0"/>
        <w:adjustRightInd/>
        <w:snapToGrid/>
        <w:spacing w:line="360" w:lineRule="auto"/>
        <w:ind w:firstLine="500" w:firstLineChars="200"/>
        <w:textAlignment w:val="baseline"/>
        <w:rPr>
          <w:rFonts w:hint="eastAsia" w:ascii="宋体" w:hAnsi="宋体" w:eastAsia="宋体" w:cs="宋体"/>
          <w:color w:val="auto"/>
          <w:spacing w:val="-6"/>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6"/>
          <w:kern w:val="0"/>
          <w:sz w:val="24"/>
          <w:szCs w:val="24"/>
          <w:highlight w:val="none"/>
        </w:rPr>
        <w:t>请供应商按照陕西省财政厅关于《关于政府采购供应商注册登记有关事项的通知》的要求</w:t>
      </w:r>
      <w:r>
        <w:rPr>
          <w:rFonts w:hint="eastAsia" w:ascii="宋体" w:hAnsi="宋体" w:eastAsia="宋体" w:cs="宋体"/>
          <w:color w:val="auto"/>
          <w:spacing w:val="-6"/>
          <w:kern w:val="0"/>
          <w:sz w:val="24"/>
          <w:szCs w:val="24"/>
          <w:highlight w:val="none"/>
          <w:lang w:eastAsia="zh-CN"/>
        </w:rPr>
        <w:t>，</w:t>
      </w:r>
      <w:r>
        <w:rPr>
          <w:rFonts w:hint="eastAsia" w:ascii="宋体" w:hAnsi="宋体" w:eastAsia="宋体" w:cs="宋体"/>
          <w:color w:val="auto"/>
          <w:spacing w:val="-6"/>
          <w:kern w:val="0"/>
          <w:sz w:val="24"/>
          <w:szCs w:val="24"/>
          <w:highlight w:val="none"/>
        </w:rPr>
        <w:t>通过陕西省政府采购网</w:t>
      </w:r>
      <w:r>
        <w:rPr>
          <w:rFonts w:hint="eastAsia" w:ascii="宋体" w:hAnsi="宋体" w:eastAsia="宋体" w:cs="宋体"/>
          <w:color w:val="auto"/>
          <w:spacing w:val="-6"/>
          <w:kern w:val="0"/>
          <w:sz w:val="24"/>
          <w:szCs w:val="24"/>
          <w:highlight w:val="none"/>
          <w:lang w:eastAsia="zh-CN"/>
        </w:rPr>
        <w:t>（</w:t>
      </w:r>
      <w:r>
        <w:rPr>
          <w:rFonts w:hint="eastAsia" w:ascii="宋体" w:hAnsi="宋体" w:eastAsia="宋体" w:cs="宋体"/>
          <w:color w:val="auto"/>
          <w:spacing w:val="-6"/>
          <w:kern w:val="0"/>
          <w:sz w:val="24"/>
          <w:szCs w:val="24"/>
          <w:highlight w:val="none"/>
        </w:rPr>
        <w:t>http://www.ccgp-shaanxi.gov.cn/</w:t>
      </w:r>
      <w:r>
        <w:rPr>
          <w:rFonts w:hint="eastAsia" w:ascii="宋体" w:hAnsi="宋体" w:eastAsia="宋体" w:cs="宋体"/>
          <w:color w:val="auto"/>
          <w:spacing w:val="-6"/>
          <w:kern w:val="0"/>
          <w:sz w:val="24"/>
          <w:szCs w:val="24"/>
          <w:highlight w:val="none"/>
          <w:lang w:eastAsia="zh-CN"/>
        </w:rPr>
        <w:t>）</w:t>
      </w:r>
      <w:r>
        <w:rPr>
          <w:rFonts w:hint="eastAsia" w:ascii="宋体" w:hAnsi="宋体" w:eastAsia="宋体" w:cs="宋体"/>
          <w:color w:val="auto"/>
          <w:spacing w:val="-6"/>
          <w:kern w:val="0"/>
          <w:sz w:val="24"/>
          <w:szCs w:val="24"/>
          <w:highlight w:val="none"/>
        </w:rPr>
        <w:t>注册登记加入陕西省政府采购供应商库；</w:t>
      </w:r>
    </w:p>
    <w:p w14:paraId="727EC3DF">
      <w:pPr>
        <w:keepNext w:val="0"/>
        <w:keepLines w:val="0"/>
        <w:pageBreakBefore w:val="0"/>
        <w:widowControl w:val="0"/>
        <w:kinsoku/>
        <w:wordWrap w:val="0"/>
        <w:overflowPunct/>
        <w:topLinePunct w:val="0"/>
        <w:autoSpaceDE/>
        <w:autoSpaceDN/>
        <w:bidi w:val="0"/>
        <w:adjustRightInd/>
        <w:snapToGrid/>
        <w:spacing w:line="360" w:lineRule="auto"/>
        <w:ind w:firstLine="500" w:firstLineChars="200"/>
        <w:jc w:val="left"/>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.根据陕西省财政厅关于印发《陕西省中小企业政府采购信用融资办法》陕财办采〔2018〕23号相关规定</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有融资需求的供应商可根据自身情况</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在陕西省政府采购信用融资平台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http://www.ccgp-shaanxi.gov.cn/zcdservice/zcd/shanxi/</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自主选择金融机构及其融资产品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凭政府采购中标</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成交</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通知书或政府采购合同提出融资申请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办理“政采贷”业务。</w:t>
      </w:r>
    </w:p>
    <w:p w14:paraId="03CD7603">
      <w:pPr>
        <w:keepNext w:val="0"/>
        <w:keepLines w:val="0"/>
        <w:pageBreakBefore w:val="0"/>
        <w:widowControl/>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八</w:t>
      </w:r>
      <w:r>
        <w:rPr>
          <w:rFonts w:hint="eastAsia" w:ascii="宋体" w:hAnsi="宋体" w:eastAsia="宋体" w:cs="宋体"/>
          <w:b/>
          <w:bCs/>
          <w:color w:val="auto"/>
          <w:sz w:val="24"/>
          <w:szCs w:val="24"/>
          <w:highlight w:val="none"/>
        </w:rPr>
        <w:t>、凡对本次采购提出询问，请按以下方式联系</w:t>
      </w:r>
      <w:bookmarkEnd w:id="16"/>
      <w:bookmarkEnd w:id="17"/>
      <w:bookmarkEnd w:id="18"/>
      <w:r>
        <w:rPr>
          <w:rFonts w:hint="eastAsia" w:ascii="宋体" w:hAnsi="宋体" w:eastAsia="宋体" w:cs="宋体"/>
          <w:b/>
          <w:bCs/>
          <w:color w:val="auto"/>
          <w:sz w:val="24"/>
          <w:szCs w:val="24"/>
          <w:highlight w:val="none"/>
          <w:lang w:eastAsia="zh-CN"/>
        </w:rPr>
        <w:t>。</w:t>
      </w:r>
    </w:p>
    <w:p w14:paraId="3CC95A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uto"/>
        <w:ind w:left="0" w:right="0" w:firstLine="50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kern w:val="0"/>
          <w:sz w:val="24"/>
          <w:szCs w:val="24"/>
          <w:highlight w:val="none"/>
          <w:lang w:val="en-US" w:eastAsia="zh-CN" w:bidi="ar-SA"/>
        </w:rPr>
        <w:t>1.采购人信息</w:t>
      </w:r>
    </w:p>
    <w:p w14:paraId="67B050EA">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50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名称：宝鸡先秦陵园博物馆</w:t>
      </w:r>
    </w:p>
    <w:p w14:paraId="0B1AE975">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50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地址：陕西省宝鸡市凤翔区南指挥镇南指挥村</w:t>
      </w:r>
    </w:p>
    <w:p w14:paraId="01E64436">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50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联系方式：0917-7585520</w:t>
      </w:r>
    </w:p>
    <w:p w14:paraId="211B98AD">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500" w:firstLineChars="200"/>
        <w:jc w:val="left"/>
        <w:textAlignment w:val="auto"/>
        <w:outlineLvl w:val="9"/>
        <w:rPr>
          <w:rFonts w:hint="eastAsia" w:ascii="宋体" w:hAnsi="宋体" w:eastAsia="宋体" w:cs="宋体"/>
          <w:color w:val="auto"/>
          <w:sz w:val="24"/>
          <w:szCs w:val="24"/>
          <w:highlight w:val="none"/>
          <w:lang w:val="en-US" w:eastAsia="zh-CN"/>
        </w:rPr>
      </w:pPr>
    </w:p>
    <w:p w14:paraId="75D68121">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50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11C369AE">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50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名称：陕西华信项目管理有限公司</w:t>
      </w:r>
    </w:p>
    <w:p w14:paraId="67E3F080">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50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地址：宝鸡市</w:t>
      </w:r>
      <w:r>
        <w:rPr>
          <w:rFonts w:hint="eastAsia" w:ascii="宋体" w:hAnsi="宋体" w:eastAsia="宋体" w:cs="宋体"/>
          <w:color w:val="auto"/>
          <w:sz w:val="24"/>
          <w:szCs w:val="24"/>
          <w:highlight w:val="none"/>
          <w:lang w:eastAsia="zh-CN"/>
        </w:rPr>
        <w:t>渭滨区创业路</w:t>
      </w:r>
      <w:r>
        <w:rPr>
          <w:rFonts w:hint="eastAsia" w:ascii="宋体" w:hAnsi="宋体" w:eastAsia="宋体" w:cs="宋体"/>
          <w:color w:val="auto"/>
          <w:sz w:val="24"/>
          <w:szCs w:val="24"/>
          <w:highlight w:val="none"/>
          <w:lang w:val="en-US" w:eastAsia="zh-CN"/>
        </w:rPr>
        <w:t>6号</w:t>
      </w:r>
    </w:p>
    <w:p w14:paraId="7DBB995A">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50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联系方式：0917-3606086</w:t>
      </w:r>
    </w:p>
    <w:p w14:paraId="23763CA5">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50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69AF8A61">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50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eastAsia="zh-CN"/>
        </w:rPr>
        <w:t>范</w:t>
      </w:r>
      <w:r>
        <w:rPr>
          <w:rFonts w:hint="eastAsia" w:ascii="宋体" w:hAnsi="宋体" w:eastAsia="宋体" w:cs="宋体"/>
          <w:color w:val="auto"/>
          <w:sz w:val="24"/>
          <w:szCs w:val="24"/>
          <w:highlight w:val="none"/>
          <w:lang w:val="en-US" w:eastAsia="zh-CN"/>
        </w:rPr>
        <w:t>红霞</w:t>
      </w:r>
    </w:p>
    <w:p w14:paraId="4B22547B">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50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电话：0917-3606086</w:t>
      </w:r>
    </w:p>
    <w:p w14:paraId="1BBE477B">
      <w:pPr>
        <w:pStyle w:val="47"/>
        <w:keepNext w:val="0"/>
        <w:keepLines w:val="0"/>
        <w:pageBreakBefore w:val="0"/>
        <w:kinsoku/>
        <w:wordWrap/>
        <w:overflowPunct/>
        <w:topLinePunct w:val="0"/>
        <w:autoSpaceDE/>
        <w:autoSpaceDN/>
        <w:bidi w:val="0"/>
        <w:adjustRightInd/>
        <w:snapToGrid/>
        <w:spacing w:line="540" w:lineRule="exact"/>
        <w:ind w:left="0" w:leftChars="0" w:right="0" w:rightChars="0" w:firstLine="500" w:firstLineChars="200"/>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陕西华信项目管理有限公司</w:t>
      </w:r>
    </w:p>
    <w:p w14:paraId="5C5C2AEA">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0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日</w:t>
      </w:r>
    </w:p>
    <w:p w14:paraId="48557C4D">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00" w:firstLineChars="200"/>
        <w:jc w:val="left"/>
        <w:textAlignment w:val="auto"/>
        <w:outlineLvl w:val="9"/>
        <w:rPr>
          <w:rFonts w:hint="eastAsia" w:ascii="宋体" w:hAnsi="宋体" w:eastAsia="宋体" w:cs="宋体"/>
          <w:color w:val="auto"/>
          <w:sz w:val="24"/>
          <w:szCs w:val="24"/>
          <w:highlight w:val="none"/>
        </w:rPr>
      </w:pPr>
    </w:p>
    <w:p w14:paraId="310DFDB0">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00" w:firstLineChars="200"/>
        <w:jc w:val="left"/>
        <w:textAlignment w:val="auto"/>
        <w:outlineLvl w:val="9"/>
        <w:rPr>
          <w:rFonts w:hint="eastAsia" w:ascii="宋体" w:hAnsi="宋体" w:eastAsia="宋体" w:cs="宋体"/>
          <w:color w:val="auto"/>
          <w:sz w:val="24"/>
          <w:szCs w:val="24"/>
          <w:highlight w:val="none"/>
        </w:rPr>
      </w:pPr>
    </w:p>
    <w:p w14:paraId="5E3F0524">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00" w:firstLineChars="200"/>
        <w:jc w:val="left"/>
        <w:textAlignment w:val="auto"/>
        <w:outlineLvl w:val="9"/>
        <w:rPr>
          <w:rFonts w:hint="eastAsia" w:ascii="宋体" w:hAnsi="宋体" w:eastAsia="宋体" w:cs="宋体"/>
          <w:color w:val="auto"/>
          <w:sz w:val="24"/>
          <w:szCs w:val="24"/>
          <w:highlight w:val="none"/>
        </w:rPr>
      </w:pPr>
    </w:p>
    <w:p w14:paraId="07D9D657">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00" w:firstLineChars="200"/>
        <w:jc w:val="left"/>
        <w:textAlignment w:val="auto"/>
        <w:outlineLvl w:val="9"/>
        <w:rPr>
          <w:rFonts w:hint="eastAsia" w:ascii="宋体" w:hAnsi="宋体" w:eastAsia="宋体" w:cs="宋体"/>
          <w:color w:val="auto"/>
          <w:sz w:val="24"/>
          <w:szCs w:val="24"/>
          <w:highlight w:val="none"/>
        </w:rPr>
      </w:pPr>
    </w:p>
    <w:p w14:paraId="0CE3A475">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00" w:firstLineChars="200"/>
        <w:jc w:val="left"/>
        <w:textAlignment w:val="auto"/>
        <w:outlineLvl w:val="9"/>
        <w:rPr>
          <w:rFonts w:hint="eastAsia" w:ascii="宋体" w:hAnsi="宋体" w:eastAsia="宋体" w:cs="宋体"/>
          <w:color w:val="auto"/>
          <w:sz w:val="24"/>
          <w:szCs w:val="24"/>
          <w:highlight w:val="none"/>
        </w:rPr>
      </w:pPr>
    </w:p>
    <w:p w14:paraId="064E51B8">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00" w:firstLineChars="200"/>
        <w:jc w:val="left"/>
        <w:textAlignment w:val="auto"/>
        <w:outlineLvl w:val="9"/>
        <w:rPr>
          <w:rFonts w:hint="eastAsia" w:ascii="宋体" w:hAnsi="宋体" w:eastAsia="宋体" w:cs="宋体"/>
          <w:color w:val="auto"/>
          <w:sz w:val="24"/>
          <w:szCs w:val="24"/>
          <w:highlight w:val="none"/>
        </w:rPr>
      </w:pPr>
    </w:p>
    <w:p w14:paraId="08194775">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00" w:firstLineChars="200"/>
        <w:jc w:val="left"/>
        <w:textAlignment w:val="auto"/>
        <w:outlineLvl w:val="9"/>
        <w:rPr>
          <w:rFonts w:hint="eastAsia" w:ascii="宋体" w:hAnsi="宋体" w:eastAsia="宋体" w:cs="宋体"/>
          <w:color w:val="auto"/>
          <w:sz w:val="24"/>
          <w:szCs w:val="24"/>
          <w:highlight w:val="none"/>
        </w:rPr>
      </w:pPr>
    </w:p>
    <w:p w14:paraId="7B435B4C">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00" w:firstLineChars="200"/>
        <w:jc w:val="left"/>
        <w:textAlignment w:val="auto"/>
        <w:outlineLvl w:val="9"/>
        <w:rPr>
          <w:rFonts w:hint="eastAsia" w:ascii="宋体" w:hAnsi="宋体" w:eastAsia="宋体" w:cs="宋体"/>
          <w:color w:val="auto"/>
          <w:sz w:val="24"/>
          <w:szCs w:val="24"/>
          <w:highlight w:val="none"/>
        </w:rPr>
      </w:pPr>
    </w:p>
    <w:p w14:paraId="4BF931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0"/>
        <w:rPr>
          <w:rFonts w:hint="eastAsia" w:ascii="宋体" w:hAnsi="宋体" w:cs="宋体"/>
          <w:b/>
          <w:color w:val="auto"/>
          <w:sz w:val="28"/>
          <w:szCs w:val="28"/>
          <w:highlight w:val="none"/>
        </w:rPr>
      </w:pPr>
      <w:bookmarkStart w:id="19" w:name="_Toc3881"/>
    </w:p>
    <w:p w14:paraId="265CD6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0"/>
        <w:rPr>
          <w:rFonts w:hint="eastAsia" w:ascii="宋体" w:hAnsi="宋体" w:cs="宋体"/>
          <w:b/>
          <w:color w:val="auto"/>
          <w:sz w:val="28"/>
          <w:szCs w:val="28"/>
          <w:highlight w:val="none"/>
        </w:rPr>
      </w:pPr>
    </w:p>
    <w:p w14:paraId="591E47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ascii="宋体" w:hAnsi="宋体" w:cs="宋体"/>
          <w:bCs/>
          <w:color w:val="auto"/>
          <w:sz w:val="28"/>
          <w:szCs w:val="28"/>
          <w:highlight w:val="none"/>
        </w:rPr>
      </w:pPr>
      <w:r>
        <w:rPr>
          <w:rFonts w:hint="eastAsia" w:ascii="宋体" w:hAnsi="宋体" w:cs="宋体"/>
          <w:b/>
          <w:color w:val="auto"/>
          <w:sz w:val="28"/>
          <w:szCs w:val="28"/>
          <w:highlight w:val="none"/>
        </w:rPr>
        <w:t>第二部分  供应商须知</w:t>
      </w:r>
      <w:bookmarkEnd w:id="3"/>
      <w:bookmarkEnd w:id="19"/>
    </w:p>
    <w:p w14:paraId="3F2D7702">
      <w:pPr>
        <w:pStyle w:val="5"/>
        <w:jc w:val="center"/>
        <w:rPr>
          <w:rFonts w:hint="eastAsia" w:eastAsia="宋体"/>
          <w:sz w:val="24"/>
          <w:szCs w:val="24"/>
          <w:highlight w:val="none"/>
          <w:lang w:eastAsia="zh-CN"/>
        </w:rPr>
      </w:pPr>
      <w:r>
        <w:rPr>
          <w:rFonts w:hint="eastAsia" w:ascii="宋体" w:hAnsi="宋体" w:cs="宋体"/>
          <w:b/>
          <w:sz w:val="24"/>
          <w:szCs w:val="24"/>
          <w:highlight w:val="none"/>
          <w:lang w:eastAsia="zh-CN"/>
        </w:rPr>
        <w:t>供应商须知前附表</w:t>
      </w:r>
    </w:p>
    <w:tbl>
      <w:tblPr>
        <w:tblStyle w:val="29"/>
        <w:tblW w:w="92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
        <w:gridCol w:w="2003"/>
        <w:gridCol w:w="6378"/>
      </w:tblGrid>
      <w:tr w14:paraId="37D9E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07" w:type="dxa"/>
            <w:tcBorders>
              <w:tl2br w:val="nil"/>
              <w:tr2bl w:val="nil"/>
            </w:tcBorders>
            <w:vAlign w:val="center"/>
          </w:tcPr>
          <w:p w14:paraId="6779B823">
            <w:pPr>
              <w:rPr>
                <w:rFonts w:ascii="宋体" w:hAnsi="宋体" w:cs="宋体"/>
                <w:b/>
                <w:sz w:val="24"/>
                <w:szCs w:val="24"/>
                <w:highlight w:val="none"/>
              </w:rPr>
            </w:pPr>
            <w:r>
              <w:rPr>
                <w:rFonts w:hint="eastAsia" w:ascii="宋体" w:hAnsi="宋体" w:cs="宋体"/>
                <w:b/>
                <w:sz w:val="24"/>
                <w:szCs w:val="24"/>
                <w:highlight w:val="none"/>
              </w:rPr>
              <w:t>条款号</w:t>
            </w:r>
          </w:p>
        </w:tc>
        <w:tc>
          <w:tcPr>
            <w:tcW w:w="2003" w:type="dxa"/>
            <w:tcBorders>
              <w:tl2br w:val="nil"/>
              <w:tr2bl w:val="nil"/>
            </w:tcBorders>
            <w:vAlign w:val="center"/>
          </w:tcPr>
          <w:p w14:paraId="64B02743">
            <w:pPr>
              <w:ind w:left="440" w:leftChars="200"/>
              <w:rPr>
                <w:rFonts w:ascii="宋体" w:hAnsi="宋体" w:cs="宋体"/>
                <w:b/>
                <w:sz w:val="24"/>
                <w:szCs w:val="24"/>
                <w:highlight w:val="none"/>
              </w:rPr>
            </w:pPr>
            <w:r>
              <w:rPr>
                <w:rFonts w:hint="eastAsia" w:ascii="宋体" w:hAnsi="宋体" w:cs="宋体"/>
                <w:b/>
                <w:sz w:val="24"/>
                <w:szCs w:val="24"/>
                <w:highlight w:val="none"/>
              </w:rPr>
              <w:t>条款名称</w:t>
            </w:r>
          </w:p>
        </w:tc>
        <w:tc>
          <w:tcPr>
            <w:tcW w:w="6378" w:type="dxa"/>
            <w:tcBorders>
              <w:tl2br w:val="nil"/>
              <w:tr2bl w:val="nil"/>
            </w:tcBorders>
            <w:vAlign w:val="center"/>
          </w:tcPr>
          <w:p w14:paraId="63500E4F">
            <w:pPr>
              <w:ind w:left="489" w:leftChars="24" w:hanging="437" w:hangingChars="175"/>
              <w:jc w:val="center"/>
              <w:rPr>
                <w:rFonts w:ascii="宋体" w:hAnsi="宋体" w:cs="宋体"/>
                <w:b/>
                <w:sz w:val="24"/>
                <w:szCs w:val="24"/>
                <w:highlight w:val="none"/>
              </w:rPr>
            </w:pPr>
            <w:r>
              <w:rPr>
                <w:rFonts w:hint="eastAsia" w:ascii="宋体" w:hAnsi="宋体" w:cs="宋体"/>
                <w:b/>
                <w:sz w:val="24"/>
                <w:szCs w:val="24"/>
                <w:highlight w:val="none"/>
              </w:rPr>
              <w:t>编  列  内  容</w:t>
            </w:r>
          </w:p>
        </w:tc>
      </w:tr>
      <w:tr w14:paraId="0FE364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907" w:type="dxa"/>
            <w:tcBorders>
              <w:tl2br w:val="nil"/>
              <w:tr2bl w:val="nil"/>
            </w:tcBorders>
            <w:vAlign w:val="center"/>
          </w:tcPr>
          <w:p w14:paraId="7B03F1AD">
            <w:pPr>
              <w:autoSpaceDE w:val="0"/>
              <w:autoSpaceDN w:val="0"/>
              <w:ind w:left="487" w:leftChars="23" w:hanging="437" w:hangingChars="175"/>
              <w:jc w:val="center"/>
              <w:rPr>
                <w:rFonts w:ascii="宋体" w:hAnsi="宋体" w:cs="宋体"/>
                <w:kern w:val="0"/>
                <w:sz w:val="24"/>
                <w:szCs w:val="24"/>
                <w:highlight w:val="none"/>
              </w:rPr>
            </w:pPr>
            <w:r>
              <w:rPr>
                <w:rFonts w:hint="eastAsia" w:ascii="宋体" w:hAnsi="宋体" w:cs="宋体"/>
                <w:kern w:val="0"/>
                <w:sz w:val="24"/>
                <w:szCs w:val="24"/>
                <w:highlight w:val="none"/>
              </w:rPr>
              <w:t>1</w:t>
            </w:r>
          </w:p>
        </w:tc>
        <w:tc>
          <w:tcPr>
            <w:tcW w:w="2003" w:type="dxa"/>
            <w:tcBorders>
              <w:tl2br w:val="nil"/>
              <w:tr2bl w:val="nil"/>
            </w:tcBorders>
            <w:vAlign w:val="center"/>
          </w:tcPr>
          <w:p w14:paraId="5C4B4BCA">
            <w:pPr>
              <w:autoSpaceDE w:val="0"/>
              <w:autoSpaceDN w:val="0"/>
              <w:spacing w:after="120"/>
              <w:jc w:val="center"/>
              <w:rPr>
                <w:rFonts w:ascii="宋体" w:hAnsi="宋体" w:cs="宋体"/>
                <w:kern w:val="0"/>
                <w:sz w:val="24"/>
                <w:szCs w:val="24"/>
                <w:highlight w:val="none"/>
              </w:rPr>
            </w:pPr>
            <w:r>
              <w:rPr>
                <w:rFonts w:hint="eastAsia" w:ascii="宋体" w:hAnsi="宋体" w:cs="宋体"/>
                <w:kern w:val="0"/>
                <w:sz w:val="24"/>
                <w:szCs w:val="24"/>
                <w:highlight w:val="none"/>
              </w:rPr>
              <w:t>采 购 人</w:t>
            </w:r>
          </w:p>
        </w:tc>
        <w:tc>
          <w:tcPr>
            <w:tcW w:w="6378" w:type="dxa"/>
            <w:tcBorders>
              <w:tl2br w:val="nil"/>
              <w:tr2bl w:val="nil"/>
            </w:tcBorders>
            <w:vAlign w:val="center"/>
          </w:tcPr>
          <w:p w14:paraId="5E124C60">
            <w:pPr>
              <w:keepNext w:val="0"/>
              <w:keepLines w:val="0"/>
              <w:pageBreakBefore w:val="0"/>
              <w:widowControl/>
              <w:kinsoku/>
              <w:wordWrap/>
              <w:overflowPunct/>
              <w:topLinePunct w:val="0"/>
              <w:autoSpaceDE/>
              <w:autoSpaceDN/>
              <w:bidi w:val="0"/>
              <w:adjustRightInd/>
              <w:snapToGrid/>
              <w:spacing w:line="264" w:lineRule="auto"/>
              <w:ind w:left="66" w:leftChars="3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名  称：</w:t>
            </w:r>
            <w:r>
              <w:rPr>
                <w:rFonts w:hint="eastAsia" w:ascii="宋体" w:hAnsi="宋体" w:eastAsia="宋体" w:cs="宋体"/>
                <w:color w:val="auto"/>
                <w:kern w:val="0"/>
                <w:sz w:val="24"/>
                <w:szCs w:val="24"/>
                <w:highlight w:val="none"/>
                <w:lang w:val="en-US" w:eastAsia="zh-CN"/>
              </w:rPr>
              <w:t>宝鸡先秦陵园博物馆</w:t>
            </w:r>
          </w:p>
          <w:p w14:paraId="4E845A63">
            <w:pPr>
              <w:keepNext w:val="0"/>
              <w:keepLines w:val="0"/>
              <w:pageBreakBefore w:val="0"/>
              <w:widowControl/>
              <w:kinsoku/>
              <w:wordWrap/>
              <w:overflowPunct/>
              <w:topLinePunct w:val="0"/>
              <w:autoSpaceDE/>
              <w:autoSpaceDN/>
              <w:bidi w:val="0"/>
              <w:adjustRightInd/>
              <w:snapToGrid/>
              <w:spacing w:line="264" w:lineRule="auto"/>
              <w:ind w:left="66" w:leftChars="3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地  址：陕西省宝鸡市凤翔区南指挥镇南指挥村</w:t>
            </w:r>
          </w:p>
          <w:p w14:paraId="482B31AA">
            <w:pPr>
              <w:keepNext w:val="0"/>
              <w:keepLines w:val="0"/>
              <w:pageBreakBefore w:val="0"/>
              <w:widowControl/>
              <w:kinsoku/>
              <w:wordWrap/>
              <w:overflowPunct/>
              <w:topLinePunct w:val="0"/>
              <w:autoSpaceDE/>
              <w:autoSpaceDN/>
              <w:bidi w:val="0"/>
              <w:adjustRightInd/>
              <w:snapToGrid/>
              <w:spacing w:line="264" w:lineRule="auto"/>
              <w:ind w:left="66" w:leftChars="30"/>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联系人：焦先生</w:t>
            </w:r>
          </w:p>
          <w:p w14:paraId="583282FE">
            <w:pPr>
              <w:keepNext w:val="0"/>
              <w:keepLines w:val="0"/>
              <w:pageBreakBefore w:val="0"/>
              <w:widowControl/>
              <w:kinsoku/>
              <w:wordWrap/>
              <w:overflowPunct/>
              <w:topLinePunct w:val="0"/>
              <w:autoSpaceDE/>
              <w:autoSpaceDN/>
              <w:bidi w:val="0"/>
              <w:adjustRightInd/>
              <w:snapToGrid/>
              <w:spacing w:line="264" w:lineRule="auto"/>
              <w:ind w:left="66" w:leftChars="3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联系方式：</w:t>
            </w:r>
            <w:r>
              <w:rPr>
                <w:rFonts w:hint="eastAsia" w:ascii="宋体" w:hAnsi="宋体" w:eastAsia="宋体" w:cs="宋体"/>
                <w:color w:val="auto"/>
                <w:kern w:val="0"/>
                <w:sz w:val="24"/>
                <w:szCs w:val="24"/>
                <w:highlight w:val="none"/>
                <w:lang w:val="en-US" w:eastAsia="zh-CN"/>
              </w:rPr>
              <w:t>0917-7585520</w:t>
            </w:r>
          </w:p>
        </w:tc>
      </w:tr>
      <w:tr w14:paraId="2967EE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907" w:type="dxa"/>
            <w:tcBorders>
              <w:tl2br w:val="nil"/>
              <w:tr2bl w:val="nil"/>
            </w:tcBorders>
            <w:vAlign w:val="center"/>
          </w:tcPr>
          <w:p w14:paraId="7F8530F1">
            <w:pPr>
              <w:ind w:left="487" w:leftChars="23" w:hanging="437" w:hangingChars="175"/>
              <w:jc w:val="center"/>
              <w:rPr>
                <w:rFonts w:ascii="宋体" w:hAnsi="宋体" w:cs="宋体"/>
                <w:sz w:val="24"/>
                <w:szCs w:val="24"/>
                <w:highlight w:val="none"/>
              </w:rPr>
            </w:pPr>
            <w:r>
              <w:rPr>
                <w:rFonts w:hint="eastAsia" w:ascii="宋体" w:hAnsi="宋体" w:cs="宋体"/>
                <w:sz w:val="24"/>
                <w:szCs w:val="24"/>
                <w:highlight w:val="none"/>
              </w:rPr>
              <w:t>2</w:t>
            </w:r>
          </w:p>
        </w:tc>
        <w:tc>
          <w:tcPr>
            <w:tcW w:w="2003" w:type="dxa"/>
            <w:tcBorders>
              <w:tl2br w:val="nil"/>
              <w:tr2bl w:val="nil"/>
            </w:tcBorders>
            <w:vAlign w:val="center"/>
          </w:tcPr>
          <w:p w14:paraId="6EB45538">
            <w:pPr>
              <w:spacing w:after="120"/>
              <w:ind w:left="489" w:leftChars="24" w:hanging="437" w:hangingChars="175"/>
              <w:jc w:val="center"/>
              <w:rPr>
                <w:rFonts w:ascii="宋体" w:hAnsi="宋体" w:cs="宋体"/>
                <w:sz w:val="24"/>
                <w:szCs w:val="24"/>
                <w:highlight w:val="none"/>
              </w:rPr>
            </w:pPr>
            <w:r>
              <w:rPr>
                <w:rFonts w:hint="eastAsia" w:ascii="宋体" w:hAnsi="宋体" w:cs="宋体"/>
                <w:sz w:val="24"/>
                <w:szCs w:val="24"/>
                <w:highlight w:val="none"/>
              </w:rPr>
              <w:t>采购代理机构</w:t>
            </w:r>
          </w:p>
        </w:tc>
        <w:tc>
          <w:tcPr>
            <w:tcW w:w="6378" w:type="dxa"/>
            <w:tcBorders>
              <w:tl2br w:val="nil"/>
              <w:tr2bl w:val="nil"/>
            </w:tcBorders>
            <w:vAlign w:val="center"/>
          </w:tcPr>
          <w:p w14:paraId="0236DFA7">
            <w:pPr>
              <w:keepNext w:val="0"/>
              <w:keepLines w:val="0"/>
              <w:pageBreakBefore w:val="0"/>
              <w:widowControl/>
              <w:kinsoku/>
              <w:wordWrap/>
              <w:overflowPunct/>
              <w:topLinePunct w:val="0"/>
              <w:autoSpaceDE/>
              <w:autoSpaceDN/>
              <w:bidi w:val="0"/>
              <w:adjustRightInd/>
              <w:snapToGrid/>
              <w:spacing w:before="79" w:beforeLines="20" w:line="264" w:lineRule="auto"/>
              <w:ind w:left="66" w:leftChars="3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名  称：陕西华信项目管理有限公司</w:t>
            </w:r>
          </w:p>
          <w:p w14:paraId="51F410AB">
            <w:pPr>
              <w:keepNext w:val="0"/>
              <w:keepLines w:val="0"/>
              <w:pageBreakBefore w:val="0"/>
              <w:widowControl/>
              <w:kinsoku/>
              <w:wordWrap/>
              <w:overflowPunct/>
              <w:topLinePunct w:val="0"/>
              <w:autoSpaceDE/>
              <w:autoSpaceDN/>
              <w:bidi w:val="0"/>
              <w:adjustRightInd/>
              <w:snapToGrid/>
              <w:spacing w:line="264" w:lineRule="auto"/>
              <w:ind w:left="66" w:leftChars="3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地</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址：宝鸡市</w:t>
            </w:r>
            <w:r>
              <w:rPr>
                <w:rFonts w:hint="eastAsia" w:ascii="宋体" w:hAnsi="宋体" w:cs="宋体"/>
                <w:color w:val="auto"/>
                <w:kern w:val="0"/>
                <w:sz w:val="24"/>
                <w:szCs w:val="24"/>
                <w:highlight w:val="none"/>
                <w:lang w:eastAsia="zh-CN"/>
              </w:rPr>
              <w:t>渭滨区</w:t>
            </w:r>
            <w:r>
              <w:rPr>
                <w:rFonts w:hint="eastAsia" w:ascii="宋体" w:hAnsi="宋体" w:cs="宋体"/>
                <w:color w:val="auto"/>
                <w:kern w:val="0"/>
                <w:sz w:val="24"/>
                <w:szCs w:val="24"/>
                <w:highlight w:val="none"/>
              </w:rPr>
              <w:t>创业路6号</w:t>
            </w:r>
          </w:p>
          <w:p w14:paraId="58F716F5">
            <w:pPr>
              <w:keepNext w:val="0"/>
              <w:keepLines w:val="0"/>
              <w:pageBreakBefore w:val="0"/>
              <w:widowControl/>
              <w:kinsoku/>
              <w:wordWrap/>
              <w:overflowPunct/>
              <w:topLinePunct w:val="0"/>
              <w:autoSpaceDE/>
              <w:autoSpaceDN/>
              <w:bidi w:val="0"/>
              <w:adjustRightInd/>
              <w:snapToGrid/>
              <w:spacing w:line="264" w:lineRule="auto"/>
              <w:ind w:left="66" w:leftChars="3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联系人：</w:t>
            </w:r>
            <w:r>
              <w:rPr>
                <w:rFonts w:hint="eastAsia" w:ascii="宋体" w:hAnsi="宋体" w:cs="宋体"/>
                <w:color w:val="auto"/>
                <w:kern w:val="0"/>
                <w:sz w:val="24"/>
                <w:szCs w:val="24"/>
                <w:highlight w:val="none"/>
                <w:lang w:eastAsia="zh-CN"/>
              </w:rPr>
              <w:t>范红霞</w:t>
            </w:r>
            <w:r>
              <w:rPr>
                <w:rFonts w:hint="eastAsia" w:ascii="宋体" w:hAnsi="宋体" w:cs="宋体"/>
                <w:color w:val="auto"/>
                <w:kern w:val="0"/>
                <w:sz w:val="24"/>
                <w:szCs w:val="24"/>
                <w:highlight w:val="none"/>
              </w:rPr>
              <w:t xml:space="preserve">  </w:t>
            </w:r>
          </w:p>
          <w:p w14:paraId="4ACCB05C">
            <w:pPr>
              <w:keepNext w:val="0"/>
              <w:keepLines w:val="0"/>
              <w:pageBreakBefore w:val="0"/>
              <w:widowControl/>
              <w:kinsoku/>
              <w:wordWrap/>
              <w:overflowPunct/>
              <w:topLinePunct w:val="0"/>
              <w:autoSpaceDE/>
              <w:autoSpaceDN/>
              <w:bidi w:val="0"/>
              <w:adjustRightInd/>
              <w:snapToGrid/>
              <w:spacing w:line="264" w:lineRule="auto"/>
              <w:ind w:left="66" w:leftChars="30"/>
              <w:jc w:val="left"/>
              <w:textAlignment w:val="auto"/>
              <w:rPr>
                <w:rFonts w:ascii="宋体" w:hAnsi="宋体" w:cs="宋体"/>
                <w:color w:val="auto"/>
                <w:sz w:val="24"/>
                <w:szCs w:val="24"/>
                <w:highlight w:val="none"/>
              </w:rPr>
            </w:pPr>
            <w:r>
              <w:rPr>
                <w:rFonts w:hint="eastAsia" w:ascii="宋体" w:hAnsi="宋体" w:cs="宋体"/>
                <w:color w:val="auto"/>
                <w:kern w:val="0"/>
                <w:sz w:val="24"/>
                <w:szCs w:val="24"/>
                <w:highlight w:val="none"/>
              </w:rPr>
              <w:t>电  话：0917-3606086</w:t>
            </w:r>
          </w:p>
        </w:tc>
      </w:tr>
      <w:tr w14:paraId="569C9D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exact"/>
          <w:jc w:val="center"/>
        </w:trPr>
        <w:tc>
          <w:tcPr>
            <w:tcW w:w="907" w:type="dxa"/>
            <w:tcBorders>
              <w:tl2br w:val="nil"/>
              <w:tr2bl w:val="nil"/>
            </w:tcBorders>
            <w:vAlign w:val="center"/>
          </w:tcPr>
          <w:p w14:paraId="43C544C0">
            <w:pPr>
              <w:spacing w:line="240" w:lineRule="auto"/>
              <w:ind w:left="489" w:leftChars="24" w:hanging="437" w:hangingChars="175"/>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p>
        </w:tc>
        <w:tc>
          <w:tcPr>
            <w:tcW w:w="2003" w:type="dxa"/>
            <w:tcBorders>
              <w:tl2br w:val="nil"/>
              <w:tr2bl w:val="nil"/>
            </w:tcBorders>
            <w:vAlign w:val="center"/>
          </w:tcPr>
          <w:p w14:paraId="526FFF73">
            <w:pPr>
              <w:keepNext w:val="0"/>
              <w:keepLines w:val="0"/>
              <w:pageBreakBefore w:val="0"/>
              <w:widowControl w:val="0"/>
              <w:kinsoku/>
              <w:wordWrap/>
              <w:overflowPunct/>
              <w:topLinePunct w:val="0"/>
              <w:autoSpaceDE/>
              <w:autoSpaceDN/>
              <w:bidi w:val="0"/>
              <w:adjustRightInd/>
              <w:snapToGrid/>
              <w:spacing w:line="240" w:lineRule="auto"/>
              <w:ind w:left="487" w:leftChars="23" w:right="0" w:rightChars="0" w:hanging="437" w:hangingChars="175"/>
              <w:jc w:val="center"/>
              <w:textAlignment w:val="auto"/>
              <w:outlineLvl w:val="9"/>
              <w:rPr>
                <w:rFonts w:hint="eastAsia" w:ascii="宋体" w:hAnsi="宋体" w:cs="宋体"/>
                <w:kern w:val="0"/>
                <w:sz w:val="24"/>
                <w:szCs w:val="24"/>
                <w:highlight w:val="none"/>
              </w:rPr>
            </w:pPr>
            <w:r>
              <w:rPr>
                <w:rFonts w:hint="eastAsia" w:ascii="宋体" w:hAnsi="宋体" w:eastAsia="宋体" w:cs="宋体"/>
                <w:color w:val="auto"/>
                <w:sz w:val="24"/>
                <w:szCs w:val="24"/>
                <w:highlight w:val="none"/>
              </w:rPr>
              <w:t>监督机构</w:t>
            </w:r>
          </w:p>
        </w:tc>
        <w:tc>
          <w:tcPr>
            <w:tcW w:w="6378" w:type="dxa"/>
            <w:tcBorders>
              <w:tl2br w:val="nil"/>
              <w:tr2bl w:val="nil"/>
            </w:tcBorders>
            <w:vAlign w:val="center"/>
          </w:tcPr>
          <w:p w14:paraId="5949F590">
            <w:pPr>
              <w:keepNext w:val="0"/>
              <w:keepLines w:val="0"/>
              <w:pageBreakBefore w:val="0"/>
              <w:widowControl/>
              <w:kinsoku/>
              <w:wordWrap/>
              <w:overflowPunct/>
              <w:topLinePunct w:val="0"/>
              <w:autoSpaceDE/>
              <w:autoSpaceDN/>
              <w:bidi w:val="0"/>
              <w:adjustRightInd/>
              <w:snapToGrid/>
              <w:spacing w:line="240" w:lineRule="auto"/>
              <w:ind w:left="66" w:leftChars="30" w:right="0" w:rightChars="0" w:firstLine="0" w:firstLineChars="0"/>
              <w:jc w:val="left"/>
              <w:textAlignment w:val="auto"/>
              <w:outlineLvl w:val="9"/>
              <w:rPr>
                <w:rFonts w:hint="eastAsia" w:ascii="宋体" w:hAnsi="宋体" w:cs="宋体"/>
                <w:color w:val="auto"/>
                <w:kern w:val="0"/>
                <w:sz w:val="24"/>
                <w:szCs w:val="24"/>
                <w:highlight w:val="none"/>
                <w:lang w:eastAsia="zh-CN"/>
              </w:rPr>
            </w:pPr>
            <w:r>
              <w:rPr>
                <w:rFonts w:hint="eastAsia" w:ascii="宋体" w:hAnsi="宋体" w:cs="宋体"/>
                <w:bCs/>
                <w:color w:val="auto"/>
                <w:sz w:val="24"/>
                <w:szCs w:val="24"/>
                <w:highlight w:val="none"/>
                <w:lang w:eastAsia="zh-CN"/>
              </w:rPr>
              <w:t>宝鸡市文物局</w:t>
            </w:r>
          </w:p>
        </w:tc>
      </w:tr>
      <w:tr w14:paraId="7C0B9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907" w:type="dxa"/>
            <w:tcBorders>
              <w:tl2br w:val="nil"/>
              <w:tr2bl w:val="nil"/>
            </w:tcBorders>
            <w:vAlign w:val="center"/>
          </w:tcPr>
          <w:p w14:paraId="6AED6F14">
            <w:pPr>
              <w:spacing w:line="240" w:lineRule="auto"/>
              <w:ind w:left="489" w:leftChars="24" w:hanging="437" w:hangingChars="175"/>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4</w:t>
            </w:r>
          </w:p>
        </w:tc>
        <w:tc>
          <w:tcPr>
            <w:tcW w:w="2003" w:type="dxa"/>
            <w:tcBorders>
              <w:tl2br w:val="nil"/>
              <w:tr2bl w:val="nil"/>
            </w:tcBorders>
            <w:vAlign w:val="center"/>
          </w:tcPr>
          <w:p w14:paraId="5F13119F">
            <w:pPr>
              <w:autoSpaceDE w:val="0"/>
              <w:autoSpaceDN w:val="0"/>
              <w:spacing w:line="240" w:lineRule="auto"/>
              <w:ind w:left="67" w:leftChars="30" w:hanging="1" w:firstLineChars="0"/>
              <w:jc w:val="center"/>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rPr>
              <w:t>项目名称</w:t>
            </w:r>
          </w:p>
        </w:tc>
        <w:tc>
          <w:tcPr>
            <w:tcW w:w="6378" w:type="dxa"/>
            <w:tcBorders>
              <w:tl2br w:val="nil"/>
              <w:tr2bl w:val="nil"/>
            </w:tcBorders>
            <w:vAlign w:val="center"/>
          </w:tcPr>
          <w:p w14:paraId="3A2CC45A">
            <w:pPr>
              <w:autoSpaceDE w:val="0"/>
              <w:autoSpaceDN w:val="0"/>
              <w:spacing w:line="240" w:lineRule="auto"/>
              <w:ind w:left="67" w:leftChars="30" w:hanging="1" w:firstLineChars="0"/>
              <w:jc w:val="left"/>
              <w:rPr>
                <w:rFonts w:hint="eastAsia" w:ascii="宋体" w:hAnsi="宋体" w:eastAsia="宋体" w:cs="宋体"/>
                <w:color w:val="auto"/>
                <w:kern w:val="0"/>
                <w:sz w:val="24"/>
                <w:szCs w:val="24"/>
                <w:highlight w:val="none"/>
                <w:lang w:val="en-US" w:eastAsia="zh-CN" w:bidi="ar-SA"/>
              </w:rPr>
            </w:pPr>
            <w:r>
              <w:rPr>
                <w:rFonts w:hint="eastAsia" w:asciiTheme="minorEastAsia" w:hAnsiTheme="minorEastAsia" w:eastAsiaTheme="minorEastAsia" w:cstheme="minorEastAsia"/>
                <w:color w:val="auto"/>
                <w:spacing w:val="-6"/>
                <w:kern w:val="2"/>
                <w:sz w:val="24"/>
                <w:szCs w:val="24"/>
                <w:highlight w:val="none"/>
                <w:lang w:val="en-US" w:eastAsia="zh-CN" w:bidi="ar-SA"/>
              </w:rPr>
              <w:t>秦雍城遗址秦公一号大墓祭祀坑保护展示工程监理（三次）</w:t>
            </w:r>
          </w:p>
        </w:tc>
      </w:tr>
      <w:tr w14:paraId="6C7B82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907" w:type="dxa"/>
            <w:tcBorders>
              <w:tl2br w:val="nil"/>
              <w:tr2bl w:val="nil"/>
            </w:tcBorders>
            <w:vAlign w:val="center"/>
          </w:tcPr>
          <w:p w14:paraId="01FCFB86">
            <w:pPr>
              <w:spacing w:line="24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2003" w:type="dxa"/>
            <w:tcBorders>
              <w:tl2br w:val="nil"/>
              <w:tr2bl w:val="nil"/>
            </w:tcBorders>
            <w:vAlign w:val="center"/>
          </w:tcPr>
          <w:p w14:paraId="1FBFB58B">
            <w:pPr>
              <w:spacing w:line="24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w:t>
            </w:r>
            <w:r>
              <w:rPr>
                <w:rFonts w:hint="eastAsia" w:ascii="宋体" w:hAnsi="宋体" w:cs="宋体"/>
                <w:color w:val="000000" w:themeColor="text1"/>
                <w:sz w:val="24"/>
                <w:szCs w:val="24"/>
                <w:highlight w:val="none"/>
                <w:lang w:eastAsia="zh-CN"/>
                <w14:textFill>
                  <w14:solidFill>
                    <w14:schemeClr w14:val="tx1"/>
                  </w14:solidFill>
                </w14:textFill>
              </w:rPr>
              <w:t>实施</w:t>
            </w:r>
            <w:r>
              <w:rPr>
                <w:rFonts w:hint="eastAsia" w:ascii="宋体" w:hAnsi="宋体" w:cs="宋体"/>
                <w:color w:val="000000" w:themeColor="text1"/>
                <w:sz w:val="24"/>
                <w:szCs w:val="24"/>
                <w:highlight w:val="none"/>
                <w14:textFill>
                  <w14:solidFill>
                    <w14:schemeClr w14:val="tx1"/>
                  </w14:solidFill>
                </w14:textFill>
              </w:rPr>
              <w:t>地点</w:t>
            </w:r>
          </w:p>
        </w:tc>
        <w:tc>
          <w:tcPr>
            <w:tcW w:w="6378" w:type="dxa"/>
            <w:tcBorders>
              <w:tl2br w:val="nil"/>
              <w:tr2bl w:val="nil"/>
            </w:tcBorders>
            <w:vAlign w:val="center"/>
          </w:tcPr>
          <w:p w14:paraId="6B646275">
            <w:pPr>
              <w:spacing w:line="420" w:lineRule="exact"/>
              <w:rPr>
                <w:rFonts w:ascii="宋体" w:hAnsi="宋体" w:cs="宋体"/>
                <w:color w:val="auto"/>
                <w:kern w:val="0"/>
                <w:sz w:val="24"/>
                <w:szCs w:val="24"/>
                <w:highlight w:val="none"/>
              </w:rPr>
            </w:pPr>
            <w:r>
              <w:rPr>
                <w:rFonts w:hint="eastAsia" w:ascii="宋体" w:hAnsi="宋体" w:eastAsia="宋体" w:cs="宋体"/>
                <w:color w:val="auto"/>
                <w:sz w:val="24"/>
                <w:szCs w:val="24"/>
                <w:highlight w:val="none"/>
                <w:lang w:eastAsia="zh-CN"/>
              </w:rPr>
              <w:t>宝鸡先秦陵园博物馆</w:t>
            </w:r>
          </w:p>
        </w:tc>
      </w:tr>
      <w:tr w14:paraId="4AB617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907" w:type="dxa"/>
            <w:tcBorders>
              <w:tl2br w:val="nil"/>
              <w:tr2bl w:val="nil"/>
            </w:tcBorders>
            <w:vAlign w:val="center"/>
          </w:tcPr>
          <w:p w14:paraId="5EC35830">
            <w:pPr>
              <w:spacing w:line="24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2003" w:type="dxa"/>
            <w:tcBorders>
              <w:tl2br w:val="nil"/>
              <w:tr2bl w:val="nil"/>
            </w:tcBorders>
            <w:vAlign w:val="center"/>
          </w:tcPr>
          <w:p w14:paraId="2F1CB6C3">
            <w:pPr>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资金来源</w:t>
            </w:r>
          </w:p>
        </w:tc>
        <w:tc>
          <w:tcPr>
            <w:tcW w:w="6378" w:type="dxa"/>
            <w:tcBorders>
              <w:tl2br w:val="nil"/>
              <w:tr2bl w:val="nil"/>
            </w:tcBorders>
            <w:vAlign w:val="center"/>
          </w:tcPr>
          <w:p w14:paraId="02A59DB6">
            <w:pPr>
              <w:spacing w:line="420" w:lineRule="exact"/>
              <w:rPr>
                <w:rFonts w:hint="eastAsia" w:ascii="宋体" w:hAnsi="宋体" w:eastAsia="宋体" w:cs="宋体"/>
                <w:color w:val="auto"/>
                <w:kern w:val="0"/>
                <w:sz w:val="24"/>
                <w:szCs w:val="24"/>
                <w:highlight w:val="none"/>
                <w:lang w:eastAsia="zh-CN"/>
              </w:rPr>
            </w:pPr>
            <w:r>
              <w:rPr>
                <w:rFonts w:hint="eastAsia" w:ascii="宋体" w:hAnsi="宋体" w:eastAsia="宋体" w:cs="宋体"/>
                <w:sz w:val="24"/>
                <w:szCs w:val="24"/>
                <w:highlight w:val="none"/>
                <w:lang w:val="en-US" w:eastAsia="zh-CN"/>
              </w:rPr>
              <w:t>2026年国家文物保护专项资金</w:t>
            </w:r>
          </w:p>
        </w:tc>
      </w:tr>
      <w:tr w14:paraId="4BCFC1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6" w:hRule="exact"/>
          <w:jc w:val="center"/>
        </w:trPr>
        <w:tc>
          <w:tcPr>
            <w:tcW w:w="907" w:type="dxa"/>
            <w:tcBorders>
              <w:tl2br w:val="nil"/>
              <w:tr2bl w:val="nil"/>
            </w:tcBorders>
            <w:vAlign w:val="center"/>
          </w:tcPr>
          <w:p w14:paraId="0B9BF909">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7</w:t>
            </w:r>
          </w:p>
        </w:tc>
        <w:tc>
          <w:tcPr>
            <w:tcW w:w="2003" w:type="dxa"/>
            <w:tcBorders>
              <w:tl2br w:val="nil"/>
              <w:tr2bl w:val="nil"/>
            </w:tcBorders>
            <w:vAlign w:val="center"/>
          </w:tcPr>
          <w:p w14:paraId="18C595F6">
            <w:pPr>
              <w:autoSpaceDE w:val="0"/>
              <w:autoSpaceDN w:val="0"/>
              <w:jc w:val="center"/>
              <w:rPr>
                <w:rFonts w:ascii="宋体" w:hAnsi="宋体" w:cs="宋体"/>
                <w:kern w:val="0"/>
                <w:sz w:val="24"/>
                <w:szCs w:val="24"/>
                <w:highlight w:val="none"/>
              </w:rPr>
            </w:pPr>
            <w:r>
              <w:rPr>
                <w:rFonts w:hint="eastAsia" w:ascii="宋体" w:hAnsi="宋体" w:cs="宋体"/>
                <w:color w:val="auto"/>
                <w:kern w:val="0"/>
                <w:sz w:val="24"/>
                <w:szCs w:val="24"/>
                <w:highlight w:val="none"/>
                <w:lang w:eastAsia="zh-CN"/>
              </w:rPr>
              <w:t>项目建设内容</w:t>
            </w:r>
          </w:p>
        </w:tc>
        <w:tc>
          <w:tcPr>
            <w:tcW w:w="6378" w:type="dxa"/>
            <w:tcBorders>
              <w:tl2br w:val="nil"/>
              <w:tr2bl w:val="nil"/>
            </w:tcBorders>
            <w:vAlign w:val="center"/>
          </w:tcPr>
          <w:p w14:paraId="79D85EFF">
            <w:pPr>
              <w:pStyle w:val="8"/>
              <w:keepNext w:val="0"/>
              <w:keepLines w:val="0"/>
              <w:pageBreakBefore w:val="0"/>
              <w:widowControl w:val="0"/>
              <w:kinsoku/>
              <w:wordWrap/>
              <w:overflowPunct/>
              <w:topLinePunct/>
              <w:autoSpaceDE w:val="0"/>
              <w:autoSpaceDN w:val="0"/>
              <w:bidi w:val="0"/>
              <w:adjustRightInd/>
              <w:snapToGrid/>
              <w:spacing w:line="240" w:lineRule="auto"/>
              <w:ind w:left="0" w:leftChars="0" w:right="0" w:rightChars="0" w:firstLine="0" w:firstLineChars="0"/>
              <w:jc w:val="left"/>
              <w:textAlignment w:val="auto"/>
              <w:rPr>
                <w:rFonts w:ascii="宋体" w:hAnsi="宋体" w:cs="宋体"/>
                <w:color w:val="0000FF"/>
                <w:kern w:val="0"/>
                <w:sz w:val="24"/>
                <w:szCs w:val="24"/>
                <w:highlight w:val="none"/>
              </w:rPr>
            </w:pPr>
            <w:r>
              <w:rPr>
                <w:rFonts w:hint="default" w:ascii="宋体" w:hAnsi="宋体" w:eastAsia="宋体" w:cs="宋体"/>
                <w:color w:val="auto"/>
                <w:kern w:val="0"/>
                <w:sz w:val="24"/>
                <w:szCs w:val="22"/>
                <w:highlight w:val="none"/>
                <w:lang w:val="en-US" w:eastAsia="zh-CN" w:bidi="ar-SA"/>
              </w:rPr>
              <w:t>整个工程建设期</w:t>
            </w:r>
            <w:r>
              <w:rPr>
                <w:rFonts w:hint="eastAsia" w:ascii="宋体" w:hAnsi="宋体" w:eastAsia="宋体" w:cs="宋体"/>
                <w:color w:val="auto"/>
                <w:kern w:val="0"/>
                <w:sz w:val="24"/>
                <w:szCs w:val="22"/>
                <w:highlight w:val="none"/>
                <w:lang w:val="en-US" w:eastAsia="zh-CN" w:bidi="ar-SA"/>
              </w:rPr>
              <w:t>监理服务</w:t>
            </w:r>
          </w:p>
        </w:tc>
      </w:tr>
      <w:tr w14:paraId="1CBBE3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6" w:hRule="exact"/>
          <w:jc w:val="center"/>
        </w:trPr>
        <w:tc>
          <w:tcPr>
            <w:tcW w:w="907" w:type="dxa"/>
            <w:tcBorders>
              <w:tl2br w:val="nil"/>
              <w:tr2bl w:val="nil"/>
            </w:tcBorders>
            <w:vAlign w:val="center"/>
          </w:tcPr>
          <w:p w14:paraId="51664667">
            <w:pPr>
              <w:spacing w:line="24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2003" w:type="dxa"/>
            <w:tcBorders>
              <w:tl2br w:val="nil"/>
              <w:tr2bl w:val="nil"/>
            </w:tcBorders>
            <w:vAlign w:val="center"/>
          </w:tcPr>
          <w:p w14:paraId="54206230">
            <w:pPr>
              <w:autoSpaceDE w:val="0"/>
              <w:autoSpaceDN w:val="0"/>
              <w:spacing w:line="24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服务期</w:t>
            </w:r>
          </w:p>
        </w:tc>
        <w:tc>
          <w:tcPr>
            <w:tcW w:w="6378" w:type="dxa"/>
            <w:tcBorders>
              <w:tl2br w:val="nil"/>
              <w:tr2bl w:val="nil"/>
            </w:tcBorders>
            <w:vAlign w:val="center"/>
          </w:tcPr>
          <w:p w14:paraId="45823DEF">
            <w:pPr>
              <w:autoSpaceDE w:val="0"/>
              <w:autoSpaceDN w:val="0"/>
              <w:spacing w:line="240" w:lineRule="auto"/>
              <w:ind w:left="67" w:leftChars="30" w:hanging="1"/>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180日历天，直至施工缺陷责任期结束。</w:t>
            </w:r>
          </w:p>
        </w:tc>
      </w:tr>
      <w:tr w14:paraId="69D806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907" w:type="dxa"/>
            <w:tcBorders>
              <w:tl2br w:val="nil"/>
              <w:tr2bl w:val="nil"/>
            </w:tcBorders>
            <w:vAlign w:val="center"/>
          </w:tcPr>
          <w:p w14:paraId="33C287F1">
            <w:pPr>
              <w:autoSpaceDE w:val="0"/>
              <w:autoSpaceDN w:val="0"/>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val="en-US" w:eastAsia="zh-CN"/>
              </w:rPr>
              <w:t>9</w:t>
            </w:r>
          </w:p>
        </w:tc>
        <w:tc>
          <w:tcPr>
            <w:tcW w:w="2003" w:type="dxa"/>
            <w:tcBorders>
              <w:tl2br w:val="nil"/>
              <w:tr2bl w:val="nil"/>
            </w:tcBorders>
            <w:vAlign w:val="center"/>
          </w:tcPr>
          <w:p w14:paraId="24C229DE">
            <w:pPr>
              <w:pStyle w:val="8"/>
              <w:topLinePunct/>
              <w:autoSpaceDE w:val="0"/>
              <w:autoSpaceDN w:val="0"/>
              <w:jc w:val="center"/>
              <w:rPr>
                <w:rFonts w:hint="eastAsia" w:hAnsi="宋体" w:eastAsia="宋体" w:cs="宋体"/>
                <w:color w:val="auto"/>
                <w:kern w:val="0"/>
                <w:sz w:val="24"/>
                <w:szCs w:val="24"/>
                <w:highlight w:val="none"/>
                <w:lang w:eastAsia="zh-CN"/>
              </w:rPr>
            </w:pPr>
            <w:r>
              <w:rPr>
                <w:rFonts w:hint="eastAsia" w:hAnsi="宋体" w:cs="宋体"/>
                <w:color w:val="auto"/>
                <w:kern w:val="0"/>
                <w:sz w:val="24"/>
                <w:szCs w:val="24"/>
                <w:highlight w:val="none"/>
              </w:rPr>
              <w:t>质量</w:t>
            </w:r>
            <w:r>
              <w:rPr>
                <w:rFonts w:hint="eastAsia" w:hAnsi="宋体" w:cs="宋体"/>
                <w:color w:val="auto"/>
                <w:kern w:val="0"/>
                <w:sz w:val="24"/>
                <w:szCs w:val="24"/>
                <w:highlight w:val="none"/>
                <w:lang w:eastAsia="zh-CN"/>
              </w:rPr>
              <w:t>要求</w:t>
            </w:r>
          </w:p>
        </w:tc>
        <w:tc>
          <w:tcPr>
            <w:tcW w:w="6378" w:type="dxa"/>
            <w:tcBorders>
              <w:tl2br w:val="nil"/>
              <w:tr2bl w:val="nil"/>
            </w:tcBorders>
            <w:vAlign w:val="center"/>
          </w:tcPr>
          <w:p w14:paraId="23600121">
            <w:pPr>
              <w:autoSpaceDE w:val="0"/>
              <w:autoSpaceDN w:val="0"/>
              <w:ind w:left="67" w:leftChars="30" w:hanging="1"/>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按国家及行业规范验收合格</w:t>
            </w:r>
          </w:p>
        </w:tc>
      </w:tr>
      <w:tr w14:paraId="79D65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5" w:hRule="atLeast"/>
          <w:jc w:val="center"/>
        </w:trPr>
        <w:tc>
          <w:tcPr>
            <w:tcW w:w="907" w:type="dxa"/>
            <w:tcBorders>
              <w:tl2br w:val="nil"/>
              <w:tr2bl w:val="nil"/>
            </w:tcBorders>
            <w:vAlign w:val="center"/>
          </w:tcPr>
          <w:p w14:paraId="35D3C535">
            <w:pPr>
              <w:autoSpaceDE w:val="0"/>
              <w:autoSpaceDN w:val="0"/>
              <w:ind w:left="487" w:leftChars="23" w:hanging="437" w:hangingChars="175"/>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10</w:t>
            </w:r>
          </w:p>
        </w:tc>
        <w:tc>
          <w:tcPr>
            <w:tcW w:w="2003" w:type="dxa"/>
            <w:tcBorders>
              <w:tl2br w:val="nil"/>
              <w:tr2bl w:val="nil"/>
            </w:tcBorders>
            <w:vAlign w:val="center"/>
          </w:tcPr>
          <w:p w14:paraId="7A6B42BA">
            <w:pPr>
              <w:pStyle w:val="8"/>
              <w:topLinePunct/>
              <w:autoSpaceDE w:val="0"/>
              <w:autoSpaceDN w:val="0"/>
              <w:jc w:val="center"/>
              <w:rPr>
                <w:rFonts w:hAnsi="宋体" w:cs="宋体"/>
                <w:color w:val="auto"/>
                <w:kern w:val="0"/>
                <w:sz w:val="24"/>
                <w:szCs w:val="24"/>
                <w:highlight w:val="none"/>
              </w:rPr>
            </w:pPr>
            <w:r>
              <w:rPr>
                <w:rFonts w:hint="eastAsia" w:hAnsi="宋体" w:cs="宋体"/>
                <w:color w:val="auto"/>
                <w:kern w:val="0"/>
                <w:sz w:val="24"/>
                <w:szCs w:val="24"/>
                <w:highlight w:val="none"/>
              </w:rPr>
              <w:t>供应商资格要求</w:t>
            </w:r>
          </w:p>
        </w:tc>
        <w:tc>
          <w:tcPr>
            <w:tcW w:w="6378" w:type="dxa"/>
            <w:tcBorders>
              <w:tl2br w:val="nil"/>
              <w:tr2bl w:val="nil"/>
            </w:tcBorders>
            <w:vAlign w:val="center"/>
          </w:tcPr>
          <w:p w14:paraId="716B5A45">
            <w:pPr>
              <w:pStyle w:val="5"/>
              <w:keepNext w:val="0"/>
              <w:keepLines w:val="0"/>
              <w:pageBreakBefore w:val="0"/>
              <w:kinsoku/>
              <w:wordWrap/>
              <w:overflowPunct/>
              <w:topLinePunct w:val="0"/>
              <w:bidi w:val="0"/>
              <w:adjustRightInd w:val="0"/>
              <w:snapToGrid w:val="0"/>
              <w:spacing w:line="360" w:lineRule="auto"/>
              <w:ind w:left="0" w:leftChars="0" w:firstLine="0" w:firstLineChars="0"/>
              <w:rPr>
                <w:rFonts w:hint="default" w:asciiTheme="minorEastAsia" w:hAnsiTheme="minorEastAsia" w:eastAsiaTheme="minorEastAsia" w:cstheme="minorEastAsia"/>
                <w:b/>
                <w:bCs/>
                <w:color w:val="auto"/>
                <w:kern w:val="0"/>
                <w:sz w:val="24"/>
                <w:szCs w:val="24"/>
                <w:highlight w:val="none"/>
                <w:lang w:val="en-US" w:eastAsia="zh-CN"/>
              </w:rPr>
            </w:pPr>
            <w:r>
              <w:rPr>
                <w:rFonts w:hint="default" w:asciiTheme="minorEastAsia" w:hAnsiTheme="minorEastAsia" w:eastAsiaTheme="minorEastAsia" w:cstheme="minorEastAsia"/>
                <w:b/>
                <w:bCs/>
                <w:color w:val="auto"/>
                <w:kern w:val="0"/>
                <w:sz w:val="24"/>
                <w:szCs w:val="24"/>
                <w:highlight w:val="none"/>
                <w:lang w:val="en-US" w:eastAsia="zh-CN"/>
              </w:rPr>
              <w:t>1.满足《中华人民共和国政府采购法》第二十二条规定；</w:t>
            </w:r>
          </w:p>
          <w:p w14:paraId="230EFEF0">
            <w:pPr>
              <w:pStyle w:val="5"/>
              <w:keepNext w:val="0"/>
              <w:keepLines w:val="0"/>
              <w:pageBreakBefore w:val="0"/>
              <w:kinsoku/>
              <w:wordWrap/>
              <w:overflowPunct/>
              <w:topLinePunct w:val="0"/>
              <w:bidi w:val="0"/>
              <w:adjustRightInd w:val="0"/>
              <w:snapToGrid w:val="0"/>
              <w:spacing w:line="360" w:lineRule="auto"/>
              <w:ind w:left="0" w:leftChars="0" w:firstLine="500" w:firstLineChars="200"/>
              <w:rPr>
                <w:rFonts w:hint="default" w:asciiTheme="minorEastAsia" w:hAnsiTheme="minorEastAsia" w:eastAsiaTheme="minorEastAsia" w:cstheme="minorEastAsia"/>
                <w:color w:val="auto"/>
                <w:kern w:val="0"/>
                <w:sz w:val="24"/>
                <w:szCs w:val="24"/>
                <w:highlight w:val="none"/>
                <w:lang w:val="en-US" w:eastAsia="zh-CN"/>
              </w:rPr>
            </w:pPr>
            <w:r>
              <w:rPr>
                <w:rFonts w:hint="default" w:asciiTheme="minorEastAsia" w:hAnsiTheme="minorEastAsia" w:eastAsiaTheme="minorEastAsia" w:cstheme="minorEastAsia"/>
                <w:color w:val="auto"/>
                <w:kern w:val="0"/>
                <w:sz w:val="24"/>
                <w:szCs w:val="24"/>
                <w:highlight w:val="none"/>
                <w:lang w:val="en-US" w:eastAsia="zh-CN"/>
              </w:rPr>
              <w:t>1.1 具有独立承担民事责任能力的法人、其他组织或自然人，并出具合法有效的营业执照或事业单位法人证书等国家规定的相关证明，自然人参与的提供其身份证明（复印件加盖供应商公章）；</w:t>
            </w:r>
          </w:p>
          <w:p w14:paraId="06B5E5EF">
            <w:pPr>
              <w:pStyle w:val="5"/>
              <w:keepNext w:val="0"/>
              <w:keepLines w:val="0"/>
              <w:pageBreakBefore w:val="0"/>
              <w:kinsoku/>
              <w:wordWrap/>
              <w:overflowPunct/>
              <w:topLinePunct w:val="0"/>
              <w:bidi w:val="0"/>
              <w:adjustRightInd w:val="0"/>
              <w:snapToGrid w:val="0"/>
              <w:spacing w:line="360" w:lineRule="auto"/>
              <w:ind w:left="0" w:leftChars="0" w:firstLine="500" w:firstLineChars="200"/>
              <w:rPr>
                <w:rFonts w:hint="default" w:asciiTheme="minorEastAsia" w:hAnsiTheme="minorEastAsia" w:eastAsiaTheme="minorEastAsia" w:cstheme="minorEastAsia"/>
                <w:color w:val="auto"/>
                <w:kern w:val="0"/>
                <w:sz w:val="24"/>
                <w:szCs w:val="24"/>
                <w:highlight w:val="none"/>
                <w:lang w:val="en-US" w:eastAsia="zh-CN"/>
              </w:rPr>
            </w:pPr>
            <w:r>
              <w:rPr>
                <w:rFonts w:hint="default" w:asciiTheme="minorEastAsia" w:hAnsiTheme="minorEastAsia" w:eastAsiaTheme="minorEastAsia" w:cstheme="minorEastAsia"/>
                <w:color w:val="auto"/>
                <w:kern w:val="0"/>
                <w:sz w:val="24"/>
                <w:szCs w:val="24"/>
                <w:highlight w:val="none"/>
                <w:lang w:val="en-US" w:eastAsia="zh-CN"/>
              </w:rPr>
              <w:t>1.2 提供2024或2025年度经审计的财务报告（至少包括资产负债表和利润表，成立时间至提交响应文件截止时间不足一年的可提供成立后任意时段的资产负债表），报告须真实有效并符合《关于加强审计报告查验工作的通知》（财会[2023]15号）文件的要求，报告须赋二维码；或其开标前三个月内基本存款账户开户银行出具的资信证明及基本存款账户开户许可证（或基本存款账户信息）；或信用担保机构出具的投标担保函。（以上三种形式的资料提供任何一种即可，复印件加盖供应商公章）；</w:t>
            </w:r>
          </w:p>
          <w:p w14:paraId="1660DE7B">
            <w:pPr>
              <w:pStyle w:val="5"/>
              <w:keepNext w:val="0"/>
              <w:keepLines w:val="0"/>
              <w:pageBreakBefore w:val="0"/>
              <w:kinsoku/>
              <w:wordWrap/>
              <w:overflowPunct/>
              <w:topLinePunct w:val="0"/>
              <w:bidi w:val="0"/>
              <w:adjustRightInd w:val="0"/>
              <w:snapToGrid w:val="0"/>
              <w:spacing w:line="360" w:lineRule="auto"/>
              <w:ind w:left="0" w:leftChars="0" w:firstLine="500" w:firstLineChars="200"/>
              <w:rPr>
                <w:rFonts w:hint="default" w:asciiTheme="minorEastAsia" w:hAnsiTheme="minorEastAsia" w:eastAsiaTheme="minorEastAsia" w:cstheme="minorEastAsia"/>
                <w:color w:val="auto"/>
                <w:kern w:val="0"/>
                <w:sz w:val="24"/>
                <w:szCs w:val="24"/>
                <w:highlight w:val="none"/>
                <w:lang w:val="en-US" w:eastAsia="zh-CN"/>
              </w:rPr>
            </w:pPr>
            <w:r>
              <w:rPr>
                <w:rFonts w:hint="default" w:asciiTheme="minorEastAsia" w:hAnsiTheme="minorEastAsia" w:eastAsiaTheme="minorEastAsia" w:cstheme="minorEastAsia"/>
                <w:color w:val="auto"/>
                <w:kern w:val="0"/>
                <w:sz w:val="24"/>
                <w:szCs w:val="24"/>
                <w:highlight w:val="none"/>
                <w:lang w:val="en-US" w:eastAsia="zh-CN"/>
              </w:rPr>
              <w:t>1.3 有依法缴纳社会保障资金的良好记录：提供2025年9月至今任意一个月已缴存的社会保障资金缴存单据或社保机构开具的社会保险参保缴费情况证明。依法不需要缴纳社会保障资金的供应商应提供相关文件证明（复印件加盖供应商公章）；</w:t>
            </w:r>
          </w:p>
          <w:p w14:paraId="193FFD8F">
            <w:pPr>
              <w:pStyle w:val="5"/>
              <w:keepNext w:val="0"/>
              <w:keepLines w:val="0"/>
              <w:pageBreakBefore w:val="0"/>
              <w:kinsoku/>
              <w:wordWrap/>
              <w:overflowPunct/>
              <w:topLinePunct w:val="0"/>
              <w:bidi w:val="0"/>
              <w:adjustRightInd w:val="0"/>
              <w:snapToGrid w:val="0"/>
              <w:spacing w:line="360" w:lineRule="auto"/>
              <w:ind w:left="0" w:leftChars="0" w:firstLine="500" w:firstLineChars="200"/>
              <w:rPr>
                <w:rFonts w:hint="default" w:asciiTheme="minorEastAsia" w:hAnsiTheme="minorEastAsia" w:eastAsiaTheme="minorEastAsia" w:cstheme="minorEastAsia"/>
                <w:color w:val="auto"/>
                <w:kern w:val="0"/>
                <w:sz w:val="24"/>
                <w:szCs w:val="24"/>
                <w:highlight w:val="none"/>
                <w:lang w:val="en-US" w:eastAsia="zh-CN"/>
              </w:rPr>
            </w:pPr>
            <w:r>
              <w:rPr>
                <w:rFonts w:hint="default" w:asciiTheme="minorEastAsia" w:hAnsiTheme="minorEastAsia" w:eastAsiaTheme="minorEastAsia" w:cstheme="minorEastAsia"/>
                <w:color w:val="auto"/>
                <w:kern w:val="0"/>
                <w:sz w:val="24"/>
                <w:szCs w:val="24"/>
                <w:highlight w:val="none"/>
                <w:lang w:val="en-US" w:eastAsia="zh-CN"/>
              </w:rPr>
              <w:t>1.4 有依法缴纳税收的良好记录：提供2025年9月至今任意一个月已缴纳的纳税证明或完税证明，依法免税的供应商应提供相关证明材料（复印件加盖供应商公章）；</w:t>
            </w:r>
          </w:p>
          <w:p w14:paraId="59E52833">
            <w:pPr>
              <w:pStyle w:val="5"/>
              <w:keepNext w:val="0"/>
              <w:keepLines w:val="0"/>
              <w:pageBreakBefore w:val="0"/>
              <w:kinsoku/>
              <w:wordWrap/>
              <w:overflowPunct/>
              <w:topLinePunct w:val="0"/>
              <w:bidi w:val="0"/>
              <w:adjustRightInd w:val="0"/>
              <w:snapToGrid w:val="0"/>
              <w:spacing w:line="360" w:lineRule="auto"/>
              <w:ind w:left="0" w:leftChars="0" w:firstLine="500" w:firstLineChars="200"/>
              <w:rPr>
                <w:rFonts w:hint="default" w:asciiTheme="minorEastAsia" w:hAnsiTheme="minorEastAsia" w:eastAsiaTheme="minorEastAsia" w:cstheme="minorEastAsia"/>
                <w:color w:val="auto"/>
                <w:kern w:val="0"/>
                <w:sz w:val="24"/>
                <w:szCs w:val="24"/>
                <w:highlight w:val="none"/>
                <w:lang w:val="en-US" w:eastAsia="zh-CN"/>
              </w:rPr>
            </w:pPr>
            <w:r>
              <w:rPr>
                <w:rFonts w:hint="default" w:asciiTheme="minorEastAsia" w:hAnsiTheme="minorEastAsia" w:eastAsiaTheme="minorEastAsia" w:cstheme="minorEastAsia"/>
                <w:color w:val="auto"/>
                <w:kern w:val="0"/>
                <w:sz w:val="24"/>
                <w:szCs w:val="24"/>
                <w:highlight w:val="none"/>
                <w:lang w:val="en-US" w:eastAsia="zh-CN"/>
              </w:rPr>
              <w:t>1.5 提供具有履行本合同所必需的设备和专业技术能力的承诺书；</w:t>
            </w:r>
          </w:p>
          <w:p w14:paraId="50DCAF7E">
            <w:pPr>
              <w:pStyle w:val="5"/>
              <w:keepNext w:val="0"/>
              <w:keepLines w:val="0"/>
              <w:pageBreakBefore w:val="0"/>
              <w:kinsoku/>
              <w:wordWrap/>
              <w:overflowPunct/>
              <w:topLinePunct w:val="0"/>
              <w:bidi w:val="0"/>
              <w:adjustRightInd w:val="0"/>
              <w:snapToGrid w:val="0"/>
              <w:spacing w:line="360" w:lineRule="auto"/>
              <w:ind w:left="0" w:leftChars="0" w:firstLine="500" w:firstLineChars="200"/>
              <w:rPr>
                <w:rFonts w:hint="default" w:asciiTheme="minorEastAsia" w:hAnsiTheme="minorEastAsia" w:eastAsiaTheme="minorEastAsia" w:cstheme="minorEastAsia"/>
                <w:color w:val="auto"/>
                <w:kern w:val="0"/>
                <w:sz w:val="24"/>
                <w:szCs w:val="24"/>
                <w:highlight w:val="none"/>
                <w:lang w:val="en-US" w:eastAsia="zh-CN"/>
              </w:rPr>
            </w:pPr>
            <w:r>
              <w:rPr>
                <w:rFonts w:hint="default" w:asciiTheme="minorEastAsia" w:hAnsiTheme="minorEastAsia" w:eastAsiaTheme="minorEastAsia" w:cstheme="minorEastAsia"/>
                <w:color w:val="auto"/>
                <w:kern w:val="0"/>
                <w:sz w:val="24"/>
                <w:szCs w:val="24"/>
                <w:highlight w:val="none"/>
                <w:lang w:val="en-US" w:eastAsia="zh-CN"/>
              </w:rPr>
              <w:t>1.6 提供参加本次政府采购活动前三年内在经营活动中没有重大违法记录的书面声明；</w:t>
            </w:r>
          </w:p>
          <w:p w14:paraId="55570FDA">
            <w:pPr>
              <w:pStyle w:val="5"/>
              <w:keepNext w:val="0"/>
              <w:keepLines w:val="0"/>
              <w:pageBreakBefore w:val="0"/>
              <w:kinsoku/>
              <w:wordWrap/>
              <w:overflowPunct/>
              <w:topLinePunct w:val="0"/>
              <w:bidi w:val="0"/>
              <w:adjustRightInd w:val="0"/>
              <w:snapToGrid w:val="0"/>
              <w:spacing w:line="360" w:lineRule="auto"/>
              <w:ind w:left="0" w:leftChars="0" w:firstLine="0" w:firstLineChars="0"/>
              <w:rPr>
                <w:rFonts w:hint="default" w:asciiTheme="minorEastAsia" w:hAnsiTheme="minorEastAsia" w:eastAsiaTheme="minorEastAsia" w:cstheme="minorEastAsia"/>
                <w:b/>
                <w:bCs/>
                <w:color w:val="auto"/>
                <w:kern w:val="0"/>
                <w:sz w:val="24"/>
                <w:szCs w:val="24"/>
                <w:highlight w:val="none"/>
                <w:lang w:val="en-US" w:eastAsia="zh-CN"/>
              </w:rPr>
            </w:pPr>
            <w:r>
              <w:rPr>
                <w:rFonts w:hint="default" w:asciiTheme="minorEastAsia" w:hAnsiTheme="minorEastAsia" w:eastAsiaTheme="minorEastAsia" w:cstheme="minorEastAsia"/>
                <w:b/>
                <w:bCs/>
                <w:color w:val="auto"/>
                <w:kern w:val="0"/>
                <w:sz w:val="24"/>
                <w:szCs w:val="24"/>
                <w:highlight w:val="none"/>
                <w:lang w:val="en-US" w:eastAsia="zh-CN"/>
              </w:rPr>
              <w:t>2.落实政府采购政策需满足的资格要求：</w:t>
            </w:r>
          </w:p>
          <w:p w14:paraId="27EC7672">
            <w:pPr>
              <w:pStyle w:val="5"/>
              <w:keepNext w:val="0"/>
              <w:keepLines w:val="0"/>
              <w:pageBreakBefore w:val="0"/>
              <w:kinsoku/>
              <w:wordWrap/>
              <w:overflowPunct/>
              <w:topLinePunct w:val="0"/>
              <w:bidi w:val="0"/>
              <w:adjustRightInd w:val="0"/>
              <w:snapToGrid w:val="0"/>
              <w:spacing w:line="360" w:lineRule="auto"/>
              <w:ind w:left="0" w:leftChars="0" w:firstLine="500" w:firstLineChars="200"/>
              <w:rPr>
                <w:rFonts w:hint="default" w:asciiTheme="minorEastAsia" w:hAnsiTheme="minorEastAsia" w:eastAsiaTheme="minorEastAsia" w:cstheme="minorEastAsia"/>
                <w:color w:val="auto"/>
                <w:kern w:val="0"/>
                <w:sz w:val="24"/>
                <w:szCs w:val="24"/>
                <w:highlight w:val="none"/>
                <w:lang w:val="en-US" w:eastAsia="zh-CN"/>
              </w:rPr>
            </w:pPr>
            <w:r>
              <w:rPr>
                <w:rFonts w:hint="default" w:asciiTheme="minorEastAsia" w:hAnsiTheme="minorEastAsia" w:eastAsiaTheme="minorEastAsia" w:cstheme="minorEastAsia"/>
                <w:color w:val="auto"/>
                <w:kern w:val="0"/>
                <w:sz w:val="24"/>
                <w:szCs w:val="24"/>
                <w:highlight w:val="none"/>
                <w:lang w:val="en-US" w:eastAsia="zh-CN"/>
              </w:rPr>
              <w:t>本项目专门面向中小企业采购，供应商须提供中小企业声明函（监狱企业和残疾人福利性单位视为中小企业，如有虚假，将依法承担相应责任）。</w:t>
            </w:r>
          </w:p>
          <w:p w14:paraId="69A70BC2">
            <w:pPr>
              <w:pStyle w:val="5"/>
              <w:keepNext w:val="0"/>
              <w:keepLines w:val="0"/>
              <w:pageBreakBefore w:val="0"/>
              <w:kinsoku/>
              <w:wordWrap/>
              <w:overflowPunct/>
              <w:topLinePunct w:val="0"/>
              <w:bidi w:val="0"/>
              <w:adjustRightInd w:val="0"/>
              <w:snapToGrid w:val="0"/>
              <w:spacing w:line="360" w:lineRule="auto"/>
              <w:ind w:left="0" w:leftChars="0" w:firstLine="0" w:firstLineChars="0"/>
              <w:rPr>
                <w:rFonts w:hint="default" w:asciiTheme="minorEastAsia" w:hAnsiTheme="minorEastAsia" w:eastAsiaTheme="minorEastAsia" w:cstheme="minorEastAsia"/>
                <w:b/>
                <w:bCs/>
                <w:color w:val="auto"/>
                <w:kern w:val="0"/>
                <w:sz w:val="24"/>
                <w:szCs w:val="24"/>
                <w:highlight w:val="none"/>
                <w:lang w:val="en-US" w:eastAsia="zh-CN"/>
              </w:rPr>
            </w:pPr>
            <w:r>
              <w:rPr>
                <w:rFonts w:hint="default" w:asciiTheme="minorEastAsia" w:hAnsiTheme="minorEastAsia" w:eastAsiaTheme="minorEastAsia" w:cstheme="minorEastAsia"/>
                <w:b/>
                <w:bCs/>
                <w:color w:val="auto"/>
                <w:kern w:val="0"/>
                <w:sz w:val="24"/>
                <w:szCs w:val="24"/>
                <w:highlight w:val="none"/>
                <w:lang w:val="en-US" w:eastAsia="zh-CN"/>
              </w:rPr>
              <w:t>3.本项目的特定资格要求：</w:t>
            </w:r>
          </w:p>
          <w:p w14:paraId="6A10827E">
            <w:pPr>
              <w:pStyle w:val="5"/>
              <w:keepNext w:val="0"/>
              <w:keepLines w:val="0"/>
              <w:pageBreakBefore w:val="0"/>
              <w:kinsoku/>
              <w:wordWrap/>
              <w:overflowPunct/>
              <w:topLinePunct w:val="0"/>
              <w:bidi w:val="0"/>
              <w:adjustRightInd w:val="0"/>
              <w:snapToGrid w:val="0"/>
              <w:spacing w:line="360" w:lineRule="auto"/>
              <w:ind w:left="0" w:leftChars="0" w:firstLine="500" w:firstLineChars="200"/>
              <w:rPr>
                <w:rFonts w:hint="default" w:asciiTheme="minorEastAsia" w:hAnsiTheme="minorEastAsia" w:eastAsiaTheme="minorEastAsia" w:cstheme="minorEastAsia"/>
                <w:color w:val="auto"/>
                <w:kern w:val="0"/>
                <w:sz w:val="24"/>
                <w:szCs w:val="24"/>
                <w:highlight w:val="none"/>
                <w:lang w:val="en-US" w:eastAsia="zh-CN"/>
              </w:rPr>
            </w:pPr>
            <w:r>
              <w:rPr>
                <w:rFonts w:hint="default" w:asciiTheme="minorEastAsia" w:hAnsiTheme="minorEastAsia" w:eastAsiaTheme="minorEastAsia" w:cstheme="minorEastAsia"/>
                <w:color w:val="auto"/>
                <w:kern w:val="0"/>
                <w:sz w:val="24"/>
                <w:szCs w:val="24"/>
                <w:highlight w:val="none"/>
                <w:lang w:val="en-US" w:eastAsia="zh-CN"/>
              </w:rPr>
              <w:t>3.1 法定代表人直接参加磋商的，须提供法定代表人身份证明书（附法定代表人身份证复印件并加盖公章）；委托代理人参加磋商的，须提供法定代表人授权委托书（附法定代表人及委托代理人身份证复印件并加盖公章）；</w:t>
            </w:r>
          </w:p>
          <w:p w14:paraId="4D19FDFD">
            <w:pPr>
              <w:keepNext w:val="0"/>
              <w:keepLines w:val="0"/>
              <w:pageBreakBefore w:val="0"/>
              <w:widowControl w:val="0"/>
              <w:kinsoku/>
              <w:wordWrap w:val="0"/>
              <w:overflowPunct/>
              <w:topLinePunct w:val="0"/>
              <w:autoSpaceDE/>
              <w:autoSpaceDN/>
              <w:bidi w:val="0"/>
              <w:adjustRightInd/>
              <w:snapToGrid/>
              <w:spacing w:line="312" w:lineRule="auto"/>
              <w:ind w:firstLine="500" w:firstLineChars="200"/>
              <w:jc w:val="left"/>
              <w:textAlignment w:val="auto"/>
              <w:rPr>
                <w:rFonts w:hint="eastAsia" w:ascii="宋体" w:hAnsi="宋体" w:eastAsia="宋体" w:cs="宋体"/>
                <w:color w:val="auto"/>
                <w:sz w:val="24"/>
                <w:szCs w:val="24"/>
                <w:highlight w:val="none"/>
              </w:rPr>
            </w:pPr>
            <w:r>
              <w:rPr>
                <w:rFonts w:hint="default" w:asciiTheme="minorEastAsia" w:hAnsiTheme="minorEastAsia" w:eastAsiaTheme="minorEastAsia" w:cstheme="minorEastAsia"/>
                <w:color w:val="auto"/>
                <w:kern w:val="0"/>
                <w:sz w:val="24"/>
                <w:szCs w:val="24"/>
                <w:highlight w:val="none"/>
                <w:lang w:val="en-US" w:eastAsia="zh-CN"/>
              </w:rPr>
              <w:t xml:space="preserve">3.2 </w:t>
            </w:r>
            <w:r>
              <w:rPr>
                <w:rFonts w:hint="eastAsia" w:ascii="宋体" w:hAnsi="宋体" w:eastAsia="宋体" w:cs="宋体"/>
                <w:color w:val="auto"/>
                <w:sz w:val="24"/>
                <w:szCs w:val="24"/>
                <w:highlight w:val="none"/>
                <w:lang w:eastAsia="zh-CN"/>
              </w:rPr>
              <w:t>供应商须具备国家文物局颁发的文物保护工程监理甲级企业资质（业务范围含古文化遗址古墓葬）；</w:t>
            </w:r>
          </w:p>
          <w:p w14:paraId="145C8695">
            <w:pPr>
              <w:keepNext w:val="0"/>
              <w:keepLines w:val="0"/>
              <w:pageBreakBefore w:val="0"/>
              <w:widowControl w:val="0"/>
              <w:kinsoku/>
              <w:wordWrap w:val="0"/>
              <w:overflowPunct/>
              <w:topLinePunct w:val="0"/>
              <w:autoSpaceDE/>
              <w:autoSpaceDN/>
              <w:bidi w:val="0"/>
              <w:adjustRightInd/>
              <w:snapToGrid/>
              <w:spacing w:line="312" w:lineRule="auto"/>
              <w:ind w:firstLine="500" w:firstLineChars="200"/>
              <w:jc w:val="left"/>
              <w:rPr>
                <w:rFonts w:hint="default" w:asciiTheme="minorEastAsia" w:hAnsiTheme="minorEastAsia" w:eastAsiaTheme="minorEastAsia" w:cstheme="minorEastAsia"/>
                <w:color w:val="auto"/>
                <w:kern w:val="0"/>
                <w:sz w:val="24"/>
                <w:szCs w:val="24"/>
                <w:highlight w:val="none"/>
                <w:lang w:val="en-US" w:eastAsia="zh-CN"/>
              </w:rPr>
            </w:pPr>
            <w:r>
              <w:rPr>
                <w:rFonts w:hint="eastAsia" w:ascii="宋体" w:hAnsi="宋体" w:eastAsia="宋体" w:cs="宋体"/>
                <w:color w:val="auto"/>
                <w:sz w:val="24"/>
                <w:szCs w:val="24"/>
                <w:highlight w:val="none"/>
                <w:lang w:eastAsia="zh-CN"/>
              </w:rPr>
              <w:t>3.</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供应商拟派项目责任监理师应具有文物保护工程责任监理师证书，并提供2025年9月至今供应商为其缴纳的连续三个月养老保险证明且无在建项目（提供无在建承诺，承诺真实性的法律责任自负）；</w:t>
            </w:r>
          </w:p>
          <w:p w14:paraId="766F3918">
            <w:pPr>
              <w:keepNext w:val="0"/>
              <w:keepLines w:val="0"/>
              <w:pageBreakBefore w:val="0"/>
              <w:widowControl w:val="0"/>
              <w:kinsoku/>
              <w:wordWrap w:val="0"/>
              <w:overflowPunct/>
              <w:topLinePunct w:val="0"/>
              <w:autoSpaceDE/>
              <w:autoSpaceDN/>
              <w:bidi w:val="0"/>
              <w:adjustRightInd/>
              <w:snapToGrid/>
              <w:spacing w:line="360" w:lineRule="auto"/>
              <w:ind w:firstLine="500" w:firstLineChars="200"/>
              <w:jc w:val="left"/>
              <w:textAlignment w:val="auto"/>
              <w:rPr>
                <w:rFonts w:hint="default" w:asciiTheme="minorEastAsia" w:hAnsiTheme="minorEastAsia" w:eastAsiaTheme="minorEastAsia" w:cstheme="minorEastAsia"/>
                <w:color w:val="auto"/>
                <w:kern w:val="0"/>
                <w:sz w:val="24"/>
                <w:szCs w:val="24"/>
                <w:highlight w:val="none"/>
                <w:lang w:val="en-US" w:eastAsia="zh-CN"/>
              </w:rPr>
            </w:pPr>
            <w:r>
              <w:rPr>
                <w:rFonts w:hint="default" w:asciiTheme="minorEastAsia" w:hAnsiTheme="minorEastAsia" w:eastAsiaTheme="minorEastAsia" w:cstheme="minorEastAsia"/>
                <w:color w:val="auto"/>
                <w:kern w:val="0"/>
                <w:sz w:val="24"/>
                <w:szCs w:val="24"/>
                <w:highlight w:val="none"/>
                <w:lang w:val="en-US" w:eastAsia="zh-CN"/>
              </w:rPr>
              <w:t xml:space="preserve">3.4 </w:t>
            </w:r>
            <w:r>
              <w:rPr>
                <w:rFonts w:hint="eastAsia" w:ascii="宋体" w:hAnsi="宋体" w:cs="宋体"/>
                <w:color w:val="auto"/>
                <w:sz w:val="24"/>
                <w:szCs w:val="24"/>
                <w:highlight w:val="none"/>
                <w:lang w:val="en-US" w:eastAsia="zh-CN"/>
              </w:rPr>
              <w:t>供应商及法定代表人未被列入“中国执行信息公开网”（http://zxgk.court.gov.cn/shixin/）失信被执行人名单，供应商未被列入“信用中国”网站（www.creditchina.gov.cn）重大税收违法失信主体，供应商未被列入“中国政府采购网”（www.ccgp.gov.cn）政府采购严重违法失信行为记录名单；</w:t>
            </w:r>
          </w:p>
          <w:p w14:paraId="4348AE91">
            <w:pPr>
              <w:keepNext w:val="0"/>
              <w:keepLines w:val="0"/>
              <w:pageBreakBefore w:val="0"/>
              <w:widowControl w:val="0"/>
              <w:kinsoku/>
              <w:wordWrap w:val="0"/>
              <w:overflowPunct/>
              <w:topLinePunct w:val="0"/>
              <w:autoSpaceDE/>
              <w:autoSpaceDN/>
              <w:bidi w:val="0"/>
              <w:adjustRightInd/>
              <w:snapToGrid/>
              <w:spacing w:line="312" w:lineRule="auto"/>
              <w:ind w:firstLine="500" w:firstLineChars="200"/>
              <w:jc w:val="left"/>
              <w:rPr>
                <w:rFonts w:hint="eastAsia" w:ascii="宋体" w:hAnsi="宋体" w:cs="宋体"/>
                <w:color w:val="auto"/>
                <w:sz w:val="24"/>
                <w:szCs w:val="24"/>
                <w:highlight w:val="none"/>
                <w:lang w:val="en-US" w:eastAsia="zh-CN"/>
              </w:rPr>
            </w:pPr>
            <w:r>
              <w:rPr>
                <w:rFonts w:hint="default" w:asciiTheme="minorEastAsia" w:hAnsiTheme="minorEastAsia" w:eastAsiaTheme="minorEastAsia" w:cstheme="minorEastAsia"/>
                <w:color w:val="auto"/>
                <w:kern w:val="0"/>
                <w:sz w:val="24"/>
                <w:szCs w:val="24"/>
                <w:highlight w:val="none"/>
                <w:lang w:val="en-US" w:eastAsia="zh-CN"/>
              </w:rPr>
              <w:t xml:space="preserve">3.5 </w:t>
            </w:r>
            <w:r>
              <w:rPr>
                <w:rFonts w:hint="eastAsia" w:ascii="宋体" w:hAnsi="宋体" w:eastAsia="宋体" w:cs="宋体"/>
                <w:color w:val="auto"/>
                <w:sz w:val="24"/>
                <w:szCs w:val="24"/>
                <w:highlight w:val="none"/>
                <w:lang w:val="en-US" w:eastAsia="zh-CN"/>
              </w:rPr>
              <w:t>单位负责人为同一人或者存在控股、管理关系的不同单位，不得参加同一合同项下的政府采购活动</w:t>
            </w:r>
            <w:r>
              <w:rPr>
                <w:rFonts w:hint="eastAsia" w:ascii="宋体" w:hAnsi="宋体" w:cs="宋体"/>
                <w:color w:val="auto"/>
                <w:sz w:val="24"/>
                <w:szCs w:val="24"/>
                <w:highlight w:val="none"/>
                <w:lang w:val="en-US" w:eastAsia="zh-CN"/>
              </w:rPr>
              <w:t>；</w:t>
            </w:r>
          </w:p>
          <w:p w14:paraId="311E59FF">
            <w:pPr>
              <w:keepNext w:val="0"/>
              <w:keepLines w:val="0"/>
              <w:pageBreakBefore w:val="0"/>
              <w:widowControl w:val="0"/>
              <w:kinsoku/>
              <w:wordWrap w:val="0"/>
              <w:overflowPunct/>
              <w:topLinePunct w:val="0"/>
              <w:autoSpaceDE/>
              <w:autoSpaceDN/>
              <w:bidi w:val="0"/>
              <w:adjustRightInd/>
              <w:snapToGrid/>
              <w:spacing w:line="312" w:lineRule="auto"/>
              <w:ind w:firstLine="500" w:firstLineChars="200"/>
              <w:jc w:val="left"/>
              <w:rPr>
                <w:rFonts w:hint="default" w:asciiTheme="minorEastAsia" w:hAnsiTheme="minorEastAsia" w:eastAsiaTheme="minorEastAsia" w:cstheme="minorEastAsia"/>
                <w:color w:val="auto"/>
                <w:kern w:val="0"/>
                <w:sz w:val="24"/>
                <w:szCs w:val="24"/>
                <w:highlight w:val="none"/>
                <w:lang w:val="en-US" w:eastAsia="zh-CN"/>
              </w:rPr>
            </w:pPr>
            <w:r>
              <w:rPr>
                <w:rFonts w:hint="default" w:ascii="宋体" w:hAnsi="宋体" w:eastAsia="宋体" w:cs="宋体"/>
                <w:color w:val="auto"/>
                <w:sz w:val="24"/>
                <w:szCs w:val="24"/>
                <w:highlight w:val="none"/>
                <w:lang w:val="en-US" w:eastAsia="zh-CN"/>
              </w:rPr>
              <w:t>3.6 本项目不接受联合体</w:t>
            </w:r>
            <w:r>
              <w:rPr>
                <w:rFonts w:hint="default" w:asciiTheme="minorEastAsia" w:hAnsiTheme="minorEastAsia" w:eastAsiaTheme="minorEastAsia" w:cstheme="minorEastAsia"/>
                <w:color w:val="auto"/>
                <w:kern w:val="0"/>
                <w:sz w:val="24"/>
                <w:szCs w:val="24"/>
                <w:highlight w:val="none"/>
                <w:lang w:val="en-US" w:eastAsia="zh-CN"/>
              </w:rPr>
              <w:t>磋商。</w:t>
            </w:r>
          </w:p>
          <w:p w14:paraId="5DD6BE08">
            <w:pPr>
              <w:pStyle w:val="5"/>
              <w:keepNext w:val="0"/>
              <w:keepLines w:val="0"/>
              <w:pageBreakBefore w:val="0"/>
              <w:kinsoku/>
              <w:wordWrap/>
              <w:overflowPunct/>
              <w:topLinePunct w:val="0"/>
              <w:bidi w:val="0"/>
              <w:adjustRightInd w:val="0"/>
              <w:snapToGrid w:val="0"/>
              <w:spacing w:line="360" w:lineRule="auto"/>
              <w:ind w:left="0" w:leftChars="0" w:firstLine="0" w:firstLineChars="0"/>
              <w:rPr>
                <w:rFonts w:hint="default" w:asciiTheme="minorEastAsia" w:hAnsiTheme="minorEastAsia" w:eastAsiaTheme="minorEastAsia" w:cstheme="minorEastAsia"/>
                <w:b/>
                <w:bCs/>
                <w:color w:val="auto"/>
                <w:kern w:val="0"/>
                <w:sz w:val="24"/>
                <w:szCs w:val="24"/>
                <w:highlight w:val="none"/>
                <w:lang w:val="en-US" w:eastAsia="zh-CN"/>
              </w:rPr>
            </w:pPr>
            <w:r>
              <w:rPr>
                <w:rFonts w:hint="default" w:asciiTheme="minorEastAsia" w:hAnsiTheme="minorEastAsia" w:eastAsiaTheme="minorEastAsia" w:cstheme="minorEastAsia"/>
                <w:b/>
                <w:bCs/>
                <w:color w:val="auto"/>
                <w:kern w:val="0"/>
                <w:sz w:val="24"/>
                <w:szCs w:val="24"/>
                <w:highlight w:val="none"/>
                <w:lang w:val="en-US" w:eastAsia="zh-CN"/>
              </w:rPr>
              <w:t>注：</w:t>
            </w:r>
          </w:p>
          <w:p w14:paraId="31BF15FA">
            <w:pPr>
              <w:pStyle w:val="5"/>
              <w:keepNext w:val="0"/>
              <w:keepLines w:val="0"/>
              <w:pageBreakBefore w:val="0"/>
              <w:kinsoku/>
              <w:wordWrap/>
              <w:overflowPunct/>
              <w:topLinePunct w:val="0"/>
              <w:bidi w:val="0"/>
              <w:adjustRightInd w:val="0"/>
              <w:snapToGrid w:val="0"/>
              <w:spacing w:line="360" w:lineRule="auto"/>
              <w:ind w:left="0" w:leftChars="0" w:firstLine="0" w:firstLineChars="0"/>
              <w:rPr>
                <w:rFonts w:hint="default" w:asciiTheme="minorEastAsia" w:hAnsiTheme="minorEastAsia" w:eastAsiaTheme="minorEastAsia" w:cstheme="minorEastAsia"/>
                <w:b/>
                <w:bCs/>
                <w:color w:val="auto"/>
                <w:kern w:val="0"/>
                <w:sz w:val="24"/>
                <w:szCs w:val="24"/>
                <w:highlight w:val="none"/>
                <w:lang w:val="en-US" w:eastAsia="zh-CN"/>
              </w:rPr>
            </w:pPr>
            <w:r>
              <w:rPr>
                <w:rFonts w:hint="default" w:asciiTheme="minorEastAsia" w:hAnsiTheme="minorEastAsia" w:eastAsiaTheme="minorEastAsia" w:cstheme="minorEastAsia"/>
                <w:b/>
                <w:bCs/>
                <w:color w:val="auto"/>
                <w:kern w:val="0"/>
                <w:sz w:val="24"/>
                <w:szCs w:val="24"/>
                <w:highlight w:val="none"/>
                <w:lang w:val="en-US" w:eastAsia="zh-CN"/>
              </w:rPr>
              <w:t>（1）承诺</w:t>
            </w:r>
            <w:r>
              <w:rPr>
                <w:rFonts w:hint="eastAsia" w:asciiTheme="minorEastAsia" w:hAnsiTheme="minorEastAsia" w:eastAsiaTheme="minorEastAsia" w:cstheme="minorEastAsia"/>
                <w:b/>
                <w:bCs/>
                <w:color w:val="auto"/>
                <w:kern w:val="0"/>
                <w:sz w:val="24"/>
                <w:szCs w:val="24"/>
                <w:highlight w:val="none"/>
                <w:lang w:val="en-US" w:eastAsia="zh-CN"/>
              </w:rPr>
              <w:t>书</w:t>
            </w:r>
            <w:r>
              <w:rPr>
                <w:rFonts w:hint="default" w:asciiTheme="minorEastAsia" w:hAnsiTheme="minorEastAsia" w:eastAsiaTheme="minorEastAsia" w:cstheme="minorEastAsia"/>
                <w:b/>
                <w:bCs/>
                <w:color w:val="auto"/>
                <w:kern w:val="0"/>
                <w:sz w:val="24"/>
                <w:szCs w:val="24"/>
                <w:highlight w:val="none"/>
                <w:lang w:val="en-US" w:eastAsia="zh-CN"/>
              </w:rPr>
              <w:t>、书面声明、法定代表人身份证明书和法人授权委托书应按磋商文件给定的格式填写；</w:t>
            </w:r>
          </w:p>
          <w:p w14:paraId="27047003">
            <w:pPr>
              <w:pStyle w:val="5"/>
              <w:keepNext w:val="0"/>
              <w:keepLines w:val="0"/>
              <w:pageBreakBefore w:val="0"/>
              <w:kinsoku/>
              <w:wordWrap/>
              <w:overflowPunct/>
              <w:topLinePunct w:val="0"/>
              <w:bidi w:val="0"/>
              <w:adjustRightInd w:val="0"/>
              <w:snapToGrid w:val="0"/>
              <w:spacing w:line="360" w:lineRule="auto"/>
              <w:ind w:left="0" w:leftChars="0" w:firstLine="0" w:firstLineChars="0"/>
              <w:rPr>
                <w:rFonts w:hint="default" w:asciiTheme="minorEastAsia" w:hAnsiTheme="minorEastAsia" w:eastAsiaTheme="minorEastAsia" w:cstheme="minorEastAsia"/>
                <w:color w:val="auto"/>
                <w:kern w:val="0"/>
                <w:sz w:val="24"/>
                <w:szCs w:val="24"/>
                <w:highlight w:val="none"/>
                <w:lang w:val="en-US" w:eastAsia="zh-CN"/>
              </w:rPr>
            </w:pPr>
            <w:r>
              <w:rPr>
                <w:rFonts w:hint="default" w:asciiTheme="minorEastAsia" w:hAnsiTheme="minorEastAsia" w:eastAsiaTheme="minorEastAsia" w:cstheme="minorEastAsia"/>
                <w:b/>
                <w:bCs/>
                <w:color w:val="auto"/>
                <w:kern w:val="0"/>
                <w:sz w:val="24"/>
                <w:szCs w:val="24"/>
                <w:highlight w:val="none"/>
                <w:lang w:val="en-US" w:eastAsia="zh-CN"/>
              </w:rPr>
              <w:t>（</w:t>
            </w:r>
            <w:r>
              <w:rPr>
                <w:rFonts w:hint="eastAsia" w:asciiTheme="minorEastAsia" w:hAnsiTheme="minorEastAsia" w:eastAsiaTheme="minorEastAsia" w:cstheme="minorEastAsia"/>
                <w:b/>
                <w:bCs/>
                <w:color w:val="auto"/>
                <w:kern w:val="0"/>
                <w:sz w:val="24"/>
                <w:szCs w:val="24"/>
                <w:highlight w:val="none"/>
                <w:lang w:val="en-US" w:eastAsia="zh-CN"/>
              </w:rPr>
              <w:t>2）</w:t>
            </w:r>
            <w:r>
              <w:rPr>
                <w:rFonts w:hint="default" w:asciiTheme="minorEastAsia" w:hAnsiTheme="minorEastAsia" w:eastAsiaTheme="minorEastAsia" w:cstheme="minorEastAsia"/>
                <w:b/>
                <w:bCs/>
                <w:color w:val="auto"/>
                <w:kern w:val="0"/>
                <w:sz w:val="24"/>
                <w:szCs w:val="24"/>
                <w:highlight w:val="none"/>
                <w:lang w:val="en-US" w:eastAsia="zh-CN"/>
              </w:rPr>
              <w:t>以上供应商必备资格条件必须齐全、真实、有效，若不符合要求，按无效磋商响应处理。</w:t>
            </w:r>
          </w:p>
        </w:tc>
      </w:tr>
      <w:tr w14:paraId="73B4B6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07" w:type="dxa"/>
            <w:tcBorders>
              <w:tl2br w:val="nil"/>
              <w:tr2bl w:val="nil"/>
            </w:tcBorders>
            <w:vAlign w:val="center"/>
          </w:tcPr>
          <w:p w14:paraId="5CBF9692">
            <w:pPr>
              <w:autoSpaceDE w:val="0"/>
              <w:autoSpaceDN w:val="0"/>
              <w:spacing w:line="240" w:lineRule="auto"/>
              <w:ind w:left="487" w:leftChars="23" w:hanging="437" w:hangingChars="175"/>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11</w:t>
            </w:r>
          </w:p>
        </w:tc>
        <w:tc>
          <w:tcPr>
            <w:tcW w:w="2003" w:type="dxa"/>
            <w:tcBorders>
              <w:tl2br w:val="nil"/>
              <w:tr2bl w:val="nil"/>
            </w:tcBorders>
            <w:vAlign w:val="center"/>
          </w:tcPr>
          <w:p w14:paraId="20C1F7DD">
            <w:pPr>
              <w:autoSpaceDE w:val="0"/>
              <w:autoSpaceDN w:val="0"/>
              <w:spacing w:line="240" w:lineRule="auto"/>
              <w:jc w:val="center"/>
              <w:rPr>
                <w:rFonts w:ascii="宋体" w:hAnsi="宋体" w:cs="宋体"/>
                <w:kern w:val="0"/>
                <w:sz w:val="24"/>
                <w:szCs w:val="24"/>
                <w:highlight w:val="none"/>
              </w:rPr>
            </w:pPr>
            <w:r>
              <w:rPr>
                <w:rFonts w:hint="eastAsia" w:ascii="宋体" w:hAnsi="宋体" w:cs="宋体"/>
                <w:kern w:val="0"/>
                <w:sz w:val="24"/>
                <w:szCs w:val="24"/>
                <w:highlight w:val="none"/>
              </w:rPr>
              <w:t>联合体投标</w:t>
            </w:r>
          </w:p>
        </w:tc>
        <w:tc>
          <w:tcPr>
            <w:tcW w:w="6378" w:type="dxa"/>
            <w:tcBorders>
              <w:tl2br w:val="nil"/>
              <w:tr2bl w:val="nil"/>
            </w:tcBorders>
            <w:vAlign w:val="center"/>
          </w:tcPr>
          <w:p w14:paraId="09569113">
            <w:pPr>
              <w:pStyle w:val="8"/>
              <w:topLinePunct/>
              <w:autoSpaceDE w:val="0"/>
              <w:autoSpaceDN w:val="0"/>
              <w:spacing w:line="240" w:lineRule="auto"/>
              <w:ind w:left="503" w:leftChars="30" w:hanging="437" w:hangingChars="175"/>
              <w:jc w:val="left"/>
              <w:rPr>
                <w:rFonts w:hAnsi="宋体" w:cs="宋体"/>
                <w:color w:val="auto"/>
                <w:kern w:val="0"/>
                <w:sz w:val="24"/>
                <w:szCs w:val="24"/>
                <w:highlight w:val="none"/>
              </w:rPr>
            </w:pPr>
            <w:r>
              <w:rPr>
                <w:rFonts w:hint="eastAsia" w:hAnsi="宋体" w:cs="宋体"/>
                <w:color w:val="auto"/>
                <w:kern w:val="0"/>
                <w:sz w:val="24"/>
                <w:szCs w:val="24"/>
                <w:highlight w:val="none"/>
              </w:rPr>
              <w:t>不接受</w:t>
            </w:r>
          </w:p>
        </w:tc>
      </w:tr>
      <w:tr w14:paraId="53E788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 w:type="dxa"/>
            <w:tcBorders>
              <w:tl2br w:val="nil"/>
              <w:tr2bl w:val="nil"/>
            </w:tcBorders>
            <w:vAlign w:val="center"/>
          </w:tcPr>
          <w:p w14:paraId="6616A502">
            <w:pPr>
              <w:autoSpaceDE w:val="0"/>
              <w:autoSpaceDN w:val="0"/>
              <w:ind w:left="487" w:leftChars="23" w:hanging="437" w:hangingChars="175"/>
              <w:jc w:val="center"/>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2</w:t>
            </w:r>
          </w:p>
        </w:tc>
        <w:tc>
          <w:tcPr>
            <w:tcW w:w="2003" w:type="dxa"/>
            <w:tcBorders>
              <w:tl2br w:val="nil"/>
              <w:tr2bl w:val="nil"/>
            </w:tcBorders>
            <w:vAlign w:val="center"/>
          </w:tcPr>
          <w:p w14:paraId="29FEE91C">
            <w:pPr>
              <w:autoSpaceDE w:val="0"/>
              <w:autoSpaceDN w:val="0"/>
              <w:ind w:left="487" w:leftChars="23" w:hanging="437" w:hangingChars="175"/>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磋商文件</w:t>
            </w:r>
          </w:p>
          <w:p w14:paraId="61990225">
            <w:pPr>
              <w:autoSpaceDE w:val="0"/>
              <w:autoSpaceDN w:val="0"/>
              <w:ind w:left="487" w:leftChars="23" w:hanging="437" w:hangingChars="175"/>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获取</w:t>
            </w:r>
            <w:r>
              <w:rPr>
                <w:rFonts w:hint="eastAsia" w:ascii="宋体" w:hAnsi="宋体" w:cs="宋体"/>
                <w:color w:val="auto"/>
                <w:kern w:val="0"/>
                <w:sz w:val="24"/>
                <w:szCs w:val="24"/>
                <w:highlight w:val="none"/>
              </w:rPr>
              <w:t>时间、</w:t>
            </w:r>
            <w:r>
              <w:rPr>
                <w:rFonts w:hint="eastAsia" w:ascii="宋体" w:hAnsi="宋体" w:cs="宋体"/>
                <w:color w:val="auto"/>
                <w:kern w:val="0"/>
                <w:sz w:val="24"/>
                <w:szCs w:val="24"/>
                <w:highlight w:val="none"/>
                <w:lang w:eastAsia="zh-CN"/>
              </w:rPr>
              <w:t>途径</w:t>
            </w:r>
          </w:p>
        </w:tc>
        <w:tc>
          <w:tcPr>
            <w:tcW w:w="6378" w:type="dxa"/>
            <w:tcBorders>
              <w:tl2br w:val="nil"/>
              <w:tr2bl w:val="nil"/>
            </w:tcBorders>
            <w:vAlign w:val="center"/>
          </w:tcPr>
          <w:p w14:paraId="3C3CB661">
            <w:pPr>
              <w:widowControl/>
              <w:spacing w:line="400" w:lineRule="exact"/>
              <w:ind w:left="66" w:leftChars="30"/>
              <w:jc w:val="left"/>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lang w:eastAsia="zh-CN"/>
              </w:rPr>
              <w:t>获取</w:t>
            </w:r>
            <w:r>
              <w:rPr>
                <w:rFonts w:hint="eastAsia" w:ascii="宋体" w:hAnsi="宋体" w:cs="宋体"/>
                <w:color w:val="auto"/>
                <w:kern w:val="0"/>
                <w:sz w:val="24"/>
                <w:szCs w:val="24"/>
                <w:highlight w:val="none"/>
              </w:rPr>
              <w:t>时间：</w:t>
            </w:r>
            <w:r>
              <w:rPr>
                <w:rFonts w:hint="eastAsia" w:ascii="宋体" w:hAnsi="宋体" w:cs="宋体"/>
                <w:color w:val="auto"/>
                <w:kern w:val="0"/>
                <w:sz w:val="24"/>
                <w:szCs w:val="24"/>
                <w:highlight w:val="none"/>
                <w:lang w:val="en-US" w:eastAsia="zh-CN"/>
              </w:rPr>
              <w:t>2026年04月24日</w:t>
            </w:r>
            <w:r>
              <w:rPr>
                <w:rFonts w:hint="eastAsia" w:ascii="宋体" w:hAnsi="宋体" w:cs="宋体"/>
                <w:color w:val="auto"/>
                <w:kern w:val="0"/>
                <w:sz w:val="24"/>
                <w:szCs w:val="24"/>
                <w:highlight w:val="none"/>
              </w:rPr>
              <w:t>至</w:t>
            </w:r>
            <w:r>
              <w:rPr>
                <w:rFonts w:hint="eastAsia" w:ascii="宋体" w:hAnsi="宋体" w:cs="宋体"/>
                <w:color w:val="auto"/>
                <w:kern w:val="0"/>
                <w:sz w:val="24"/>
                <w:szCs w:val="24"/>
                <w:highlight w:val="none"/>
                <w:lang w:val="en-US" w:eastAsia="zh-CN"/>
              </w:rPr>
              <w:t>2026年04月30日</w:t>
            </w:r>
            <w:r>
              <w:rPr>
                <w:rFonts w:hint="eastAsia" w:ascii="宋体" w:hAnsi="宋体" w:cs="宋体"/>
                <w:color w:val="auto"/>
                <w:kern w:val="0"/>
                <w:sz w:val="24"/>
                <w:szCs w:val="24"/>
                <w:highlight w:val="none"/>
              </w:rPr>
              <w:t>，每天上午00:00:00至12:00:00，下午12:00:00至23:59:59（北京时间）</w:t>
            </w:r>
          </w:p>
          <w:p w14:paraId="7A203706">
            <w:pPr>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获取途径</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全国公共资源交易平台（陕西省·宝鸡市）</w:t>
            </w:r>
            <w:r>
              <w:rPr>
                <w:rFonts w:hint="eastAsia" w:ascii="宋体" w:hAnsi="宋体" w:cs="宋体"/>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方式：在线获取</w:t>
            </w:r>
          </w:p>
        </w:tc>
      </w:tr>
      <w:tr w14:paraId="28AEA4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07" w:type="dxa"/>
            <w:tcBorders>
              <w:tl2br w:val="nil"/>
              <w:tr2bl w:val="nil"/>
            </w:tcBorders>
            <w:vAlign w:val="center"/>
          </w:tcPr>
          <w:p w14:paraId="28E7BEE5">
            <w:pPr>
              <w:autoSpaceDE w:val="0"/>
              <w:autoSpaceDN w:val="0"/>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3</w:t>
            </w:r>
          </w:p>
        </w:tc>
        <w:tc>
          <w:tcPr>
            <w:tcW w:w="2003" w:type="dxa"/>
            <w:tcBorders>
              <w:tl2br w:val="nil"/>
              <w:tr2bl w:val="nil"/>
            </w:tcBorders>
            <w:vAlign w:val="center"/>
          </w:tcPr>
          <w:p w14:paraId="49687A99">
            <w:pPr>
              <w:autoSpaceDE w:val="0"/>
              <w:autoSpaceDN w:val="0"/>
              <w:ind w:left="487" w:leftChars="23" w:hanging="437" w:hangingChars="175"/>
              <w:jc w:val="center"/>
              <w:rPr>
                <w:rFonts w:ascii="宋体" w:hAnsi="宋体" w:cs="宋体"/>
                <w:kern w:val="0"/>
                <w:sz w:val="24"/>
                <w:szCs w:val="24"/>
                <w:highlight w:val="none"/>
              </w:rPr>
            </w:pPr>
            <w:r>
              <w:rPr>
                <w:rFonts w:hint="eastAsia" w:ascii="宋体" w:hAnsi="宋体" w:cs="宋体"/>
                <w:kern w:val="0"/>
                <w:sz w:val="24"/>
                <w:szCs w:val="24"/>
                <w:highlight w:val="none"/>
              </w:rPr>
              <w:t>踏勘现场</w:t>
            </w:r>
          </w:p>
        </w:tc>
        <w:tc>
          <w:tcPr>
            <w:tcW w:w="6378" w:type="dxa"/>
            <w:tcBorders>
              <w:tl2br w:val="nil"/>
              <w:tr2bl w:val="nil"/>
            </w:tcBorders>
            <w:vAlign w:val="center"/>
          </w:tcPr>
          <w:p w14:paraId="545F3EC1">
            <w:pPr>
              <w:autoSpaceDE w:val="0"/>
              <w:autoSpaceDN w:val="0"/>
              <w:ind w:left="503" w:leftChars="30" w:hanging="437" w:hangingChars="17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不组织，采购人认为有必要，另行书面通知。</w:t>
            </w:r>
          </w:p>
        </w:tc>
      </w:tr>
      <w:tr w14:paraId="1A6E1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07" w:type="dxa"/>
            <w:tcBorders>
              <w:tl2br w:val="nil"/>
              <w:tr2bl w:val="nil"/>
            </w:tcBorders>
            <w:vAlign w:val="center"/>
          </w:tcPr>
          <w:p w14:paraId="4F6DDFF4">
            <w:pPr>
              <w:autoSpaceDE w:val="0"/>
              <w:autoSpaceDN w:val="0"/>
              <w:ind w:left="489" w:leftChars="24" w:hanging="437" w:hangingChars="175"/>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14</w:t>
            </w:r>
          </w:p>
        </w:tc>
        <w:tc>
          <w:tcPr>
            <w:tcW w:w="2003" w:type="dxa"/>
            <w:tcBorders>
              <w:tl2br w:val="nil"/>
              <w:tr2bl w:val="nil"/>
            </w:tcBorders>
            <w:vAlign w:val="center"/>
          </w:tcPr>
          <w:p w14:paraId="03ED2926">
            <w:pPr>
              <w:autoSpaceDE w:val="0"/>
              <w:autoSpaceDN w:val="0"/>
              <w:ind w:left="487" w:leftChars="23" w:hanging="437" w:hangingChars="175"/>
              <w:jc w:val="center"/>
              <w:rPr>
                <w:rFonts w:ascii="宋体" w:hAnsi="宋体" w:cs="宋体"/>
                <w:kern w:val="0"/>
                <w:sz w:val="24"/>
                <w:szCs w:val="24"/>
                <w:highlight w:val="none"/>
              </w:rPr>
            </w:pPr>
            <w:r>
              <w:rPr>
                <w:rFonts w:hint="eastAsia" w:ascii="宋体" w:hAnsi="宋体" w:cs="宋体"/>
                <w:kern w:val="0"/>
                <w:sz w:val="24"/>
                <w:szCs w:val="24"/>
                <w:highlight w:val="none"/>
              </w:rPr>
              <w:t>磋商有效期</w:t>
            </w:r>
          </w:p>
        </w:tc>
        <w:tc>
          <w:tcPr>
            <w:tcW w:w="6378" w:type="dxa"/>
            <w:tcBorders>
              <w:tl2br w:val="nil"/>
              <w:tr2bl w:val="nil"/>
            </w:tcBorders>
            <w:vAlign w:val="center"/>
          </w:tcPr>
          <w:p w14:paraId="009D0B44">
            <w:pPr>
              <w:autoSpaceDE w:val="0"/>
              <w:autoSpaceDN w:val="0"/>
              <w:ind w:left="503" w:leftChars="30" w:hanging="437" w:hangingChars="17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自磋商之日起 </w:t>
            </w:r>
            <w:r>
              <w:rPr>
                <w:rFonts w:hint="eastAsia" w:ascii="宋体" w:hAnsi="宋体" w:cs="宋体"/>
                <w:color w:val="auto"/>
                <w:kern w:val="0"/>
                <w:sz w:val="24"/>
                <w:szCs w:val="24"/>
                <w:highlight w:val="none"/>
                <w:u w:val="single"/>
              </w:rPr>
              <w:t>90</w:t>
            </w:r>
            <w:r>
              <w:rPr>
                <w:rFonts w:hint="eastAsia" w:ascii="宋体" w:hAnsi="宋体" w:cs="宋体"/>
                <w:color w:val="auto"/>
                <w:kern w:val="0"/>
                <w:sz w:val="24"/>
                <w:szCs w:val="24"/>
                <w:highlight w:val="none"/>
              </w:rPr>
              <w:t xml:space="preserve"> 日历天</w:t>
            </w:r>
          </w:p>
        </w:tc>
      </w:tr>
      <w:tr w14:paraId="631B9B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79" w:hRule="atLeast"/>
          <w:jc w:val="center"/>
        </w:trPr>
        <w:tc>
          <w:tcPr>
            <w:tcW w:w="907" w:type="dxa"/>
            <w:tcBorders>
              <w:tl2br w:val="nil"/>
              <w:tr2bl w:val="nil"/>
            </w:tcBorders>
            <w:vAlign w:val="center"/>
          </w:tcPr>
          <w:p w14:paraId="31F57549">
            <w:pPr>
              <w:autoSpaceDE w:val="0"/>
              <w:autoSpaceDN w:val="0"/>
              <w:ind w:left="489" w:leftChars="24" w:hanging="437" w:hangingChars="175"/>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15</w:t>
            </w:r>
          </w:p>
        </w:tc>
        <w:tc>
          <w:tcPr>
            <w:tcW w:w="2003" w:type="dxa"/>
            <w:tcBorders>
              <w:tl2br w:val="nil"/>
              <w:tr2bl w:val="nil"/>
            </w:tcBorders>
            <w:vAlign w:val="center"/>
          </w:tcPr>
          <w:p w14:paraId="36CC6309">
            <w:pPr>
              <w:autoSpaceDE w:val="0"/>
              <w:autoSpaceDN w:val="0"/>
              <w:ind w:left="487" w:leftChars="23" w:hanging="437" w:hangingChars="175"/>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磋商保证金</w:t>
            </w:r>
          </w:p>
        </w:tc>
        <w:tc>
          <w:tcPr>
            <w:tcW w:w="6378" w:type="dxa"/>
            <w:tcBorders>
              <w:tl2br w:val="nil"/>
              <w:tr2bl w:val="nil"/>
            </w:tcBorders>
            <w:vAlign w:val="center"/>
          </w:tcPr>
          <w:p w14:paraId="3571CEE0">
            <w:pPr>
              <w:pStyle w:val="5"/>
              <w:keepNext w:val="0"/>
              <w:keepLines w:val="0"/>
              <w:pageBreakBefore w:val="0"/>
              <w:widowControl w:val="0"/>
              <w:kinsoku/>
              <w:wordWrap/>
              <w:overflowPunct/>
              <w:bidi w:val="0"/>
              <w:adjustRightInd/>
              <w:snapToGrid/>
              <w:spacing w:line="264" w:lineRule="auto"/>
              <w:ind w:left="0" w:leftChars="0" w:right="0" w:rightChars="0" w:firstLine="0" w:firstLine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0"/>
                <w:sz w:val="24"/>
                <w:szCs w:val="24"/>
                <w:highlight w:val="none"/>
                <w:lang w:val="en-US" w:eastAsia="zh-CN" w:bidi="ar-SA"/>
              </w:rPr>
              <w:t>磋商保证金金额：</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000.00</w:t>
            </w:r>
            <w:r>
              <w:rPr>
                <w:rFonts w:hint="eastAsia" w:ascii="宋体" w:hAnsi="宋体" w:eastAsia="宋体" w:cs="宋体"/>
                <w:b/>
                <w:bCs/>
                <w:color w:val="auto"/>
                <w:sz w:val="24"/>
                <w:szCs w:val="24"/>
                <w:highlight w:val="none"/>
              </w:rPr>
              <w:t>元，大写</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eastAsia="zh-CN"/>
              </w:rPr>
              <w:t>贰仟元整</w:t>
            </w:r>
            <w:r>
              <w:rPr>
                <w:rFonts w:hint="eastAsia" w:ascii="宋体" w:hAnsi="宋体" w:eastAsia="宋体" w:cs="宋体"/>
                <w:b/>
                <w:bCs/>
                <w:color w:val="auto"/>
                <w:sz w:val="24"/>
                <w:szCs w:val="24"/>
                <w:highlight w:val="none"/>
                <w:lang w:eastAsia="zh-CN"/>
              </w:rPr>
              <w:t>；</w:t>
            </w:r>
          </w:p>
          <w:p w14:paraId="10A860F9">
            <w:pPr>
              <w:pStyle w:val="8"/>
              <w:keepNext w:val="0"/>
              <w:keepLines w:val="0"/>
              <w:pageBreakBefore w:val="0"/>
              <w:widowControl w:val="0"/>
              <w:kinsoku/>
              <w:wordWrap/>
              <w:overflowPunct/>
              <w:topLinePunct/>
              <w:autoSpaceDE w:val="0"/>
              <w:autoSpaceDN w:val="0"/>
              <w:bidi w:val="0"/>
              <w:adjustRightInd/>
              <w:snapToGrid/>
              <w:spacing w:line="240" w:lineRule="auto"/>
              <w:ind w:left="0" w:leftChars="0"/>
              <w:jc w:val="left"/>
              <w:textAlignment w:val="auto"/>
              <w:rPr>
                <w:rFonts w:hint="eastAsia" w:ascii="宋体" w:hAnsi="宋体" w:eastAsia="宋体" w:cs="宋体"/>
                <w:color w:val="auto"/>
                <w:kern w:val="0"/>
                <w:sz w:val="24"/>
                <w:szCs w:val="24"/>
                <w:highlight w:val="none"/>
                <w:lang w:val="en-US" w:eastAsia="zh-CN" w:bidi="ar-SA"/>
              </w:rPr>
            </w:pPr>
            <w:r>
              <w:rPr>
                <w:rFonts w:hint="eastAsia"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磋商保证金不接受现金，以银行转账、电汇形式交纳磋商保证金的，磋商结束之后以转账形式退到供应商的账户。</w:t>
            </w:r>
          </w:p>
          <w:p w14:paraId="46BFFC28">
            <w:pPr>
              <w:pStyle w:val="8"/>
              <w:keepNext w:val="0"/>
              <w:keepLines w:val="0"/>
              <w:pageBreakBefore w:val="0"/>
              <w:widowControl w:val="0"/>
              <w:kinsoku/>
              <w:wordWrap/>
              <w:overflowPunct/>
              <w:topLinePunct/>
              <w:autoSpaceDE w:val="0"/>
              <w:autoSpaceDN w:val="0"/>
              <w:bidi w:val="0"/>
              <w:adjustRightInd/>
              <w:snapToGrid/>
              <w:spacing w:line="240" w:lineRule="auto"/>
              <w:ind w:left="0" w:leftChars="0"/>
              <w:jc w:val="left"/>
              <w:textAlignment w:val="auto"/>
              <w:rPr>
                <w:rFonts w:hint="eastAsia" w:ascii="宋体" w:hAnsi="宋体" w:eastAsia="宋体" w:cs="宋体"/>
                <w:color w:val="auto"/>
                <w:kern w:val="0"/>
                <w:sz w:val="24"/>
                <w:szCs w:val="24"/>
                <w:highlight w:val="none"/>
                <w:lang w:val="en-US" w:eastAsia="zh-CN" w:bidi="ar-SA"/>
              </w:rPr>
            </w:pPr>
            <w:r>
              <w:rPr>
                <w:rFonts w:hint="eastAsia"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磋商保证金必须在递交响应文件截止时间之前交纳至以下账户：</w:t>
            </w:r>
          </w:p>
          <w:p w14:paraId="2798C459">
            <w:pPr>
              <w:pStyle w:val="8"/>
              <w:keepNext w:val="0"/>
              <w:keepLines w:val="0"/>
              <w:pageBreakBefore w:val="0"/>
              <w:widowControl w:val="0"/>
              <w:kinsoku/>
              <w:wordWrap/>
              <w:overflowPunct/>
              <w:topLinePunct/>
              <w:autoSpaceDE w:val="0"/>
              <w:autoSpaceDN w:val="0"/>
              <w:bidi w:val="0"/>
              <w:adjustRightInd/>
              <w:snapToGrid/>
              <w:spacing w:line="240" w:lineRule="auto"/>
              <w:ind w:left="0" w:leftChars="0"/>
              <w:jc w:val="left"/>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 xml:space="preserve">户  名：宝鸡市公共资源交易中心保证金专户 </w:t>
            </w:r>
          </w:p>
          <w:p w14:paraId="4B258235">
            <w:pPr>
              <w:pStyle w:val="8"/>
              <w:keepNext w:val="0"/>
              <w:keepLines w:val="0"/>
              <w:pageBreakBefore w:val="0"/>
              <w:widowControl w:val="0"/>
              <w:kinsoku/>
              <w:wordWrap/>
              <w:overflowPunct/>
              <w:topLinePunct/>
              <w:autoSpaceDE w:val="0"/>
              <w:autoSpaceDN w:val="0"/>
              <w:bidi w:val="0"/>
              <w:adjustRightInd/>
              <w:snapToGrid/>
              <w:spacing w:line="240" w:lineRule="auto"/>
              <w:ind w:left="0" w:leftChars="0"/>
              <w:jc w:val="left"/>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开户行：长安银行股份有限公司宝鸡分行营业部</w:t>
            </w:r>
          </w:p>
          <w:p w14:paraId="1C140C02">
            <w:pPr>
              <w:pStyle w:val="8"/>
              <w:keepNext w:val="0"/>
              <w:keepLines w:val="0"/>
              <w:pageBreakBefore w:val="0"/>
              <w:widowControl w:val="0"/>
              <w:kinsoku/>
              <w:wordWrap/>
              <w:overflowPunct/>
              <w:topLinePunct/>
              <w:autoSpaceDE w:val="0"/>
              <w:autoSpaceDN w:val="0"/>
              <w:bidi w:val="0"/>
              <w:adjustRightInd/>
              <w:snapToGrid/>
              <w:spacing w:line="240" w:lineRule="auto"/>
              <w:ind w:left="0" w:leftChars="0"/>
              <w:jc w:val="left"/>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帐  号：</w:t>
            </w:r>
            <w:r>
              <w:rPr>
                <w:rStyle w:val="94"/>
                <w:rFonts w:hint="eastAsia" w:ascii="宋体" w:hAnsi="宋体" w:eastAsia="宋体" w:cs="宋体"/>
                <w:b/>
                <w:bCs/>
                <w:i w:val="0"/>
                <w:caps w:val="0"/>
                <w:color w:val="auto"/>
                <w:spacing w:val="0"/>
                <w:w w:val="100"/>
                <w:kern w:val="2"/>
                <w:sz w:val="24"/>
                <w:szCs w:val="24"/>
                <w:highlight w:val="none"/>
                <w:lang w:val="en-US" w:eastAsia="zh-CN" w:bidi="ar-SA"/>
              </w:rPr>
              <w:t>以交易中心平台生成的子账号为准</w:t>
            </w:r>
          </w:p>
          <w:p w14:paraId="2B71271B">
            <w:pPr>
              <w:pStyle w:val="8"/>
              <w:keepNext w:val="0"/>
              <w:keepLines w:val="0"/>
              <w:pageBreakBefore w:val="0"/>
              <w:widowControl w:val="0"/>
              <w:kinsoku/>
              <w:wordWrap/>
              <w:overflowPunct/>
              <w:topLinePunct/>
              <w:autoSpaceDE w:val="0"/>
              <w:autoSpaceDN w:val="0"/>
              <w:bidi w:val="0"/>
              <w:adjustRightInd/>
              <w:snapToGrid/>
              <w:spacing w:line="240" w:lineRule="auto"/>
              <w:ind w:left="0" w:leftChars="0"/>
              <w:jc w:val="left"/>
              <w:textAlignment w:val="auto"/>
              <w:rPr>
                <w:rFonts w:hint="eastAsia" w:eastAsia="宋体"/>
                <w:sz w:val="24"/>
                <w:szCs w:val="24"/>
                <w:highlight w:val="none"/>
                <w:lang w:eastAsia="zh-CN"/>
              </w:rPr>
            </w:pPr>
            <w:r>
              <w:rPr>
                <w:rFonts w:hint="eastAsia" w:ascii="宋体" w:hAnsi="宋体" w:eastAsia="宋体" w:cs="宋体"/>
                <w:color w:val="auto"/>
                <w:kern w:val="0"/>
                <w:sz w:val="24"/>
                <w:szCs w:val="24"/>
                <w:highlight w:val="none"/>
                <w:lang w:val="en-US" w:eastAsia="zh-CN" w:bidi="ar-SA"/>
              </w:rPr>
              <w:t>缴纳时间：</w:t>
            </w:r>
            <w:r>
              <w:rPr>
                <w:rFonts w:hint="eastAsia" w:eastAsia="宋体"/>
                <w:b w:val="0"/>
                <w:bCs w:val="0"/>
                <w:sz w:val="24"/>
                <w:szCs w:val="24"/>
                <w:highlight w:val="none"/>
                <w:lang w:eastAsia="zh-CN"/>
              </w:rPr>
              <w:t>同</w:t>
            </w:r>
            <w:r>
              <w:rPr>
                <w:rFonts w:hint="eastAsia" w:eastAsia="宋体"/>
                <w:sz w:val="24"/>
                <w:szCs w:val="24"/>
                <w:highlight w:val="none"/>
                <w:lang w:eastAsia="zh-CN"/>
              </w:rPr>
              <w:t>响应文件递交（上传）截止时间</w:t>
            </w:r>
          </w:p>
          <w:p w14:paraId="4ECD7520">
            <w:pPr>
              <w:pStyle w:val="8"/>
              <w:keepNext w:val="0"/>
              <w:keepLines w:val="0"/>
              <w:pageBreakBefore w:val="0"/>
              <w:widowControl w:val="0"/>
              <w:kinsoku/>
              <w:wordWrap/>
              <w:overflowPunct/>
              <w:topLinePunct/>
              <w:autoSpaceDE w:val="0"/>
              <w:autoSpaceDN w:val="0"/>
              <w:bidi w:val="0"/>
              <w:adjustRightInd/>
              <w:snapToGrid/>
              <w:spacing w:line="240" w:lineRule="auto"/>
              <w:ind w:left="0" w:leftChars="0"/>
              <w:jc w:val="left"/>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0"/>
                <w:sz w:val="24"/>
                <w:szCs w:val="24"/>
                <w:highlight w:val="none"/>
                <w:lang w:val="en-US" w:eastAsia="zh-CN" w:bidi="ar-SA"/>
              </w:rPr>
              <w:t>注：转账时必须备注保证金子账号后五位数字信息，否则导致的查账延</w:t>
            </w:r>
            <w:r>
              <w:rPr>
                <w:rFonts w:hint="eastAsia" w:ascii="宋体" w:hAnsi="宋体" w:eastAsia="宋体" w:cs="宋体"/>
                <w:b/>
                <w:bCs/>
                <w:color w:val="auto"/>
                <w:kern w:val="2"/>
                <w:sz w:val="24"/>
                <w:szCs w:val="24"/>
                <w:highlight w:val="none"/>
              </w:rPr>
              <w:t>误责任自负。</w:t>
            </w:r>
          </w:p>
          <w:p w14:paraId="3D51DA71">
            <w:pPr>
              <w:pStyle w:val="8"/>
              <w:keepNext w:val="0"/>
              <w:keepLines w:val="0"/>
              <w:pageBreakBefore w:val="0"/>
              <w:widowControl w:val="0"/>
              <w:kinsoku/>
              <w:wordWrap/>
              <w:overflowPunct/>
              <w:topLinePunct/>
              <w:autoSpaceDE w:val="0"/>
              <w:autoSpaceDN w:val="0"/>
              <w:bidi w:val="0"/>
              <w:adjustRightInd/>
              <w:snapToGrid/>
              <w:spacing w:line="240" w:lineRule="auto"/>
              <w:ind w:left="0" w:leftChars="0"/>
              <w:jc w:val="left"/>
              <w:textAlignment w:val="auto"/>
              <w:rPr>
                <w:rFonts w:hint="eastAsia" w:ascii="宋体" w:hAnsi="宋体" w:eastAsia="宋体" w:cs="宋体"/>
                <w:b w:val="0"/>
                <w:bCs w:val="0"/>
                <w:color w:val="auto"/>
                <w:kern w:val="2"/>
                <w:sz w:val="24"/>
                <w:szCs w:val="24"/>
                <w:highlight w:val="none"/>
              </w:rPr>
            </w:pPr>
            <w:r>
              <w:rPr>
                <w:rFonts w:hint="eastAsia" w:hAnsi="宋体" w:cs="宋体"/>
                <w:b w:val="0"/>
                <w:bCs w:val="0"/>
                <w:color w:val="auto"/>
                <w:kern w:val="2"/>
                <w:sz w:val="24"/>
                <w:szCs w:val="24"/>
                <w:highlight w:val="none"/>
                <w:lang w:val="en-US" w:eastAsia="zh-CN"/>
              </w:rPr>
              <w:t>3</w:t>
            </w:r>
            <w:r>
              <w:rPr>
                <w:rFonts w:hint="eastAsia" w:ascii="宋体" w:hAnsi="宋体" w:eastAsia="宋体" w:cs="宋体"/>
                <w:b w:val="0"/>
                <w:bCs w:val="0"/>
                <w:color w:val="auto"/>
                <w:kern w:val="2"/>
                <w:sz w:val="24"/>
                <w:szCs w:val="24"/>
                <w:highlight w:val="none"/>
              </w:rPr>
              <w:t>、供应商以担保机构保函（格式见附件</w:t>
            </w:r>
            <w:r>
              <w:rPr>
                <w:rFonts w:hint="eastAsia" w:hAnsi="宋体" w:cs="宋体"/>
                <w:b w:val="0"/>
                <w:bCs w:val="0"/>
                <w:color w:val="auto"/>
                <w:kern w:val="2"/>
                <w:sz w:val="24"/>
                <w:szCs w:val="24"/>
                <w:highlight w:val="none"/>
                <w:lang w:val="en-US" w:eastAsia="zh-CN"/>
              </w:rPr>
              <w:t>7</w:t>
            </w:r>
            <w:r>
              <w:rPr>
                <w:rFonts w:hint="eastAsia" w:ascii="宋体" w:hAnsi="宋体" w:eastAsia="宋体" w:cs="宋体"/>
                <w:b w:val="0"/>
                <w:bCs w:val="0"/>
                <w:color w:val="auto"/>
                <w:kern w:val="2"/>
                <w:sz w:val="24"/>
                <w:szCs w:val="24"/>
                <w:highlight w:val="none"/>
              </w:rPr>
              <w:t>）或银行保函形式交纳投标保证金的</w:t>
            </w:r>
            <w:r>
              <w:rPr>
                <w:rFonts w:hint="eastAsia" w:ascii="宋体" w:hAnsi="宋体" w:eastAsia="宋体" w:cs="宋体"/>
                <w:b w:val="0"/>
                <w:bCs w:val="0"/>
                <w:color w:val="auto"/>
                <w:kern w:val="2"/>
                <w:sz w:val="24"/>
                <w:szCs w:val="24"/>
                <w:highlight w:val="none"/>
                <w:lang w:val="en-US" w:eastAsia="zh-CN"/>
              </w:rPr>
              <w:t>:（1）银行保函：</w:t>
            </w:r>
            <w:r>
              <w:rPr>
                <w:rFonts w:hint="eastAsia" w:ascii="宋体" w:hAnsi="宋体" w:eastAsia="宋体" w:cs="宋体"/>
                <w:b w:val="0"/>
                <w:bCs w:val="0"/>
                <w:color w:val="auto"/>
                <w:kern w:val="2"/>
                <w:sz w:val="24"/>
                <w:szCs w:val="24"/>
                <w:highlight w:val="none"/>
              </w:rPr>
              <w:t>在投标文件递交截止时间前须持银行保函原件、介绍信、开户许可证复印件（加盖公司公章）、法定代表人和经办人身份证复印件（加盖公司公章）至宝鸡市公共资源交易中心（宝鸡市金台区行政大道8号）</w:t>
            </w:r>
            <w:r>
              <w:rPr>
                <w:rFonts w:hint="eastAsia" w:ascii="宋体" w:hAnsi="宋体" w:eastAsia="宋体" w:cs="宋体"/>
                <w:b w:val="0"/>
                <w:bCs w:val="0"/>
                <w:color w:val="auto"/>
                <w:kern w:val="2"/>
                <w:sz w:val="24"/>
                <w:szCs w:val="24"/>
                <w:highlight w:val="none"/>
                <w:lang w:val="en-US"/>
              </w:rPr>
              <w:t>6楼</w:t>
            </w:r>
            <w:r>
              <w:rPr>
                <w:rFonts w:hint="eastAsia" w:ascii="宋体" w:hAnsi="宋体" w:eastAsia="宋体" w:cs="宋体"/>
                <w:b w:val="0"/>
                <w:bCs w:val="0"/>
                <w:color w:val="auto"/>
                <w:kern w:val="2"/>
                <w:sz w:val="24"/>
                <w:szCs w:val="24"/>
                <w:highlight w:val="none"/>
              </w:rPr>
              <w:t>财务科递交和查验，并及时告知代理机构，逾期未提供视为放弃投标，有效期应当符合招标文件规定。（</w:t>
            </w:r>
            <w:r>
              <w:rPr>
                <w:rFonts w:hint="eastAsia" w:ascii="宋体" w:hAnsi="宋体" w:eastAsia="宋体" w:cs="宋体"/>
                <w:b w:val="0"/>
                <w:bCs w:val="0"/>
                <w:color w:val="auto"/>
                <w:kern w:val="2"/>
                <w:sz w:val="24"/>
                <w:szCs w:val="24"/>
                <w:highlight w:val="none"/>
                <w:lang w:val="en-US"/>
              </w:rPr>
              <w:t>2</w:t>
            </w:r>
            <w:r>
              <w:rPr>
                <w:rFonts w:hint="eastAsia" w:ascii="宋体" w:hAnsi="宋体" w:eastAsia="宋体" w:cs="宋体"/>
                <w:b w:val="0"/>
                <w:bCs w:val="0"/>
                <w:color w:val="auto"/>
                <w:kern w:val="2"/>
                <w:sz w:val="24"/>
                <w:szCs w:val="24"/>
                <w:highlight w:val="none"/>
              </w:rPr>
              <w:t>）担保机构保函：在投标文件递交截止时间前须持保函原件、介绍信、法定代表人和经办人身份证复印件（加盖公司公章）至采购代理机构递交和查验，招标结束之后将保函正本原件退回，逾期未提供视为放弃投标，有效期应当符合招标文件规定。</w:t>
            </w:r>
          </w:p>
          <w:p w14:paraId="6DE1CC3A">
            <w:pPr>
              <w:pStyle w:val="8"/>
              <w:keepNext w:val="0"/>
              <w:keepLines w:val="0"/>
              <w:pageBreakBefore w:val="0"/>
              <w:widowControl w:val="0"/>
              <w:kinsoku/>
              <w:wordWrap/>
              <w:overflowPunct/>
              <w:topLinePunct/>
              <w:autoSpaceDE w:val="0"/>
              <w:autoSpaceDN w:val="0"/>
              <w:bidi w:val="0"/>
              <w:adjustRightInd/>
              <w:snapToGrid/>
              <w:spacing w:line="240" w:lineRule="auto"/>
              <w:ind w:left="0" w:leftChars="0"/>
              <w:jc w:val="left"/>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注：</w:t>
            </w:r>
          </w:p>
          <w:p w14:paraId="1DA0B4B3">
            <w:pPr>
              <w:pStyle w:val="8"/>
              <w:keepNext w:val="0"/>
              <w:keepLines w:val="0"/>
              <w:pageBreakBefore w:val="0"/>
              <w:widowControl w:val="0"/>
              <w:kinsoku/>
              <w:wordWrap/>
              <w:overflowPunct/>
              <w:topLinePunct/>
              <w:autoSpaceDE w:val="0"/>
              <w:autoSpaceDN w:val="0"/>
              <w:bidi w:val="0"/>
              <w:adjustRightInd/>
              <w:snapToGrid/>
              <w:spacing w:line="240" w:lineRule="auto"/>
              <w:ind w:left="0" w:leftChars="0"/>
              <w:jc w:val="left"/>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w:t>
            </w:r>
            <w:r>
              <w:rPr>
                <w:rFonts w:hint="eastAsia" w:ascii="宋体" w:hAnsi="宋体" w:eastAsia="宋体" w:cs="宋体"/>
                <w:b w:val="0"/>
                <w:bCs w:val="0"/>
                <w:color w:val="auto"/>
                <w:kern w:val="2"/>
                <w:sz w:val="24"/>
                <w:szCs w:val="24"/>
                <w:highlight w:val="none"/>
                <w:lang w:val="en-US"/>
              </w:rPr>
              <w:t>1</w:t>
            </w:r>
            <w:r>
              <w:rPr>
                <w:rFonts w:hint="eastAsia" w:ascii="宋体" w:hAnsi="宋体" w:eastAsia="宋体" w:cs="宋体"/>
                <w:b w:val="0"/>
                <w:bCs w:val="0"/>
                <w:color w:val="auto"/>
                <w:kern w:val="2"/>
                <w:sz w:val="24"/>
                <w:szCs w:val="24"/>
                <w:highlight w:val="none"/>
              </w:rPr>
              <w:t>）转账时请在备注/事由/摘要/用途处，注明“保证金+账号后五位数”信息，否则导致的查账延误责任自负，以到账时间为准；</w:t>
            </w:r>
          </w:p>
          <w:p w14:paraId="47BF2B19">
            <w:pPr>
              <w:pStyle w:val="8"/>
              <w:keepNext w:val="0"/>
              <w:keepLines w:val="0"/>
              <w:pageBreakBefore w:val="0"/>
              <w:widowControl w:val="0"/>
              <w:kinsoku/>
              <w:wordWrap/>
              <w:overflowPunct/>
              <w:topLinePunct/>
              <w:autoSpaceDE w:val="0"/>
              <w:autoSpaceDN w:val="0"/>
              <w:bidi w:val="0"/>
              <w:adjustRightInd/>
              <w:snapToGrid/>
              <w:spacing w:line="240" w:lineRule="auto"/>
              <w:ind w:left="0" w:leftChars="0"/>
              <w:jc w:val="left"/>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w:t>
            </w:r>
            <w:r>
              <w:rPr>
                <w:rFonts w:hint="eastAsia" w:ascii="宋体" w:hAnsi="宋体" w:eastAsia="宋体" w:cs="宋体"/>
                <w:b w:val="0"/>
                <w:bCs w:val="0"/>
                <w:color w:val="auto"/>
                <w:kern w:val="2"/>
                <w:sz w:val="24"/>
                <w:szCs w:val="24"/>
                <w:highlight w:val="none"/>
                <w:lang w:val="en-US"/>
              </w:rPr>
              <w:t>2</w:t>
            </w:r>
            <w:r>
              <w:rPr>
                <w:rFonts w:hint="eastAsia" w:ascii="宋体" w:hAnsi="宋体" w:eastAsia="宋体" w:cs="宋体"/>
                <w:b w:val="0"/>
                <w:bCs w:val="0"/>
                <w:color w:val="auto"/>
                <w:kern w:val="2"/>
                <w:sz w:val="24"/>
                <w:szCs w:val="24"/>
                <w:highlight w:val="none"/>
              </w:rPr>
              <w:t>）须将保证金转账凭证及开户许可证（或基本存款账户信息）复印件或保函正本复印件粘贴于招标文件规定处</w:t>
            </w:r>
          </w:p>
          <w:p w14:paraId="60776534">
            <w:pPr>
              <w:pStyle w:val="8"/>
              <w:keepNext w:val="0"/>
              <w:keepLines w:val="0"/>
              <w:pageBreakBefore w:val="0"/>
              <w:widowControl w:val="0"/>
              <w:kinsoku/>
              <w:wordWrap/>
              <w:overflowPunct/>
              <w:topLinePunct/>
              <w:autoSpaceDE w:val="0"/>
              <w:autoSpaceDN w:val="0"/>
              <w:bidi w:val="0"/>
              <w:adjustRightInd/>
              <w:snapToGrid/>
              <w:spacing w:line="240" w:lineRule="auto"/>
              <w:ind w:left="0" w:leftChars="0"/>
              <w:jc w:val="left"/>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4、依据宝市交易发[2025]19号文件的规定，供应商为“诚信企业”的，可以以信用承诺替代投标保证金，供应商应按照招标文件格式（格式见附件</w:t>
            </w:r>
            <w:r>
              <w:rPr>
                <w:rFonts w:hint="eastAsia" w:hAnsi="宋体" w:cs="宋体"/>
                <w:b w:val="0"/>
                <w:bCs w:val="0"/>
                <w:color w:val="auto"/>
                <w:kern w:val="2"/>
                <w:sz w:val="24"/>
                <w:szCs w:val="24"/>
                <w:highlight w:val="none"/>
                <w:lang w:val="en-US" w:eastAsia="zh-CN"/>
              </w:rPr>
              <w:t>8</w:t>
            </w:r>
            <w:r>
              <w:rPr>
                <w:rFonts w:hint="eastAsia" w:ascii="宋体" w:hAnsi="宋体" w:eastAsia="宋体" w:cs="宋体"/>
                <w:b w:val="0"/>
                <w:bCs w:val="0"/>
                <w:color w:val="auto"/>
                <w:kern w:val="2"/>
                <w:sz w:val="24"/>
                <w:szCs w:val="24"/>
                <w:highlight w:val="none"/>
              </w:rPr>
              <w:t>）填写交易保证金信用承诺书，信用承诺有效期满足投标有效期时效，承诺书后附“信用评价结果及政策依据文件”，供应商未按上述要求提供信用承诺书的，也未采用其他方式交纳投标保证金的视为未交纳投标保证金，按</w:t>
            </w:r>
            <w:r>
              <w:rPr>
                <w:rFonts w:hint="eastAsia" w:hAnsi="宋体" w:cs="宋体"/>
                <w:b w:val="0"/>
                <w:bCs w:val="0"/>
                <w:color w:val="auto"/>
                <w:kern w:val="2"/>
                <w:sz w:val="24"/>
                <w:szCs w:val="24"/>
                <w:highlight w:val="none"/>
                <w:lang w:eastAsia="zh-CN"/>
              </w:rPr>
              <w:t>无效响应</w:t>
            </w:r>
            <w:r>
              <w:rPr>
                <w:rFonts w:hint="eastAsia" w:ascii="宋体" w:hAnsi="宋体" w:eastAsia="宋体" w:cs="宋体"/>
                <w:b w:val="0"/>
                <w:bCs w:val="0"/>
                <w:color w:val="auto"/>
                <w:kern w:val="2"/>
                <w:sz w:val="24"/>
                <w:szCs w:val="24"/>
                <w:highlight w:val="none"/>
              </w:rPr>
              <w:t>处理。</w:t>
            </w:r>
          </w:p>
          <w:p w14:paraId="7EC76C8D">
            <w:pPr>
              <w:pStyle w:val="8"/>
              <w:keepNext w:val="0"/>
              <w:keepLines w:val="0"/>
              <w:pageBreakBefore w:val="0"/>
              <w:widowControl w:val="0"/>
              <w:numPr>
                <w:ilvl w:val="0"/>
                <w:numId w:val="0"/>
              </w:numPr>
              <w:kinsoku/>
              <w:wordWrap/>
              <w:overflowPunct/>
              <w:topLinePunct/>
              <w:autoSpaceDE w:val="0"/>
              <w:autoSpaceDN w:val="0"/>
              <w:bidi w:val="0"/>
              <w:adjustRightInd/>
              <w:snapToGrid/>
              <w:spacing w:line="264" w:lineRule="auto"/>
              <w:ind w:leftChars="0" w:right="0" w:rightChars="0"/>
              <w:jc w:val="left"/>
              <w:textAlignment w:val="auto"/>
              <w:rPr>
                <w:rFonts w:hint="eastAsia" w:hAnsi="宋体" w:cs="宋体"/>
                <w:color w:val="auto"/>
                <w:kern w:val="0"/>
                <w:sz w:val="24"/>
                <w:szCs w:val="24"/>
                <w:highlight w:val="none"/>
                <w:lang w:val="en-US" w:eastAsia="zh-CN" w:bidi="ar-SA"/>
              </w:rPr>
            </w:pPr>
            <w:r>
              <w:rPr>
                <w:rFonts w:hint="eastAsia" w:ascii="宋体" w:hAnsi="宋体" w:eastAsia="宋体" w:cs="宋体"/>
                <w:b/>
                <w:bCs/>
                <w:color w:val="auto"/>
                <w:kern w:val="2"/>
                <w:sz w:val="24"/>
                <w:szCs w:val="24"/>
                <w:highlight w:val="none"/>
              </w:rPr>
              <w:t>注：诚信企业(投标人、供应商)是指按照国家公共信用或行业、地方、第三方信用体系建设实践，依法依规评审认定或公开发布的“诚信企业”。</w:t>
            </w:r>
          </w:p>
        </w:tc>
      </w:tr>
      <w:tr w14:paraId="798BF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07" w:type="dxa"/>
            <w:tcBorders>
              <w:tl2br w:val="nil"/>
              <w:tr2bl w:val="nil"/>
            </w:tcBorders>
            <w:vAlign w:val="center"/>
          </w:tcPr>
          <w:p w14:paraId="7D58C101">
            <w:pPr>
              <w:autoSpaceDE w:val="0"/>
              <w:autoSpaceDN w:val="0"/>
              <w:ind w:left="487" w:leftChars="23" w:hanging="437" w:hangingChars="175"/>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16</w:t>
            </w:r>
          </w:p>
        </w:tc>
        <w:tc>
          <w:tcPr>
            <w:tcW w:w="2003" w:type="dxa"/>
            <w:tcBorders>
              <w:tl2br w:val="nil"/>
              <w:tr2bl w:val="nil"/>
            </w:tcBorders>
            <w:vAlign w:val="center"/>
          </w:tcPr>
          <w:p w14:paraId="4480B12A">
            <w:pPr>
              <w:autoSpaceDE w:val="0"/>
              <w:autoSpaceDN w:val="0"/>
              <w:ind w:left="487" w:leftChars="23" w:hanging="437" w:hangingChars="175"/>
              <w:jc w:val="center"/>
              <w:rPr>
                <w:rFonts w:ascii="宋体" w:hAnsi="宋体" w:cs="宋体"/>
                <w:kern w:val="0"/>
                <w:sz w:val="24"/>
                <w:szCs w:val="24"/>
                <w:highlight w:val="none"/>
              </w:rPr>
            </w:pPr>
            <w:r>
              <w:rPr>
                <w:rFonts w:hint="eastAsia" w:ascii="宋体" w:hAnsi="宋体" w:cs="宋体"/>
                <w:kern w:val="0"/>
                <w:sz w:val="24"/>
                <w:szCs w:val="24"/>
                <w:highlight w:val="none"/>
              </w:rPr>
              <w:t>是否允许递交</w:t>
            </w:r>
          </w:p>
          <w:p w14:paraId="1E61C900">
            <w:pPr>
              <w:autoSpaceDE w:val="0"/>
              <w:autoSpaceDN w:val="0"/>
              <w:ind w:left="487" w:leftChars="23" w:hanging="437" w:hangingChars="175"/>
              <w:jc w:val="center"/>
              <w:rPr>
                <w:rFonts w:ascii="宋体" w:hAnsi="宋体" w:cs="宋体"/>
                <w:kern w:val="0"/>
                <w:sz w:val="24"/>
                <w:szCs w:val="24"/>
                <w:highlight w:val="none"/>
              </w:rPr>
            </w:pPr>
            <w:r>
              <w:rPr>
                <w:rFonts w:hint="eastAsia" w:ascii="宋体" w:hAnsi="宋体" w:cs="宋体"/>
                <w:kern w:val="0"/>
                <w:sz w:val="24"/>
                <w:szCs w:val="24"/>
                <w:highlight w:val="none"/>
              </w:rPr>
              <w:t>备选磋商方案</w:t>
            </w:r>
          </w:p>
        </w:tc>
        <w:tc>
          <w:tcPr>
            <w:tcW w:w="6378" w:type="dxa"/>
            <w:tcBorders>
              <w:tl2br w:val="nil"/>
              <w:tr2bl w:val="nil"/>
            </w:tcBorders>
            <w:vAlign w:val="center"/>
          </w:tcPr>
          <w:p w14:paraId="7F2EC62E">
            <w:pPr>
              <w:autoSpaceDE w:val="0"/>
              <w:autoSpaceDN w:val="0"/>
              <w:ind w:left="503" w:leftChars="30" w:hanging="437" w:hangingChars="175"/>
              <w:jc w:val="left"/>
              <w:rPr>
                <w:rFonts w:ascii="宋体" w:hAnsi="宋体" w:cs="宋体"/>
                <w:kern w:val="0"/>
                <w:sz w:val="24"/>
                <w:szCs w:val="24"/>
                <w:highlight w:val="none"/>
              </w:rPr>
            </w:pPr>
            <w:r>
              <w:rPr>
                <w:rFonts w:hint="eastAsia" w:ascii="宋体" w:hAnsi="宋体" w:cs="宋体"/>
                <w:kern w:val="0"/>
                <w:sz w:val="24"/>
                <w:szCs w:val="24"/>
                <w:highlight w:val="none"/>
              </w:rPr>
              <w:t>不允许</w:t>
            </w:r>
          </w:p>
        </w:tc>
      </w:tr>
      <w:tr w14:paraId="2C37C6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907" w:type="dxa"/>
            <w:tcBorders>
              <w:tl2br w:val="nil"/>
              <w:tr2bl w:val="nil"/>
            </w:tcBorders>
            <w:vAlign w:val="center"/>
          </w:tcPr>
          <w:p w14:paraId="229FD04B">
            <w:pPr>
              <w:autoSpaceDE w:val="0"/>
              <w:autoSpaceDN w:val="0"/>
              <w:ind w:left="487" w:leftChars="23" w:hanging="437" w:hangingChars="175"/>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17</w:t>
            </w:r>
          </w:p>
        </w:tc>
        <w:tc>
          <w:tcPr>
            <w:tcW w:w="2003" w:type="dxa"/>
            <w:tcBorders>
              <w:tl2br w:val="nil"/>
              <w:tr2bl w:val="nil"/>
            </w:tcBorders>
            <w:vAlign w:val="center"/>
          </w:tcPr>
          <w:p w14:paraId="00B57837">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磋商响应文件</w:t>
            </w:r>
          </w:p>
          <w:p w14:paraId="6A7BB8EA">
            <w:pPr>
              <w:jc w:val="center"/>
              <w:rPr>
                <w:rFonts w:ascii="宋体" w:hAnsi="宋体" w:cs="宋体"/>
                <w:sz w:val="24"/>
                <w:szCs w:val="24"/>
                <w:highlight w:val="none"/>
              </w:rPr>
            </w:pPr>
            <w:r>
              <w:rPr>
                <w:rFonts w:hint="eastAsia" w:ascii="宋体" w:hAnsi="宋体" w:eastAsia="宋体" w:cs="宋体"/>
                <w:color w:val="auto"/>
                <w:sz w:val="24"/>
                <w:szCs w:val="24"/>
                <w:highlight w:val="none"/>
                <w:lang w:eastAsia="zh-CN"/>
              </w:rPr>
              <w:t>签署</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盖章</w:t>
            </w:r>
          </w:p>
        </w:tc>
        <w:tc>
          <w:tcPr>
            <w:tcW w:w="6378" w:type="dxa"/>
            <w:tcBorders>
              <w:tl2br w:val="nil"/>
              <w:tr2bl w:val="nil"/>
            </w:tcBorders>
            <w:vAlign w:val="center"/>
          </w:tcPr>
          <w:p w14:paraId="195987A4">
            <w:pPr>
              <w:tabs>
                <w:tab w:val="left" w:pos="7013"/>
              </w:tabs>
              <w:rPr>
                <w:rFonts w:ascii="宋体" w:hAnsi="宋体" w:cs="宋体"/>
                <w:sz w:val="24"/>
                <w:szCs w:val="24"/>
                <w:highlight w:val="none"/>
              </w:rPr>
            </w:pPr>
            <w:r>
              <w:rPr>
                <w:rFonts w:hint="eastAsia" w:ascii="宋体" w:hAnsi="宋体" w:eastAsia="宋体" w:cs="宋体"/>
                <w:color w:val="auto"/>
                <w:sz w:val="24"/>
                <w:szCs w:val="24"/>
                <w:highlight w:val="none"/>
              </w:rPr>
              <w:t>电子</w:t>
            </w:r>
            <w:r>
              <w:rPr>
                <w:rFonts w:hint="eastAsia" w:ascii="宋体" w:hAnsi="宋体" w:cs="宋体"/>
                <w:color w:val="auto"/>
                <w:sz w:val="24"/>
                <w:szCs w:val="24"/>
                <w:highlight w:val="none"/>
                <w:lang w:eastAsia="zh-CN"/>
              </w:rPr>
              <w:t>响应</w:t>
            </w:r>
            <w:r>
              <w:rPr>
                <w:rFonts w:hint="eastAsia" w:ascii="宋体" w:hAnsi="宋体" w:eastAsia="宋体" w:cs="宋体"/>
                <w:color w:val="auto"/>
                <w:sz w:val="24"/>
                <w:szCs w:val="24"/>
                <w:highlight w:val="none"/>
              </w:rPr>
              <w:t>文件中需要法定代表人签字或盖章的地方，请使用“法人CA”进行签章；需要加盖</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公章的地方，请使用“企业 CA”进行盖章。加密和解密应当使用同一CA，否则将会导致解密失败。</w:t>
            </w:r>
          </w:p>
        </w:tc>
      </w:tr>
      <w:tr w14:paraId="6CFA6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907" w:type="dxa"/>
            <w:tcBorders>
              <w:tl2br w:val="nil"/>
              <w:tr2bl w:val="nil"/>
            </w:tcBorders>
            <w:vAlign w:val="center"/>
          </w:tcPr>
          <w:p w14:paraId="3DA21262">
            <w:pPr>
              <w:autoSpaceDE w:val="0"/>
              <w:autoSpaceDN w:val="0"/>
              <w:ind w:left="487" w:leftChars="23" w:hanging="437" w:hangingChars="175"/>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18</w:t>
            </w:r>
          </w:p>
        </w:tc>
        <w:tc>
          <w:tcPr>
            <w:tcW w:w="2003" w:type="dxa"/>
            <w:tcBorders>
              <w:tl2br w:val="nil"/>
              <w:tr2bl w:val="nil"/>
            </w:tcBorders>
            <w:vAlign w:val="center"/>
          </w:tcPr>
          <w:p w14:paraId="10F45859">
            <w:pPr>
              <w:autoSpaceDE w:val="0"/>
              <w:autoSpaceDN w:val="0"/>
              <w:spacing w:after="120"/>
              <w:ind w:left="489" w:leftChars="24" w:hanging="437" w:hangingChars="175"/>
              <w:jc w:val="center"/>
              <w:rPr>
                <w:rFonts w:ascii="宋体" w:hAnsi="宋体" w:cs="宋体"/>
                <w:kern w:val="0"/>
                <w:sz w:val="24"/>
                <w:szCs w:val="24"/>
                <w:highlight w:val="none"/>
              </w:rPr>
            </w:pPr>
            <w:r>
              <w:rPr>
                <w:rFonts w:hint="eastAsia" w:ascii="宋体" w:hAnsi="宋体" w:cs="宋体"/>
                <w:kern w:val="0"/>
                <w:sz w:val="24"/>
                <w:szCs w:val="24"/>
                <w:highlight w:val="none"/>
              </w:rPr>
              <w:t>磋商响应文件</w:t>
            </w:r>
          </w:p>
          <w:p w14:paraId="42F5DF4A">
            <w:pPr>
              <w:autoSpaceDE w:val="0"/>
              <w:autoSpaceDN w:val="0"/>
              <w:spacing w:after="120"/>
              <w:ind w:left="489" w:leftChars="24" w:hanging="437" w:hangingChars="175"/>
              <w:jc w:val="center"/>
              <w:rPr>
                <w:rFonts w:ascii="宋体" w:hAnsi="宋体" w:cs="宋体"/>
                <w:kern w:val="0"/>
                <w:sz w:val="24"/>
                <w:szCs w:val="24"/>
                <w:highlight w:val="none"/>
              </w:rPr>
            </w:pPr>
            <w:r>
              <w:rPr>
                <w:rFonts w:hint="eastAsia" w:ascii="宋体" w:hAnsi="宋体" w:cs="宋体"/>
                <w:kern w:val="0"/>
                <w:sz w:val="24"/>
                <w:szCs w:val="24"/>
                <w:highlight w:val="none"/>
              </w:rPr>
              <w:t>装订要求</w:t>
            </w:r>
          </w:p>
        </w:tc>
        <w:tc>
          <w:tcPr>
            <w:tcW w:w="6378" w:type="dxa"/>
            <w:tcBorders>
              <w:tl2br w:val="nil"/>
              <w:tr2bl w:val="nil"/>
            </w:tcBorders>
            <w:vAlign w:val="center"/>
          </w:tcPr>
          <w:p w14:paraId="1D982B5A">
            <w:pPr>
              <w:autoSpaceDE w:val="0"/>
              <w:autoSpaceDN w:val="0"/>
              <w:spacing w:line="400" w:lineRule="exact"/>
              <w:ind w:left="67" w:leftChars="30" w:hanging="1"/>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本项目采用电子化投标方式开标，</w:t>
            </w:r>
            <w:r>
              <w:rPr>
                <w:rFonts w:hint="eastAsia" w:ascii="宋体" w:hAnsi="宋体" w:cs="宋体"/>
                <w:color w:val="auto"/>
                <w:kern w:val="0"/>
                <w:sz w:val="24"/>
                <w:szCs w:val="24"/>
                <w:highlight w:val="none"/>
                <w:lang w:eastAsia="zh-CN"/>
              </w:rPr>
              <w:t>磋商</w:t>
            </w:r>
            <w:r>
              <w:rPr>
                <w:rFonts w:hint="eastAsia" w:ascii="宋体" w:hAnsi="宋体" w:cs="宋体"/>
                <w:color w:val="auto"/>
                <w:kern w:val="0"/>
                <w:sz w:val="24"/>
                <w:szCs w:val="24"/>
                <w:highlight w:val="none"/>
              </w:rPr>
              <w:t>结束后</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在领取</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前，须向采购代理机构提交与</w:t>
            </w:r>
            <w:r>
              <w:rPr>
                <w:rFonts w:hint="eastAsia" w:ascii="宋体" w:hAnsi="宋体" w:cs="宋体"/>
                <w:color w:val="auto"/>
                <w:kern w:val="0"/>
                <w:sz w:val="24"/>
                <w:szCs w:val="24"/>
                <w:highlight w:val="none"/>
                <w:lang w:eastAsia="zh-CN"/>
              </w:rPr>
              <w:t>磋商电子响应</w:t>
            </w:r>
            <w:r>
              <w:rPr>
                <w:rFonts w:hint="eastAsia" w:ascii="宋体" w:hAnsi="宋体" w:cs="宋体"/>
                <w:color w:val="auto"/>
                <w:kern w:val="0"/>
                <w:sz w:val="24"/>
                <w:szCs w:val="24"/>
                <w:highlight w:val="none"/>
              </w:rPr>
              <w:t>文件完全一致的纸质版</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文件（签署并加</w:t>
            </w:r>
            <w:r>
              <w:rPr>
                <w:rFonts w:hint="eastAsia" w:ascii="宋体" w:hAnsi="宋体" w:cs="宋体"/>
                <w:color w:val="auto"/>
                <w:kern w:val="0"/>
                <w:sz w:val="24"/>
                <w:szCs w:val="24"/>
                <w:highlight w:val="none"/>
                <w:lang w:eastAsia="zh-CN"/>
              </w:rPr>
              <w:t>盖公章</w:t>
            </w:r>
            <w:r>
              <w:rPr>
                <w:rFonts w:hint="eastAsia" w:ascii="宋体" w:hAnsi="宋体" w:cs="宋体"/>
                <w:color w:val="auto"/>
                <w:kern w:val="0"/>
                <w:sz w:val="24"/>
                <w:szCs w:val="24"/>
                <w:highlight w:val="none"/>
              </w:rPr>
              <w:t>）正本壹份，副本贰份，电子</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文件壹份。（</w:t>
            </w:r>
            <w:r>
              <w:rPr>
                <w:rFonts w:hint="eastAsia" w:ascii="宋体" w:hAnsi="宋体" w:cs="宋体"/>
                <w:bCs/>
                <w:color w:val="auto"/>
                <w:sz w:val="24"/>
                <w:szCs w:val="24"/>
                <w:highlight w:val="none"/>
              </w:rPr>
              <w:t>U盘</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Word格式及加盖公章的PDF格式磋商响应文件</w:t>
            </w:r>
            <w:r>
              <w:rPr>
                <w:rFonts w:hint="eastAsia" w:ascii="宋体" w:hAnsi="宋体" w:cs="宋体"/>
                <w:bCs/>
                <w:color w:val="auto"/>
                <w:sz w:val="24"/>
                <w:szCs w:val="24"/>
                <w:highlight w:val="none"/>
                <w:lang w:eastAsia="zh-CN"/>
              </w:rPr>
              <w:t>）</w:t>
            </w:r>
            <w:r>
              <w:rPr>
                <w:rFonts w:hint="eastAsia" w:ascii="宋体" w:hAnsi="宋体" w:cs="宋体"/>
                <w:color w:val="auto"/>
                <w:kern w:val="0"/>
                <w:sz w:val="24"/>
                <w:szCs w:val="24"/>
                <w:highlight w:val="none"/>
              </w:rPr>
              <w:t>，未按要求提交</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文件的</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不得领取</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w:t>
            </w:r>
          </w:p>
        </w:tc>
      </w:tr>
      <w:tr w14:paraId="28CADC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907" w:type="dxa"/>
            <w:tcBorders>
              <w:tl2br w:val="nil"/>
              <w:tr2bl w:val="nil"/>
            </w:tcBorders>
            <w:vAlign w:val="center"/>
          </w:tcPr>
          <w:p w14:paraId="7850FC4D">
            <w:pPr>
              <w:autoSpaceDE w:val="0"/>
              <w:autoSpaceDN w:val="0"/>
              <w:ind w:left="489" w:leftChars="24" w:hanging="437" w:hangingChars="175"/>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19</w:t>
            </w:r>
          </w:p>
        </w:tc>
        <w:tc>
          <w:tcPr>
            <w:tcW w:w="2003" w:type="dxa"/>
            <w:tcBorders>
              <w:tl2br w:val="nil"/>
              <w:tr2bl w:val="nil"/>
            </w:tcBorders>
            <w:vAlign w:val="center"/>
          </w:tcPr>
          <w:p w14:paraId="3747D705">
            <w:pPr>
              <w:autoSpaceDE w:val="0"/>
              <w:autoSpaceDN w:val="0"/>
              <w:spacing w:line="24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磋商时间和地点</w:t>
            </w:r>
          </w:p>
        </w:tc>
        <w:tc>
          <w:tcPr>
            <w:tcW w:w="6378" w:type="dxa"/>
            <w:tcBorders>
              <w:tl2br w:val="nil"/>
              <w:tr2bl w:val="nil"/>
            </w:tcBorders>
            <w:vAlign w:val="center"/>
          </w:tcPr>
          <w:p w14:paraId="1FA96261">
            <w:pPr>
              <w:keepNext w:val="0"/>
              <w:keepLines w:val="0"/>
              <w:pageBreakBefore w:val="0"/>
              <w:widowControl w:val="0"/>
              <w:kinsoku/>
              <w:wordWrap/>
              <w:overflowPunct/>
              <w:topLinePunct w:val="0"/>
              <w:autoSpaceDE w:val="0"/>
              <w:autoSpaceDN w:val="0"/>
              <w:bidi w:val="0"/>
              <w:adjustRightInd/>
              <w:snapToGrid/>
              <w:spacing w:line="288" w:lineRule="auto"/>
              <w:ind w:left="66" w:leftChars="30" w:right="0" w:rightChars="0" w:firstLine="0" w:firstLineChars="0"/>
              <w:jc w:val="both"/>
              <w:textAlignment w:val="auto"/>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磋商时间：</w:t>
            </w:r>
            <w:r>
              <w:rPr>
                <w:rFonts w:hint="eastAsia" w:ascii="宋体" w:hAnsi="宋体" w:cs="宋体"/>
                <w:color w:val="auto"/>
                <w:kern w:val="0"/>
                <w:sz w:val="24"/>
                <w:szCs w:val="24"/>
                <w:highlight w:val="none"/>
                <w:u w:val="single"/>
                <w:lang w:eastAsia="zh-CN"/>
              </w:rPr>
              <w:t>202</w:t>
            </w:r>
            <w:r>
              <w:rPr>
                <w:rFonts w:hint="eastAsia" w:ascii="宋体" w:hAnsi="宋体" w:cs="宋体"/>
                <w:color w:val="auto"/>
                <w:kern w:val="0"/>
                <w:sz w:val="24"/>
                <w:szCs w:val="24"/>
                <w:highlight w:val="none"/>
                <w:u w:val="single"/>
                <w:lang w:val="en-US" w:eastAsia="zh-CN"/>
              </w:rPr>
              <w:t>6</w:t>
            </w:r>
            <w:r>
              <w:rPr>
                <w:rFonts w:hint="eastAsia" w:ascii="宋体" w:hAnsi="宋体" w:cs="宋体"/>
                <w:color w:val="auto"/>
                <w:kern w:val="0"/>
                <w:sz w:val="24"/>
                <w:szCs w:val="24"/>
                <w:highlight w:val="none"/>
                <w:u w:val="single"/>
                <w:lang w:eastAsia="zh-CN"/>
              </w:rPr>
              <w:t>年</w:t>
            </w:r>
            <w:r>
              <w:rPr>
                <w:rFonts w:hint="eastAsia" w:ascii="宋体" w:hAnsi="宋体" w:cs="宋体"/>
                <w:color w:val="auto"/>
                <w:kern w:val="0"/>
                <w:sz w:val="24"/>
                <w:szCs w:val="24"/>
                <w:highlight w:val="none"/>
                <w:u w:val="single"/>
                <w:lang w:val="en-US" w:eastAsia="zh-CN"/>
              </w:rPr>
              <w:t>05</w:t>
            </w:r>
            <w:r>
              <w:rPr>
                <w:rFonts w:hint="eastAsia" w:ascii="宋体" w:hAnsi="宋体" w:cs="宋体"/>
                <w:color w:val="auto"/>
                <w:kern w:val="0"/>
                <w:sz w:val="24"/>
                <w:szCs w:val="24"/>
                <w:highlight w:val="none"/>
                <w:u w:val="single"/>
                <w:lang w:eastAsia="zh-CN"/>
              </w:rPr>
              <w:t>月</w:t>
            </w:r>
            <w:r>
              <w:rPr>
                <w:rFonts w:hint="eastAsia" w:ascii="宋体" w:hAnsi="宋体" w:cs="宋体"/>
                <w:color w:val="auto"/>
                <w:kern w:val="0"/>
                <w:sz w:val="24"/>
                <w:szCs w:val="24"/>
                <w:highlight w:val="none"/>
                <w:u w:val="single"/>
                <w:lang w:val="en-US" w:eastAsia="zh-CN"/>
              </w:rPr>
              <w:t>11</w:t>
            </w:r>
            <w:r>
              <w:rPr>
                <w:rFonts w:hint="eastAsia" w:ascii="宋体" w:hAnsi="宋体" w:cs="宋体"/>
                <w:color w:val="auto"/>
                <w:kern w:val="0"/>
                <w:sz w:val="24"/>
                <w:szCs w:val="24"/>
                <w:highlight w:val="none"/>
                <w:u w:val="single"/>
                <w:lang w:eastAsia="zh-CN"/>
              </w:rPr>
              <w:t>日</w:t>
            </w:r>
            <w:r>
              <w:rPr>
                <w:rFonts w:hint="eastAsia" w:ascii="宋体" w:hAnsi="宋体" w:cs="宋体"/>
                <w:color w:val="auto"/>
                <w:kern w:val="0"/>
                <w:sz w:val="24"/>
                <w:szCs w:val="24"/>
                <w:highlight w:val="none"/>
                <w:u w:val="single"/>
                <w:lang w:val="en-US" w:eastAsia="zh-CN"/>
              </w:rPr>
              <w:t>09时00分</w:t>
            </w:r>
          </w:p>
          <w:p w14:paraId="2061D86A">
            <w:pPr>
              <w:keepNext w:val="0"/>
              <w:keepLines w:val="0"/>
              <w:pageBreakBefore w:val="0"/>
              <w:widowControl w:val="0"/>
              <w:kinsoku/>
              <w:wordWrap/>
              <w:overflowPunct/>
              <w:topLinePunct w:val="0"/>
              <w:autoSpaceDE w:val="0"/>
              <w:autoSpaceDN w:val="0"/>
              <w:bidi w:val="0"/>
              <w:adjustRightInd/>
              <w:snapToGrid/>
              <w:spacing w:line="288" w:lineRule="auto"/>
              <w:ind w:left="66" w:leftChars="30" w:right="0" w:rightChars="0" w:firstLine="0" w:firstLineChars="0"/>
              <w:jc w:val="both"/>
              <w:textAlignment w:val="auto"/>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磋商地点：</w:t>
            </w:r>
            <w:r>
              <w:rPr>
                <w:rFonts w:hint="eastAsia" w:ascii="宋体" w:hAnsi="宋体" w:cs="宋体"/>
                <w:color w:val="auto"/>
                <w:sz w:val="24"/>
                <w:szCs w:val="24"/>
                <w:highlight w:val="none"/>
                <w:u w:val="single"/>
                <w:lang w:eastAsia="zh-CN"/>
              </w:rPr>
              <w:t>全国公共资源交易平台（陕西省·宝鸡市）</w:t>
            </w:r>
            <w:r>
              <w:rPr>
                <w:rFonts w:hint="eastAsia" w:ascii="宋体" w:hAnsi="宋体" w:cs="宋体"/>
                <w:color w:val="auto"/>
                <w:sz w:val="24"/>
                <w:szCs w:val="24"/>
                <w:highlight w:val="none"/>
                <w:u w:val="single"/>
                <w:lang w:val="en-US" w:eastAsia="zh-CN"/>
              </w:rPr>
              <w:t>不见面开标大厅</w:t>
            </w:r>
            <w:r>
              <w:rPr>
                <w:rFonts w:hint="eastAsia" w:ascii="宋体" w:hAnsi="宋体" w:cs="宋体"/>
                <w:color w:val="auto"/>
                <w:kern w:val="0"/>
                <w:sz w:val="24"/>
                <w:szCs w:val="24"/>
                <w:highlight w:val="none"/>
              </w:rPr>
              <w:t xml:space="preserve">   </w:t>
            </w:r>
          </w:p>
        </w:tc>
      </w:tr>
      <w:tr w14:paraId="0C2A35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07" w:type="dxa"/>
            <w:tcBorders>
              <w:tl2br w:val="nil"/>
              <w:tr2bl w:val="nil"/>
            </w:tcBorders>
            <w:vAlign w:val="center"/>
          </w:tcPr>
          <w:p w14:paraId="30D49DBA">
            <w:pPr>
              <w:autoSpaceDE w:val="0"/>
              <w:autoSpaceDN w:val="0"/>
              <w:ind w:left="489" w:leftChars="24" w:hanging="437" w:hangingChars="175"/>
              <w:jc w:val="center"/>
              <w:rPr>
                <w:rFonts w:hint="default"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rPr>
              <w:t>20</w:t>
            </w:r>
          </w:p>
        </w:tc>
        <w:tc>
          <w:tcPr>
            <w:tcW w:w="2003" w:type="dxa"/>
            <w:tcBorders>
              <w:tl2br w:val="nil"/>
              <w:tr2bl w:val="nil"/>
            </w:tcBorders>
            <w:vAlign w:val="center"/>
          </w:tcPr>
          <w:p w14:paraId="19B4BE13">
            <w:pPr>
              <w:autoSpaceDE w:val="0"/>
              <w:autoSpaceDN w:val="0"/>
              <w:spacing w:line="240" w:lineRule="auto"/>
              <w:ind w:left="489" w:leftChars="24" w:hanging="437" w:hangingChars="175"/>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rPr>
              <w:t>最高限价</w:t>
            </w:r>
          </w:p>
        </w:tc>
        <w:tc>
          <w:tcPr>
            <w:tcW w:w="6378" w:type="dxa"/>
            <w:tcBorders>
              <w:tl2br w:val="nil"/>
              <w:tr2bl w:val="nil"/>
            </w:tcBorders>
            <w:vAlign w:val="center"/>
          </w:tcPr>
          <w:p w14:paraId="02DFFF4A">
            <w:pPr>
              <w:spacing w:line="42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小写：</w:t>
            </w:r>
            <w:r>
              <w:rPr>
                <w:rFonts w:hint="eastAsia" w:ascii="宋体" w:hAnsi="宋体" w:cs="宋体"/>
                <w:b/>
                <w:bCs/>
                <w:sz w:val="24"/>
                <w:szCs w:val="24"/>
                <w:highlight w:val="none"/>
                <w:lang w:val="en-US" w:eastAsia="zh-CN"/>
              </w:rPr>
              <w:t>140000.00</w:t>
            </w:r>
            <w:r>
              <w:rPr>
                <w:rFonts w:hint="eastAsia" w:ascii="宋体" w:hAnsi="宋体" w:eastAsia="宋体" w:cs="宋体"/>
                <w:b/>
                <w:bCs/>
                <w:sz w:val="24"/>
                <w:szCs w:val="24"/>
                <w:highlight w:val="none"/>
                <w:lang w:val="en-US" w:eastAsia="zh-CN"/>
              </w:rPr>
              <w:t>元；</w:t>
            </w:r>
          </w:p>
          <w:p w14:paraId="180E39EC">
            <w:pPr>
              <w:spacing w:line="420" w:lineRule="exact"/>
              <w:rPr>
                <w:rFonts w:hint="default" w:ascii="宋体" w:hAnsi="宋体" w:eastAsia="宋体" w:cs="宋体"/>
                <w:b/>
                <w:color w:val="auto"/>
                <w:sz w:val="24"/>
                <w:szCs w:val="24"/>
                <w:highlight w:val="none"/>
                <w:lang w:val="en-US" w:eastAsia="zh-CN"/>
              </w:rPr>
            </w:pPr>
            <w:r>
              <w:rPr>
                <w:rFonts w:hint="eastAsia" w:ascii="宋体" w:hAnsi="宋体" w:eastAsia="宋体" w:cs="宋体"/>
                <w:b/>
                <w:bCs/>
                <w:sz w:val="24"/>
                <w:szCs w:val="24"/>
                <w:highlight w:val="none"/>
                <w:lang w:val="en-US" w:eastAsia="zh-CN"/>
              </w:rPr>
              <w:t>大写：</w:t>
            </w:r>
            <w:r>
              <w:rPr>
                <w:rFonts w:hint="eastAsia" w:ascii="宋体" w:hAnsi="宋体" w:cs="宋体"/>
                <w:b/>
                <w:bCs/>
                <w:sz w:val="24"/>
                <w:szCs w:val="24"/>
                <w:highlight w:val="none"/>
                <w:lang w:val="en-US" w:eastAsia="zh-CN"/>
              </w:rPr>
              <w:t>壹拾肆万元整</w:t>
            </w:r>
          </w:p>
        </w:tc>
      </w:tr>
      <w:tr w14:paraId="3E95E9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907" w:type="dxa"/>
            <w:tcBorders>
              <w:tl2br w:val="nil"/>
              <w:tr2bl w:val="nil"/>
            </w:tcBorders>
            <w:vAlign w:val="center"/>
          </w:tcPr>
          <w:p w14:paraId="79FCE830">
            <w:pPr>
              <w:jc w:val="center"/>
              <w:rPr>
                <w:rFonts w:hint="default" w:ascii="宋体" w:hAnsi="宋体" w:cs="宋体"/>
                <w:kern w:val="0"/>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w:t>
            </w:r>
          </w:p>
        </w:tc>
        <w:tc>
          <w:tcPr>
            <w:tcW w:w="2003" w:type="dxa"/>
            <w:tcBorders>
              <w:tl2br w:val="nil"/>
              <w:tr2bl w:val="nil"/>
            </w:tcBorders>
            <w:vAlign w:val="center"/>
          </w:tcPr>
          <w:p w14:paraId="13164B8E">
            <w:pPr>
              <w:spacing w:line="360" w:lineRule="exact"/>
              <w:jc w:val="center"/>
              <w:rPr>
                <w:rFonts w:hint="eastAsia" w:ascii="宋体" w:hAnsi="宋体" w:cs="宋体"/>
                <w:kern w:val="0"/>
                <w:sz w:val="24"/>
                <w:szCs w:val="24"/>
                <w:highlight w:val="none"/>
              </w:rPr>
            </w:pP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结果公示</w:t>
            </w:r>
          </w:p>
        </w:tc>
        <w:tc>
          <w:tcPr>
            <w:tcW w:w="6378" w:type="dxa"/>
            <w:tcBorders>
              <w:tl2br w:val="nil"/>
              <w:tr2bl w:val="nil"/>
            </w:tcBorders>
            <w:vAlign w:val="center"/>
          </w:tcPr>
          <w:p w14:paraId="5ABB829D">
            <w:pPr>
              <w:spacing w:line="360" w:lineRule="exact"/>
              <w:ind w:left="44" w:leftChars="2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sz w:val="24"/>
                <w:szCs w:val="24"/>
                <w:highlight w:val="none"/>
                <w:lang w:eastAsia="zh-CN"/>
              </w:rPr>
              <w:t>陕西省政府采购网、全国公共资源交易平台（陕西省·宝鸡市）</w:t>
            </w:r>
          </w:p>
        </w:tc>
      </w:tr>
      <w:tr w14:paraId="46D801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07" w:type="dxa"/>
            <w:tcBorders>
              <w:tl2br w:val="nil"/>
              <w:tr2bl w:val="nil"/>
            </w:tcBorders>
            <w:vAlign w:val="center"/>
          </w:tcPr>
          <w:p w14:paraId="61C6BCE3">
            <w:pPr>
              <w:autoSpaceDE w:val="0"/>
              <w:autoSpaceDN w:val="0"/>
              <w:ind w:left="489" w:leftChars="24" w:hanging="437" w:hangingChars="175"/>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22</w:t>
            </w:r>
          </w:p>
        </w:tc>
        <w:tc>
          <w:tcPr>
            <w:tcW w:w="2003" w:type="dxa"/>
            <w:tcBorders>
              <w:tl2br w:val="nil"/>
              <w:tr2bl w:val="nil"/>
            </w:tcBorders>
            <w:vAlign w:val="center"/>
          </w:tcPr>
          <w:p w14:paraId="0EF1979D">
            <w:pPr>
              <w:spacing w:line="240" w:lineRule="auto"/>
              <w:jc w:val="center"/>
              <w:rPr>
                <w:rFonts w:ascii="宋体" w:hAnsi="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eastAsia="zh-CN"/>
              </w:rPr>
              <w:t>是否为专门面向</w:t>
            </w:r>
            <w:r>
              <w:rPr>
                <w:rFonts w:hint="eastAsia" w:ascii="宋体" w:hAnsi="宋体" w:cs="宋体"/>
                <w:b w:val="0"/>
                <w:bCs w:val="0"/>
                <w:color w:val="auto"/>
                <w:sz w:val="24"/>
                <w:szCs w:val="24"/>
                <w:highlight w:val="none"/>
                <w:lang w:eastAsia="zh-CN"/>
              </w:rPr>
              <w:t>中小</w:t>
            </w:r>
            <w:r>
              <w:rPr>
                <w:rFonts w:hint="eastAsia" w:ascii="宋体" w:hAnsi="宋体" w:eastAsia="宋体" w:cs="宋体"/>
                <w:b w:val="0"/>
                <w:bCs w:val="0"/>
                <w:color w:val="auto"/>
                <w:sz w:val="24"/>
                <w:szCs w:val="24"/>
                <w:highlight w:val="none"/>
                <w:lang w:eastAsia="zh-CN"/>
              </w:rPr>
              <w:t>企业采购</w:t>
            </w:r>
          </w:p>
        </w:tc>
        <w:tc>
          <w:tcPr>
            <w:tcW w:w="6378" w:type="dxa"/>
            <w:tcBorders>
              <w:tl2br w:val="nil"/>
              <w:tr2bl w:val="nil"/>
            </w:tcBorders>
            <w:vAlign w:val="center"/>
          </w:tcPr>
          <w:p w14:paraId="3336BD5D">
            <w:pPr>
              <w:pStyle w:val="5"/>
              <w:spacing w:line="240" w:lineRule="auto"/>
              <w:ind w:left="0" w:leftChars="0" w:firstLine="0" w:firstLineChars="0"/>
              <w:rPr>
                <w:sz w:val="24"/>
                <w:szCs w:val="24"/>
                <w:highlight w:val="none"/>
              </w:rPr>
            </w:pPr>
            <w:r>
              <w:rPr>
                <w:rFonts w:hint="eastAsia" w:ascii="宋体" w:hAnsi="宋体" w:cs="宋体"/>
                <w:b/>
                <w:bCs/>
                <w:color w:val="auto"/>
                <w:kern w:val="0"/>
                <w:sz w:val="24"/>
                <w:szCs w:val="24"/>
                <w:highlight w:val="none"/>
                <w:lang w:val="en-US" w:eastAsia="zh-CN"/>
              </w:rPr>
              <w:t>是，面向规模：中小企业。</w:t>
            </w:r>
          </w:p>
        </w:tc>
      </w:tr>
      <w:tr w14:paraId="331469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07" w:type="dxa"/>
            <w:tcBorders>
              <w:tl2br w:val="nil"/>
              <w:tr2bl w:val="nil"/>
            </w:tcBorders>
            <w:vAlign w:val="center"/>
          </w:tcPr>
          <w:p w14:paraId="78AF07E5">
            <w:pPr>
              <w:autoSpaceDE w:val="0"/>
              <w:autoSpaceDN w:val="0"/>
              <w:ind w:left="489" w:leftChars="24" w:hanging="437" w:hangingChars="175"/>
              <w:jc w:val="center"/>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23</w:t>
            </w:r>
          </w:p>
        </w:tc>
        <w:tc>
          <w:tcPr>
            <w:tcW w:w="2003" w:type="dxa"/>
            <w:tcBorders>
              <w:tl2br w:val="nil"/>
              <w:tr2bl w:val="nil"/>
            </w:tcBorders>
            <w:vAlign w:val="center"/>
          </w:tcPr>
          <w:p w14:paraId="70AB035F">
            <w:pPr>
              <w:spacing w:line="240" w:lineRule="auto"/>
              <w:jc w:val="center"/>
              <w:rPr>
                <w:rFonts w:hint="eastAsia" w:ascii="宋体" w:hAnsi="宋体" w:eastAsia="宋体" w:cs="宋体"/>
                <w:b w:val="0"/>
                <w:bCs w:val="0"/>
                <w:color w:val="auto"/>
                <w:sz w:val="24"/>
                <w:szCs w:val="24"/>
                <w:highlight w:val="none"/>
                <w:lang w:eastAsia="zh-CN"/>
              </w:rPr>
            </w:pPr>
            <w:r>
              <w:rPr>
                <w:rFonts w:hint="eastAsia"/>
                <w:b w:val="0"/>
                <w:bCs w:val="0"/>
                <w:sz w:val="24"/>
                <w:szCs w:val="24"/>
                <w:highlight w:val="none"/>
                <w:lang w:val="en-US" w:eastAsia="zh-CN"/>
              </w:rPr>
              <w:t>标的名称</w:t>
            </w:r>
          </w:p>
        </w:tc>
        <w:tc>
          <w:tcPr>
            <w:tcW w:w="6378" w:type="dxa"/>
            <w:tcBorders>
              <w:tl2br w:val="nil"/>
              <w:tr2bl w:val="nil"/>
            </w:tcBorders>
            <w:vAlign w:val="center"/>
          </w:tcPr>
          <w:p w14:paraId="318A73EE">
            <w:pPr>
              <w:pStyle w:val="6"/>
              <w:ind w:left="0" w:leftChars="0" w:firstLine="0" w:firstLineChars="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秦雍城遗址秦公一号大墓祭祀坑保护展示工程监理</w:t>
            </w:r>
          </w:p>
        </w:tc>
      </w:tr>
      <w:tr w14:paraId="31ECFC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07" w:type="dxa"/>
            <w:tcBorders>
              <w:tl2br w:val="nil"/>
              <w:tr2bl w:val="nil"/>
            </w:tcBorders>
            <w:vAlign w:val="center"/>
          </w:tcPr>
          <w:p w14:paraId="4F7441B1">
            <w:pPr>
              <w:autoSpaceDE w:val="0"/>
              <w:autoSpaceDN w:val="0"/>
              <w:ind w:left="489" w:leftChars="24" w:hanging="437" w:hangingChars="175"/>
              <w:jc w:val="center"/>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24</w:t>
            </w:r>
          </w:p>
        </w:tc>
        <w:tc>
          <w:tcPr>
            <w:tcW w:w="2003" w:type="dxa"/>
            <w:tcBorders>
              <w:tl2br w:val="nil"/>
              <w:tr2bl w:val="nil"/>
            </w:tcBorders>
            <w:vAlign w:val="center"/>
          </w:tcPr>
          <w:p w14:paraId="45A53663">
            <w:pPr>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bCs/>
                <w:sz w:val="22"/>
                <w:szCs w:val="22"/>
                <w:highlight w:val="none"/>
              </w:rPr>
              <w:t>本项目所属行业及企业规模划分标准</w:t>
            </w:r>
          </w:p>
        </w:tc>
        <w:tc>
          <w:tcPr>
            <w:tcW w:w="6378" w:type="dxa"/>
            <w:tcBorders>
              <w:tl2br w:val="nil"/>
              <w:tr2bl w:val="nil"/>
            </w:tcBorders>
            <w:vAlign w:val="center"/>
          </w:tcPr>
          <w:p w14:paraId="1E580913">
            <w:pPr>
              <w:pStyle w:val="5"/>
              <w:ind w:firstLine="0" w:firstLineChars="0"/>
              <w:rPr>
                <w:rFonts w:hint="eastAsia" w:ascii="宋体" w:hAnsi="宋体" w:cs="宋体"/>
                <w:b/>
                <w:bCs/>
                <w:color w:val="auto"/>
                <w:kern w:val="0"/>
                <w:sz w:val="24"/>
                <w:szCs w:val="24"/>
                <w:highlight w:val="none"/>
                <w:lang w:val="en-US" w:eastAsia="zh-CN"/>
              </w:rPr>
            </w:pPr>
            <w:r>
              <w:rPr>
                <w:rFonts w:hint="eastAsia" w:ascii="宋体" w:hAnsi="宋体" w:eastAsia="宋体" w:cs="宋体"/>
                <w:sz w:val="22"/>
                <w:szCs w:val="22"/>
                <w:highlight w:val="none"/>
              </w:rPr>
              <w:t>企业规模划分标准参照“关于印发中小企业划型标准规定的通知</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工信部联企业[2011]300号</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”中</w:t>
            </w:r>
            <w:r>
              <w:rPr>
                <w:rFonts w:hint="eastAsia" w:ascii="宋体" w:hAnsi="宋体" w:eastAsia="宋体" w:cs="宋体"/>
                <w:b/>
                <w:bCs/>
                <w:sz w:val="22"/>
                <w:szCs w:val="22"/>
                <w:highlight w:val="none"/>
              </w:rPr>
              <w:t>“</w:t>
            </w:r>
            <w:r>
              <w:rPr>
                <w:rFonts w:hint="eastAsia" w:ascii="宋体" w:hAnsi="宋体" w:cs="宋体"/>
                <w:b/>
                <w:bCs/>
                <w:color w:val="auto"/>
                <w:kern w:val="0"/>
                <w:sz w:val="24"/>
                <w:szCs w:val="24"/>
                <w:highlight w:val="none"/>
                <w:lang w:val="en-US" w:eastAsia="zh-CN"/>
              </w:rPr>
              <w:t>其他未列明行业</w:t>
            </w:r>
            <w:r>
              <w:rPr>
                <w:rFonts w:hint="eastAsia" w:ascii="宋体" w:hAnsi="宋体" w:eastAsia="宋体" w:cs="宋体"/>
                <w:b/>
                <w:bCs/>
                <w:sz w:val="22"/>
                <w:szCs w:val="22"/>
                <w:highlight w:val="none"/>
              </w:rPr>
              <w:t>”</w:t>
            </w:r>
            <w:r>
              <w:rPr>
                <w:rFonts w:hint="eastAsia" w:ascii="宋体" w:hAnsi="宋体" w:eastAsia="宋体" w:cs="宋体"/>
                <w:sz w:val="22"/>
                <w:szCs w:val="22"/>
                <w:highlight w:val="none"/>
              </w:rPr>
              <w:t>。</w:t>
            </w:r>
          </w:p>
        </w:tc>
      </w:tr>
      <w:tr w14:paraId="0B3B68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907" w:type="dxa"/>
            <w:tcBorders>
              <w:tl2br w:val="nil"/>
              <w:tr2bl w:val="nil"/>
            </w:tcBorders>
            <w:vAlign w:val="center"/>
          </w:tcPr>
          <w:p w14:paraId="3E44EF44">
            <w:pPr>
              <w:autoSpaceDE w:val="0"/>
              <w:autoSpaceDN w:val="0"/>
              <w:ind w:left="489" w:leftChars="24" w:hanging="437" w:hangingChars="175"/>
              <w:jc w:val="center"/>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备注</w:t>
            </w:r>
          </w:p>
        </w:tc>
        <w:tc>
          <w:tcPr>
            <w:tcW w:w="8381" w:type="dxa"/>
            <w:gridSpan w:val="2"/>
            <w:tcBorders>
              <w:tl2br w:val="nil"/>
              <w:tr2bl w:val="nil"/>
            </w:tcBorders>
            <w:vAlign w:val="center"/>
          </w:tcPr>
          <w:p w14:paraId="14FCE0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特别提醒：</w:t>
            </w:r>
          </w:p>
          <w:p w14:paraId="42BD118F">
            <w:pPr>
              <w:spacing w:line="360" w:lineRule="auto"/>
              <w:ind w:firstLine="500" w:firstLineChars="200"/>
              <w:rPr>
                <w:rFonts w:hint="eastAsia" w:ascii="宋体" w:hAnsi="宋体" w:eastAsia="宋体" w:cs="宋体"/>
                <w:b w:val="0"/>
                <w:bCs w:val="0"/>
                <w:sz w:val="22"/>
                <w:szCs w:val="22"/>
                <w:highlight w:val="none"/>
              </w:rPr>
            </w:pPr>
            <w:r>
              <w:rPr>
                <w:rFonts w:hint="eastAsia" w:ascii="宋体" w:hAnsi="宋体" w:cs="宋体"/>
                <w:b/>
                <w:color w:val="auto"/>
                <w:sz w:val="24"/>
                <w:szCs w:val="24"/>
                <w:highlight w:val="none"/>
                <w:lang w:val="en-US" w:eastAsia="zh-CN"/>
              </w:rPr>
              <w:t xml:space="preserve">  </w:t>
            </w:r>
            <w:r>
              <w:rPr>
                <w:rFonts w:hint="eastAsia" w:ascii="宋体" w:hAnsi="宋体" w:eastAsia="宋体" w:cs="宋体"/>
                <w:b w:val="0"/>
                <w:bCs w:val="0"/>
                <w:sz w:val="22"/>
                <w:szCs w:val="22"/>
                <w:highlight w:val="none"/>
              </w:rPr>
              <w:t>本次开标采用“不见面开标”方式</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“不见面开标大厅”登录方式：全国公共资源交易平台</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陕西省宝鸡市</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http://ggzy.baoji.gov.cn/</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点击【不见面开标】-----【宝鸡市】进入不见面开标大厅登陆首页。电子投标文件在截止时间前签章加密上传。关于使用不见面开标方式的相关事项详见全国公共资源交易平台</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陕西省宝鸡市</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“服务指南”“下载专区”下载并仔细阅读</w:t>
            </w:r>
            <w:r>
              <w:rPr>
                <w:rFonts w:hint="eastAsia" w:ascii="宋体" w:hAnsi="宋体" w:eastAsia="宋体" w:cs="宋体"/>
                <w:b w:val="0"/>
                <w:bCs w:val="0"/>
                <w:sz w:val="22"/>
                <w:szCs w:val="22"/>
                <w:highlight w:val="none"/>
                <w:lang w:val="en-US" w:eastAsia="zh-CN"/>
              </w:rPr>
              <w:t>“新版政府采购不见面开标系统操作演示”和“</w:t>
            </w:r>
            <w:r>
              <w:rPr>
                <w:rFonts w:hint="eastAsia" w:ascii="宋体" w:hAnsi="宋体" w:eastAsia="宋体" w:cs="宋体"/>
                <w:b w:val="0"/>
                <w:bCs w:val="0"/>
                <w:sz w:val="22"/>
                <w:szCs w:val="22"/>
                <w:highlight w:val="none"/>
                <w:lang w:val="en-US" w:eastAsia="zh-CN"/>
              </w:rPr>
              <w:fldChar w:fldCharType="begin"/>
            </w:r>
            <w:r>
              <w:rPr>
                <w:rFonts w:hint="eastAsia" w:ascii="宋体" w:hAnsi="宋体" w:eastAsia="宋体" w:cs="宋体"/>
                <w:b w:val="0"/>
                <w:bCs w:val="0"/>
                <w:sz w:val="22"/>
                <w:szCs w:val="22"/>
                <w:highlight w:val="none"/>
                <w:lang w:val="en-US" w:eastAsia="zh-CN"/>
              </w:rPr>
              <w:instrText xml:space="preserve"> HYPERLINK "javascript:void(0);" \o "宝鸡不见面开标大厅操作手册-投标人.docx" </w:instrText>
            </w:r>
            <w:r>
              <w:rPr>
                <w:rFonts w:hint="eastAsia" w:ascii="宋体" w:hAnsi="宋体" w:eastAsia="宋体" w:cs="宋体"/>
                <w:b w:val="0"/>
                <w:bCs w:val="0"/>
                <w:sz w:val="22"/>
                <w:szCs w:val="22"/>
                <w:highlight w:val="none"/>
                <w:lang w:val="en-US" w:eastAsia="zh-CN"/>
              </w:rPr>
              <w:fldChar w:fldCharType="separate"/>
            </w:r>
            <w:r>
              <w:rPr>
                <w:rFonts w:hint="eastAsia" w:ascii="宋体" w:hAnsi="宋体" w:eastAsia="宋体" w:cs="宋体"/>
                <w:b w:val="0"/>
                <w:bCs w:val="0"/>
                <w:sz w:val="22"/>
                <w:szCs w:val="22"/>
                <w:highlight w:val="none"/>
                <w:lang w:val="en-US" w:eastAsia="zh-CN"/>
              </w:rPr>
              <w:t>宝鸡不见面开标大厅操作手册-投标人</w:t>
            </w:r>
            <w:r>
              <w:rPr>
                <w:rFonts w:hint="eastAsia" w:ascii="宋体" w:hAnsi="宋体" w:eastAsia="宋体" w:cs="宋体"/>
                <w:b w:val="0"/>
                <w:bCs w:val="0"/>
                <w:sz w:val="22"/>
                <w:szCs w:val="22"/>
                <w:highlight w:val="none"/>
                <w:lang w:val="en-US" w:eastAsia="zh-CN"/>
              </w:rPr>
              <w:fldChar w:fldCharType="end"/>
            </w:r>
            <w:r>
              <w:rPr>
                <w:rFonts w:hint="eastAsia" w:ascii="宋体" w:hAnsi="宋体" w:eastAsia="宋体" w:cs="宋体"/>
                <w:b w:val="0"/>
                <w:bCs w:val="0"/>
                <w:sz w:val="22"/>
                <w:szCs w:val="22"/>
                <w:highlight w:val="none"/>
                <w:lang w:val="en-US" w:eastAsia="zh-CN"/>
              </w:rPr>
              <w:t>”</w:t>
            </w:r>
            <w:r>
              <w:rPr>
                <w:rFonts w:hint="eastAsia" w:ascii="宋体" w:hAnsi="宋体" w:eastAsia="宋体" w:cs="宋体"/>
                <w:b w:val="0"/>
                <w:bCs w:val="0"/>
                <w:sz w:val="22"/>
                <w:szCs w:val="22"/>
                <w:highlight w:val="none"/>
              </w:rPr>
              <w:t>。</w:t>
            </w:r>
          </w:p>
          <w:p w14:paraId="314431DA">
            <w:pPr>
              <w:spacing w:line="360" w:lineRule="auto"/>
              <w:ind w:firstLine="460" w:firstLineChars="200"/>
              <w:rPr>
                <w:rFonts w:hint="eastAsia" w:ascii="宋体" w:hAnsi="宋体" w:eastAsia="宋体" w:cs="宋体"/>
                <w:b w:val="0"/>
                <w:bCs w:val="0"/>
                <w:sz w:val="22"/>
                <w:szCs w:val="22"/>
                <w:highlight w:val="none"/>
                <w:lang w:eastAsia="zh-CN"/>
              </w:rPr>
            </w:pP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1</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本项目采用电子化投标的方式。投标人须使用数字认证证书对电子化投标文件进行签章、加密、递交及开标时解密等相关招投标事宜。如因投标人自身原因造成未能解密、解密失败或解密超时</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lang w:val="en-US" w:eastAsia="zh-CN"/>
              </w:rPr>
              <w:t>30分钟</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lang w:val="en-US" w:eastAsia="zh-CN"/>
              </w:rPr>
              <w:t>无法导入投标文件参与评审的，投标人自行承担对其不利的后果</w:t>
            </w:r>
            <w:r>
              <w:rPr>
                <w:rFonts w:hint="eastAsia" w:ascii="宋体" w:hAnsi="宋体" w:eastAsia="宋体" w:cs="宋体"/>
                <w:b w:val="0"/>
                <w:bCs w:val="0"/>
                <w:sz w:val="22"/>
                <w:szCs w:val="22"/>
                <w:highlight w:val="none"/>
              </w:rPr>
              <w:t>。</w:t>
            </w:r>
          </w:p>
          <w:p w14:paraId="6CC8732D">
            <w:pPr>
              <w:spacing w:line="360" w:lineRule="auto"/>
              <w:ind w:firstLine="460" w:firstLineChars="200"/>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2</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制作电子投标文件。投标人须在“全国公共资源交易中心平台（陕西省.宝鸡市）（http://ggzy.baoji.gov.cn/）”的“服务指南”栏目“下载专区”中</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免费下载“政府采购电子标书制作工具”</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并使用该客户端制作*.SXSTF格式电子投标文件。网上响应成功并在文件下载时限内从电子交易平台下载采购文件后</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应随时关注交易平台。如有答疑文件</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应及时下载答疑文件（*.sxstf 格式）并使用最终答疑文件编制响应文件。如因自身原因未在下载时限内从电子交易平台下载采购文件</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或未下载并使用最终答疑文件编制响应文件</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导致无法编制（上传）响应文件</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自行承担不利后果。</w:t>
            </w:r>
          </w:p>
          <w:p w14:paraId="2DFC20D0">
            <w:pPr>
              <w:spacing w:line="360" w:lineRule="auto"/>
              <w:ind w:firstLine="460" w:firstLineChars="200"/>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3</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递交电子投标文件。登录陕西省宝鸡市公共资源交易中心平台</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http://ggzy.baoji.gov.cn/</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选择“电子交易平台-陕西政府采购交易系统-企业端”进行登录</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登录后选择“交易乙方”身份进入</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选择“我的项目”-“项目流程”-“上传投标文件”菜单页面</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上传加密的电子化投标文件。上传成功后</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电子化平台将予以记录。</w:t>
            </w:r>
          </w:p>
          <w:p w14:paraId="7E95DFD7">
            <w:pPr>
              <w:spacing w:line="360" w:lineRule="auto"/>
              <w:ind w:firstLine="460" w:firstLineChars="200"/>
              <w:rPr>
                <w:rFonts w:hint="eastAsia" w:ascii="宋体" w:hAnsi="宋体" w:eastAsia="宋体" w:cs="宋体"/>
                <w:b w:val="0"/>
                <w:bCs w:val="0"/>
                <w:sz w:val="22"/>
                <w:szCs w:val="22"/>
                <w:highlight w:val="none"/>
                <w:lang w:eastAsia="zh-CN"/>
              </w:rPr>
            </w:pP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4</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投标人应于开标前</w:t>
            </w:r>
            <w:r>
              <w:rPr>
                <w:rFonts w:hint="eastAsia" w:ascii="宋体" w:hAnsi="宋体" w:eastAsia="宋体" w:cs="宋体"/>
                <w:b w:val="0"/>
                <w:bCs w:val="0"/>
                <w:sz w:val="22"/>
                <w:szCs w:val="22"/>
                <w:highlight w:val="none"/>
                <w:lang w:val="en-US" w:eastAsia="zh-CN"/>
              </w:rPr>
              <w:t>准备好不见面开标所使用的硬件设备，包括但不限于（电脑、耳机、麦克风、CA锁等），</w:t>
            </w:r>
            <w:r>
              <w:rPr>
                <w:rFonts w:hint="eastAsia" w:ascii="宋体" w:hAnsi="宋体" w:eastAsia="宋体" w:cs="宋体"/>
                <w:b w:val="0"/>
                <w:bCs w:val="0"/>
                <w:sz w:val="22"/>
                <w:szCs w:val="22"/>
                <w:highlight w:val="none"/>
              </w:rPr>
              <w:t>检查网络环境、安装插件以及浏览器</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提前阅读宝鸡市不见面大厅投标人操作手册</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务必在开标前一小时内完成在线签到工作。</w:t>
            </w:r>
            <w:r>
              <w:rPr>
                <w:rFonts w:hint="eastAsia" w:ascii="宋体" w:hAnsi="宋体" w:eastAsia="宋体" w:cs="宋体"/>
                <w:b w:val="0"/>
                <w:bCs w:val="0"/>
                <w:sz w:val="22"/>
                <w:szCs w:val="22"/>
                <w:highlight w:val="none"/>
                <w:lang w:val="en-US" w:eastAsia="zh-CN"/>
              </w:rPr>
              <w:t>开标时签到内容应含投标人联系人姓名及联系方式，确保在开标环节代理机构工作人员能及时有效的联系沟通。投标人始终保持在线，及时刷新页面，关注评审小组发起的在线通知，确保项目评审顺利。</w:t>
            </w:r>
            <w:r>
              <w:rPr>
                <w:rFonts w:hint="eastAsia" w:ascii="宋体" w:hAnsi="宋体" w:eastAsia="宋体" w:cs="宋体"/>
                <w:b w:val="0"/>
                <w:bCs w:val="0"/>
                <w:sz w:val="22"/>
                <w:szCs w:val="22"/>
                <w:highlight w:val="none"/>
              </w:rPr>
              <w:t>如有供应商因不熟悉系统操作流程无法签到</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应及时联系宝鸡市公共资源交易中心技术人员指导完成相应操作。</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联系方式：0917-3263756</w:t>
            </w:r>
            <w:r>
              <w:rPr>
                <w:rFonts w:hint="eastAsia" w:ascii="宋体" w:hAnsi="宋体" w:eastAsia="宋体" w:cs="宋体"/>
                <w:b w:val="0"/>
                <w:bCs w:val="0"/>
                <w:sz w:val="22"/>
                <w:szCs w:val="22"/>
                <w:highlight w:val="none"/>
                <w:lang w:eastAsia="zh-CN"/>
              </w:rPr>
              <w:t>）。</w:t>
            </w:r>
          </w:p>
          <w:p w14:paraId="3C771FCC">
            <w:pPr>
              <w:spacing w:line="360" w:lineRule="auto"/>
              <w:ind w:firstLine="460" w:firstLineChars="2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lang w:val="en-US" w:eastAsia="zh-CN"/>
              </w:rPr>
              <w:t>5</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lang w:val="en-US" w:eastAsia="zh-CN"/>
              </w:rPr>
              <w:t>若因投标人未按要求签到、系统操作不熟练、数字认证证书故障、软硬件环境未提前安装测试等，在开评标过程中无法联系投标人进行解密、澄清、磋商、谈判等必要程序，投标人自行承担对其不利的后果。</w:t>
            </w:r>
          </w:p>
          <w:p w14:paraId="1B16D5B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60" w:firstLineChars="200"/>
              <w:jc w:val="both"/>
              <w:textAlignment w:val="auto"/>
              <w:outlineLvl w:val="9"/>
              <w:rPr>
                <w:rFonts w:hint="default" w:ascii="宋体" w:hAnsi="宋体" w:eastAsia="宋体" w:cs="宋体"/>
                <w:b/>
                <w:color w:val="auto"/>
                <w:sz w:val="24"/>
                <w:szCs w:val="24"/>
                <w:highlight w:val="none"/>
                <w:lang w:val="en-US" w:eastAsia="zh-CN"/>
              </w:rPr>
            </w:pPr>
            <w:r>
              <w:rPr>
                <w:rFonts w:hint="eastAsia" w:ascii="宋体" w:hAnsi="宋体" w:eastAsia="宋体" w:cs="宋体"/>
                <w:b w:val="0"/>
                <w:bCs w:val="0"/>
                <w:sz w:val="22"/>
                <w:szCs w:val="22"/>
                <w:highlight w:val="none"/>
                <w:lang w:val="en-US" w:eastAsia="zh-CN"/>
              </w:rPr>
              <w:t>（6）</w:t>
            </w:r>
            <w:r>
              <w:rPr>
                <w:rFonts w:hint="eastAsia" w:ascii="宋体" w:hAnsi="宋体" w:eastAsia="宋体" w:cs="宋体"/>
                <w:b w:val="0"/>
                <w:bCs w:val="0"/>
                <w:sz w:val="22"/>
                <w:szCs w:val="22"/>
                <w:highlight w:val="none"/>
              </w:rPr>
              <w:t>发布结果公告后</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lang w:val="en-US" w:eastAsia="zh-CN"/>
              </w:rPr>
              <w:t>中标</w:t>
            </w:r>
            <w:r>
              <w:rPr>
                <w:rFonts w:hint="eastAsia" w:ascii="宋体" w:hAnsi="宋体" w:eastAsia="宋体" w:cs="宋体"/>
                <w:b w:val="0"/>
                <w:bCs w:val="0"/>
                <w:sz w:val="22"/>
                <w:szCs w:val="22"/>
                <w:highlight w:val="none"/>
              </w:rPr>
              <w:t>供应商应向采购人提交与上传的加密响应文件内容一致的纸质版响应文件</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正本一份</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副本二份</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电子版U盘</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含可编辑的Word版本及签字盖章的PDF版本</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rPr>
              <w:t>一份</w:t>
            </w:r>
            <w:r>
              <w:rPr>
                <w:rFonts w:hint="eastAsia" w:ascii="宋体" w:hAnsi="宋体" w:eastAsia="宋体" w:cs="宋体"/>
                <w:b w:val="0"/>
                <w:bCs w:val="0"/>
                <w:sz w:val="22"/>
                <w:szCs w:val="22"/>
                <w:highlight w:val="none"/>
                <w:lang w:eastAsia="zh-CN"/>
              </w:rPr>
              <w:t>。</w:t>
            </w:r>
          </w:p>
        </w:tc>
      </w:tr>
    </w:tbl>
    <w:p w14:paraId="1E1B77F9">
      <w:pPr>
        <w:keepNext w:val="0"/>
        <w:keepLines w:val="0"/>
        <w:pageBreakBefore w:val="0"/>
        <w:kinsoku/>
        <w:wordWrap/>
        <w:overflowPunct/>
        <w:topLinePunct w:val="0"/>
        <w:autoSpaceDE w:val="0"/>
        <w:autoSpaceDN w:val="0"/>
        <w:bidi w:val="0"/>
        <w:adjustRightInd w:val="0"/>
        <w:spacing w:line="540" w:lineRule="exact"/>
        <w:ind w:left="0" w:leftChars="0" w:right="0" w:rightChars="0" w:firstLine="500" w:firstLineChars="200"/>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一、名词解释</w:t>
      </w:r>
    </w:p>
    <w:p w14:paraId="6478D855">
      <w:pPr>
        <w:keepNext w:val="0"/>
        <w:keepLines w:val="0"/>
        <w:pageBreakBefore w:val="0"/>
        <w:widowControl/>
        <w:kinsoku/>
        <w:wordWrap/>
        <w:overflowPunct/>
        <w:topLinePunct w:val="0"/>
        <w:bidi w:val="0"/>
        <w:spacing w:line="540" w:lineRule="exact"/>
        <w:ind w:left="0" w:leftChars="0" w:right="0" w:rightChars="0" w:firstLine="50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cs="宋体"/>
          <w:bCs/>
          <w:color w:val="auto"/>
          <w:sz w:val="24"/>
          <w:szCs w:val="24"/>
          <w:highlight w:val="none"/>
        </w:rPr>
        <w:t>1、采购人：</w:t>
      </w:r>
      <w:r>
        <w:rPr>
          <w:rFonts w:hint="eastAsia" w:ascii="宋体" w:hAnsi="宋体" w:cs="宋体"/>
          <w:color w:val="auto"/>
          <w:sz w:val="24"/>
          <w:szCs w:val="24"/>
          <w:highlight w:val="none"/>
          <w:lang w:eastAsia="zh-CN"/>
        </w:rPr>
        <w:t>宝鸡先秦陵园博物馆</w:t>
      </w:r>
    </w:p>
    <w:p w14:paraId="161BC340">
      <w:pPr>
        <w:keepNext w:val="0"/>
        <w:keepLines w:val="0"/>
        <w:pageBreakBefore w:val="0"/>
        <w:kinsoku/>
        <w:wordWrap/>
        <w:overflowPunct/>
        <w:topLinePunct w:val="0"/>
        <w:autoSpaceDE w:val="0"/>
        <w:autoSpaceDN w:val="0"/>
        <w:bidi w:val="0"/>
        <w:adjustRightInd w:val="0"/>
        <w:spacing w:line="54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2、采购代理机构：陕西华信项目管理有限公司</w:t>
      </w:r>
    </w:p>
    <w:p w14:paraId="37093C99">
      <w:pPr>
        <w:keepNext w:val="0"/>
        <w:keepLines w:val="0"/>
        <w:pageBreakBefore w:val="0"/>
        <w:kinsoku/>
        <w:wordWrap/>
        <w:overflowPunct/>
        <w:topLinePunct w:val="0"/>
        <w:bidi w:val="0"/>
        <w:spacing w:line="540" w:lineRule="exact"/>
        <w:ind w:left="0" w:leftChars="0" w:right="0" w:rightChars="0" w:firstLine="50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rPr>
        <w:t>3、监督机构：</w:t>
      </w:r>
      <w:r>
        <w:rPr>
          <w:rFonts w:hint="eastAsia" w:ascii="宋体" w:hAnsi="宋体" w:cs="宋体"/>
          <w:bCs/>
          <w:color w:val="auto"/>
          <w:sz w:val="24"/>
          <w:szCs w:val="24"/>
          <w:highlight w:val="none"/>
          <w:lang w:eastAsia="zh-CN"/>
        </w:rPr>
        <w:t>宝鸡市文物局</w:t>
      </w:r>
    </w:p>
    <w:p w14:paraId="73A30CE3">
      <w:pPr>
        <w:keepNext w:val="0"/>
        <w:keepLines w:val="0"/>
        <w:pageBreakBefore w:val="0"/>
        <w:kinsoku/>
        <w:wordWrap/>
        <w:overflowPunct/>
        <w:topLinePunct w:val="0"/>
        <w:bidi w:val="0"/>
        <w:spacing w:line="54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4、供应商：满足</w:t>
      </w:r>
      <w:r>
        <w:rPr>
          <w:rFonts w:hint="eastAsia" w:ascii="宋体" w:hAnsi="宋体" w:cs="宋体"/>
          <w:bCs/>
          <w:color w:val="auto"/>
          <w:sz w:val="24"/>
          <w:szCs w:val="24"/>
          <w:highlight w:val="none"/>
          <w:lang w:eastAsia="zh-CN"/>
        </w:rPr>
        <w:t>竞争性磋商公告</w:t>
      </w:r>
      <w:r>
        <w:rPr>
          <w:rFonts w:hint="eastAsia" w:ascii="宋体" w:hAnsi="宋体" w:cs="宋体"/>
          <w:bCs/>
          <w:color w:val="auto"/>
          <w:sz w:val="24"/>
          <w:szCs w:val="24"/>
          <w:highlight w:val="none"/>
        </w:rPr>
        <w:t>中供应商的资格条件的规定和购买磋商文件、参加磋商的法人、其他组织或者自然人。</w:t>
      </w:r>
    </w:p>
    <w:p w14:paraId="3BFB0D77">
      <w:pPr>
        <w:keepNext w:val="0"/>
        <w:keepLines w:val="0"/>
        <w:pageBreakBefore w:val="0"/>
        <w:kinsoku/>
        <w:wordWrap/>
        <w:overflowPunct/>
        <w:topLinePunct w:val="0"/>
        <w:bidi w:val="0"/>
        <w:spacing w:line="54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
          <w:color w:val="auto"/>
          <w:sz w:val="24"/>
          <w:szCs w:val="24"/>
          <w:highlight w:val="none"/>
        </w:rPr>
        <w:t>二、竞争性磋商文件</w:t>
      </w:r>
    </w:p>
    <w:p w14:paraId="06DBBE99">
      <w:pPr>
        <w:keepNext w:val="0"/>
        <w:keepLines w:val="0"/>
        <w:pageBreakBefore w:val="0"/>
        <w:kinsoku/>
        <w:wordWrap/>
        <w:overflowPunct/>
        <w:topLinePunct w:val="0"/>
        <w:bidi w:val="0"/>
        <w:spacing w:line="54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1、竞争性磋商文件由竞争性磋商文件目录包含的五部分组成。</w:t>
      </w:r>
    </w:p>
    <w:p w14:paraId="2679E895">
      <w:pPr>
        <w:keepNext w:val="0"/>
        <w:keepLines w:val="0"/>
        <w:pageBreakBefore w:val="0"/>
        <w:kinsoku/>
        <w:wordWrap/>
        <w:overflowPunct/>
        <w:topLinePunct w:val="0"/>
        <w:bidi w:val="0"/>
        <w:spacing w:line="540" w:lineRule="exact"/>
        <w:ind w:left="0" w:leftChars="0" w:right="0" w:rightChars="0" w:firstLine="500" w:firstLineChars="200"/>
        <w:textAlignment w:val="auto"/>
        <w:rPr>
          <w:rFonts w:ascii="宋体" w:hAnsi="宋体" w:cs="宋体"/>
          <w:color w:val="auto"/>
          <w:sz w:val="24"/>
          <w:szCs w:val="24"/>
          <w:highlight w:val="none"/>
        </w:rPr>
      </w:pPr>
      <w:r>
        <w:rPr>
          <w:rFonts w:hint="eastAsia" w:ascii="宋体" w:hAnsi="宋体" w:cs="宋体"/>
          <w:bCs/>
          <w:color w:val="auto"/>
          <w:sz w:val="24"/>
          <w:szCs w:val="24"/>
          <w:highlight w:val="none"/>
        </w:rPr>
        <w:t>2、供应商应详细阅读竞争性磋商文件所有的事项、格式、条款和规范要求等，在竞争性磋商响应文件中对竞争性磋商文件的各方面都做出实质性的响应，按照竞争性磋商文件的要求提交全部资料。若供应商的磋商响应文件未按竞争性磋商文件要求提交全部资料，或没有对竞争性磋商文件做出实质性响应，应作</w:t>
      </w:r>
      <w:r>
        <w:rPr>
          <w:rFonts w:hint="eastAsia" w:ascii="宋体" w:hAnsi="宋体" w:cs="宋体"/>
          <w:bCs/>
          <w:color w:val="auto"/>
          <w:sz w:val="24"/>
          <w:szCs w:val="24"/>
          <w:highlight w:val="none"/>
          <w:lang w:eastAsia="zh-CN"/>
        </w:rPr>
        <w:t>无效响应</w:t>
      </w:r>
      <w:r>
        <w:rPr>
          <w:rFonts w:hint="eastAsia" w:ascii="宋体" w:hAnsi="宋体" w:cs="宋体"/>
          <w:bCs/>
          <w:color w:val="auto"/>
          <w:sz w:val="24"/>
          <w:szCs w:val="24"/>
          <w:highlight w:val="none"/>
        </w:rPr>
        <w:t>处理。</w:t>
      </w:r>
    </w:p>
    <w:p w14:paraId="2BA28EA9">
      <w:pPr>
        <w:keepNext w:val="0"/>
        <w:keepLines w:val="0"/>
        <w:pageBreakBefore w:val="0"/>
        <w:kinsoku/>
        <w:wordWrap/>
        <w:overflowPunct/>
        <w:topLinePunct w:val="0"/>
        <w:bidi w:val="0"/>
        <w:spacing w:line="54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3、竞争性磋商文件的澄清或修改：</w:t>
      </w:r>
    </w:p>
    <w:p w14:paraId="7EC71221">
      <w:pPr>
        <w:keepNext w:val="0"/>
        <w:keepLines w:val="0"/>
        <w:pageBreakBefore w:val="0"/>
        <w:kinsoku/>
        <w:wordWrap/>
        <w:overflowPunct/>
        <w:topLinePunct w:val="0"/>
        <w:bidi w:val="0"/>
        <w:spacing w:line="54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3.1提交磋商响应文件截止时间前，采购人、采购代理机构可以以书面形式对竞争性磋商文件进行必要的澄清或修改，其内容均为竞争性磋商文件的组成部分，并在原信息发布媒体上发布变更公告。对采购人及供应商起约束作用。澄清或修改的内容可能影响磋商响应文件编制的，都将于提交磋商响应文件截止时间5日前以书面形式通知所有获取竞争性磋商文件的供应商；不足5日的，采购人、采购代理机构应当顺延提交首次磋商响应文件的截止时间。</w:t>
      </w:r>
    </w:p>
    <w:p w14:paraId="3260C17D">
      <w:pPr>
        <w:keepNext w:val="0"/>
        <w:keepLines w:val="0"/>
        <w:pageBreakBefore w:val="0"/>
        <w:kinsoku/>
        <w:wordWrap/>
        <w:overflowPunct/>
        <w:topLinePunct w:val="0"/>
        <w:bidi w:val="0"/>
        <w:spacing w:line="54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3.2竞争性磋商文件的澄清或修改内容均以书面形式明确的内容为准。当竞争性磋商文件的澄清、修改、补充等在同一内容的表述上不一致时，以最后发出的书面文件为准。所有补充文件将作为竞争性磋商文件的组成部分，对所有供应商具有约束力。</w:t>
      </w:r>
    </w:p>
    <w:p w14:paraId="0135C2BE">
      <w:pPr>
        <w:keepNext w:val="0"/>
        <w:keepLines w:val="0"/>
        <w:pageBreakBefore w:val="0"/>
        <w:kinsoku/>
        <w:wordWrap/>
        <w:overflowPunct/>
        <w:topLinePunct w:val="0"/>
        <w:bidi w:val="0"/>
        <w:spacing w:line="54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根据采购工作进展实际情况，采购人可酌情延长递交竞争性磋商响应文件的截止时间，若延长将另行以书面形式通知各供应商并在原信息发布媒体上发布变更公告。采购代理机构和供应商的权利和义务将受到新的截止期的约束。</w:t>
      </w:r>
    </w:p>
    <w:p w14:paraId="0EB2646D">
      <w:pPr>
        <w:keepNext w:val="0"/>
        <w:keepLines w:val="0"/>
        <w:pageBreakBefore w:val="0"/>
        <w:kinsoku/>
        <w:wordWrap/>
        <w:overflowPunct/>
        <w:topLinePunct w:val="0"/>
        <w:bidi w:val="0"/>
        <w:spacing w:line="54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4、供应商必须从采购代理机构上传于公共资源交易平台上的竞争性磋商文件电子版进行下载，响应文件必须使用电子标书专用工具软件编制，并通过“陕西省公共资源交易平台（http://www.sxggzyjy.cn/）”完成响应过程，响应文件的编制和递交，应按照竞争性磋商文件的规定进行。如未按照竞争性磋商文件文件要求编制、递交电子响应文件，其后果由供应商自负。</w:t>
      </w:r>
    </w:p>
    <w:p w14:paraId="151E97DC">
      <w:pPr>
        <w:keepNext w:val="0"/>
        <w:keepLines w:val="0"/>
        <w:pageBreakBefore w:val="0"/>
        <w:kinsoku/>
        <w:wordWrap/>
        <w:overflowPunct/>
        <w:topLinePunct w:val="0"/>
        <w:bidi w:val="0"/>
        <w:spacing w:line="54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5、竞争性磋商文件的解释权归采购代理机构。</w:t>
      </w:r>
    </w:p>
    <w:p w14:paraId="65276DD9">
      <w:pPr>
        <w:keepNext w:val="0"/>
        <w:keepLines w:val="0"/>
        <w:pageBreakBefore w:val="0"/>
        <w:kinsoku/>
        <w:wordWrap/>
        <w:overflowPunct/>
        <w:topLinePunct w:val="0"/>
        <w:bidi w:val="0"/>
        <w:spacing w:line="54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6、享受政府采购政策</w:t>
      </w:r>
    </w:p>
    <w:p w14:paraId="0C281510">
      <w:pPr>
        <w:keepNext w:val="0"/>
        <w:keepLines w:val="0"/>
        <w:pageBreakBefore w:val="0"/>
        <w:kinsoku/>
        <w:wordWrap/>
        <w:overflowPunct/>
        <w:topLinePunct w:val="0"/>
        <w:bidi w:val="0"/>
        <w:spacing w:line="54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6.1本项目所需主要材料与设备符合政府采购强制采购政策的，实行强制采购。符合政府采购优先采购政策的，本项目所需主要材料与设备属于“节能产品政府采购清单”中品目的产品，需提供最新一期“节能产品政府采购清单”中产品(主要材料与设备)所在清单页并加盖供应商公章。该清单可在中国政府采购网（http://www.ccgp.gov.cn/）、中国环境资源信息网(http：//www.cern.gov.cn/)、中国节能节水认证网（http：//www.cecp.org.cn/）上查找；属于“环境标志产品政府采购清单”中品目的产品，需提供最新一期“环境标志产品政府采购清单”中产品(主要材料与设备)所在清单页并加盖供应商公章。该清单可在中国政府采购网（http://www.ccgp.gov.cn/）、国家环境保护总局网（http：//www.sepa.gov.vn/）中国绿色采购网（htp:/www.cgpn.cn/）上查找。</w:t>
      </w:r>
    </w:p>
    <w:p w14:paraId="62D28494">
      <w:pPr>
        <w:keepNext w:val="0"/>
        <w:keepLines w:val="0"/>
        <w:pageBreakBefore w:val="0"/>
        <w:kinsoku/>
        <w:wordWrap/>
        <w:overflowPunct/>
        <w:topLinePunct w:val="0"/>
        <w:bidi w:val="0"/>
        <w:spacing w:line="54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6.2供应商符合小型、微型企业或监狱企业、残疾人福利性单位条件的，其磋商报价价格评审时将按相应比例进行扣减。</w:t>
      </w:r>
    </w:p>
    <w:p w14:paraId="12D11223">
      <w:pPr>
        <w:keepNext w:val="0"/>
        <w:keepLines w:val="0"/>
        <w:pageBreakBefore w:val="0"/>
        <w:kinsoku/>
        <w:wordWrap/>
        <w:overflowPunct/>
        <w:topLinePunct w:val="0"/>
        <w:bidi w:val="0"/>
        <w:spacing w:line="54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6.2.1.依照《政府采购促进中小企业发展暂行办法》（财库〔2020〕46号）的规定，小型、微型企业应当同时符合以下条件：</w:t>
      </w:r>
    </w:p>
    <w:p w14:paraId="04889D8C">
      <w:pPr>
        <w:keepNext w:val="0"/>
        <w:keepLines w:val="0"/>
        <w:pageBreakBefore w:val="0"/>
        <w:kinsoku/>
        <w:wordWrap/>
        <w:overflowPunct/>
        <w:topLinePunct w:val="0"/>
        <w:bidi w:val="0"/>
        <w:spacing w:line="54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6.2.2符合中小企业划分标准（中小企业划分标准是指国务院有关部门根据企业从业人员、营业收入、资产总额等指标制定的中小企业划分标准（工信部联企业【2011】300号））。</w:t>
      </w:r>
    </w:p>
    <w:p w14:paraId="612F0791">
      <w:pPr>
        <w:keepNext w:val="0"/>
        <w:keepLines w:val="0"/>
        <w:pageBreakBefore w:val="0"/>
        <w:kinsoku/>
        <w:wordWrap/>
        <w:overflowPunct/>
        <w:topLinePunct w:val="0"/>
        <w:bidi w:val="0"/>
        <w:spacing w:line="54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6.2.3提供本企业制造的货物、承担的工程或者服务，或者提供其他中小企业制造的货物，不包括提供或使用大型企业注册商标的货物。</w:t>
      </w:r>
    </w:p>
    <w:p w14:paraId="75A4C567">
      <w:pPr>
        <w:keepNext w:val="0"/>
        <w:keepLines w:val="0"/>
        <w:pageBreakBefore w:val="0"/>
        <w:kinsoku/>
        <w:wordWrap/>
        <w:overflowPunct/>
        <w:topLinePunct w:val="0"/>
        <w:bidi w:val="0"/>
        <w:spacing w:line="54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6.2.4小型、微型企业提供中型企业制造的货物的，视同为中型企业；小型、微型、中型企业提供大型企业制造的货物的，视同为大型企业。</w:t>
      </w:r>
    </w:p>
    <w:p w14:paraId="216A9CD2">
      <w:pPr>
        <w:keepNext w:val="0"/>
        <w:keepLines w:val="0"/>
        <w:pageBreakBefore w:val="0"/>
        <w:kinsoku/>
        <w:wordWrap/>
        <w:overflowPunct/>
        <w:topLinePunct w:val="0"/>
        <w:bidi w:val="0"/>
        <w:spacing w:line="54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6.3供应商享受支持中小型企业发展政策优惠的，可以同时享受节能产品、环境标志产品优先采购政策。依照《财政部、司法部关于政府采购支持监狱企业发展有关问题的通知》(财库[2014]68号文件)之规定，监狱企业参加政府采购活动时，视同中小企业。同一项目中部分产品属于优先采购政策的，评审时只对该部分产品实行优先采购。</w:t>
      </w:r>
    </w:p>
    <w:p w14:paraId="56F13631">
      <w:pPr>
        <w:keepNext w:val="0"/>
        <w:keepLines w:val="0"/>
        <w:pageBreakBefore w:val="0"/>
        <w:kinsoku/>
        <w:wordWrap/>
        <w:overflowPunct/>
        <w:topLinePunct w:val="0"/>
        <w:bidi w:val="0"/>
        <w:spacing w:line="54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6.3.1参加政府采购活动的中小企业应当提供《中小企业声明函》</w:t>
      </w:r>
      <w:r>
        <w:rPr>
          <w:rFonts w:hint="eastAsia" w:ascii="宋体" w:hAnsi="宋体" w:cs="宋体"/>
          <w:bCs/>
          <w:color w:val="auto"/>
          <w:sz w:val="24"/>
          <w:szCs w:val="24"/>
          <w:highlight w:val="none"/>
          <w:lang w:eastAsia="zh-CN"/>
        </w:rPr>
        <w:t>（格式见附件</w:t>
      </w:r>
      <w:r>
        <w:rPr>
          <w:rFonts w:hint="eastAsia" w:ascii="宋体" w:hAnsi="宋体" w:cs="宋体"/>
          <w:bCs/>
          <w:color w:val="auto"/>
          <w:sz w:val="24"/>
          <w:szCs w:val="24"/>
          <w:highlight w:val="none"/>
          <w:lang w:val="en-US" w:eastAsia="zh-CN"/>
        </w:rPr>
        <w:t>1</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，不提供或提供有瑕疵的，在评审时不享受政府采购优惠政策。</w:t>
      </w:r>
    </w:p>
    <w:p w14:paraId="7C74C769">
      <w:pPr>
        <w:keepNext w:val="0"/>
        <w:keepLines w:val="0"/>
        <w:pageBreakBefore w:val="0"/>
        <w:kinsoku/>
        <w:wordWrap/>
        <w:overflowPunct/>
        <w:topLinePunct w:val="0"/>
        <w:bidi w:val="0"/>
        <w:spacing w:line="54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6.3.2参加政府采购活动的监狱企业应当提供由省级以上监狱管理局、戒毒管理局(含新疆生产建设兵团)出具的属于监狱企业的证明文件，参加政府采购活动时，视同小型、微型企业。不提供的不视为中小企业。</w:t>
      </w:r>
    </w:p>
    <w:p w14:paraId="07F18CF9">
      <w:pPr>
        <w:keepNext w:val="0"/>
        <w:keepLines w:val="0"/>
        <w:pageBreakBefore w:val="0"/>
        <w:kinsoku/>
        <w:wordWrap/>
        <w:overflowPunct/>
        <w:topLinePunct w:val="0"/>
        <w:bidi w:val="0"/>
        <w:spacing w:line="54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6.3.3参加政府采购活动的残疾人福利性单位应当提供《残疾人福利性单位声明函》，并对声明的真实性负责。残疾人福利性单位参加政府采购活动时，视同小型、微型企业：残疾人福利性单位属于小型、微型企业的，不重复享受政策。不提供或提供有瑕疵的，不视为小微企业，在评审时不享受政府采购优惠政策。</w:t>
      </w:r>
    </w:p>
    <w:p w14:paraId="4FEF01EA">
      <w:pPr>
        <w:keepNext w:val="0"/>
        <w:keepLines w:val="0"/>
        <w:pageBreakBefore w:val="0"/>
        <w:kinsoku/>
        <w:wordWrap/>
        <w:overflowPunct/>
        <w:topLinePunct w:val="0"/>
        <w:bidi w:val="0"/>
        <w:spacing w:line="54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6.3.4为了落实国家保护环境、促进中小企业发展的政策优惠，如强制采购或优先采购纳入国家节能产品、环境标志产品政府采购清单的产品，对小型和微型企业产品的价格给予</w:t>
      </w:r>
      <w:r>
        <w:rPr>
          <w:rFonts w:hint="eastAsia" w:ascii="宋体" w:hAnsi="宋体" w:cs="宋体"/>
          <w:bCs/>
          <w:color w:val="auto"/>
          <w:sz w:val="24"/>
          <w:szCs w:val="24"/>
          <w:highlight w:val="none"/>
          <w:lang w:val="en-US" w:eastAsia="zh-CN"/>
        </w:rPr>
        <w:t>10</w:t>
      </w:r>
      <w:r>
        <w:rPr>
          <w:rFonts w:hint="eastAsia" w:ascii="宋体" w:hAnsi="宋体" w:cs="宋体"/>
          <w:bCs/>
          <w:color w:val="auto"/>
          <w:sz w:val="24"/>
          <w:szCs w:val="24"/>
          <w:highlight w:val="none"/>
        </w:rPr>
        <w:t>%的扣除。</w:t>
      </w:r>
    </w:p>
    <w:p w14:paraId="56B8739A">
      <w:pPr>
        <w:keepNext w:val="0"/>
        <w:keepLines w:val="0"/>
        <w:pageBreakBefore w:val="0"/>
        <w:numPr>
          <w:ilvl w:val="0"/>
          <w:numId w:val="2"/>
        </w:numPr>
        <w:kinsoku/>
        <w:wordWrap/>
        <w:overflowPunct/>
        <w:topLinePunct w:val="0"/>
        <w:bidi w:val="0"/>
        <w:spacing w:line="540" w:lineRule="exact"/>
        <w:ind w:left="0" w:leftChars="0" w:right="0" w:rightChars="0" w:firstLine="500" w:firstLineChars="200"/>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竞争性磋商响应文件</w:t>
      </w:r>
    </w:p>
    <w:p w14:paraId="161C7930">
      <w:pPr>
        <w:pStyle w:val="24"/>
        <w:keepNext w:val="0"/>
        <w:keepLines w:val="0"/>
        <w:pageBreakBefore w:val="0"/>
        <w:widowControl/>
        <w:kinsoku/>
        <w:wordWrap/>
        <w:overflowPunct/>
        <w:topLinePunct w:val="0"/>
        <w:bidi w:val="0"/>
        <w:snapToGrid w:val="0"/>
        <w:spacing w:before="0" w:beforeAutospacing="0" w:after="0" w:afterAutospacing="0" w:line="540" w:lineRule="exact"/>
        <w:ind w:left="0" w:leftChars="0" w:right="0" w:rightChars="0" w:firstLine="500" w:firstLineChars="200"/>
        <w:jc w:val="both"/>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供应商资格要求：</w:t>
      </w:r>
    </w:p>
    <w:p w14:paraId="0E66D6CC">
      <w:pPr>
        <w:wordWrap w:val="0"/>
        <w:spacing w:line="420" w:lineRule="exact"/>
        <w:ind w:firstLine="500"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1.满足《中华人民共和国政府采购法》第二十二条规定；</w:t>
      </w:r>
    </w:p>
    <w:p w14:paraId="78381C75">
      <w:pPr>
        <w:pStyle w:val="5"/>
        <w:keepNext w:val="0"/>
        <w:keepLines w:val="0"/>
        <w:pageBreakBefore w:val="0"/>
        <w:kinsoku/>
        <w:wordWrap/>
        <w:overflowPunct/>
        <w:topLinePunct w:val="0"/>
        <w:bidi w:val="0"/>
        <w:spacing w:line="540" w:lineRule="exact"/>
        <w:ind w:left="0" w:leftChars="0" w:right="0" w:rightChars="0" w:firstLine="502"/>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1.1 具有独立承担民事责任能力的法人、其他组织或自然人，并出具合法有效的营业执照或事业单位法人证书等国家规定的相关证明，自然人参与的提供其身份证明（复印件加盖供应商公章）</w:t>
      </w:r>
      <w:r>
        <w:rPr>
          <w:rFonts w:hint="eastAsia" w:asciiTheme="minorEastAsia" w:hAnsiTheme="minorEastAsia" w:eastAsiaTheme="minorEastAsia" w:cstheme="minorEastAsia"/>
          <w:color w:val="auto"/>
          <w:sz w:val="24"/>
          <w:szCs w:val="24"/>
          <w:highlight w:val="none"/>
          <w:lang w:eastAsia="zh-CN"/>
        </w:rPr>
        <w:t>；</w:t>
      </w:r>
    </w:p>
    <w:p w14:paraId="1D06C3CD">
      <w:pPr>
        <w:pStyle w:val="5"/>
        <w:keepNext w:val="0"/>
        <w:keepLines w:val="0"/>
        <w:pageBreakBefore w:val="0"/>
        <w:kinsoku/>
        <w:wordWrap/>
        <w:overflowPunct/>
        <w:topLinePunct w:val="0"/>
        <w:bidi w:val="0"/>
        <w:spacing w:line="540" w:lineRule="exact"/>
        <w:ind w:left="0" w:leftChars="0" w:right="0" w:rightChars="0" w:firstLine="502"/>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1.2 提供2024或2025年度经审计的财务报告（至少包括资产负债表和利润表，成立时间至提交响应文件截止时间不足一年的可提供成立后任意时段的资产负债表），报告须真实有效并符合《关于加强审计报告查验工作的通知》（财会[2023]15号）文件的要求，报告须赋二维码；或其开标前三个月内基本存款账户开户银行出具的资信证明及基本存款账户开户许可证（或基本存款账户信息）；或信用担保机构出具的投标担保函。（以上三种形式的资料提供任何一种即可，</w:t>
      </w:r>
      <w:r>
        <w:rPr>
          <w:rFonts w:hint="eastAsia" w:asciiTheme="minorEastAsia" w:hAnsiTheme="minorEastAsia" w:eastAsiaTheme="minorEastAsia" w:cstheme="minorEastAsia"/>
          <w:color w:val="auto"/>
          <w:sz w:val="24"/>
          <w:szCs w:val="24"/>
          <w:highlight w:val="none"/>
          <w:lang w:eastAsia="zh-CN"/>
        </w:rPr>
        <w:t>复印件加盖供应商公章</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w:t>
      </w:r>
    </w:p>
    <w:p w14:paraId="2168DF90">
      <w:pPr>
        <w:pStyle w:val="5"/>
        <w:keepNext w:val="0"/>
        <w:keepLines w:val="0"/>
        <w:pageBreakBefore w:val="0"/>
        <w:kinsoku/>
        <w:wordWrap/>
        <w:overflowPunct/>
        <w:topLinePunct w:val="0"/>
        <w:bidi w:val="0"/>
        <w:spacing w:line="540" w:lineRule="exact"/>
        <w:ind w:left="0" w:leftChars="0" w:right="0" w:rightChars="0" w:firstLine="502"/>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1.3 </w:t>
      </w:r>
      <w:r>
        <w:rPr>
          <w:rFonts w:hint="eastAsia" w:asciiTheme="minorEastAsia" w:hAnsiTheme="minorEastAsia" w:eastAsiaTheme="minorEastAsia" w:cstheme="minorEastAsia"/>
          <w:color w:val="auto"/>
          <w:sz w:val="24"/>
          <w:szCs w:val="24"/>
          <w:highlight w:val="none"/>
          <w:lang w:eastAsia="zh-CN"/>
        </w:rPr>
        <w:t>有依法缴纳社会保障资金的良好记录：提供</w:t>
      </w:r>
      <w:r>
        <w:rPr>
          <w:rFonts w:hint="eastAsia" w:asciiTheme="minorEastAsia" w:hAnsiTheme="minorEastAsia" w:eastAsiaTheme="minorEastAsia" w:cstheme="minorEastAsia"/>
          <w:color w:val="auto"/>
          <w:sz w:val="24"/>
          <w:szCs w:val="24"/>
          <w:highlight w:val="none"/>
          <w:lang w:val="en-US" w:eastAsia="zh-CN"/>
        </w:rPr>
        <w:t>2025年9月至今</w:t>
      </w:r>
      <w:r>
        <w:rPr>
          <w:rFonts w:hint="eastAsia" w:asciiTheme="minorEastAsia" w:hAnsiTheme="minorEastAsia" w:eastAsiaTheme="minorEastAsia" w:cstheme="minorEastAsia"/>
          <w:color w:val="auto"/>
          <w:sz w:val="24"/>
          <w:szCs w:val="24"/>
          <w:highlight w:val="none"/>
          <w:lang w:eastAsia="zh-CN"/>
        </w:rPr>
        <w:t>任意一个月</w:t>
      </w:r>
      <w:r>
        <w:rPr>
          <w:rFonts w:hint="eastAsia" w:asciiTheme="minorEastAsia" w:hAnsiTheme="minorEastAsia" w:eastAsiaTheme="minorEastAsia" w:cstheme="minorEastAsia"/>
          <w:color w:val="auto"/>
          <w:sz w:val="24"/>
          <w:szCs w:val="24"/>
          <w:highlight w:val="none"/>
          <w:lang w:val="en-US" w:eastAsia="zh-CN"/>
        </w:rPr>
        <w:t>已缴存</w:t>
      </w:r>
      <w:r>
        <w:rPr>
          <w:rFonts w:hint="eastAsia" w:asciiTheme="minorEastAsia" w:hAnsiTheme="minorEastAsia" w:eastAsiaTheme="minorEastAsia" w:cstheme="minorEastAsia"/>
          <w:color w:val="auto"/>
          <w:sz w:val="24"/>
          <w:szCs w:val="24"/>
          <w:highlight w:val="none"/>
          <w:lang w:eastAsia="zh-CN"/>
        </w:rPr>
        <w:t>的社会保障资金缴存单据或社保机构开具的社会保险参保缴费情况证明。依法不需要缴纳社会保障资金的供应商应提供相关文件证明（复印件加盖供应商公章）；</w:t>
      </w:r>
    </w:p>
    <w:p w14:paraId="228692B3">
      <w:pPr>
        <w:pStyle w:val="5"/>
        <w:keepNext w:val="0"/>
        <w:keepLines w:val="0"/>
        <w:pageBreakBefore w:val="0"/>
        <w:kinsoku/>
        <w:wordWrap/>
        <w:overflowPunct/>
        <w:topLinePunct w:val="0"/>
        <w:bidi w:val="0"/>
        <w:spacing w:line="540" w:lineRule="exact"/>
        <w:ind w:left="0" w:leftChars="0" w:right="0" w:rightChars="0" w:firstLine="502"/>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1.4 </w:t>
      </w:r>
      <w:r>
        <w:rPr>
          <w:rFonts w:hint="eastAsia" w:asciiTheme="minorEastAsia" w:hAnsiTheme="minorEastAsia" w:eastAsiaTheme="minorEastAsia" w:cstheme="minorEastAsia"/>
          <w:color w:val="auto"/>
          <w:sz w:val="24"/>
          <w:szCs w:val="24"/>
          <w:highlight w:val="none"/>
          <w:lang w:eastAsia="zh-CN"/>
        </w:rPr>
        <w:t>有依法缴纳税收的良好记录：提供</w:t>
      </w:r>
      <w:r>
        <w:rPr>
          <w:rFonts w:hint="eastAsia" w:asciiTheme="minorEastAsia" w:hAnsiTheme="minorEastAsia" w:eastAsiaTheme="minorEastAsia" w:cstheme="minorEastAsia"/>
          <w:color w:val="auto"/>
          <w:sz w:val="24"/>
          <w:szCs w:val="24"/>
          <w:highlight w:val="none"/>
          <w:lang w:val="en-US" w:eastAsia="zh-CN"/>
        </w:rPr>
        <w:t>2025年9月至今</w:t>
      </w:r>
      <w:r>
        <w:rPr>
          <w:rFonts w:hint="eastAsia" w:asciiTheme="minorEastAsia" w:hAnsiTheme="minorEastAsia" w:eastAsiaTheme="minorEastAsia" w:cstheme="minorEastAsia"/>
          <w:color w:val="auto"/>
          <w:sz w:val="24"/>
          <w:szCs w:val="24"/>
          <w:highlight w:val="none"/>
          <w:lang w:eastAsia="zh-CN"/>
        </w:rPr>
        <w:t>任意一个月</w:t>
      </w:r>
      <w:r>
        <w:rPr>
          <w:rFonts w:hint="eastAsia" w:asciiTheme="minorEastAsia" w:hAnsiTheme="minorEastAsia" w:eastAsiaTheme="minorEastAsia" w:cstheme="minorEastAsia"/>
          <w:color w:val="auto"/>
          <w:sz w:val="24"/>
          <w:szCs w:val="24"/>
          <w:highlight w:val="none"/>
          <w:lang w:val="en-US" w:eastAsia="zh-CN"/>
        </w:rPr>
        <w:t>已缴纳</w:t>
      </w:r>
      <w:r>
        <w:rPr>
          <w:rFonts w:hint="eastAsia" w:asciiTheme="minorEastAsia" w:hAnsiTheme="minorEastAsia" w:eastAsiaTheme="minorEastAsia" w:cstheme="minorEastAsia"/>
          <w:color w:val="auto"/>
          <w:sz w:val="24"/>
          <w:szCs w:val="24"/>
          <w:highlight w:val="none"/>
          <w:lang w:eastAsia="zh-CN"/>
        </w:rPr>
        <w:t>的纳税证明或完税证明，依法免税的供应商应提供相关证明材料（复印件加盖供应商公章）；</w:t>
      </w:r>
    </w:p>
    <w:p w14:paraId="6EBB8FE9">
      <w:pPr>
        <w:pStyle w:val="5"/>
        <w:keepNext w:val="0"/>
        <w:keepLines w:val="0"/>
        <w:pageBreakBefore w:val="0"/>
        <w:kinsoku/>
        <w:wordWrap/>
        <w:overflowPunct/>
        <w:topLinePunct w:val="0"/>
        <w:bidi w:val="0"/>
        <w:spacing w:line="540" w:lineRule="exact"/>
        <w:ind w:left="0" w:leftChars="0" w:right="0" w:rightChars="0" w:firstLine="502"/>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1.5 </w:t>
      </w:r>
      <w:r>
        <w:rPr>
          <w:rFonts w:hint="eastAsia" w:asciiTheme="minorEastAsia" w:hAnsiTheme="minorEastAsia" w:eastAsiaTheme="minorEastAsia" w:cstheme="minorEastAsia"/>
          <w:color w:val="auto"/>
          <w:sz w:val="24"/>
          <w:szCs w:val="24"/>
          <w:highlight w:val="none"/>
          <w:lang w:eastAsia="zh-CN"/>
        </w:rPr>
        <w:t>提供具有履行本合同所必需的设备和专业技术能力的</w:t>
      </w:r>
      <w:r>
        <w:rPr>
          <w:rFonts w:hint="eastAsia" w:asciiTheme="minorEastAsia" w:hAnsiTheme="minorEastAsia" w:eastAsiaTheme="minorEastAsia" w:cstheme="minorEastAsia"/>
          <w:color w:val="auto"/>
          <w:sz w:val="24"/>
          <w:szCs w:val="24"/>
          <w:highlight w:val="none"/>
          <w:lang w:val="en-US" w:eastAsia="zh-CN"/>
        </w:rPr>
        <w:t>承诺书</w:t>
      </w:r>
      <w:r>
        <w:rPr>
          <w:rFonts w:hint="eastAsia" w:asciiTheme="minorEastAsia" w:hAnsiTheme="minorEastAsia" w:eastAsiaTheme="minorEastAsia" w:cstheme="minorEastAsia"/>
          <w:color w:val="auto"/>
          <w:sz w:val="24"/>
          <w:szCs w:val="24"/>
          <w:highlight w:val="none"/>
          <w:lang w:eastAsia="zh-CN"/>
        </w:rPr>
        <w:t>；</w:t>
      </w:r>
    </w:p>
    <w:p w14:paraId="7F71E272">
      <w:pPr>
        <w:pStyle w:val="5"/>
        <w:keepNext w:val="0"/>
        <w:keepLines w:val="0"/>
        <w:pageBreakBefore w:val="0"/>
        <w:kinsoku/>
        <w:wordWrap/>
        <w:overflowPunct/>
        <w:topLinePunct w:val="0"/>
        <w:bidi w:val="0"/>
        <w:spacing w:line="540" w:lineRule="exact"/>
        <w:ind w:left="0" w:leftChars="0" w:right="0" w:rightChars="0" w:firstLine="502"/>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1.6</w:t>
      </w:r>
      <w:r>
        <w:rPr>
          <w:rFonts w:hint="eastAsia" w:asciiTheme="minorEastAsia" w:hAnsiTheme="minorEastAsia" w:eastAsiaTheme="minorEastAsia" w:cstheme="minorEastAsia"/>
          <w:color w:val="auto"/>
          <w:sz w:val="24"/>
          <w:szCs w:val="24"/>
          <w:highlight w:val="none"/>
          <w:lang w:eastAsia="zh-CN"/>
        </w:rPr>
        <w:t xml:space="preserve"> 提供参加本次政府采购活动前三年内在经营活动中没有重大违法记录的书面声明；</w:t>
      </w:r>
    </w:p>
    <w:p w14:paraId="6A83114B">
      <w:pPr>
        <w:pStyle w:val="5"/>
        <w:keepNext w:val="0"/>
        <w:keepLines w:val="0"/>
        <w:pageBreakBefore w:val="0"/>
        <w:kinsoku/>
        <w:wordWrap/>
        <w:overflowPunct/>
        <w:topLinePunct w:val="0"/>
        <w:bidi w:val="0"/>
        <w:spacing w:line="540" w:lineRule="exact"/>
        <w:ind w:left="0" w:leftChars="0" w:right="0" w:rightChars="0" w:firstLine="502"/>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2.本项目的特定资格要求：</w:t>
      </w:r>
    </w:p>
    <w:p w14:paraId="28614364">
      <w:pPr>
        <w:pStyle w:val="5"/>
        <w:keepNext w:val="0"/>
        <w:keepLines w:val="0"/>
        <w:pageBreakBefore w:val="0"/>
        <w:kinsoku/>
        <w:wordWrap/>
        <w:overflowPunct/>
        <w:topLinePunct w:val="0"/>
        <w:bidi w:val="0"/>
        <w:spacing w:line="540" w:lineRule="exact"/>
        <w:ind w:left="0" w:leftChars="0" w:right="0" w:rightChars="0" w:firstLine="50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2.1 法定代表人直接参加磋商的，须提供法定代表人身份证明书（附法定代表人身份证复印件并加盖公章）；委托代理人参加磋商的，须提供法定代表人授权委托书（附法定代表人及委托代理人身份证复印件并加盖公章）</w:t>
      </w:r>
      <w:r>
        <w:rPr>
          <w:rFonts w:hint="eastAsia" w:asciiTheme="minorEastAsia" w:hAnsiTheme="minorEastAsia" w:eastAsiaTheme="minorEastAsia" w:cstheme="minorEastAsia"/>
          <w:color w:val="auto"/>
          <w:sz w:val="24"/>
          <w:szCs w:val="24"/>
          <w:highlight w:val="none"/>
        </w:rPr>
        <w:t>；</w:t>
      </w:r>
    </w:p>
    <w:p w14:paraId="4EA1FC82">
      <w:pPr>
        <w:pStyle w:val="5"/>
        <w:keepNext w:val="0"/>
        <w:keepLines w:val="0"/>
        <w:pageBreakBefore w:val="0"/>
        <w:kinsoku/>
        <w:wordWrap/>
        <w:overflowPunct/>
        <w:topLinePunct w:val="0"/>
        <w:bidi w:val="0"/>
        <w:spacing w:line="540" w:lineRule="exact"/>
        <w:ind w:left="0" w:leftChars="0" w:right="0" w:rightChars="0" w:firstLine="502"/>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 供应商须具备国家文物局颁发的文物保护工程监理甲级企业资质（业务范围含古文化遗址古墓葬）；</w:t>
      </w:r>
    </w:p>
    <w:p w14:paraId="38635472">
      <w:pPr>
        <w:pStyle w:val="5"/>
        <w:keepNext w:val="0"/>
        <w:keepLines w:val="0"/>
        <w:pageBreakBefore w:val="0"/>
        <w:kinsoku/>
        <w:wordWrap/>
        <w:overflowPunct/>
        <w:topLinePunct w:val="0"/>
        <w:bidi w:val="0"/>
        <w:spacing w:line="540" w:lineRule="exact"/>
        <w:ind w:left="0" w:leftChars="0" w:right="0" w:rightChars="0" w:firstLine="502"/>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 供应商拟派项目责任监理师应具有文物保护工程责任监理师证书，并提供2025年9月至今供应商为其缴纳的连续三个月养老保险证明且无在建项目（提供无在建承诺，承诺真实性的法律责任自负）；</w:t>
      </w:r>
    </w:p>
    <w:p w14:paraId="7773AF46">
      <w:pPr>
        <w:keepNext w:val="0"/>
        <w:keepLines w:val="0"/>
        <w:pageBreakBefore w:val="0"/>
        <w:widowControl w:val="0"/>
        <w:kinsoku/>
        <w:wordWrap w:val="0"/>
        <w:overflowPunct/>
        <w:topLinePunct w:val="0"/>
        <w:autoSpaceDE/>
        <w:autoSpaceDN/>
        <w:bidi w:val="0"/>
        <w:adjustRightInd/>
        <w:snapToGrid/>
        <w:spacing w:line="360" w:lineRule="auto"/>
        <w:ind w:firstLine="500" w:firstLineChars="200"/>
        <w:jc w:val="left"/>
        <w:textAlignment w:val="auto"/>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 xml:space="preserve">4 </w:t>
      </w:r>
      <w:r>
        <w:rPr>
          <w:rFonts w:hint="eastAsia" w:ascii="宋体" w:hAnsi="宋体" w:cs="宋体"/>
          <w:color w:val="auto"/>
          <w:sz w:val="24"/>
          <w:szCs w:val="24"/>
          <w:highlight w:val="none"/>
          <w:lang w:val="en-US" w:eastAsia="zh-CN"/>
        </w:rPr>
        <w:t>供应商及法定代表人未被列入“中国执行信息公开网”（http://zxgk.court.gov.cn/shixin/）失信被执行人名单，供应商未被列入“信用中国”网站（www.creditchina.gov.cn）重大税收违法失信主体，供应商未被列入“中国政府采购网”（www.ccgp.gov.cn）政府采购严重违法失信行为记录名单；</w:t>
      </w:r>
    </w:p>
    <w:p w14:paraId="401BAA4D">
      <w:pPr>
        <w:pStyle w:val="5"/>
        <w:keepNext w:val="0"/>
        <w:keepLines w:val="0"/>
        <w:pageBreakBefore w:val="0"/>
        <w:kinsoku/>
        <w:wordWrap/>
        <w:overflowPunct/>
        <w:topLinePunct w:val="0"/>
        <w:bidi w:val="0"/>
        <w:spacing w:line="540" w:lineRule="exact"/>
        <w:ind w:left="0" w:leftChars="0" w:right="0" w:rightChars="0" w:firstLine="502"/>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 xml:space="preserve">5 </w:t>
      </w:r>
      <w:r>
        <w:rPr>
          <w:rFonts w:hint="eastAsia" w:asciiTheme="minorEastAsia" w:hAnsiTheme="minorEastAsia" w:eastAsiaTheme="minorEastAsia" w:cstheme="minorEastAsia"/>
          <w:color w:val="auto"/>
          <w:sz w:val="24"/>
          <w:szCs w:val="24"/>
          <w:highlight w:val="none"/>
          <w:lang w:eastAsia="zh-CN"/>
        </w:rPr>
        <w:t>单位负责人为同一人或者存在控股、管理关系的不同单位，不得参加同一合同项下的政府采购活动；</w:t>
      </w:r>
    </w:p>
    <w:p w14:paraId="5F4CA44D">
      <w:pPr>
        <w:pStyle w:val="5"/>
        <w:keepNext w:val="0"/>
        <w:keepLines w:val="0"/>
        <w:pageBreakBefore w:val="0"/>
        <w:kinsoku/>
        <w:wordWrap/>
        <w:overflowPunct/>
        <w:topLinePunct w:val="0"/>
        <w:bidi w:val="0"/>
        <w:spacing w:line="540" w:lineRule="exact"/>
        <w:ind w:left="0" w:leftChars="0" w:right="0" w:rightChars="0" w:firstLine="502"/>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 xml:space="preserve">6 </w:t>
      </w:r>
      <w:r>
        <w:rPr>
          <w:rFonts w:hint="eastAsia" w:asciiTheme="minorEastAsia" w:hAnsiTheme="minorEastAsia" w:eastAsiaTheme="minorEastAsia" w:cstheme="minorEastAsia"/>
          <w:color w:val="auto"/>
          <w:sz w:val="24"/>
          <w:szCs w:val="24"/>
          <w:highlight w:val="none"/>
        </w:rPr>
        <w:t>本项目不接受联合体磋商</w:t>
      </w:r>
      <w:r>
        <w:rPr>
          <w:rFonts w:hint="eastAsia" w:asciiTheme="minorEastAsia" w:hAnsiTheme="minorEastAsia" w:eastAsiaTheme="minorEastAsia" w:cstheme="minorEastAsia"/>
          <w:color w:val="auto"/>
          <w:sz w:val="24"/>
          <w:szCs w:val="24"/>
          <w:highlight w:val="none"/>
          <w:lang w:eastAsia="zh-CN"/>
        </w:rPr>
        <w:t>；</w:t>
      </w:r>
    </w:p>
    <w:p w14:paraId="1491AC5A">
      <w:pPr>
        <w:pStyle w:val="5"/>
        <w:keepNext w:val="0"/>
        <w:keepLines w:val="0"/>
        <w:pageBreakBefore w:val="0"/>
        <w:kinsoku/>
        <w:wordWrap/>
        <w:overflowPunct/>
        <w:topLinePunct w:val="0"/>
        <w:bidi w:val="0"/>
        <w:spacing w:line="540" w:lineRule="exact"/>
        <w:ind w:left="0" w:leftChars="0" w:right="0" w:rightChars="0" w:firstLine="502"/>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 本项目专门面向中小企业采购，供应商须提供中小企业声明函（如有虚假，将依法承担相应责任）。</w:t>
      </w:r>
    </w:p>
    <w:p w14:paraId="4AB7C06E">
      <w:pPr>
        <w:pStyle w:val="5"/>
        <w:keepNext w:val="0"/>
        <w:keepLines w:val="0"/>
        <w:pageBreakBefore w:val="0"/>
        <w:kinsoku/>
        <w:wordWrap/>
        <w:overflowPunct/>
        <w:topLinePunct w:val="0"/>
        <w:bidi w:val="0"/>
        <w:spacing w:line="540" w:lineRule="exact"/>
        <w:ind w:left="0" w:leftChars="0" w:right="0" w:rightChars="0" w:firstLine="502"/>
        <w:textAlignment w:val="auto"/>
        <w:rPr>
          <w:rFonts w:asciiTheme="minorEastAsia" w:hAnsiTheme="minorEastAsia" w:eastAsiaTheme="minorEastAsia" w:cstheme="minorEastAsia"/>
          <w:color w:val="auto"/>
          <w:sz w:val="24"/>
          <w:szCs w:val="24"/>
          <w:highlight w:val="none"/>
          <w:lang w:val="zh-CN"/>
        </w:rPr>
      </w:pPr>
      <w:r>
        <w:rPr>
          <w:rFonts w:hint="eastAsia" w:ascii="宋体" w:hAnsi="宋体" w:cs="宋体"/>
          <w:color w:val="auto"/>
          <w:sz w:val="24"/>
          <w:szCs w:val="24"/>
          <w:highlight w:val="none"/>
        </w:rPr>
        <w:t>注：</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zh-CN"/>
        </w:rPr>
        <w:t>为本次采购项目提供整体设计、规范编制或者项目管理、施工、检测等服务的供应商，不得再参加本采购项目的其他采购活动；</w:t>
      </w:r>
    </w:p>
    <w:p w14:paraId="2446931C">
      <w:pPr>
        <w:pStyle w:val="5"/>
        <w:keepNext w:val="0"/>
        <w:keepLines w:val="0"/>
        <w:pageBreakBefore w:val="0"/>
        <w:kinsoku/>
        <w:wordWrap/>
        <w:overflowPunct/>
        <w:topLinePunct w:val="0"/>
        <w:bidi w:val="0"/>
        <w:spacing w:line="540" w:lineRule="exact"/>
        <w:ind w:left="0" w:leftChars="0" w:right="0" w:rightChars="0" w:firstLine="502"/>
        <w:textAlignment w:val="auto"/>
        <w:rPr>
          <w:rFonts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rPr>
        <w:t>）本次项目不接受联合体投标（需提供书面声明（</w:t>
      </w:r>
      <w:r>
        <w:rPr>
          <w:rFonts w:hint="eastAsia" w:ascii="宋体" w:hAnsi="宋体" w:cs="宋体"/>
          <w:color w:val="auto"/>
          <w:sz w:val="24"/>
          <w:szCs w:val="24"/>
          <w:highlight w:val="none"/>
          <w:lang w:eastAsia="zh-CN"/>
        </w:rPr>
        <w:t>格式见附件</w:t>
      </w:r>
      <w:r>
        <w:rPr>
          <w:rFonts w:hint="eastAsia" w:asciiTheme="minorEastAsia" w:hAnsiTheme="minorEastAsia" w:eastAsiaTheme="minorEastAsia" w:cstheme="minorEastAsia"/>
          <w:color w:val="auto"/>
          <w:sz w:val="24"/>
          <w:szCs w:val="24"/>
          <w:highlight w:val="none"/>
          <w:lang w:val="zh-CN"/>
        </w:rPr>
        <w:t>））。供应商须保证资质文件的真实、合法、有效，因资质产生的一切纠纷由供应商承担法律责任。</w:t>
      </w:r>
    </w:p>
    <w:p w14:paraId="1E33CA4B">
      <w:pPr>
        <w:keepNext w:val="0"/>
        <w:keepLines w:val="0"/>
        <w:pageBreakBefore w:val="0"/>
        <w:widowControl/>
        <w:shd w:val="clear" w:color="auto" w:fill="FFFFFF"/>
        <w:kinsoku/>
        <w:wordWrap/>
        <w:overflowPunct/>
        <w:topLinePunct w:val="0"/>
        <w:bidi w:val="0"/>
        <w:spacing w:line="54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
          <w:color w:val="auto"/>
          <w:sz w:val="24"/>
          <w:szCs w:val="24"/>
          <w:highlight w:val="none"/>
        </w:rPr>
        <w:t>2、竞争性磋商响应文件的组成：</w:t>
      </w:r>
    </w:p>
    <w:p w14:paraId="3047F551">
      <w:pPr>
        <w:keepNext w:val="0"/>
        <w:keepLines w:val="0"/>
        <w:pageBreakBefore w:val="0"/>
        <w:kinsoku/>
        <w:wordWrap/>
        <w:overflowPunct/>
        <w:topLinePunct w:val="0"/>
        <w:bidi w:val="0"/>
        <w:spacing w:line="54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2.1各供应商应根据竞争性磋商文件要求编制竞争性磋商响应文件。</w:t>
      </w:r>
    </w:p>
    <w:p w14:paraId="446829D7">
      <w:pPr>
        <w:keepNext w:val="0"/>
        <w:keepLines w:val="0"/>
        <w:pageBreakBefore w:val="0"/>
        <w:kinsoku/>
        <w:wordWrap/>
        <w:overflowPunct/>
        <w:topLinePunct w:val="0"/>
        <w:bidi w:val="0"/>
        <w:spacing w:line="54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2.2竞争性磋商响应文件部分应包括：</w:t>
      </w:r>
    </w:p>
    <w:p w14:paraId="127C108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952" w:firstLineChars="400"/>
        <w:textAlignment w:val="auto"/>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lang w:eastAsia="zh-CN"/>
        </w:rPr>
        <w:t>一、磋商响应函</w:t>
      </w:r>
    </w:p>
    <w:p w14:paraId="7816E820">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952" w:firstLineChars="400"/>
        <w:textAlignment w:val="auto"/>
        <w:rPr>
          <w:rFonts w:hint="eastAsia" w:ascii="宋体" w:hAnsi="宋体" w:cs="宋体"/>
          <w:color w:val="auto"/>
          <w:spacing w:val="-6"/>
          <w:kern w:val="0"/>
          <w:sz w:val="24"/>
          <w:szCs w:val="24"/>
          <w:highlight w:val="none"/>
          <w:lang w:val="en-US"/>
        </w:rPr>
      </w:pPr>
      <w:r>
        <w:rPr>
          <w:rFonts w:hint="eastAsia" w:ascii="宋体" w:hAnsi="宋体" w:cs="宋体"/>
          <w:color w:val="auto"/>
          <w:spacing w:val="-6"/>
          <w:kern w:val="0"/>
          <w:sz w:val="24"/>
          <w:szCs w:val="24"/>
          <w:highlight w:val="none"/>
          <w:lang w:eastAsia="zh-CN"/>
        </w:rPr>
        <w:t>二、法定代表人身份证明或</w:t>
      </w:r>
      <w:r>
        <w:rPr>
          <w:rFonts w:hint="eastAsia"/>
          <w:color w:val="auto"/>
          <w:sz w:val="24"/>
          <w:szCs w:val="24"/>
          <w:highlight w:val="none"/>
          <w:lang w:eastAsia="zh-CN"/>
        </w:rPr>
        <w:t>法人授权委托书</w:t>
      </w:r>
    </w:p>
    <w:p w14:paraId="453A1CD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952" w:firstLineChars="400"/>
        <w:textAlignment w:val="auto"/>
        <w:rPr>
          <w:rFonts w:hint="eastAsia" w:ascii="宋体" w:hAnsi="宋体" w:cs="宋体"/>
          <w:color w:val="auto"/>
          <w:spacing w:val="-6"/>
          <w:kern w:val="0"/>
          <w:sz w:val="24"/>
          <w:szCs w:val="24"/>
          <w:highlight w:val="none"/>
          <w:lang w:eastAsia="zh-CN"/>
        </w:rPr>
      </w:pPr>
      <w:r>
        <w:rPr>
          <w:rFonts w:hint="eastAsia" w:ascii="宋体" w:hAnsi="宋体" w:cs="宋体"/>
          <w:color w:val="auto"/>
          <w:spacing w:val="-6"/>
          <w:kern w:val="0"/>
          <w:sz w:val="24"/>
          <w:szCs w:val="24"/>
          <w:highlight w:val="none"/>
          <w:lang w:eastAsia="zh-CN"/>
        </w:rPr>
        <w:t>三、商务条款响应偏离表</w:t>
      </w:r>
    </w:p>
    <w:p w14:paraId="795A4F4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952" w:firstLineChars="400"/>
        <w:textAlignment w:val="auto"/>
        <w:rPr>
          <w:rFonts w:hint="eastAsia" w:ascii="宋体" w:hAnsi="宋体" w:cs="宋体"/>
          <w:color w:val="auto"/>
          <w:spacing w:val="-6"/>
          <w:kern w:val="0"/>
          <w:sz w:val="24"/>
          <w:szCs w:val="24"/>
          <w:highlight w:val="none"/>
          <w:lang w:eastAsia="zh-CN"/>
        </w:rPr>
      </w:pPr>
      <w:r>
        <w:rPr>
          <w:rFonts w:hint="eastAsia" w:ascii="宋体" w:hAnsi="宋体" w:cs="宋体"/>
          <w:color w:val="auto"/>
          <w:spacing w:val="-6"/>
          <w:kern w:val="0"/>
          <w:sz w:val="24"/>
          <w:szCs w:val="24"/>
          <w:highlight w:val="none"/>
          <w:lang w:eastAsia="zh-CN"/>
        </w:rPr>
        <w:t>四、磋商保证金</w:t>
      </w:r>
    </w:p>
    <w:p w14:paraId="51309C1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952" w:firstLineChars="400"/>
        <w:textAlignment w:val="auto"/>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lang w:eastAsia="zh-CN"/>
        </w:rPr>
        <w:t>五、磋商报价表</w:t>
      </w:r>
    </w:p>
    <w:p w14:paraId="53024BA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952" w:firstLineChars="400"/>
        <w:textAlignment w:val="auto"/>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lang w:eastAsia="zh-CN"/>
        </w:rPr>
        <w:t>六、</w:t>
      </w:r>
      <w:r>
        <w:rPr>
          <w:rFonts w:hint="eastAsia" w:ascii="宋体" w:hAnsi="宋体" w:cs="宋体"/>
          <w:color w:val="auto"/>
          <w:spacing w:val="-6"/>
          <w:kern w:val="0"/>
          <w:sz w:val="24"/>
          <w:szCs w:val="24"/>
          <w:highlight w:val="none"/>
        </w:rPr>
        <w:t>相关资格证明</w:t>
      </w:r>
      <w:r>
        <w:rPr>
          <w:rFonts w:hint="eastAsia" w:ascii="宋体" w:hAnsi="宋体" w:cs="宋体"/>
          <w:color w:val="auto"/>
          <w:spacing w:val="-6"/>
          <w:kern w:val="0"/>
          <w:sz w:val="24"/>
          <w:szCs w:val="24"/>
          <w:highlight w:val="none"/>
          <w:lang w:eastAsia="zh-CN"/>
        </w:rPr>
        <w:t>文件</w:t>
      </w:r>
    </w:p>
    <w:p w14:paraId="13D769C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952" w:firstLineChars="400"/>
        <w:textAlignment w:val="auto"/>
        <w:rPr>
          <w:rFonts w:hint="eastAsia" w:ascii="宋体" w:hAnsi="宋体" w:cs="宋体"/>
          <w:color w:val="auto"/>
          <w:spacing w:val="-6"/>
          <w:kern w:val="0"/>
          <w:sz w:val="24"/>
          <w:szCs w:val="24"/>
          <w:highlight w:val="none"/>
          <w:lang w:eastAsia="zh-CN"/>
        </w:rPr>
      </w:pPr>
      <w:r>
        <w:rPr>
          <w:rFonts w:hint="eastAsia" w:ascii="宋体" w:hAnsi="宋体" w:cs="宋体"/>
          <w:color w:val="auto"/>
          <w:spacing w:val="-6"/>
          <w:kern w:val="0"/>
          <w:sz w:val="24"/>
          <w:szCs w:val="24"/>
          <w:highlight w:val="none"/>
          <w:lang w:eastAsia="zh-CN"/>
        </w:rPr>
        <w:t>七、近三年完成业绩表</w:t>
      </w:r>
    </w:p>
    <w:p w14:paraId="3BE31E2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952" w:firstLineChars="400"/>
        <w:textAlignment w:val="auto"/>
        <w:rPr>
          <w:rFonts w:hint="eastAsia" w:ascii="宋体" w:hAnsi="宋体" w:cs="宋体"/>
          <w:color w:val="auto"/>
          <w:spacing w:val="-6"/>
          <w:kern w:val="0"/>
          <w:sz w:val="24"/>
          <w:szCs w:val="24"/>
          <w:highlight w:val="none"/>
          <w:lang w:eastAsia="zh-CN"/>
        </w:rPr>
      </w:pPr>
      <w:r>
        <w:rPr>
          <w:rFonts w:hint="eastAsia" w:ascii="宋体" w:hAnsi="宋体" w:cs="宋体"/>
          <w:color w:val="auto"/>
          <w:spacing w:val="-6"/>
          <w:kern w:val="0"/>
          <w:sz w:val="24"/>
          <w:szCs w:val="24"/>
          <w:highlight w:val="none"/>
          <w:lang w:eastAsia="zh-CN"/>
        </w:rPr>
        <w:t>八、监理大纲</w:t>
      </w:r>
    </w:p>
    <w:p w14:paraId="5197B03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952" w:firstLineChars="400"/>
        <w:textAlignment w:val="auto"/>
        <w:rPr>
          <w:rFonts w:hint="eastAsia" w:ascii="宋体" w:hAnsi="宋体" w:cs="宋体"/>
          <w:color w:val="auto"/>
          <w:spacing w:val="-6"/>
          <w:kern w:val="0"/>
          <w:sz w:val="24"/>
          <w:szCs w:val="24"/>
          <w:highlight w:val="none"/>
          <w:lang w:eastAsia="zh-CN"/>
        </w:rPr>
      </w:pPr>
      <w:r>
        <w:rPr>
          <w:rFonts w:hint="eastAsia" w:ascii="宋体" w:hAnsi="宋体" w:cs="宋体"/>
          <w:color w:val="auto"/>
          <w:spacing w:val="-6"/>
          <w:kern w:val="0"/>
          <w:sz w:val="24"/>
          <w:szCs w:val="24"/>
          <w:highlight w:val="none"/>
          <w:lang w:val="en-US" w:eastAsia="zh-CN"/>
        </w:rPr>
        <w:t>九、</w:t>
      </w:r>
      <w:r>
        <w:rPr>
          <w:rFonts w:hint="eastAsia" w:ascii="宋体" w:hAnsi="宋体" w:cs="宋体"/>
          <w:color w:val="auto"/>
          <w:spacing w:val="-6"/>
          <w:kern w:val="0"/>
          <w:sz w:val="24"/>
          <w:szCs w:val="24"/>
          <w:highlight w:val="none"/>
          <w:lang w:eastAsia="zh-CN"/>
        </w:rPr>
        <w:t>宝鸡市政府采购供应商诚信承诺书</w:t>
      </w:r>
    </w:p>
    <w:p w14:paraId="23EBF64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952" w:firstLineChars="400"/>
        <w:textAlignment w:val="auto"/>
        <w:rPr>
          <w:rFonts w:hint="eastAsia" w:ascii="宋体" w:hAnsi="宋体" w:cs="宋体"/>
          <w:color w:val="auto"/>
          <w:spacing w:val="-6"/>
          <w:kern w:val="0"/>
          <w:sz w:val="24"/>
          <w:szCs w:val="24"/>
          <w:highlight w:val="none"/>
          <w:lang w:eastAsia="zh-CN"/>
        </w:rPr>
      </w:pPr>
      <w:r>
        <w:rPr>
          <w:rFonts w:hint="eastAsia" w:ascii="宋体" w:hAnsi="宋体" w:cs="宋体"/>
          <w:color w:val="auto"/>
          <w:spacing w:val="-6"/>
          <w:kern w:val="0"/>
          <w:sz w:val="24"/>
          <w:szCs w:val="24"/>
          <w:highlight w:val="none"/>
          <w:lang w:eastAsia="zh-CN"/>
        </w:rPr>
        <w:t>十、拒绝政府采购领域商业贿赂承诺书</w:t>
      </w:r>
    </w:p>
    <w:p w14:paraId="5346D76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952" w:firstLineChars="400"/>
        <w:textAlignment w:val="auto"/>
        <w:rPr>
          <w:rFonts w:hint="eastAsia" w:ascii="宋体" w:hAnsi="宋体" w:cs="宋体"/>
          <w:color w:val="auto"/>
          <w:spacing w:val="-6"/>
          <w:kern w:val="0"/>
          <w:sz w:val="24"/>
          <w:szCs w:val="24"/>
          <w:highlight w:val="none"/>
          <w:lang w:eastAsia="zh-CN"/>
        </w:rPr>
      </w:pPr>
      <w:r>
        <w:rPr>
          <w:rFonts w:hint="eastAsia" w:ascii="宋体" w:hAnsi="宋体" w:cs="宋体"/>
          <w:color w:val="auto"/>
          <w:spacing w:val="-6"/>
          <w:kern w:val="0"/>
          <w:sz w:val="24"/>
          <w:szCs w:val="24"/>
          <w:highlight w:val="none"/>
          <w:lang w:eastAsia="zh-CN"/>
        </w:rPr>
        <w:t>十一、其他资料</w:t>
      </w:r>
    </w:p>
    <w:p w14:paraId="4B48D7DD">
      <w:pPr>
        <w:keepNext w:val="0"/>
        <w:keepLines w:val="0"/>
        <w:pageBreakBefore w:val="0"/>
        <w:kinsoku/>
        <w:wordWrap/>
        <w:overflowPunct/>
        <w:topLinePunct w:val="0"/>
        <w:bidi w:val="0"/>
        <w:spacing w:line="540" w:lineRule="exact"/>
        <w:ind w:left="0" w:leftChars="0" w:right="0" w:rightChars="0" w:firstLine="476" w:firstLineChars="200"/>
        <w:textAlignment w:val="auto"/>
        <w:rPr>
          <w:rFonts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2.3磋商响应文件应完全响应磋商文件的要求，若有一项未响应，将视为</w:t>
      </w:r>
      <w:r>
        <w:rPr>
          <w:rFonts w:hint="eastAsia" w:ascii="宋体" w:hAnsi="宋体" w:cs="宋体"/>
          <w:color w:val="auto"/>
          <w:spacing w:val="-6"/>
          <w:kern w:val="0"/>
          <w:sz w:val="24"/>
          <w:szCs w:val="24"/>
          <w:highlight w:val="none"/>
          <w:lang w:eastAsia="zh-CN"/>
        </w:rPr>
        <w:t>无效响应</w:t>
      </w:r>
      <w:r>
        <w:rPr>
          <w:rFonts w:hint="eastAsia" w:ascii="宋体" w:hAnsi="宋体" w:cs="宋体"/>
          <w:color w:val="auto"/>
          <w:spacing w:val="-6"/>
          <w:kern w:val="0"/>
          <w:sz w:val="24"/>
          <w:szCs w:val="24"/>
          <w:highlight w:val="none"/>
        </w:rPr>
        <w:t>。</w:t>
      </w:r>
    </w:p>
    <w:p w14:paraId="1C3D047F">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
          <w:color w:val="auto"/>
          <w:sz w:val="24"/>
          <w:szCs w:val="24"/>
          <w:highlight w:val="none"/>
        </w:rPr>
        <w:t>3、供应商信用信息：</w:t>
      </w:r>
    </w:p>
    <w:p w14:paraId="36ABCE33">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3.1查询渠道：通过“信用中国”网站（www.creditchina.gov.cn）、中国政府采购网（www.ccgp.gov.cn）等渠道查询相关主体信用记录；</w:t>
      </w:r>
    </w:p>
    <w:p w14:paraId="3B40A34F">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3.2查询截止日期：</w:t>
      </w:r>
      <w:r>
        <w:rPr>
          <w:rFonts w:hint="eastAsia" w:ascii="宋体" w:hAnsi="宋体" w:cs="宋体"/>
          <w:bCs/>
          <w:color w:val="auto"/>
          <w:sz w:val="24"/>
          <w:szCs w:val="24"/>
          <w:highlight w:val="none"/>
          <w:lang w:eastAsia="zh-CN"/>
        </w:rPr>
        <w:t>同响应文件递交（上传）截止时间</w:t>
      </w:r>
      <w:r>
        <w:rPr>
          <w:rFonts w:hint="eastAsia" w:ascii="宋体" w:hAnsi="宋体" w:cs="宋体"/>
          <w:bCs/>
          <w:color w:val="auto"/>
          <w:sz w:val="24"/>
          <w:szCs w:val="24"/>
          <w:highlight w:val="none"/>
        </w:rPr>
        <w:t>；</w:t>
      </w:r>
    </w:p>
    <w:p w14:paraId="4EDF721E">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3.3查询记录和证据留存方式：对信用信息查询情况予以记录；</w:t>
      </w:r>
    </w:p>
    <w:p w14:paraId="6338F99E">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3.4使用规则：对列入失信被执行人、重大税收违法失信主体、政府采购严重违法失信行为记录名单的供应商，其响应无效；</w:t>
      </w:r>
    </w:p>
    <w:p w14:paraId="42B1A594">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3.5特别说明：</w:t>
      </w:r>
    </w:p>
    <w:p w14:paraId="3E32EB04">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（1）在成交通知书发出前供应商如出现违法失信行为，采购人仍有权利提请磋商小组取消其成交资格；</w:t>
      </w:r>
    </w:p>
    <w:p w14:paraId="1DD15A8F">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hint="eastAsia" w:ascii="宋体" w:hAnsi="宋体" w:cs="宋体"/>
          <w:b/>
          <w:bCs/>
          <w:color w:val="auto"/>
          <w:sz w:val="24"/>
          <w:szCs w:val="24"/>
          <w:highlight w:val="none"/>
        </w:rPr>
      </w:pPr>
      <w:r>
        <w:rPr>
          <w:rFonts w:hint="eastAsia" w:ascii="宋体" w:hAnsi="宋体" w:cs="宋体"/>
          <w:bCs/>
          <w:color w:val="auto"/>
          <w:sz w:val="24"/>
          <w:szCs w:val="24"/>
          <w:highlight w:val="none"/>
        </w:rPr>
        <w:t>（2）供应商在磋商响应文件中已出具的信用查询结果并不能取代采购人或采购代理机构在磋商前进行复查。</w:t>
      </w:r>
    </w:p>
    <w:p w14:paraId="79FABEF5">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
          <w:color w:val="auto"/>
          <w:sz w:val="24"/>
          <w:szCs w:val="24"/>
          <w:highlight w:val="none"/>
        </w:rPr>
        <w:t>5、竞争性磋商响应文件响应无效的情形：</w:t>
      </w:r>
    </w:p>
    <w:p w14:paraId="23F75AF7">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5.1供应商有下列情形之一的，属于恶意串通，对其依照《中华人民共和国政府采购法》第七十七条第一款的规定追究法律责任，响应无效：</w:t>
      </w:r>
    </w:p>
    <w:p w14:paraId="77717029">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（1）供应商直接或者间接从采购人或采购代理机构处获得其他供应商的相关情况并修改其磋商响应文件；</w:t>
      </w:r>
    </w:p>
    <w:p w14:paraId="1B372216">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（2）供应商按照采购人或采购代理机构的授意撤换、修改磋商响应文件；</w:t>
      </w:r>
    </w:p>
    <w:p w14:paraId="360C4E16">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（3）供应商之间协商报价、技术方案等磋商响应文件的实质性内容；</w:t>
      </w:r>
    </w:p>
    <w:p w14:paraId="5C920DC8">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（4）属于同一集团、协会、商会等组织成员的供应商按照该组织要求协同参加政府采购活动；</w:t>
      </w:r>
    </w:p>
    <w:p w14:paraId="17C03BDF">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（5）供应商之间事先约定由某一特定供应商成交；</w:t>
      </w:r>
    </w:p>
    <w:p w14:paraId="152C5BD9">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（6）供应商之间商定部分供应商放弃参加政府采购活动或放弃成交；</w:t>
      </w:r>
    </w:p>
    <w:p w14:paraId="1755F9CC">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（7）供应商相互之间，为谋求特定供应商成交或排斥其他供应商的其他串通行为。</w:t>
      </w:r>
    </w:p>
    <w:p w14:paraId="4887B367">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5.2有下列情形之一的，视为供应商串通磋商，其响应无效：</w:t>
      </w:r>
    </w:p>
    <w:p w14:paraId="70E86CDF">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（1）不同供应商的磋商响应文件由同一单位或者个人编制；</w:t>
      </w:r>
    </w:p>
    <w:p w14:paraId="665D7BB7">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（2）不同供应商委托同一单位或者个人办理磋商事宜；</w:t>
      </w:r>
    </w:p>
    <w:p w14:paraId="696C4C87">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（3）不同供应商的磋商响应文件载明的项目管理成员或者联系人为同一人；</w:t>
      </w:r>
    </w:p>
    <w:p w14:paraId="78CCC461">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（4）不同供应商的磋商响应文件异常一致或者磋商报价呈现规律性差异；</w:t>
      </w:r>
    </w:p>
    <w:p w14:paraId="7CC6595D">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（5）不同供应商的磋商保证金从同一单位或者个人的账户转出。</w:t>
      </w:r>
    </w:p>
    <w:p w14:paraId="7B6B0A89">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ascii="宋体" w:hAnsi="宋体" w:cs="宋体"/>
          <w:bCs/>
          <w:color w:val="auto"/>
          <w:sz w:val="24"/>
          <w:szCs w:val="24"/>
          <w:highlight w:val="none"/>
        </w:rPr>
      </w:pPr>
      <w:bookmarkStart w:id="20" w:name="_Toc458617461"/>
      <w:bookmarkStart w:id="21" w:name="_Toc458617738"/>
      <w:r>
        <w:rPr>
          <w:rFonts w:hint="eastAsia" w:ascii="宋体" w:hAnsi="宋体" w:cs="宋体"/>
          <w:bCs/>
          <w:color w:val="auto"/>
          <w:sz w:val="24"/>
          <w:szCs w:val="24"/>
          <w:highlight w:val="none"/>
        </w:rPr>
        <w:t>5.3其他响应无效的情形：</w:t>
      </w:r>
    </w:p>
    <w:p w14:paraId="5B5930E0">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（1）未按照磋商文件的规定提交磋商保证金的；</w:t>
      </w:r>
    </w:p>
    <w:p w14:paraId="3AA495E7">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（2）磋商响应文件未按磋商文件要求签署、盖章的；</w:t>
      </w:r>
    </w:p>
    <w:p w14:paraId="52D45B4B">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（3）不具备磋商文件中规定的资格要求的；</w:t>
      </w:r>
    </w:p>
    <w:p w14:paraId="0D91A792">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（4）磋商报价超过</w:t>
      </w:r>
      <w:r>
        <w:rPr>
          <w:rFonts w:hint="eastAsia" w:ascii="宋体" w:hAnsi="宋体" w:cs="宋体"/>
          <w:bCs/>
          <w:color w:val="auto"/>
          <w:sz w:val="24"/>
          <w:szCs w:val="24"/>
          <w:highlight w:val="none"/>
          <w:lang w:eastAsia="zh-CN"/>
        </w:rPr>
        <w:t>最高限价</w:t>
      </w:r>
      <w:r>
        <w:rPr>
          <w:rFonts w:hint="eastAsia" w:ascii="宋体" w:hAnsi="宋体" w:cs="宋体"/>
          <w:bCs/>
          <w:color w:val="auto"/>
          <w:sz w:val="24"/>
          <w:szCs w:val="24"/>
          <w:highlight w:val="none"/>
        </w:rPr>
        <w:t>（未设定最高限价的采购项目，以采购项目预算金额作为最高限价）；</w:t>
      </w:r>
    </w:p>
    <w:p w14:paraId="387D2A96">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（5）磋商响应文件含有采购人不能接受的附加条件的；</w:t>
      </w:r>
    </w:p>
    <w:p w14:paraId="72CFC862">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（6）提供虚假材料谋取成交的；</w:t>
      </w:r>
    </w:p>
    <w:p w14:paraId="31144C95">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ascii="宋体" w:hAnsi="宋体" w:cs="宋体"/>
          <w:color w:val="auto"/>
          <w:sz w:val="24"/>
          <w:szCs w:val="24"/>
          <w:highlight w:val="none"/>
        </w:rPr>
      </w:pPr>
      <w:r>
        <w:rPr>
          <w:rFonts w:hint="eastAsia" w:ascii="宋体" w:hAnsi="宋体" w:cs="宋体"/>
          <w:bCs/>
          <w:color w:val="auto"/>
          <w:sz w:val="24"/>
          <w:szCs w:val="24"/>
          <w:highlight w:val="none"/>
        </w:rPr>
        <w:t>（7）采取不正当手段诋毁、排挤其他供应商的；</w:t>
      </w:r>
      <w:bookmarkEnd w:id="20"/>
      <w:bookmarkEnd w:id="21"/>
    </w:p>
    <w:p w14:paraId="29DD5DE9">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6、磋商内容填写说明：</w:t>
      </w:r>
    </w:p>
    <w:p w14:paraId="13325617">
      <w:pPr>
        <w:keepNext w:val="0"/>
        <w:keepLines w:val="0"/>
        <w:pageBreakBefore w:val="0"/>
        <w:widowControl w:val="0"/>
        <w:kinsoku/>
        <w:wordWrap/>
        <w:overflowPunct/>
        <w:topLinePunct w:val="0"/>
        <w:autoSpaceDE/>
        <w:autoSpaceDN/>
        <w:bidi w:val="0"/>
        <w:snapToGrid/>
        <w:spacing w:line="560" w:lineRule="exact"/>
        <w:ind w:left="0" w:leftChars="0" w:right="0" w:rightChars="0" w:firstLine="484" w:firstLineChars="200"/>
        <w:textAlignment w:val="auto"/>
        <w:rPr>
          <w:rFonts w:hint="eastAsia" w:ascii="宋体" w:hAnsi="宋体" w:cs="宋体"/>
          <w:bCs/>
          <w:color w:val="auto"/>
          <w:spacing w:val="-4"/>
          <w:sz w:val="24"/>
          <w:szCs w:val="24"/>
          <w:highlight w:val="none"/>
        </w:rPr>
      </w:pPr>
      <w:r>
        <w:rPr>
          <w:rFonts w:hint="eastAsia" w:ascii="宋体" w:hAnsi="宋体" w:cs="宋体"/>
          <w:bCs/>
          <w:color w:val="auto"/>
          <w:spacing w:val="-4"/>
          <w:sz w:val="24"/>
          <w:szCs w:val="24"/>
          <w:highlight w:val="none"/>
        </w:rPr>
        <w:t>6.1竞争性磋商响应文件格式：供应商提交的竞争性磋商响应文件应当按照竞争性磋商文件规定的全部格式（表格可以按同样格式扩展）填写。</w:t>
      </w:r>
    </w:p>
    <w:p w14:paraId="0C526DE7">
      <w:pPr>
        <w:keepNext w:val="0"/>
        <w:keepLines w:val="0"/>
        <w:pageBreakBefore w:val="0"/>
        <w:widowControl w:val="0"/>
        <w:kinsoku/>
        <w:wordWrap/>
        <w:overflowPunct/>
        <w:topLinePunct w:val="0"/>
        <w:autoSpaceDE/>
        <w:autoSpaceDN/>
        <w:bidi w:val="0"/>
        <w:snapToGrid/>
        <w:spacing w:line="560" w:lineRule="exact"/>
        <w:ind w:left="0" w:leftChars="0" w:right="0" w:rightChars="0" w:firstLine="484" w:firstLineChars="200"/>
        <w:textAlignment w:val="auto"/>
        <w:rPr>
          <w:rFonts w:hint="eastAsia" w:ascii="宋体" w:hAnsi="宋体" w:cs="宋体"/>
          <w:bCs/>
          <w:color w:val="auto"/>
          <w:spacing w:val="-4"/>
          <w:sz w:val="24"/>
          <w:szCs w:val="24"/>
          <w:highlight w:val="none"/>
        </w:rPr>
      </w:pPr>
      <w:r>
        <w:rPr>
          <w:rFonts w:hint="eastAsia" w:ascii="宋体" w:hAnsi="宋体" w:cs="宋体"/>
          <w:bCs/>
          <w:color w:val="auto"/>
          <w:spacing w:val="-4"/>
          <w:sz w:val="24"/>
          <w:szCs w:val="24"/>
          <w:highlight w:val="none"/>
        </w:rPr>
        <w:t>6.2本次磋商项目原则上采用二次报价，第二次商务报价为本磋商活动最终报价，磋商小组在线与供应商完成磋商后，供应商按要求在交易平台系统中自行填报，若供应商填报有误，责任自负；在整体项目开标结束前供应商请保持在线，评审期间磋商小组可能会要求供应商做相应的澄清，因供应商擅自离席造成的不利后果，由供应商自行承担。</w:t>
      </w:r>
    </w:p>
    <w:p w14:paraId="48948104">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6.3</w:t>
      </w:r>
      <w:r>
        <w:rPr>
          <w:rFonts w:hint="eastAsia" w:ascii="宋体" w:hAnsi="宋体" w:cs="宋体"/>
          <w:bCs/>
          <w:color w:val="auto"/>
          <w:sz w:val="24"/>
          <w:szCs w:val="24"/>
          <w:highlight w:val="none"/>
        </w:rPr>
        <w:t>在磋商过程中，磋商小组可以根据竞争性磋商文件和磋商情况，实质性变动采购需求中的技术、</w:t>
      </w:r>
      <w:r>
        <w:rPr>
          <w:rFonts w:hint="eastAsia" w:ascii="宋体" w:hAnsi="宋体" w:cs="宋体"/>
          <w:bCs/>
          <w:color w:val="auto"/>
          <w:sz w:val="24"/>
          <w:szCs w:val="24"/>
          <w:highlight w:val="none"/>
          <w:lang w:eastAsia="zh-CN"/>
        </w:rPr>
        <w:t>商务</w:t>
      </w:r>
      <w:r>
        <w:rPr>
          <w:rFonts w:hint="eastAsia" w:ascii="宋体" w:hAnsi="宋体" w:cs="宋体"/>
          <w:bCs/>
          <w:color w:val="auto"/>
          <w:sz w:val="24"/>
          <w:szCs w:val="24"/>
          <w:highlight w:val="none"/>
        </w:rPr>
        <w:t>要求以及合同草案条款，但不得变动磋商文件中的其他内容。实质性变动的内容，须经采购人代表确认。</w:t>
      </w:r>
    </w:p>
    <w:p w14:paraId="61DEE23E">
      <w:pPr>
        <w:keepNext w:val="0"/>
        <w:keepLines w:val="0"/>
        <w:pageBreakBefore w:val="0"/>
        <w:widowControl w:val="0"/>
        <w:kinsoku/>
        <w:wordWrap/>
        <w:overflowPunct/>
        <w:topLinePunct w:val="0"/>
        <w:autoSpaceDE/>
        <w:autoSpaceDN/>
        <w:bidi w:val="0"/>
        <w:adjustRightInd w:val="0"/>
        <w:snapToGrid w:val="0"/>
        <w:spacing w:line="580" w:lineRule="exact"/>
        <w:ind w:firstLine="50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对磋商文件作出的实质性变动是磋商文件的有效组成部分，磋商小组应当及时以书面形式同时通知所有参加磋商的供应商。</w:t>
      </w:r>
    </w:p>
    <w:p w14:paraId="16F99128">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484" w:firstLineChars="200"/>
        <w:textAlignment w:val="auto"/>
        <w:outlineLvl w:val="9"/>
        <w:rPr>
          <w:rFonts w:hint="eastAsia" w:ascii="宋体" w:hAnsi="宋体" w:cs="宋体"/>
          <w:bCs/>
          <w:color w:val="auto"/>
          <w:spacing w:val="-4"/>
          <w:sz w:val="24"/>
          <w:szCs w:val="24"/>
          <w:highlight w:val="none"/>
        </w:rPr>
      </w:pPr>
      <w:r>
        <w:rPr>
          <w:rFonts w:hint="eastAsia" w:ascii="宋体" w:hAnsi="宋体" w:cs="宋体"/>
          <w:bCs/>
          <w:color w:val="auto"/>
          <w:spacing w:val="-4"/>
          <w:sz w:val="24"/>
          <w:szCs w:val="24"/>
          <w:highlight w:val="none"/>
          <w:lang w:val="en-US" w:eastAsia="zh-CN"/>
        </w:rPr>
        <w:t>供应商应当按照磋商文件的变动情况和磋商小组的要求重新提交磋商响应文件，并由其法定代表人或授权代表签字或者加盖公章。</w:t>
      </w:r>
    </w:p>
    <w:p w14:paraId="10E7FA71">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
          <w:color w:val="auto"/>
          <w:sz w:val="24"/>
          <w:szCs w:val="24"/>
          <w:highlight w:val="none"/>
        </w:rPr>
        <w:t>7、竞争性磋商响应文件的计量单位：</w:t>
      </w:r>
    </w:p>
    <w:p w14:paraId="1662063B">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竞争性磋商响应文件中所使用的计量单位，除有特殊要求外，均采用国家法定计量单位。</w:t>
      </w:r>
    </w:p>
    <w:p w14:paraId="3CB54262">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8、磋商报价：</w:t>
      </w:r>
    </w:p>
    <w:p w14:paraId="72C2DD73">
      <w:pPr>
        <w:keepNext w:val="0"/>
        <w:keepLines w:val="0"/>
        <w:pageBreakBefore w:val="0"/>
        <w:widowControl w:val="0"/>
        <w:kinsoku/>
        <w:wordWrap/>
        <w:overflowPunct/>
        <w:topLinePunct w:val="0"/>
        <w:autoSpaceDE/>
        <w:autoSpaceDN/>
        <w:bidi w:val="0"/>
        <w:snapToGrid/>
        <w:spacing w:line="56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8.1供应商应按磋商文件中规定填写报价有关表格。供应商应按格式填写，统一规范不得自行增减内容。当</w:t>
      </w:r>
      <w:r>
        <w:rPr>
          <w:rFonts w:hint="eastAsia" w:ascii="宋体" w:hAnsi="宋体" w:cs="宋体"/>
          <w:bCs/>
          <w:color w:val="auto"/>
          <w:sz w:val="24"/>
          <w:szCs w:val="24"/>
          <w:highlight w:val="none"/>
          <w:lang w:eastAsia="zh-CN"/>
        </w:rPr>
        <w:t>响应文件相应内容</w:t>
      </w:r>
      <w:r>
        <w:rPr>
          <w:rFonts w:hint="eastAsia" w:ascii="宋体" w:hAnsi="宋体" w:cs="宋体"/>
          <w:bCs/>
          <w:color w:val="auto"/>
          <w:sz w:val="24"/>
          <w:szCs w:val="24"/>
          <w:highlight w:val="none"/>
        </w:rPr>
        <w:t>与</w:t>
      </w:r>
      <w:r>
        <w:rPr>
          <w:rFonts w:hint="eastAsia" w:ascii="宋体" w:hAnsi="宋体" w:cs="宋体"/>
          <w:bCs/>
          <w:color w:val="auto"/>
          <w:sz w:val="24"/>
          <w:szCs w:val="24"/>
          <w:highlight w:val="none"/>
          <w:lang w:eastAsia="zh-CN"/>
        </w:rPr>
        <w:t>报价一览表</w:t>
      </w:r>
      <w:r>
        <w:rPr>
          <w:rFonts w:hint="eastAsia" w:ascii="宋体" w:hAnsi="宋体" w:cs="宋体"/>
          <w:bCs/>
          <w:color w:val="auto"/>
          <w:sz w:val="24"/>
          <w:szCs w:val="24"/>
          <w:highlight w:val="none"/>
        </w:rPr>
        <w:t>不相一致时，以</w:t>
      </w:r>
      <w:r>
        <w:rPr>
          <w:rFonts w:hint="eastAsia" w:ascii="宋体" w:hAnsi="宋体" w:cs="宋体"/>
          <w:bCs/>
          <w:color w:val="auto"/>
          <w:sz w:val="24"/>
          <w:szCs w:val="24"/>
          <w:highlight w:val="none"/>
          <w:lang w:eastAsia="zh-CN"/>
        </w:rPr>
        <w:t>报价一览表</w:t>
      </w:r>
      <w:r>
        <w:rPr>
          <w:rFonts w:hint="eastAsia" w:ascii="宋体" w:hAnsi="宋体" w:cs="宋体"/>
          <w:bCs/>
          <w:color w:val="auto"/>
          <w:sz w:val="24"/>
          <w:szCs w:val="24"/>
          <w:highlight w:val="none"/>
        </w:rPr>
        <w:t>为准；大写与小写不一致时，以大写为准。如无特别说明，投标货币为人民币元。</w:t>
      </w:r>
    </w:p>
    <w:p w14:paraId="1AE4EFA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8.2 供应商必须全面考虑各影响报价因素，认真计算可能发生的各相关费用（包含管理费、税金等费用）并计入磋商报价内，在项目实施过程中不得藉此要求增加任何费用。</w:t>
      </w:r>
    </w:p>
    <w:p w14:paraId="0A5739D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8.3供应商报价时可能涉及的因素：</w:t>
      </w:r>
    </w:p>
    <w:p w14:paraId="644E398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00" w:firstLineChars="200"/>
        <w:jc w:val="both"/>
        <w:textAlignment w:val="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（1）供应商应事先考虑好人工、场地等费用可能的波动变化。</w:t>
      </w:r>
    </w:p>
    <w:p w14:paraId="4CCB6F1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00" w:firstLineChars="200"/>
        <w:jc w:val="both"/>
        <w:textAlignment w:val="auto"/>
        <w:outlineLvl w:val="9"/>
        <w:rPr>
          <w:rFonts w:ascii="宋体" w:hAnsi="宋体" w:cs="宋体"/>
          <w:bCs/>
          <w:color w:val="auto"/>
          <w:spacing w:val="-6"/>
          <w:sz w:val="24"/>
          <w:szCs w:val="24"/>
          <w:highlight w:val="none"/>
        </w:rPr>
      </w:pPr>
      <w:r>
        <w:rPr>
          <w:rFonts w:hint="eastAsia" w:ascii="宋体" w:hAnsi="宋体" w:cs="宋体"/>
          <w:bCs/>
          <w:color w:val="auto"/>
          <w:sz w:val="24"/>
          <w:szCs w:val="24"/>
          <w:highlight w:val="none"/>
        </w:rPr>
        <w:t>（2）</w:t>
      </w:r>
      <w:r>
        <w:rPr>
          <w:rFonts w:hint="eastAsia" w:ascii="宋体" w:hAnsi="宋体" w:cs="宋体"/>
          <w:bCs/>
          <w:color w:val="auto"/>
          <w:spacing w:val="-6"/>
          <w:sz w:val="24"/>
          <w:szCs w:val="24"/>
          <w:highlight w:val="none"/>
        </w:rPr>
        <w:t>供应商须自行踏勘现场以充分了解项目实施的内容及可能产生的费用。</w:t>
      </w:r>
    </w:p>
    <w:p w14:paraId="4BC9411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00" w:firstLineChars="200"/>
        <w:jc w:val="both"/>
        <w:textAlignment w:val="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）如未成交，无任何补偿费用。</w:t>
      </w:r>
    </w:p>
    <w:p w14:paraId="2757F37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00" w:firstLineChars="200"/>
        <w:jc w:val="both"/>
        <w:textAlignment w:val="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）供应商应负责办理为执行本磋商文件规定义务而投入的工伤事故的保险、机具设备的财产保险、人身意外伤害险等，保险费由供应商自行支付，并已包含在磋商报价中，采购人将不再另行支付。</w:t>
      </w:r>
    </w:p>
    <w:p w14:paraId="63C93B3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00" w:firstLineChars="200"/>
        <w:jc w:val="both"/>
        <w:textAlignment w:val="auto"/>
        <w:outlineLvl w:val="9"/>
        <w:rPr>
          <w:rFonts w:ascii="宋体" w:hAnsi="宋体" w:cs="宋体"/>
          <w:b/>
          <w:color w:val="auto"/>
          <w:sz w:val="24"/>
          <w:szCs w:val="24"/>
          <w:highlight w:val="none"/>
          <w:lang w:val="zh-CN"/>
        </w:rPr>
      </w:pPr>
      <w:r>
        <w:rPr>
          <w:rFonts w:hint="eastAsia" w:ascii="宋体" w:hAnsi="宋体" w:cs="宋体"/>
          <w:b/>
          <w:color w:val="auto"/>
          <w:sz w:val="24"/>
          <w:szCs w:val="24"/>
          <w:highlight w:val="none"/>
        </w:rPr>
        <w:t>注：</w:t>
      </w:r>
      <w:r>
        <w:rPr>
          <w:rFonts w:hint="eastAsia" w:ascii="宋体" w:hAnsi="宋体" w:cs="宋体"/>
          <w:b/>
          <w:color w:val="auto"/>
          <w:sz w:val="24"/>
          <w:szCs w:val="24"/>
          <w:highlight w:val="none"/>
          <w:lang w:val="zh-CN"/>
        </w:rPr>
        <w:t>（1）磋商谈判第二轮报价为最终报价；</w:t>
      </w:r>
    </w:p>
    <w:p w14:paraId="5F68DB2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00" w:firstLineChars="200"/>
        <w:jc w:val="both"/>
        <w:textAlignment w:val="auto"/>
        <w:outlineLvl w:val="9"/>
        <w:rPr>
          <w:rFonts w:ascii="宋体" w:hAnsi="宋体" w:cs="宋体"/>
          <w:b/>
          <w:color w:val="auto"/>
          <w:sz w:val="24"/>
          <w:szCs w:val="24"/>
          <w:highlight w:val="none"/>
        </w:rPr>
      </w:pPr>
      <w:r>
        <w:rPr>
          <w:rFonts w:hint="eastAsia" w:ascii="宋体" w:hAnsi="宋体" w:cs="宋体"/>
          <w:b/>
          <w:color w:val="auto"/>
          <w:sz w:val="24"/>
          <w:szCs w:val="24"/>
          <w:highlight w:val="none"/>
        </w:rPr>
        <w:t xml:space="preserve">    </w:t>
      </w:r>
      <w:r>
        <w:rPr>
          <w:rFonts w:hint="eastAsia" w:ascii="宋体" w:hAnsi="宋体" w:cs="宋体"/>
          <w:b/>
          <w:color w:val="auto"/>
          <w:sz w:val="24"/>
          <w:szCs w:val="24"/>
          <w:highlight w:val="none"/>
          <w:lang w:val="zh-CN"/>
        </w:rPr>
        <w:t>（2）</w:t>
      </w:r>
      <w:r>
        <w:rPr>
          <w:rFonts w:hint="eastAsia" w:ascii="宋体" w:hAnsi="宋体" w:cs="宋体"/>
          <w:b/>
          <w:color w:val="auto"/>
          <w:sz w:val="24"/>
          <w:szCs w:val="24"/>
          <w:highlight w:val="none"/>
        </w:rPr>
        <w:t>磋商报价超过最高限价的按</w:t>
      </w:r>
      <w:r>
        <w:rPr>
          <w:rFonts w:hint="eastAsia" w:ascii="宋体" w:hAnsi="宋体" w:cs="宋体"/>
          <w:b/>
          <w:color w:val="auto"/>
          <w:sz w:val="24"/>
          <w:szCs w:val="24"/>
          <w:highlight w:val="none"/>
          <w:lang w:eastAsia="zh-CN"/>
        </w:rPr>
        <w:t>无效响应</w:t>
      </w:r>
      <w:r>
        <w:rPr>
          <w:rFonts w:hint="eastAsia" w:ascii="宋体" w:hAnsi="宋体" w:cs="宋体"/>
          <w:b/>
          <w:color w:val="auto"/>
          <w:sz w:val="24"/>
          <w:szCs w:val="24"/>
          <w:highlight w:val="none"/>
        </w:rPr>
        <w:t>处理；</w:t>
      </w:r>
    </w:p>
    <w:p w14:paraId="3FAD2D1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00" w:firstLineChars="200"/>
        <w:jc w:val="both"/>
        <w:textAlignment w:val="auto"/>
        <w:outlineLvl w:val="9"/>
        <w:rPr>
          <w:rFonts w:ascii="宋体" w:hAnsi="宋体" w:cs="宋体"/>
          <w:b/>
          <w:color w:val="auto"/>
          <w:sz w:val="24"/>
          <w:szCs w:val="24"/>
          <w:highlight w:val="none"/>
        </w:rPr>
      </w:pPr>
      <w:r>
        <w:rPr>
          <w:rFonts w:hint="eastAsia" w:ascii="宋体" w:hAnsi="宋体" w:cs="宋体"/>
          <w:b/>
          <w:color w:val="auto"/>
          <w:sz w:val="24"/>
          <w:szCs w:val="24"/>
          <w:highlight w:val="none"/>
        </w:rPr>
        <w:t xml:space="preserve">    （</w:t>
      </w: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）最终报价不得高于首次报价，否则按</w:t>
      </w:r>
      <w:r>
        <w:rPr>
          <w:rFonts w:hint="eastAsia" w:ascii="宋体" w:hAnsi="宋体" w:cs="宋体"/>
          <w:b/>
          <w:color w:val="auto"/>
          <w:sz w:val="24"/>
          <w:szCs w:val="24"/>
          <w:highlight w:val="none"/>
          <w:lang w:eastAsia="zh-CN"/>
        </w:rPr>
        <w:t>无效响应</w:t>
      </w:r>
      <w:r>
        <w:rPr>
          <w:rFonts w:hint="eastAsia" w:ascii="宋体" w:hAnsi="宋体" w:cs="宋体"/>
          <w:b/>
          <w:color w:val="auto"/>
          <w:sz w:val="24"/>
          <w:szCs w:val="24"/>
          <w:highlight w:val="none"/>
        </w:rPr>
        <w:t>处理。</w:t>
      </w:r>
    </w:p>
    <w:p w14:paraId="08BF8C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00" w:firstLineChars="200"/>
        <w:jc w:val="both"/>
        <w:textAlignment w:val="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8.4、供应商应充分考虑国家现行规范要求，以及供应商自身情况，自主报价。磋商报价应是竞争性磋商范围内全部工作内容的价格体现，包括但不限于管理、服务人员的工资、社会保险和按规定提取的福利费等、临时性加班的加班费用、法定税费、合理利润等一切费用，系固定不变价格，不受市场价格变化因素的影响。磋商报价一经提交，则将被视为发包内容的全部费用已经包含在磋商报价内，供应商没有填报的费用，采购人将不予支付，并认为此项费用已包括在磋商报价中，在合同履行期限内服务价格不受市场波动、成本、人工、税金等因素而调整。任何有选择的报价将不予接受，只允许有一个报价。</w:t>
      </w:r>
    </w:p>
    <w:p w14:paraId="2C740375">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500" w:firstLineChars="200"/>
        <w:jc w:val="both"/>
        <w:textAlignment w:val="auto"/>
        <w:outlineLvl w:val="9"/>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rPr>
        <w:t>8.5、供应商不得以低于成本的报价参加磋商。当磋商小组认为某个供应商的磋商</w:t>
      </w:r>
      <w:r>
        <w:rPr>
          <w:rFonts w:hint="eastAsia" w:ascii="宋体" w:hAnsi="宋体" w:cs="宋体"/>
          <w:bCs/>
          <w:color w:val="auto"/>
          <w:sz w:val="24"/>
          <w:szCs w:val="24"/>
          <w:highlight w:val="none"/>
          <w:lang w:eastAsia="zh-CN"/>
        </w:rPr>
        <w:t>总</w:t>
      </w:r>
      <w:r>
        <w:rPr>
          <w:rFonts w:hint="eastAsia" w:ascii="宋体" w:hAnsi="宋体" w:cs="宋体"/>
          <w:bCs/>
          <w:color w:val="auto"/>
          <w:sz w:val="24"/>
          <w:szCs w:val="24"/>
          <w:highlight w:val="none"/>
        </w:rPr>
        <w:t>价或者某些分项报价明显不合理或者异常低价，</w:t>
      </w:r>
      <w:r>
        <w:rPr>
          <w:rFonts w:hint="eastAsia" w:ascii="宋体" w:hAnsi="宋体" w:cs="宋体"/>
          <w:bCs/>
          <w:color w:val="auto"/>
          <w:sz w:val="24"/>
          <w:szCs w:val="24"/>
          <w:highlight w:val="none"/>
          <w:lang w:eastAsia="zh-CN"/>
        </w:rPr>
        <w:t>按照第二部分中“</w:t>
      </w:r>
      <w:r>
        <w:rPr>
          <w:rFonts w:hint="eastAsia" w:ascii="宋体" w:hAnsi="宋体" w:cs="宋体"/>
          <w:b/>
          <w:color w:val="auto"/>
          <w:sz w:val="24"/>
          <w:szCs w:val="24"/>
          <w:highlight w:val="none"/>
        </w:rPr>
        <w:t>五、磋商、评审及定标</w:t>
      </w:r>
      <w:r>
        <w:rPr>
          <w:rFonts w:hint="eastAsia" w:ascii="宋体" w:hAnsi="宋体" w:cs="宋体"/>
          <w:bCs/>
          <w:color w:val="auto"/>
          <w:sz w:val="24"/>
          <w:szCs w:val="24"/>
          <w:highlight w:val="none"/>
          <w:lang w:eastAsia="zh-CN"/>
        </w:rPr>
        <w:t>”的</w:t>
      </w:r>
      <w:r>
        <w:rPr>
          <w:rFonts w:hint="eastAsia" w:ascii="宋体" w:hAnsi="宋体" w:cs="宋体"/>
          <w:bCs/>
          <w:color w:val="auto"/>
          <w:sz w:val="24"/>
          <w:szCs w:val="24"/>
          <w:highlight w:val="none"/>
          <w:lang w:val="en-US" w:eastAsia="zh-CN"/>
        </w:rPr>
        <w:t>3.3启动异常低价审查程序。</w:t>
      </w:r>
    </w:p>
    <w:p w14:paraId="71AF42C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00" w:firstLineChars="200"/>
        <w:jc w:val="both"/>
        <w:textAlignment w:val="auto"/>
        <w:outlineLvl w:val="9"/>
        <w:rPr>
          <w:rFonts w:ascii="宋体" w:hAnsi="宋体" w:cs="宋体"/>
          <w:bCs/>
          <w:color w:val="auto"/>
          <w:sz w:val="24"/>
          <w:szCs w:val="24"/>
          <w:highlight w:val="none"/>
        </w:rPr>
      </w:pPr>
      <w:r>
        <w:rPr>
          <w:rFonts w:hint="eastAsia" w:ascii="宋体" w:hAnsi="宋体" w:cs="宋体"/>
          <w:b/>
          <w:color w:val="auto"/>
          <w:sz w:val="24"/>
          <w:szCs w:val="24"/>
          <w:highlight w:val="none"/>
        </w:rPr>
        <w:t>9、竞争性磋商响应文件的制作：</w:t>
      </w:r>
    </w:p>
    <w:p w14:paraId="67FAF37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00" w:firstLineChars="200"/>
        <w:jc w:val="both"/>
        <w:textAlignment w:val="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9.1竞争性磋商响应文件的签署及规定：</w:t>
      </w:r>
    </w:p>
    <w:p w14:paraId="1416564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电子竞争性磋商响应文件制作过程中，需要法定代表人签字或盖章的地方，请使用“法人CA锁”进行签章；需要加盖供应商公章的地方，请使用“企业CA锁”进行签章。若导出的PDF文件里看不到签章，请尝试使用专用制作软件中的“查看投标文件工具”打开未加密的电子竞争性磋商响应文件重新导出。加密和解密应当使用同一CA，否则将会导致解密失败。在制作过程中，如有其他技术性问题，请先翻阅操作手册，或致电软件开发商。</w:t>
      </w:r>
    </w:p>
    <w:p w14:paraId="7D3E31D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（2）纸质版磋商响应文件应是供应商最终上传版，供应商应按照供应商须知的要求, 按“供应商须知前附表”中规定数量的正、副本，副本可以是正本的复印件，但印章必须是原色章，逐页盖章。每套正本和所有的副本均需打印或用不褪色的蓝（黑）墨水填写，注明“正本”“副本”字样。统一装订，须牢固不易拆散和换页，不得采用活页方式装订；统一连续编码。</w:t>
      </w:r>
    </w:p>
    <w:p w14:paraId="33282D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9.2磋商响应文件的密封、递交</w:t>
      </w:r>
    </w:p>
    <w:p w14:paraId="60D01E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（1）本项目采用电子化投标，无需提供纸质版磋商响应文件，以网上最终上传版为准。</w:t>
      </w:r>
    </w:p>
    <w:p w14:paraId="021F68B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（2）成交供应商在领取成交通知书</w:t>
      </w:r>
      <w:r>
        <w:rPr>
          <w:rFonts w:hint="eastAsia" w:ascii="宋体" w:hAnsi="宋体" w:cs="宋体"/>
          <w:bCs/>
          <w:color w:val="auto"/>
          <w:sz w:val="24"/>
          <w:szCs w:val="24"/>
          <w:highlight w:val="none"/>
          <w:lang w:eastAsia="zh-CN"/>
        </w:rPr>
        <w:t>时</w:t>
      </w:r>
      <w:r>
        <w:rPr>
          <w:rFonts w:hint="eastAsia" w:ascii="宋体" w:hAnsi="宋体" w:cs="宋体"/>
          <w:bCs/>
          <w:color w:val="auto"/>
          <w:sz w:val="24"/>
          <w:szCs w:val="24"/>
          <w:highlight w:val="none"/>
        </w:rPr>
        <w:t>，向采购代理机构提交与网上最终上传电子磋商响应文件完全一致的纸质版磋商响应文件（签署并加盖鲜章）正本壹份，副本贰份，电子版响应文件壹份（U盘），未按要求提交磋商响应文件的成交供应商不得领取成交通知书。</w:t>
      </w:r>
    </w:p>
    <w:p w14:paraId="6BFBE7D6">
      <w:pPr>
        <w:keepNext w:val="0"/>
        <w:keepLines w:val="0"/>
        <w:pageBreakBefore w:val="0"/>
        <w:widowControl w:val="0"/>
        <w:tabs>
          <w:tab w:val="left" w:pos="851"/>
        </w:tabs>
        <w:kinsoku/>
        <w:wordWrap/>
        <w:overflowPunct/>
        <w:topLinePunct w:val="0"/>
        <w:autoSpaceDE/>
        <w:autoSpaceDN/>
        <w:bidi w:val="0"/>
        <w:adjustRightInd/>
        <w:snapToGrid/>
        <w:spacing w:line="56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9.3竞争性磋商响应文件的补充、修改与撤回：</w:t>
      </w:r>
    </w:p>
    <w:p w14:paraId="298D7AF3">
      <w:pPr>
        <w:keepNext w:val="0"/>
        <w:keepLines w:val="0"/>
        <w:pageBreakBefore w:val="0"/>
        <w:widowControl w:val="0"/>
        <w:tabs>
          <w:tab w:val="left" w:pos="851"/>
        </w:tabs>
        <w:kinsoku/>
        <w:wordWrap/>
        <w:overflowPunct/>
        <w:topLinePunct w:val="0"/>
        <w:autoSpaceDE/>
        <w:autoSpaceDN/>
        <w:bidi w:val="0"/>
        <w:adjustRightInd/>
        <w:snapToGrid/>
        <w:spacing w:line="56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a、供应商在提交竞争性磋商响应文件以后，在规定的磋商截止时间之前,可以修改或撤回已提交的竞争性磋商响应文件，补充、修改的内容应当按竞争性磋商文件要求签署、盖章，并作为竞争性磋商响应文件的组成部分。补充、修改的内容与相应文件不一致的，以补充、修改的内容为准；</w:t>
      </w:r>
    </w:p>
    <w:p w14:paraId="11E3C2D8">
      <w:pPr>
        <w:keepNext w:val="0"/>
        <w:keepLines w:val="0"/>
        <w:pageBreakBefore w:val="0"/>
        <w:widowControl w:val="0"/>
        <w:tabs>
          <w:tab w:val="left" w:pos="851"/>
        </w:tabs>
        <w:kinsoku/>
        <w:wordWrap/>
        <w:overflowPunct/>
        <w:topLinePunct w:val="0"/>
        <w:autoSpaceDE/>
        <w:autoSpaceDN/>
        <w:bidi w:val="0"/>
        <w:adjustRightInd/>
        <w:snapToGrid/>
        <w:spacing w:line="56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b、磋商截止时间之后，供应商不得补充、修改竞争性磋商响应文件；</w:t>
      </w:r>
    </w:p>
    <w:p w14:paraId="24CEB5E8">
      <w:pPr>
        <w:keepNext w:val="0"/>
        <w:keepLines w:val="0"/>
        <w:pageBreakBefore w:val="0"/>
        <w:widowControl w:val="0"/>
        <w:tabs>
          <w:tab w:val="left" w:pos="851"/>
        </w:tabs>
        <w:kinsoku/>
        <w:wordWrap/>
        <w:overflowPunct/>
        <w:topLinePunct w:val="0"/>
        <w:autoSpaceDE/>
        <w:autoSpaceDN/>
        <w:bidi w:val="0"/>
        <w:adjustRightInd/>
        <w:snapToGrid/>
        <w:spacing w:line="56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c、在磋商截止时间至磋商有效期满之前，供应商不得撤回其竞争性磋商响应文件，否则其磋商保证金将不予退还。</w:t>
      </w:r>
    </w:p>
    <w:p w14:paraId="1C2E4DEA">
      <w:pPr>
        <w:keepNext w:val="0"/>
        <w:keepLines w:val="0"/>
        <w:pageBreakBefore w:val="0"/>
        <w:widowControl w:val="0"/>
        <w:tabs>
          <w:tab w:val="left" w:pos="851"/>
        </w:tabs>
        <w:kinsoku/>
        <w:wordWrap/>
        <w:overflowPunct/>
        <w:topLinePunct w:val="0"/>
        <w:autoSpaceDE/>
        <w:autoSpaceDN/>
        <w:bidi w:val="0"/>
        <w:adjustRightInd/>
        <w:snapToGrid/>
        <w:spacing w:line="56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9.4竞争性磋商响应文件的审查标准：</w:t>
      </w:r>
    </w:p>
    <w:p w14:paraId="417269E3">
      <w:pPr>
        <w:keepNext w:val="0"/>
        <w:keepLines w:val="0"/>
        <w:pageBreakBefore w:val="0"/>
        <w:widowControl w:val="0"/>
        <w:tabs>
          <w:tab w:val="left" w:pos="851"/>
        </w:tabs>
        <w:kinsoku/>
        <w:wordWrap/>
        <w:overflowPunct/>
        <w:topLinePunct w:val="0"/>
        <w:autoSpaceDE/>
        <w:autoSpaceDN/>
        <w:bidi w:val="0"/>
        <w:adjustRightInd/>
        <w:snapToGrid/>
        <w:spacing w:line="56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a、竞争性磋商响应文件图表与文字不符时，以文字为准；</w:t>
      </w:r>
    </w:p>
    <w:p w14:paraId="22C530DD">
      <w:pPr>
        <w:keepNext w:val="0"/>
        <w:keepLines w:val="0"/>
        <w:pageBreakBefore w:val="0"/>
        <w:widowControl w:val="0"/>
        <w:tabs>
          <w:tab w:val="left" w:pos="851"/>
        </w:tabs>
        <w:kinsoku/>
        <w:wordWrap/>
        <w:overflowPunct/>
        <w:topLinePunct w:val="0"/>
        <w:autoSpaceDE/>
        <w:autoSpaceDN/>
        <w:bidi w:val="0"/>
        <w:adjustRightInd/>
        <w:snapToGrid/>
        <w:spacing w:line="56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b、竞争性磋商响应文件大写与小写不符时，以大写为准；</w:t>
      </w:r>
    </w:p>
    <w:p w14:paraId="1AB3E08A">
      <w:pPr>
        <w:keepNext w:val="0"/>
        <w:keepLines w:val="0"/>
        <w:pageBreakBefore w:val="0"/>
        <w:widowControl w:val="0"/>
        <w:tabs>
          <w:tab w:val="left" w:pos="851"/>
        </w:tabs>
        <w:kinsoku/>
        <w:wordWrap/>
        <w:overflowPunct/>
        <w:topLinePunct w:val="0"/>
        <w:autoSpaceDE/>
        <w:autoSpaceDN/>
        <w:bidi w:val="0"/>
        <w:adjustRightInd/>
        <w:snapToGrid/>
        <w:spacing w:line="56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c、单价乘以数量不等于总价，以单价乘以数量为准。</w:t>
      </w:r>
    </w:p>
    <w:p w14:paraId="36AFC238">
      <w:pPr>
        <w:keepNext w:val="0"/>
        <w:keepLines w:val="0"/>
        <w:pageBreakBefore w:val="0"/>
        <w:widowControl w:val="0"/>
        <w:tabs>
          <w:tab w:val="left" w:pos="851"/>
        </w:tabs>
        <w:kinsoku/>
        <w:wordWrap/>
        <w:overflowPunct/>
        <w:topLinePunct w:val="0"/>
        <w:autoSpaceDE/>
        <w:autoSpaceDN/>
        <w:bidi w:val="0"/>
        <w:adjustRightInd/>
        <w:snapToGrid/>
        <w:spacing w:line="56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9.5竞争性磋商响应文件的有效性：</w:t>
      </w:r>
    </w:p>
    <w:p w14:paraId="2C40EC7C">
      <w:pPr>
        <w:keepNext w:val="0"/>
        <w:keepLines w:val="0"/>
        <w:pageBreakBefore w:val="0"/>
        <w:widowControl w:val="0"/>
        <w:tabs>
          <w:tab w:val="left" w:pos="851"/>
        </w:tabs>
        <w:kinsoku/>
        <w:wordWrap/>
        <w:overflowPunct/>
        <w:topLinePunct w:val="0"/>
        <w:autoSpaceDE/>
        <w:autoSpaceDN/>
        <w:bidi w:val="0"/>
        <w:adjustRightInd/>
        <w:snapToGrid/>
        <w:spacing w:line="56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竞争性磋商响应文件出现下列情形之一的，应当作为无效响应文件，不得进入评审：</w:t>
      </w:r>
    </w:p>
    <w:p w14:paraId="18A33C28">
      <w:pPr>
        <w:keepNext w:val="0"/>
        <w:keepLines w:val="0"/>
        <w:pageBreakBefore w:val="0"/>
        <w:widowControl w:val="0"/>
        <w:tabs>
          <w:tab w:val="left" w:pos="851"/>
        </w:tabs>
        <w:kinsoku/>
        <w:wordWrap/>
        <w:overflowPunct/>
        <w:topLinePunct w:val="0"/>
        <w:autoSpaceDE/>
        <w:autoSpaceDN/>
        <w:bidi w:val="0"/>
        <w:adjustRightInd/>
        <w:snapToGrid/>
        <w:spacing w:line="56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a）供应商未按规定时间完成解密或因供应商原因造成电子响应文件无法解密、导入失败的，视为其撤销电子响应文件；</w:t>
      </w:r>
    </w:p>
    <w:p w14:paraId="65AB0AF2">
      <w:pPr>
        <w:keepNext w:val="0"/>
        <w:keepLines w:val="0"/>
        <w:pageBreakBefore w:val="0"/>
        <w:widowControl w:val="0"/>
        <w:tabs>
          <w:tab w:val="left" w:pos="851"/>
        </w:tabs>
        <w:kinsoku/>
        <w:wordWrap/>
        <w:overflowPunct/>
        <w:topLinePunct w:val="0"/>
        <w:autoSpaceDE/>
        <w:autoSpaceDN/>
        <w:bidi w:val="0"/>
        <w:adjustRightInd/>
        <w:snapToGrid/>
        <w:spacing w:line="56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b）竞争性磋商响应文件、响应函未加盖供应商公章、未经法定代表人或其授权代表签字或盖章的；</w:t>
      </w:r>
    </w:p>
    <w:p w14:paraId="42227F46">
      <w:pPr>
        <w:keepNext w:val="0"/>
        <w:keepLines w:val="0"/>
        <w:pageBreakBefore w:val="0"/>
        <w:widowControl w:val="0"/>
        <w:tabs>
          <w:tab w:val="left" w:pos="851"/>
        </w:tabs>
        <w:kinsoku/>
        <w:wordWrap/>
        <w:overflowPunct/>
        <w:topLinePunct w:val="0"/>
        <w:autoSpaceDE/>
        <w:autoSpaceDN/>
        <w:bidi w:val="0"/>
        <w:adjustRightInd/>
        <w:snapToGrid/>
        <w:spacing w:line="56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c）未按竞争性磋商文件的要求提供磋商担保、信用承诺书（磋商保证金）的；</w:t>
      </w:r>
    </w:p>
    <w:p w14:paraId="68CD463C">
      <w:pPr>
        <w:keepNext w:val="0"/>
        <w:keepLines w:val="0"/>
        <w:pageBreakBefore w:val="0"/>
        <w:widowControl w:val="0"/>
        <w:tabs>
          <w:tab w:val="left" w:pos="851"/>
        </w:tabs>
        <w:kinsoku/>
        <w:wordWrap/>
        <w:overflowPunct/>
        <w:topLinePunct w:val="0"/>
        <w:autoSpaceDE/>
        <w:autoSpaceDN/>
        <w:bidi w:val="0"/>
        <w:adjustRightInd/>
        <w:snapToGrid/>
        <w:spacing w:line="56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d）磋商响应文件的关键内容字迹模糊、无法辨认的；</w:t>
      </w:r>
    </w:p>
    <w:p w14:paraId="59A43D07">
      <w:pPr>
        <w:keepNext w:val="0"/>
        <w:keepLines w:val="0"/>
        <w:pageBreakBefore w:val="0"/>
        <w:widowControl w:val="0"/>
        <w:tabs>
          <w:tab w:val="left" w:pos="851"/>
        </w:tabs>
        <w:kinsoku/>
        <w:wordWrap/>
        <w:overflowPunct/>
        <w:topLinePunct w:val="0"/>
        <w:autoSpaceDE/>
        <w:autoSpaceDN/>
        <w:bidi w:val="0"/>
        <w:adjustRightInd/>
        <w:snapToGrid/>
        <w:spacing w:line="56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e）供应商名称或组织机构与资格文件不一致的；</w:t>
      </w:r>
    </w:p>
    <w:p w14:paraId="188DD5A3">
      <w:pPr>
        <w:keepNext w:val="0"/>
        <w:keepLines w:val="0"/>
        <w:pageBreakBefore w:val="0"/>
        <w:widowControl w:val="0"/>
        <w:tabs>
          <w:tab w:val="left" w:pos="851"/>
        </w:tabs>
        <w:kinsoku/>
        <w:wordWrap/>
        <w:overflowPunct/>
        <w:topLinePunct w:val="0"/>
        <w:autoSpaceDE/>
        <w:autoSpaceDN/>
        <w:bidi w:val="0"/>
        <w:adjustRightInd/>
        <w:snapToGrid/>
        <w:spacing w:line="56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f）明显不符项目技术标准和服务要求的； </w:t>
      </w:r>
    </w:p>
    <w:p w14:paraId="3E09B2ED">
      <w:pPr>
        <w:keepNext w:val="0"/>
        <w:keepLines w:val="0"/>
        <w:pageBreakBefore w:val="0"/>
        <w:widowControl w:val="0"/>
        <w:tabs>
          <w:tab w:val="left" w:pos="851"/>
        </w:tabs>
        <w:kinsoku/>
        <w:wordWrap/>
        <w:overflowPunct/>
        <w:topLinePunct w:val="0"/>
        <w:autoSpaceDE/>
        <w:autoSpaceDN/>
        <w:bidi w:val="0"/>
        <w:adjustRightInd/>
        <w:snapToGrid/>
        <w:spacing w:line="56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g）磋商响应文件载明的服务方式、检验标准和方法等不符合竞争性磋商文件要求的； </w:t>
      </w:r>
    </w:p>
    <w:p w14:paraId="2EB7BBF0">
      <w:pPr>
        <w:keepNext w:val="0"/>
        <w:keepLines w:val="0"/>
        <w:pageBreakBefore w:val="0"/>
        <w:widowControl w:val="0"/>
        <w:tabs>
          <w:tab w:val="left" w:pos="851"/>
        </w:tabs>
        <w:kinsoku/>
        <w:wordWrap/>
        <w:overflowPunct/>
        <w:topLinePunct w:val="0"/>
        <w:autoSpaceDE/>
        <w:autoSpaceDN/>
        <w:bidi w:val="0"/>
        <w:adjustRightInd/>
        <w:snapToGrid/>
        <w:spacing w:line="56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h）磋商响应文件附有采购人不能接受的条件的；</w:t>
      </w:r>
    </w:p>
    <w:p w14:paraId="6E87780C">
      <w:pPr>
        <w:keepNext w:val="0"/>
        <w:keepLines w:val="0"/>
        <w:pageBreakBefore w:val="0"/>
        <w:widowControl w:val="0"/>
        <w:tabs>
          <w:tab w:val="left" w:pos="851"/>
        </w:tabs>
        <w:kinsoku/>
        <w:wordWrap/>
        <w:overflowPunct/>
        <w:topLinePunct w:val="0"/>
        <w:autoSpaceDE/>
        <w:autoSpaceDN/>
        <w:bidi w:val="0"/>
        <w:adjustRightInd/>
        <w:snapToGrid/>
        <w:spacing w:line="56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i）不符合竞争性磋商文件规定的其他实质性要求的。</w:t>
      </w:r>
    </w:p>
    <w:p w14:paraId="103B4576">
      <w:pPr>
        <w:keepNext w:val="0"/>
        <w:keepLines w:val="0"/>
        <w:pageBreakBefore w:val="0"/>
        <w:widowControl w:val="0"/>
        <w:tabs>
          <w:tab w:val="left" w:pos="851"/>
        </w:tabs>
        <w:kinsoku/>
        <w:wordWrap/>
        <w:overflowPunct/>
        <w:topLinePunct w:val="0"/>
        <w:autoSpaceDE/>
        <w:autoSpaceDN/>
        <w:bidi w:val="0"/>
        <w:adjustRightInd/>
        <w:snapToGrid/>
        <w:spacing w:line="560" w:lineRule="exact"/>
        <w:ind w:left="0" w:leftChars="0" w:right="0" w:rightChars="0" w:firstLine="50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9.6磋商响应文件有效期：自磋商之日起算90个日历天；磋商响应文件中磋商有效期短于规定的磋商有效期，按无效响应文件处理。成交供应商的磋商响应文件有效期延长至合同执行完毕。</w:t>
      </w:r>
    </w:p>
    <w:p w14:paraId="53EB5E30">
      <w:pPr>
        <w:keepNext w:val="0"/>
        <w:keepLines w:val="0"/>
        <w:pageBreakBefore w:val="0"/>
        <w:widowControl w:val="0"/>
        <w:tabs>
          <w:tab w:val="left" w:pos="851"/>
        </w:tabs>
        <w:kinsoku/>
        <w:wordWrap/>
        <w:overflowPunct/>
        <w:topLinePunct w:val="0"/>
        <w:autoSpaceDE/>
        <w:autoSpaceDN/>
        <w:bidi w:val="0"/>
        <w:adjustRightInd/>
        <w:snapToGrid/>
        <w:spacing w:line="56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
          <w:color w:val="auto"/>
          <w:sz w:val="24"/>
          <w:szCs w:val="24"/>
          <w:highlight w:val="none"/>
        </w:rPr>
        <w:t>四、磋商保证金</w:t>
      </w:r>
    </w:p>
    <w:p w14:paraId="4503D225">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500" w:firstLineChars="200"/>
        <w:jc w:val="both"/>
        <w:textAlignment w:val="auto"/>
        <w:outlineLvl w:val="9"/>
        <w:rPr>
          <w:rFonts w:hint="eastAsia" w:ascii="宋体" w:hAnsi="宋体" w:cs="宋体"/>
          <w:bCs/>
          <w:color w:val="auto"/>
          <w:sz w:val="24"/>
          <w:szCs w:val="24"/>
          <w:highlight w:val="none"/>
        </w:rPr>
      </w:pPr>
      <w:bookmarkStart w:id="22" w:name="_Hlt26954734"/>
      <w:bookmarkEnd w:id="22"/>
      <w:bookmarkStart w:id="23" w:name="_Hlt26670489"/>
      <w:bookmarkEnd w:id="23"/>
      <w:bookmarkStart w:id="24" w:name="_Hlt26954850"/>
      <w:bookmarkEnd w:id="24"/>
      <w:r>
        <w:rPr>
          <w:rFonts w:hint="eastAsia" w:ascii="宋体" w:hAnsi="宋体" w:cs="宋体"/>
          <w:bCs/>
          <w:color w:val="auto"/>
          <w:sz w:val="24"/>
          <w:szCs w:val="24"/>
          <w:highlight w:val="none"/>
        </w:rPr>
        <w:t>1、保证金缴纳金额和方式见前附表。</w:t>
      </w:r>
    </w:p>
    <w:p w14:paraId="25FEEA64">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500" w:firstLineChars="200"/>
        <w:jc w:val="both"/>
        <w:textAlignment w:val="auto"/>
        <w:outlineLvl w:val="9"/>
        <w:rPr>
          <w:rFonts w:hint="eastAsia" w:ascii="宋体" w:hAnsi="宋体" w:cs="宋体"/>
          <w:bCs/>
          <w:color w:val="auto"/>
          <w:sz w:val="24"/>
          <w:szCs w:val="24"/>
          <w:highlight w:val="none"/>
        </w:rPr>
      </w:pPr>
      <w:r>
        <w:rPr>
          <w:rFonts w:hint="eastAsia" w:ascii="宋体" w:hAnsi="宋体" w:cs="宋体"/>
          <w:bCs/>
          <w:color w:val="auto"/>
          <w:sz w:val="24"/>
          <w:szCs w:val="24"/>
          <w:highlight w:val="none"/>
        </w:rPr>
        <w:t>2、未能按要求提交磋商保证金的供应商响应文件视为无效响应。</w:t>
      </w:r>
    </w:p>
    <w:p w14:paraId="39E26602">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500" w:firstLineChars="200"/>
        <w:jc w:val="both"/>
        <w:textAlignment w:val="auto"/>
        <w:outlineLvl w:val="9"/>
        <w:rPr>
          <w:rFonts w:hint="eastAsia" w:ascii="宋体" w:hAnsi="宋体" w:cs="宋体"/>
          <w:bCs/>
          <w:color w:val="auto"/>
          <w:sz w:val="24"/>
          <w:szCs w:val="24"/>
          <w:highlight w:val="none"/>
        </w:rPr>
      </w:pPr>
      <w:r>
        <w:rPr>
          <w:rFonts w:hint="eastAsia" w:ascii="宋体" w:hAnsi="宋体" w:cs="宋体"/>
          <w:bCs/>
          <w:color w:val="auto"/>
          <w:sz w:val="24"/>
          <w:szCs w:val="24"/>
          <w:highlight w:val="none"/>
        </w:rPr>
        <w:t>3、磋商保证金是为了确保本次磋商顺利进行而对供应商的约束。</w:t>
      </w:r>
    </w:p>
    <w:p w14:paraId="3138C737">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500" w:firstLineChars="200"/>
        <w:jc w:val="both"/>
        <w:textAlignment w:val="auto"/>
        <w:outlineLvl w:val="9"/>
        <w:rPr>
          <w:rFonts w:hint="eastAsia" w:ascii="宋体" w:hAnsi="宋体" w:cs="宋体"/>
          <w:bCs/>
          <w:color w:val="auto"/>
          <w:sz w:val="24"/>
          <w:szCs w:val="24"/>
          <w:highlight w:val="none"/>
        </w:rPr>
      </w:pPr>
      <w:r>
        <w:rPr>
          <w:rFonts w:hint="eastAsia" w:ascii="宋体" w:hAnsi="宋体" w:cs="宋体"/>
          <w:bCs/>
          <w:color w:val="auto"/>
          <w:sz w:val="24"/>
          <w:szCs w:val="24"/>
          <w:highlight w:val="none"/>
        </w:rPr>
        <w:t>4、有下列情形之一的，磋商保证金不予退还</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 xml:space="preserve">以保函或交易保证金信用承诺书替代投标保证金的，由担保机构或承诺人按采购文件规定的保证金足额缴纳至采购人指定账户予以没收，作为处罚： </w:t>
      </w:r>
    </w:p>
    <w:p w14:paraId="7DAEB148">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500" w:firstLineChars="200"/>
        <w:jc w:val="both"/>
        <w:textAlignment w:val="auto"/>
        <w:outlineLvl w:val="9"/>
        <w:rPr>
          <w:rFonts w:hint="eastAsia" w:ascii="宋体" w:hAnsi="宋体" w:cs="宋体"/>
          <w:bCs/>
          <w:color w:val="auto"/>
          <w:sz w:val="24"/>
          <w:szCs w:val="24"/>
          <w:highlight w:val="none"/>
        </w:rPr>
      </w:pPr>
      <w:r>
        <w:rPr>
          <w:rFonts w:hint="eastAsia" w:ascii="宋体" w:hAnsi="宋体" w:cs="宋体"/>
          <w:bCs/>
          <w:color w:val="auto"/>
          <w:sz w:val="24"/>
          <w:szCs w:val="24"/>
          <w:highlight w:val="none"/>
        </w:rPr>
        <w:t>4.1供应商提供虚假资质谋取成交的；</w:t>
      </w:r>
    </w:p>
    <w:p w14:paraId="5E645A52">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500" w:firstLineChars="200"/>
        <w:jc w:val="both"/>
        <w:textAlignment w:val="auto"/>
        <w:outlineLvl w:val="9"/>
        <w:rPr>
          <w:rFonts w:hint="eastAsia" w:ascii="宋体" w:hAnsi="宋体" w:cs="宋体"/>
          <w:bCs/>
          <w:color w:val="auto"/>
          <w:sz w:val="24"/>
          <w:szCs w:val="24"/>
          <w:highlight w:val="none"/>
        </w:rPr>
      </w:pPr>
      <w:r>
        <w:rPr>
          <w:rFonts w:hint="eastAsia" w:ascii="宋体" w:hAnsi="宋体" w:cs="宋体"/>
          <w:bCs/>
          <w:color w:val="auto"/>
          <w:sz w:val="24"/>
          <w:szCs w:val="24"/>
          <w:highlight w:val="none"/>
        </w:rPr>
        <w:t>4.2供应商有围标、串标现象，经查证属实的；</w:t>
      </w:r>
    </w:p>
    <w:p w14:paraId="3A695CB2">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500" w:firstLineChars="200"/>
        <w:jc w:val="both"/>
        <w:textAlignment w:val="auto"/>
        <w:outlineLvl w:val="9"/>
        <w:rPr>
          <w:rFonts w:hint="eastAsia" w:ascii="宋体" w:hAnsi="宋体" w:cs="宋体"/>
          <w:bCs/>
          <w:color w:val="auto"/>
          <w:sz w:val="24"/>
          <w:szCs w:val="24"/>
          <w:highlight w:val="none"/>
        </w:rPr>
      </w:pPr>
      <w:r>
        <w:rPr>
          <w:rFonts w:hint="eastAsia" w:ascii="宋体" w:hAnsi="宋体" w:cs="宋体"/>
          <w:bCs/>
          <w:color w:val="auto"/>
          <w:sz w:val="24"/>
          <w:szCs w:val="24"/>
          <w:highlight w:val="none"/>
        </w:rPr>
        <w:t>4.3磋商截止时间后供应商撤销磋商响应文件的；</w:t>
      </w:r>
    </w:p>
    <w:p w14:paraId="22BD80A3">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500" w:firstLineChars="200"/>
        <w:jc w:val="both"/>
        <w:textAlignment w:val="auto"/>
        <w:outlineLvl w:val="9"/>
        <w:rPr>
          <w:rFonts w:hint="eastAsia" w:ascii="宋体" w:hAnsi="宋体" w:cs="宋体"/>
          <w:bCs/>
          <w:color w:val="auto"/>
          <w:sz w:val="24"/>
          <w:szCs w:val="24"/>
          <w:highlight w:val="none"/>
        </w:rPr>
      </w:pPr>
      <w:r>
        <w:rPr>
          <w:rFonts w:hint="eastAsia" w:ascii="宋体" w:hAnsi="宋体" w:cs="宋体"/>
          <w:bCs/>
          <w:color w:val="auto"/>
          <w:sz w:val="24"/>
          <w:szCs w:val="24"/>
          <w:highlight w:val="none"/>
        </w:rPr>
        <w:t>4.4供应商自行放弃成交资格的；</w:t>
      </w:r>
    </w:p>
    <w:p w14:paraId="3CDAEBCE">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500" w:firstLineChars="200"/>
        <w:jc w:val="both"/>
        <w:textAlignment w:val="auto"/>
        <w:outlineLvl w:val="9"/>
        <w:rPr>
          <w:rFonts w:hint="eastAsia" w:ascii="宋体" w:hAnsi="宋体" w:cs="宋体"/>
          <w:bCs/>
          <w:color w:val="auto"/>
          <w:sz w:val="24"/>
          <w:szCs w:val="24"/>
          <w:highlight w:val="none"/>
        </w:rPr>
      </w:pPr>
      <w:r>
        <w:rPr>
          <w:rFonts w:hint="eastAsia" w:ascii="宋体" w:hAnsi="宋体" w:cs="宋体"/>
          <w:bCs/>
          <w:color w:val="auto"/>
          <w:sz w:val="24"/>
          <w:szCs w:val="24"/>
          <w:highlight w:val="none"/>
        </w:rPr>
        <w:t>4.5成交供应商因自身原因未能在规定期限内与采购人签订合同的；</w:t>
      </w:r>
    </w:p>
    <w:p w14:paraId="17462228">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500" w:firstLineChars="200"/>
        <w:jc w:val="both"/>
        <w:textAlignment w:val="auto"/>
        <w:outlineLvl w:val="9"/>
        <w:rPr>
          <w:rFonts w:ascii="宋体" w:hAnsi="宋体" w:cs="宋体"/>
          <w:b/>
          <w:color w:val="auto"/>
          <w:sz w:val="24"/>
          <w:szCs w:val="24"/>
          <w:highlight w:val="none"/>
        </w:rPr>
      </w:pPr>
      <w:r>
        <w:rPr>
          <w:rFonts w:hint="eastAsia" w:ascii="宋体" w:hAnsi="宋体" w:cs="宋体"/>
          <w:b/>
          <w:color w:val="auto"/>
          <w:sz w:val="24"/>
          <w:szCs w:val="24"/>
          <w:highlight w:val="none"/>
        </w:rPr>
        <w:t>五、磋商、评审及定标</w:t>
      </w:r>
    </w:p>
    <w:p w14:paraId="40CB379B">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ascii="宋体" w:hAnsi="宋体" w:cs="宋体"/>
          <w:b/>
          <w:color w:val="auto"/>
          <w:sz w:val="24"/>
          <w:szCs w:val="24"/>
          <w:highlight w:val="none"/>
        </w:rPr>
      </w:pPr>
      <w:r>
        <w:rPr>
          <w:rFonts w:hint="eastAsia" w:ascii="宋体" w:hAnsi="宋体" w:cs="宋体"/>
          <w:b/>
          <w:color w:val="auto"/>
          <w:sz w:val="24"/>
          <w:szCs w:val="24"/>
          <w:highlight w:val="none"/>
        </w:rPr>
        <w:t>1、磋商</w:t>
      </w:r>
    </w:p>
    <w:p w14:paraId="3D2BF3FA">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hint="eastAsia" w:ascii="宋体" w:hAnsi="宋体" w:cs="宋体"/>
          <w:bCs/>
          <w:color w:val="auto"/>
          <w:sz w:val="24"/>
          <w:szCs w:val="24"/>
          <w:highlight w:val="none"/>
        </w:rPr>
      </w:pPr>
      <w:r>
        <w:rPr>
          <w:rFonts w:hint="eastAsia" w:ascii="宋体" w:hAnsi="宋体" w:cs="宋体"/>
          <w:bCs/>
          <w:color w:val="auto"/>
          <w:sz w:val="24"/>
          <w:szCs w:val="24"/>
          <w:highlight w:val="none"/>
        </w:rPr>
        <w:t>开标工作由采购代理机构组织实施，整个过程受同级政府采购监管机构的监督、管理。“不见面开标”是依托政府采购云平台实现的供应商在线参与开标的一种组织形式。供应商无需抵达开标现场，即可在线实现开标、签到、解密、澄清、磋商、二次报价等操作。</w:t>
      </w:r>
    </w:p>
    <w:p w14:paraId="4D9A9C79">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hint="eastAsia" w:ascii="宋体" w:hAnsi="宋体" w:cs="宋体"/>
          <w:bCs/>
          <w:color w:val="auto"/>
          <w:sz w:val="24"/>
          <w:szCs w:val="24"/>
          <w:highlight w:val="none"/>
        </w:rPr>
      </w:pPr>
      <w:r>
        <w:rPr>
          <w:rFonts w:hint="eastAsia" w:ascii="宋体" w:hAnsi="宋体" w:cs="宋体"/>
          <w:bCs/>
          <w:color w:val="auto"/>
          <w:sz w:val="24"/>
          <w:szCs w:val="24"/>
          <w:highlight w:val="none"/>
        </w:rPr>
        <w:t>磋商会议程序如下：</w:t>
      </w:r>
    </w:p>
    <w:p w14:paraId="7296C055">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1．供应商登录：开标前，请各供应商至少提前半小时登录宝鸡市公共资源交易平台〖首页·〉不见面开标〗系统</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开标时签到内容应含投标人联系人姓名及联系方式，确保在开标环节代理机构工作人员能及时有效的联系沟通。投标人始终保持在线，及时刷新页面，关注评审小组发起的在线通知，确保项目评审顺利。如有供应商因不熟悉系统操作流程无法签到，应及时联系宝鸡市公共资源交易中心技术人员指导完成相应操作。</w:t>
      </w:r>
    </w:p>
    <w:p w14:paraId="684C27E1">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hint="eastAsia" w:ascii="宋体" w:hAnsi="宋体" w:cs="宋体"/>
          <w:bCs/>
          <w:color w:val="auto"/>
          <w:sz w:val="24"/>
          <w:szCs w:val="24"/>
          <w:highlight w:val="none"/>
        </w:rPr>
      </w:pPr>
      <w:r>
        <w:rPr>
          <w:rFonts w:hint="eastAsia" w:ascii="宋体" w:hAnsi="宋体" w:cs="宋体"/>
          <w:bCs/>
          <w:color w:val="auto"/>
          <w:sz w:val="24"/>
          <w:szCs w:val="24"/>
          <w:highlight w:val="none"/>
        </w:rPr>
        <w:t>2．主持人宣布开标：提交竞争性磋商响应文件截止时间过后，系统将不再接收任何竞争性磋商响应文件上传。</w:t>
      </w:r>
    </w:p>
    <w:p w14:paraId="25BB5896">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hint="eastAsia" w:ascii="宋体" w:hAnsi="宋体" w:cs="宋体"/>
          <w:bCs/>
          <w:color w:val="auto"/>
          <w:sz w:val="24"/>
          <w:szCs w:val="24"/>
          <w:highlight w:val="none"/>
        </w:rPr>
      </w:pPr>
      <w:r>
        <w:rPr>
          <w:rFonts w:hint="eastAsia" w:ascii="宋体" w:hAnsi="宋体" w:cs="宋体"/>
          <w:bCs/>
          <w:color w:val="auto"/>
          <w:sz w:val="24"/>
          <w:szCs w:val="24"/>
          <w:highlight w:val="none"/>
        </w:rPr>
        <w:t>3．解密竞争性磋商响应文件：供应商在收到主持人“开始解密”指令后，应使用“加密该竞争性磋商响应文件的CA锁（必须是同一把锁）”在线完成竞争性磋商响应文件解密。除因【宝鸡市公共资源交易中心】断电、断网、系统故障及其他不可抗力等因素，导致“不见面开标”系统无法正常运行外，供应商应在规定的解密时间内完成解密。</w:t>
      </w:r>
    </w:p>
    <w:p w14:paraId="433E3227">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hint="eastAsia" w:ascii="宋体" w:hAnsi="宋体" w:cs="宋体"/>
          <w:bCs/>
          <w:color w:val="auto"/>
          <w:sz w:val="24"/>
          <w:szCs w:val="24"/>
          <w:highlight w:val="none"/>
        </w:rPr>
      </w:pPr>
      <w:r>
        <w:rPr>
          <w:rFonts w:hint="eastAsia" w:ascii="宋体" w:hAnsi="宋体" w:cs="宋体"/>
          <w:bCs/>
          <w:color w:val="auto"/>
          <w:sz w:val="24"/>
          <w:szCs w:val="24"/>
          <w:highlight w:val="none"/>
        </w:rPr>
        <w:t>4．唱标：对于竞争性磋商项目，“不见面开标”系统将不展示磋商一次报价。</w:t>
      </w:r>
    </w:p>
    <w:p w14:paraId="12B37BFE">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hint="eastAsia" w:ascii="宋体" w:hAnsi="宋体" w:cs="宋体"/>
          <w:bCs/>
          <w:color w:val="auto"/>
          <w:sz w:val="24"/>
          <w:szCs w:val="24"/>
          <w:highlight w:val="none"/>
        </w:rPr>
      </w:pPr>
      <w:r>
        <w:rPr>
          <w:rFonts w:hint="eastAsia" w:ascii="宋体" w:hAnsi="宋体" w:cs="宋体"/>
          <w:bCs/>
          <w:color w:val="auto"/>
          <w:sz w:val="24"/>
          <w:szCs w:val="24"/>
          <w:highlight w:val="none"/>
        </w:rPr>
        <w:t>5．开标结束：由采购代理机构工作人员导入电子投标文件，进入评审环节，宣布开标会议结束。</w:t>
      </w:r>
    </w:p>
    <w:p w14:paraId="0165DCC0">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hint="eastAsia" w:ascii="宋体" w:hAnsi="宋体" w:cs="宋体"/>
          <w:bCs/>
          <w:color w:val="auto"/>
          <w:sz w:val="24"/>
          <w:szCs w:val="24"/>
          <w:highlight w:val="none"/>
        </w:rPr>
      </w:pPr>
      <w:r>
        <w:rPr>
          <w:rFonts w:hint="eastAsia" w:ascii="宋体" w:hAnsi="宋体" w:cs="宋体"/>
          <w:bCs/>
          <w:color w:val="auto"/>
          <w:sz w:val="24"/>
          <w:szCs w:val="24"/>
          <w:highlight w:val="none"/>
        </w:rPr>
        <w:t>6.进入评标程序，磋商小组将按照磋商文件要求对各供应商的资格证明文件、磋商响应文件的符合性进行审查，未通过资格性审查、符合性审查的响应文件按无效投标处理，合格供应商不足三家的，本项目不再进行评审。资格审查和符合性审查通过后，对有效供应商在线分别进行磋商；</w:t>
      </w:r>
    </w:p>
    <w:p w14:paraId="70AE37AD">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hint="eastAsia" w:ascii="宋体" w:hAnsi="宋体" w:cs="宋体"/>
          <w:bCs/>
          <w:color w:val="auto"/>
          <w:sz w:val="24"/>
          <w:szCs w:val="24"/>
          <w:highlight w:val="none"/>
        </w:rPr>
      </w:pPr>
      <w:r>
        <w:rPr>
          <w:rFonts w:hint="eastAsia" w:ascii="宋体" w:hAnsi="宋体" w:cs="宋体"/>
          <w:bCs/>
          <w:color w:val="auto"/>
          <w:sz w:val="24"/>
          <w:szCs w:val="24"/>
          <w:highlight w:val="none"/>
        </w:rPr>
        <w:t>7.对有效供应商要求在线提交第二次商务报价，在磋商小组未对磋商文件进行实质性修改的情况下，第二次报价不得超过一次报价；</w:t>
      </w:r>
    </w:p>
    <w:p w14:paraId="50B44B38">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hint="eastAsia" w:ascii="宋体" w:hAnsi="宋体" w:cs="宋体"/>
          <w:bCs/>
          <w:color w:val="auto"/>
          <w:sz w:val="24"/>
          <w:szCs w:val="24"/>
          <w:highlight w:val="none"/>
        </w:rPr>
      </w:pPr>
      <w:r>
        <w:rPr>
          <w:rFonts w:hint="eastAsia" w:ascii="宋体" w:hAnsi="宋体" w:cs="宋体"/>
          <w:bCs/>
          <w:color w:val="auto"/>
          <w:sz w:val="24"/>
          <w:szCs w:val="24"/>
          <w:highlight w:val="none"/>
        </w:rPr>
        <w:t>8.磋商小组评审、推荐成交候选人。</w:t>
      </w:r>
    </w:p>
    <w:p w14:paraId="1D960F1E">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00" w:firstLineChars="200"/>
        <w:jc w:val="both"/>
        <w:outlineLvl w:val="9"/>
        <w:rPr>
          <w:rFonts w:hint="eastAsia" w:ascii="宋体" w:hAnsi="宋体" w:cs="宋体"/>
          <w:bCs/>
          <w:color w:val="auto"/>
          <w:sz w:val="24"/>
          <w:szCs w:val="24"/>
          <w:highlight w:val="none"/>
        </w:rPr>
      </w:pPr>
      <w:r>
        <w:rPr>
          <w:rFonts w:hint="eastAsia" w:ascii="宋体" w:hAnsi="宋体" w:cs="宋体"/>
          <w:bCs/>
          <w:color w:val="auto"/>
          <w:sz w:val="24"/>
          <w:szCs w:val="24"/>
          <w:highlight w:val="none"/>
        </w:rPr>
        <w:t>9.各供应商在项目开标、评标期间应保持在线状态，对未在规定时间和要求范围内完成签到、解密、磋商、确认、澄清、答复等指令的，视为其放弃，由供应商自行承担相应后果。</w:t>
      </w:r>
    </w:p>
    <w:p w14:paraId="7446B36E">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500" w:firstLineChars="200"/>
        <w:jc w:val="both"/>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2、磋商小组</w:t>
      </w:r>
    </w:p>
    <w:p w14:paraId="7D35FE42">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500" w:firstLineChars="200"/>
        <w:jc w:val="both"/>
        <w:textAlignment w:val="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2.1采购代理机构根据《中华人民共和国政府采购法》、《中华人民共和国政府采购法实施条例》和《政府采购竞争性磋商采购方式管理暂行办法》的规定，依法组建磋商小组，磋商小组专家成员在陕西政府采购综合管理平台中随机抽取。磋商小组由采购人代表和评审专家共3人以上单数组成，评审专家人数应占磋商小组总人数的2/3以上。磋商小组负责对具备实质性响应的磋商响应文件进行评估和比较。</w:t>
      </w:r>
    </w:p>
    <w:p w14:paraId="30615F22">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500" w:firstLineChars="200"/>
        <w:jc w:val="both"/>
        <w:textAlignment w:val="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2.2磋商小组成员应当遵守并履行下列职责义务：</w:t>
      </w:r>
    </w:p>
    <w:p w14:paraId="21A4047F">
      <w:pPr>
        <w:keepNext w:val="0"/>
        <w:keepLines w:val="0"/>
        <w:pageBreakBefore w:val="0"/>
        <w:widowControl w:val="0"/>
        <w:kinsoku/>
        <w:wordWrap/>
        <w:overflowPunct/>
        <w:topLinePunct w:val="0"/>
        <w:autoSpaceDE/>
        <w:autoSpaceDN/>
        <w:bidi w:val="0"/>
        <w:snapToGrid/>
        <w:spacing w:line="530" w:lineRule="exact"/>
        <w:ind w:left="0" w:leftChars="0" w:right="0" w:rightChars="0" w:firstLine="500" w:firstLineChars="200"/>
        <w:jc w:val="both"/>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（1）遵纪守法，客观、公正、认真负责地履行职责，根据磋商文件规定的评审程序、评审方法和评审标准审查磋商响应文件是否符合竞争性磋商文件的要求，并做出评价；</w:t>
      </w:r>
    </w:p>
    <w:p w14:paraId="7AEE50BF">
      <w:pPr>
        <w:keepNext w:val="0"/>
        <w:keepLines w:val="0"/>
        <w:pageBreakBefore w:val="0"/>
        <w:widowControl w:val="0"/>
        <w:kinsoku/>
        <w:wordWrap/>
        <w:overflowPunct/>
        <w:topLinePunct w:val="0"/>
        <w:autoSpaceDE/>
        <w:autoSpaceDN/>
        <w:bidi w:val="0"/>
        <w:snapToGrid/>
        <w:spacing w:line="530" w:lineRule="exact"/>
        <w:ind w:left="0" w:leftChars="0" w:right="0" w:rightChars="0" w:firstLine="500" w:firstLineChars="200"/>
        <w:jc w:val="both"/>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（2）认定供应商必备资质；</w:t>
      </w:r>
    </w:p>
    <w:p w14:paraId="5592F56F">
      <w:pPr>
        <w:keepNext w:val="0"/>
        <w:keepLines w:val="0"/>
        <w:pageBreakBefore w:val="0"/>
        <w:widowControl w:val="0"/>
        <w:kinsoku/>
        <w:wordWrap/>
        <w:overflowPunct/>
        <w:topLinePunct w:val="0"/>
        <w:autoSpaceDE/>
        <w:autoSpaceDN/>
        <w:bidi w:val="0"/>
        <w:snapToGrid/>
        <w:spacing w:line="530" w:lineRule="exact"/>
        <w:ind w:left="0" w:leftChars="0" w:right="0" w:rightChars="0" w:firstLine="500" w:firstLineChars="200"/>
        <w:jc w:val="both"/>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（3）磋商小组可要求供应商就竞争性磋商响应文件中含义不明确的内容进行书面说明并提供相关材料；</w:t>
      </w:r>
    </w:p>
    <w:p w14:paraId="690BB10C">
      <w:pPr>
        <w:keepNext w:val="0"/>
        <w:keepLines w:val="0"/>
        <w:pageBreakBefore w:val="0"/>
        <w:widowControl w:val="0"/>
        <w:kinsoku/>
        <w:wordWrap/>
        <w:overflowPunct/>
        <w:topLinePunct w:val="0"/>
        <w:autoSpaceDE/>
        <w:autoSpaceDN/>
        <w:bidi w:val="0"/>
        <w:snapToGrid/>
        <w:spacing w:line="530" w:lineRule="exact"/>
        <w:ind w:left="0" w:leftChars="0" w:right="0" w:rightChars="0" w:firstLine="500" w:firstLineChars="200"/>
        <w:jc w:val="both"/>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（4）依据竞争性磋商文件的要求和磋商标准进行磋商，推荐成交候选人名单，对磋商意见承担个人责任；</w:t>
      </w:r>
    </w:p>
    <w:p w14:paraId="6F863781">
      <w:pPr>
        <w:keepNext w:val="0"/>
        <w:keepLines w:val="0"/>
        <w:pageBreakBefore w:val="0"/>
        <w:widowControl w:val="0"/>
        <w:kinsoku/>
        <w:wordWrap/>
        <w:overflowPunct/>
        <w:topLinePunct w:val="0"/>
        <w:autoSpaceDE/>
        <w:autoSpaceDN/>
        <w:bidi w:val="0"/>
        <w:snapToGrid/>
        <w:spacing w:line="530" w:lineRule="exact"/>
        <w:ind w:left="0" w:leftChars="0" w:right="0" w:rightChars="0" w:firstLine="500" w:firstLineChars="200"/>
        <w:jc w:val="both"/>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（5）对磋商过程及各供应商的商业机密予以保密；</w:t>
      </w:r>
    </w:p>
    <w:p w14:paraId="3898743C">
      <w:pPr>
        <w:keepNext w:val="0"/>
        <w:keepLines w:val="0"/>
        <w:pageBreakBefore w:val="0"/>
        <w:widowControl w:val="0"/>
        <w:kinsoku/>
        <w:wordWrap/>
        <w:overflowPunct/>
        <w:topLinePunct w:val="0"/>
        <w:autoSpaceDE/>
        <w:autoSpaceDN/>
        <w:bidi w:val="0"/>
        <w:snapToGrid/>
        <w:spacing w:line="530" w:lineRule="exact"/>
        <w:ind w:left="0" w:leftChars="0" w:right="0" w:rightChars="0" w:firstLine="500" w:firstLineChars="200"/>
        <w:jc w:val="both"/>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（6）拟定磋商结果；</w:t>
      </w:r>
    </w:p>
    <w:p w14:paraId="00ADC20F">
      <w:pPr>
        <w:keepNext w:val="0"/>
        <w:keepLines w:val="0"/>
        <w:pageBreakBefore w:val="0"/>
        <w:widowControl w:val="0"/>
        <w:kinsoku/>
        <w:wordWrap/>
        <w:overflowPunct/>
        <w:topLinePunct w:val="0"/>
        <w:autoSpaceDE/>
        <w:autoSpaceDN/>
        <w:bidi w:val="0"/>
        <w:snapToGrid/>
        <w:spacing w:line="530" w:lineRule="exact"/>
        <w:ind w:left="0" w:leftChars="0" w:right="0" w:rightChars="0" w:firstLine="476" w:firstLineChars="200"/>
        <w:jc w:val="both"/>
        <w:outlineLvl w:val="9"/>
        <w:rPr>
          <w:rFonts w:ascii="宋体" w:hAnsi="宋体" w:cs="宋体"/>
          <w:bCs/>
          <w:color w:val="auto"/>
          <w:spacing w:val="-6"/>
          <w:sz w:val="24"/>
          <w:szCs w:val="24"/>
          <w:highlight w:val="none"/>
        </w:rPr>
      </w:pPr>
      <w:r>
        <w:rPr>
          <w:rFonts w:hint="eastAsia" w:ascii="宋体" w:hAnsi="宋体" w:cs="宋体"/>
          <w:bCs/>
          <w:color w:val="auto"/>
          <w:spacing w:val="-6"/>
          <w:sz w:val="24"/>
          <w:szCs w:val="24"/>
          <w:highlight w:val="none"/>
        </w:rPr>
        <w:t>（7）告知采购人、采购代理机构在评审过程中发现的供应商的违法违规行为；</w:t>
      </w:r>
    </w:p>
    <w:p w14:paraId="4DC8BF1A">
      <w:pPr>
        <w:keepNext w:val="0"/>
        <w:keepLines w:val="0"/>
        <w:pageBreakBefore w:val="0"/>
        <w:widowControl w:val="0"/>
        <w:kinsoku/>
        <w:wordWrap/>
        <w:overflowPunct/>
        <w:topLinePunct w:val="0"/>
        <w:autoSpaceDE/>
        <w:autoSpaceDN/>
        <w:bidi w:val="0"/>
        <w:snapToGrid/>
        <w:spacing w:line="530" w:lineRule="exact"/>
        <w:ind w:left="0" w:leftChars="0" w:right="0" w:rightChars="0" w:firstLine="500" w:firstLineChars="200"/>
        <w:jc w:val="both"/>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（8）配合采购人、采购代理机构答复各供应商提出的质疑；</w:t>
      </w:r>
    </w:p>
    <w:p w14:paraId="53EDF2B8">
      <w:pPr>
        <w:keepNext w:val="0"/>
        <w:keepLines w:val="0"/>
        <w:pageBreakBefore w:val="0"/>
        <w:widowControl w:val="0"/>
        <w:kinsoku/>
        <w:wordWrap/>
        <w:overflowPunct/>
        <w:topLinePunct w:val="0"/>
        <w:autoSpaceDE/>
        <w:autoSpaceDN/>
        <w:bidi w:val="0"/>
        <w:snapToGrid/>
        <w:spacing w:line="530" w:lineRule="exact"/>
        <w:ind w:left="0" w:leftChars="0" w:right="0" w:rightChars="0" w:firstLine="500" w:firstLineChars="200"/>
        <w:jc w:val="both"/>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（9）配合各部门的投诉处理和监督检查工作。</w:t>
      </w:r>
    </w:p>
    <w:p w14:paraId="16226562">
      <w:pPr>
        <w:keepNext w:val="0"/>
        <w:keepLines w:val="0"/>
        <w:pageBreakBefore w:val="0"/>
        <w:widowControl w:val="0"/>
        <w:kinsoku/>
        <w:wordWrap/>
        <w:overflowPunct/>
        <w:topLinePunct w:val="0"/>
        <w:autoSpaceDE/>
        <w:autoSpaceDN/>
        <w:bidi w:val="0"/>
        <w:snapToGrid/>
        <w:spacing w:line="530" w:lineRule="exact"/>
        <w:ind w:left="0" w:leftChars="0" w:right="0" w:rightChars="0" w:firstLine="500" w:firstLineChars="200"/>
        <w:jc w:val="both"/>
        <w:outlineLvl w:val="9"/>
        <w:rPr>
          <w:rFonts w:ascii="宋体" w:hAnsi="宋体" w:cs="宋体"/>
          <w:b/>
          <w:color w:val="auto"/>
          <w:sz w:val="24"/>
          <w:szCs w:val="24"/>
          <w:highlight w:val="none"/>
        </w:rPr>
      </w:pPr>
      <w:r>
        <w:rPr>
          <w:rFonts w:hint="eastAsia" w:ascii="宋体" w:hAnsi="宋体" w:cs="宋体"/>
          <w:b/>
          <w:color w:val="auto"/>
          <w:sz w:val="24"/>
          <w:szCs w:val="24"/>
          <w:highlight w:val="none"/>
        </w:rPr>
        <w:t>3、评审</w:t>
      </w:r>
    </w:p>
    <w:p w14:paraId="44AF3344">
      <w:pPr>
        <w:keepNext w:val="0"/>
        <w:keepLines w:val="0"/>
        <w:pageBreakBefore w:val="0"/>
        <w:widowControl w:val="0"/>
        <w:kinsoku/>
        <w:wordWrap/>
        <w:overflowPunct/>
        <w:topLinePunct w:val="0"/>
        <w:autoSpaceDE/>
        <w:autoSpaceDN/>
        <w:bidi w:val="0"/>
        <w:snapToGrid/>
        <w:spacing w:line="530" w:lineRule="exact"/>
        <w:ind w:left="0" w:leftChars="0" w:right="0" w:rightChars="0" w:firstLine="500" w:firstLineChars="200"/>
        <w:jc w:val="both"/>
        <w:outlineLvl w:val="9"/>
        <w:rPr>
          <w:rFonts w:ascii="宋体" w:hAnsi="宋体" w:cs="宋体"/>
          <w:bCs/>
          <w:color w:val="auto"/>
          <w:sz w:val="24"/>
          <w:szCs w:val="24"/>
          <w:highlight w:val="none"/>
        </w:rPr>
      </w:pPr>
      <w:r>
        <w:rPr>
          <w:rFonts w:hint="eastAsia" w:ascii="宋体" w:hAnsi="宋体" w:cs="宋体"/>
          <w:b/>
          <w:color w:val="auto"/>
          <w:sz w:val="24"/>
          <w:szCs w:val="24"/>
          <w:highlight w:val="none"/>
        </w:rPr>
        <w:t>3.1磋商原则</w:t>
      </w:r>
    </w:p>
    <w:p w14:paraId="3A0C3589">
      <w:pPr>
        <w:keepNext w:val="0"/>
        <w:keepLines w:val="0"/>
        <w:pageBreakBefore w:val="0"/>
        <w:widowControl w:val="0"/>
        <w:kinsoku/>
        <w:wordWrap/>
        <w:overflowPunct/>
        <w:topLinePunct w:val="0"/>
        <w:autoSpaceDE/>
        <w:autoSpaceDN/>
        <w:bidi w:val="0"/>
        <w:snapToGrid/>
        <w:spacing w:line="530" w:lineRule="exact"/>
        <w:ind w:left="0" w:leftChars="0" w:right="0" w:rightChars="0" w:firstLine="500" w:firstLineChars="200"/>
        <w:jc w:val="both"/>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坚持公平、公正、科学、择优，合理低价，禁止不正当竞争。采用综合评分法，即磋商响应文件满足竞争性磋商文件全部实质性要求且按评审因素的量化指标评审得分最高的供应商为成交供应商。</w:t>
      </w:r>
    </w:p>
    <w:p w14:paraId="12E12059">
      <w:pPr>
        <w:keepNext w:val="0"/>
        <w:keepLines w:val="0"/>
        <w:pageBreakBefore w:val="0"/>
        <w:widowControl w:val="0"/>
        <w:kinsoku/>
        <w:wordWrap/>
        <w:overflowPunct/>
        <w:topLinePunct w:val="0"/>
        <w:autoSpaceDE/>
        <w:autoSpaceDN/>
        <w:bidi w:val="0"/>
        <w:snapToGrid/>
        <w:spacing w:line="530" w:lineRule="exact"/>
        <w:ind w:left="0" w:leftChars="0" w:right="0" w:rightChars="0" w:firstLine="500" w:firstLineChars="200"/>
        <w:jc w:val="both"/>
        <w:outlineLvl w:val="9"/>
        <w:rPr>
          <w:rFonts w:ascii="宋体" w:hAnsi="宋体" w:cs="宋体"/>
          <w:bCs/>
          <w:color w:val="auto"/>
          <w:sz w:val="24"/>
          <w:szCs w:val="24"/>
          <w:highlight w:val="none"/>
        </w:rPr>
      </w:pPr>
      <w:r>
        <w:rPr>
          <w:rFonts w:hint="eastAsia" w:ascii="宋体" w:hAnsi="宋体" w:cs="宋体"/>
          <w:b/>
          <w:color w:val="auto"/>
          <w:sz w:val="24"/>
          <w:szCs w:val="24"/>
          <w:highlight w:val="none"/>
        </w:rPr>
        <w:t>3.2磋商评审工作程序</w:t>
      </w:r>
    </w:p>
    <w:p w14:paraId="626E5098">
      <w:pPr>
        <w:keepNext w:val="0"/>
        <w:keepLines w:val="0"/>
        <w:pageBreakBefore w:val="0"/>
        <w:widowControl w:val="0"/>
        <w:tabs>
          <w:tab w:val="left" w:pos="709"/>
        </w:tabs>
        <w:kinsoku/>
        <w:wordWrap/>
        <w:overflowPunct/>
        <w:topLinePunct w:val="0"/>
        <w:autoSpaceDE/>
        <w:autoSpaceDN/>
        <w:bidi w:val="0"/>
        <w:adjustRightInd w:val="0"/>
        <w:snapToGrid/>
        <w:spacing w:line="530" w:lineRule="exact"/>
        <w:ind w:left="0" w:leftChars="0" w:right="0" w:rightChars="0" w:firstLine="500" w:firstLineChars="200"/>
        <w:jc w:val="both"/>
        <w:textAlignment w:val="baseline"/>
        <w:outlineLvl w:val="9"/>
        <w:rPr>
          <w:rFonts w:ascii="宋体" w:hAnsi="宋体" w:cs="宋体"/>
          <w:b/>
          <w:color w:val="auto"/>
          <w:sz w:val="24"/>
          <w:szCs w:val="24"/>
          <w:highlight w:val="none"/>
        </w:rPr>
      </w:pPr>
      <w:r>
        <w:rPr>
          <w:rFonts w:hint="eastAsia" w:ascii="宋体" w:hAnsi="宋体" w:cs="宋体"/>
          <w:b/>
          <w:color w:val="auto"/>
          <w:sz w:val="24"/>
          <w:szCs w:val="24"/>
          <w:highlight w:val="none"/>
        </w:rPr>
        <w:t>3.2.1资格审查</w:t>
      </w:r>
    </w:p>
    <w:p w14:paraId="4491F068">
      <w:pPr>
        <w:keepNext w:val="0"/>
        <w:keepLines w:val="0"/>
        <w:pageBreakBefore w:val="0"/>
        <w:widowControl w:val="0"/>
        <w:tabs>
          <w:tab w:val="left" w:pos="709"/>
        </w:tabs>
        <w:kinsoku/>
        <w:wordWrap/>
        <w:overflowPunct/>
        <w:topLinePunct w:val="0"/>
        <w:autoSpaceDE/>
        <w:autoSpaceDN/>
        <w:bidi w:val="0"/>
        <w:adjustRightInd w:val="0"/>
        <w:snapToGrid/>
        <w:spacing w:line="530" w:lineRule="exact"/>
        <w:ind w:left="0" w:leftChars="0" w:right="0" w:rightChars="0" w:firstLine="500" w:firstLineChars="200"/>
        <w:jc w:val="both"/>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将依据磋商文件中的资格要求，对供应商进行资格审查，以确定其是否具备相应资格。如果供应商不具备资格、不满足磋商文件所规定的资格标准或提供资格证明文件不全，将被视为未实质性响应磋商文件。</w:t>
      </w:r>
    </w:p>
    <w:p w14:paraId="16826DF1">
      <w:pPr>
        <w:keepNext w:val="0"/>
        <w:keepLines w:val="0"/>
        <w:pageBreakBefore w:val="0"/>
        <w:widowControl w:val="0"/>
        <w:tabs>
          <w:tab w:val="left" w:pos="1575"/>
        </w:tabs>
        <w:kinsoku/>
        <w:wordWrap/>
        <w:overflowPunct/>
        <w:topLinePunct w:val="0"/>
        <w:autoSpaceDE/>
        <w:autoSpaceDN/>
        <w:bidi w:val="0"/>
        <w:adjustRightInd/>
        <w:snapToGrid/>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资格审查表</w:t>
      </w:r>
    </w:p>
    <w:tbl>
      <w:tblPr>
        <w:tblStyle w:val="29"/>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030"/>
        <w:gridCol w:w="5292"/>
      </w:tblGrid>
      <w:tr w14:paraId="2206E8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0" w:type="dxa"/>
            <w:tcBorders>
              <w:tl2br w:val="nil"/>
              <w:tr2bl w:val="nil"/>
            </w:tcBorders>
            <w:vAlign w:val="center"/>
          </w:tcPr>
          <w:p w14:paraId="1886383D">
            <w:pPr>
              <w:tabs>
                <w:tab w:val="left" w:pos="1575"/>
              </w:tabs>
              <w:spacing w:line="2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审查  项目</w:t>
            </w:r>
          </w:p>
        </w:tc>
        <w:tc>
          <w:tcPr>
            <w:tcW w:w="3030" w:type="dxa"/>
            <w:tcBorders>
              <w:tl2br w:val="nil"/>
              <w:tr2bl w:val="nil"/>
            </w:tcBorders>
            <w:vAlign w:val="center"/>
          </w:tcPr>
          <w:p w14:paraId="5DFB6E6D">
            <w:pPr>
              <w:tabs>
                <w:tab w:val="left" w:pos="1575"/>
              </w:tabs>
              <w:jc w:val="center"/>
              <w:rPr>
                <w:rFonts w:ascii="宋体" w:hAnsi="宋体" w:cs="宋体"/>
                <w:b/>
                <w:color w:val="auto"/>
                <w:sz w:val="24"/>
                <w:szCs w:val="24"/>
                <w:highlight w:val="none"/>
              </w:rPr>
            </w:pPr>
            <w:r>
              <w:rPr>
                <w:rFonts w:hint="eastAsia" w:ascii="宋体" w:hAnsi="宋体" w:cs="宋体"/>
                <w:b/>
                <w:color w:val="auto"/>
                <w:sz w:val="24"/>
                <w:szCs w:val="24"/>
                <w:highlight w:val="none"/>
              </w:rPr>
              <w:t>审查内容</w:t>
            </w:r>
          </w:p>
        </w:tc>
        <w:tc>
          <w:tcPr>
            <w:tcW w:w="5292" w:type="dxa"/>
            <w:tcBorders>
              <w:tl2br w:val="nil"/>
              <w:tr2bl w:val="nil"/>
            </w:tcBorders>
            <w:vAlign w:val="center"/>
          </w:tcPr>
          <w:p w14:paraId="544D0DEB">
            <w:pPr>
              <w:tabs>
                <w:tab w:val="left" w:pos="1575"/>
              </w:tabs>
              <w:jc w:val="center"/>
              <w:rPr>
                <w:rFonts w:ascii="宋体" w:hAnsi="宋体" w:cs="宋体"/>
                <w:b/>
                <w:color w:val="auto"/>
                <w:sz w:val="24"/>
                <w:szCs w:val="24"/>
                <w:highlight w:val="none"/>
              </w:rPr>
            </w:pPr>
            <w:r>
              <w:rPr>
                <w:rFonts w:hint="eastAsia" w:ascii="宋体" w:hAnsi="宋体" w:cs="宋体"/>
                <w:b/>
                <w:color w:val="auto"/>
                <w:sz w:val="24"/>
                <w:szCs w:val="24"/>
                <w:highlight w:val="none"/>
              </w:rPr>
              <w:t>审查要求</w:t>
            </w:r>
          </w:p>
        </w:tc>
      </w:tr>
      <w:tr w14:paraId="3DD827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750" w:type="dxa"/>
            <w:vMerge w:val="restart"/>
            <w:tcBorders>
              <w:tl2br w:val="nil"/>
              <w:tr2bl w:val="nil"/>
            </w:tcBorders>
            <w:vAlign w:val="center"/>
          </w:tcPr>
          <w:p w14:paraId="0D4AD2A2">
            <w:pPr>
              <w:tabs>
                <w:tab w:val="left" w:pos="1575"/>
              </w:tabs>
              <w:spacing w:line="420" w:lineRule="exact"/>
              <w:jc w:val="center"/>
              <w:rPr>
                <w:rFonts w:ascii="宋体" w:hAnsi="宋体" w:cs="宋体"/>
                <w:b/>
                <w:bCs/>
                <w:color w:val="auto"/>
                <w:sz w:val="24"/>
                <w:szCs w:val="24"/>
                <w:highlight w:val="none"/>
              </w:rPr>
            </w:pPr>
          </w:p>
          <w:p w14:paraId="1C6D9CE5">
            <w:pPr>
              <w:tabs>
                <w:tab w:val="left" w:pos="1575"/>
              </w:tabs>
              <w:spacing w:line="420" w:lineRule="exact"/>
              <w:jc w:val="center"/>
              <w:rPr>
                <w:rFonts w:ascii="宋体" w:hAnsi="宋体" w:cs="宋体"/>
                <w:b/>
                <w:bCs/>
                <w:color w:val="auto"/>
                <w:sz w:val="24"/>
                <w:szCs w:val="24"/>
                <w:highlight w:val="none"/>
              </w:rPr>
            </w:pPr>
          </w:p>
          <w:p w14:paraId="0E763FFE">
            <w:pPr>
              <w:pStyle w:val="47"/>
              <w:rPr>
                <w:rFonts w:ascii="宋体" w:hAnsi="宋体" w:cs="宋体"/>
                <w:b/>
                <w:bCs/>
                <w:color w:val="auto"/>
                <w:sz w:val="24"/>
                <w:szCs w:val="24"/>
                <w:highlight w:val="none"/>
              </w:rPr>
            </w:pPr>
          </w:p>
          <w:p w14:paraId="0185EB4B">
            <w:pPr>
              <w:pStyle w:val="47"/>
              <w:rPr>
                <w:rFonts w:ascii="宋体" w:hAnsi="宋体" w:cs="宋体"/>
                <w:b/>
                <w:bCs/>
                <w:color w:val="auto"/>
                <w:sz w:val="24"/>
                <w:szCs w:val="24"/>
                <w:highlight w:val="none"/>
              </w:rPr>
            </w:pPr>
          </w:p>
          <w:p w14:paraId="01875D18">
            <w:pPr>
              <w:pStyle w:val="47"/>
              <w:rPr>
                <w:rFonts w:ascii="宋体" w:hAnsi="宋体" w:cs="宋体"/>
                <w:b/>
                <w:bCs/>
                <w:color w:val="auto"/>
                <w:sz w:val="24"/>
                <w:szCs w:val="24"/>
                <w:highlight w:val="none"/>
              </w:rPr>
            </w:pPr>
          </w:p>
          <w:p w14:paraId="7C5B4DFD">
            <w:pPr>
              <w:pStyle w:val="47"/>
              <w:rPr>
                <w:rFonts w:ascii="宋体" w:hAnsi="宋体" w:cs="宋体"/>
                <w:b/>
                <w:bCs/>
                <w:color w:val="auto"/>
                <w:sz w:val="24"/>
                <w:szCs w:val="24"/>
                <w:highlight w:val="none"/>
              </w:rPr>
            </w:pPr>
          </w:p>
          <w:p w14:paraId="6AC9A4DA">
            <w:pPr>
              <w:pStyle w:val="47"/>
              <w:rPr>
                <w:rFonts w:ascii="宋体" w:hAnsi="宋体" w:cs="宋体"/>
                <w:b/>
                <w:bCs/>
                <w:color w:val="auto"/>
                <w:sz w:val="24"/>
                <w:szCs w:val="24"/>
                <w:highlight w:val="none"/>
              </w:rPr>
            </w:pPr>
          </w:p>
          <w:p w14:paraId="020E0CAA">
            <w:pPr>
              <w:pStyle w:val="47"/>
              <w:rPr>
                <w:rFonts w:ascii="宋体" w:hAnsi="宋体" w:cs="宋体"/>
                <w:b/>
                <w:bCs/>
                <w:color w:val="auto"/>
                <w:sz w:val="24"/>
                <w:szCs w:val="24"/>
                <w:highlight w:val="none"/>
              </w:rPr>
            </w:pPr>
          </w:p>
          <w:p w14:paraId="7DF3011B">
            <w:pPr>
              <w:pStyle w:val="47"/>
              <w:rPr>
                <w:rFonts w:ascii="宋体" w:hAnsi="宋体" w:cs="宋体"/>
                <w:b/>
                <w:bCs/>
                <w:color w:val="auto"/>
                <w:sz w:val="24"/>
                <w:szCs w:val="24"/>
                <w:highlight w:val="none"/>
              </w:rPr>
            </w:pPr>
          </w:p>
          <w:p w14:paraId="1A186CE6">
            <w:pPr>
              <w:pStyle w:val="47"/>
              <w:rPr>
                <w:rFonts w:ascii="宋体" w:hAnsi="宋体" w:cs="宋体"/>
                <w:b/>
                <w:bCs/>
                <w:color w:val="auto"/>
                <w:sz w:val="24"/>
                <w:szCs w:val="24"/>
                <w:highlight w:val="none"/>
              </w:rPr>
            </w:pPr>
          </w:p>
          <w:p w14:paraId="4E4BCC2B">
            <w:pPr>
              <w:pStyle w:val="47"/>
              <w:rPr>
                <w:rFonts w:ascii="宋体" w:hAnsi="宋体" w:cs="宋体"/>
                <w:b/>
                <w:bCs/>
                <w:color w:val="auto"/>
                <w:sz w:val="24"/>
                <w:szCs w:val="24"/>
                <w:highlight w:val="none"/>
              </w:rPr>
            </w:pPr>
          </w:p>
          <w:p w14:paraId="2BE5BDA6">
            <w:pPr>
              <w:pStyle w:val="47"/>
              <w:rPr>
                <w:rFonts w:ascii="宋体" w:hAnsi="宋体" w:cs="宋体"/>
                <w:b/>
                <w:bCs/>
                <w:color w:val="auto"/>
                <w:sz w:val="24"/>
                <w:szCs w:val="24"/>
                <w:highlight w:val="none"/>
              </w:rPr>
            </w:pPr>
          </w:p>
          <w:p w14:paraId="6BA4CDA4">
            <w:pPr>
              <w:pStyle w:val="47"/>
              <w:rPr>
                <w:rFonts w:ascii="宋体" w:hAnsi="宋体" w:cs="宋体"/>
                <w:b/>
                <w:bCs/>
                <w:color w:val="auto"/>
                <w:sz w:val="24"/>
                <w:szCs w:val="24"/>
                <w:highlight w:val="none"/>
              </w:rPr>
            </w:pPr>
          </w:p>
          <w:p w14:paraId="6B3E9DD9">
            <w:pPr>
              <w:tabs>
                <w:tab w:val="left" w:pos="1575"/>
              </w:tabs>
              <w:spacing w:line="420" w:lineRule="exact"/>
              <w:jc w:val="center"/>
              <w:rPr>
                <w:rFonts w:ascii="宋体" w:hAnsi="宋体" w:cs="宋体"/>
                <w:b/>
                <w:bCs/>
                <w:color w:val="auto"/>
                <w:sz w:val="24"/>
                <w:szCs w:val="24"/>
                <w:highlight w:val="none"/>
              </w:rPr>
            </w:pPr>
          </w:p>
          <w:p w14:paraId="0C064CD2">
            <w:pPr>
              <w:tabs>
                <w:tab w:val="left" w:pos="1575"/>
              </w:tabs>
              <w:spacing w:line="420" w:lineRule="exact"/>
              <w:jc w:val="center"/>
              <w:rPr>
                <w:rFonts w:ascii="宋体" w:hAnsi="宋体" w:cs="宋体"/>
                <w:b/>
                <w:bCs/>
                <w:color w:val="auto"/>
                <w:sz w:val="24"/>
                <w:szCs w:val="24"/>
                <w:highlight w:val="none"/>
              </w:rPr>
            </w:pPr>
          </w:p>
          <w:p w14:paraId="6FC40170">
            <w:pPr>
              <w:tabs>
                <w:tab w:val="left" w:pos="1575"/>
              </w:tabs>
              <w:spacing w:line="42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资</w:t>
            </w:r>
          </w:p>
          <w:p w14:paraId="63B9683E">
            <w:pPr>
              <w:tabs>
                <w:tab w:val="left" w:pos="1575"/>
              </w:tabs>
              <w:spacing w:line="42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格</w:t>
            </w:r>
          </w:p>
          <w:p w14:paraId="5930C86B">
            <w:pPr>
              <w:tabs>
                <w:tab w:val="left" w:pos="1575"/>
              </w:tabs>
              <w:spacing w:line="42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审</w:t>
            </w:r>
          </w:p>
          <w:p w14:paraId="2CCB0E40">
            <w:pPr>
              <w:tabs>
                <w:tab w:val="left" w:pos="1575"/>
              </w:tabs>
              <w:spacing w:line="42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查</w:t>
            </w:r>
          </w:p>
          <w:p w14:paraId="03F4B52D">
            <w:pPr>
              <w:tabs>
                <w:tab w:val="left" w:pos="1575"/>
              </w:tabs>
              <w:spacing w:line="420" w:lineRule="exact"/>
              <w:jc w:val="center"/>
              <w:rPr>
                <w:rFonts w:hint="eastAsia" w:ascii="宋体" w:hAnsi="宋体" w:eastAsia="宋体" w:cs="宋体"/>
                <w:b/>
                <w:bCs/>
                <w:color w:val="auto"/>
                <w:sz w:val="24"/>
                <w:szCs w:val="24"/>
                <w:highlight w:val="none"/>
                <w:lang w:val="en-US" w:eastAsia="zh-CN"/>
              </w:rPr>
            </w:pPr>
          </w:p>
          <w:p w14:paraId="4EBF0ECA">
            <w:pPr>
              <w:tabs>
                <w:tab w:val="left" w:pos="1575"/>
              </w:tabs>
              <w:spacing w:line="420" w:lineRule="exact"/>
              <w:jc w:val="center"/>
              <w:rPr>
                <w:rFonts w:ascii="宋体" w:hAnsi="宋体" w:cs="宋体"/>
                <w:color w:val="auto"/>
                <w:sz w:val="24"/>
                <w:szCs w:val="24"/>
                <w:highlight w:val="none"/>
              </w:rPr>
            </w:pPr>
          </w:p>
        </w:tc>
        <w:tc>
          <w:tcPr>
            <w:tcW w:w="3030" w:type="dxa"/>
            <w:tcBorders>
              <w:tl2br w:val="nil"/>
              <w:tr2bl w:val="nil"/>
            </w:tcBorders>
            <w:vAlign w:val="center"/>
          </w:tcPr>
          <w:p w14:paraId="49A24438">
            <w:pPr>
              <w:pStyle w:val="48"/>
              <w:keepNext w:val="0"/>
              <w:keepLines w:val="0"/>
              <w:pageBreakBefore w:val="0"/>
              <w:widowControl w:val="0"/>
              <w:kinsoku/>
              <w:wordWrap/>
              <w:overflowPunct/>
              <w:topLinePunct w:val="0"/>
              <w:autoSpaceDE/>
              <w:autoSpaceDN/>
              <w:bidi w:val="0"/>
              <w:adjustRightInd/>
              <w:snapToGrid/>
              <w:spacing w:line="280" w:lineRule="exact"/>
              <w:textAlignment w:val="auto"/>
              <w:rPr>
                <w:color w:val="auto"/>
                <w:sz w:val="24"/>
                <w:szCs w:val="24"/>
                <w:highlight w:val="none"/>
              </w:rPr>
            </w:pPr>
          </w:p>
          <w:p w14:paraId="3B43B550">
            <w:pPr>
              <w:pStyle w:val="48"/>
              <w:keepNext w:val="0"/>
              <w:keepLines w:val="0"/>
              <w:pageBreakBefore w:val="0"/>
              <w:widowControl w:val="0"/>
              <w:kinsoku/>
              <w:wordWrap/>
              <w:overflowPunct/>
              <w:topLinePunct w:val="0"/>
              <w:autoSpaceDE/>
              <w:autoSpaceDN/>
              <w:bidi w:val="0"/>
              <w:adjustRightInd/>
              <w:snapToGrid/>
              <w:spacing w:line="280" w:lineRule="exact"/>
              <w:ind w:firstLine="442"/>
              <w:textAlignment w:val="auto"/>
              <w:rPr>
                <w:color w:val="auto"/>
                <w:sz w:val="24"/>
                <w:szCs w:val="24"/>
                <w:highlight w:val="none"/>
              </w:rPr>
            </w:pPr>
          </w:p>
          <w:p w14:paraId="5BCD8E6F">
            <w:pPr>
              <w:pStyle w:val="48"/>
              <w:keepNext w:val="0"/>
              <w:keepLines w:val="0"/>
              <w:pageBreakBefore w:val="0"/>
              <w:widowControl w:val="0"/>
              <w:kinsoku/>
              <w:wordWrap/>
              <w:overflowPunct/>
              <w:topLinePunct w:val="0"/>
              <w:autoSpaceDE/>
              <w:autoSpaceDN/>
              <w:bidi w:val="0"/>
              <w:adjustRightInd/>
              <w:snapToGrid/>
              <w:spacing w:line="280" w:lineRule="exact"/>
              <w:ind w:firstLine="442"/>
              <w:textAlignment w:val="auto"/>
              <w:rPr>
                <w:color w:val="auto"/>
                <w:sz w:val="24"/>
                <w:szCs w:val="24"/>
                <w:highlight w:val="none"/>
              </w:rPr>
            </w:pPr>
          </w:p>
          <w:p w14:paraId="7B193277">
            <w:pPr>
              <w:keepNext w:val="0"/>
              <w:keepLines w:val="0"/>
              <w:pageBreakBefore w:val="0"/>
              <w:widowControl w:val="0"/>
              <w:kinsoku/>
              <w:wordWrap/>
              <w:overflowPunct/>
              <w:topLinePunct w:val="0"/>
              <w:autoSpaceDE/>
              <w:autoSpaceDN/>
              <w:bidi w:val="0"/>
              <w:adjustRightInd/>
              <w:snapToGrid/>
              <w:spacing w:line="280" w:lineRule="exact"/>
              <w:ind w:right="-37" w:rightChars="-17"/>
              <w:jc w:val="center"/>
              <w:textAlignment w:val="auto"/>
              <w:rPr>
                <w:rFonts w:ascii="宋体" w:hAnsi="宋体" w:cs="宋体"/>
                <w:color w:val="auto"/>
                <w:kern w:val="0"/>
                <w:sz w:val="24"/>
                <w:szCs w:val="24"/>
                <w:highlight w:val="none"/>
              </w:rPr>
            </w:pPr>
            <w:r>
              <w:rPr>
                <w:rFonts w:hint="eastAsia"/>
                <w:color w:val="auto"/>
                <w:sz w:val="24"/>
                <w:szCs w:val="24"/>
                <w:highlight w:val="none"/>
              </w:rPr>
              <w:t>供应商应满足《中华人民共和国政府采购法》第二十二条</w:t>
            </w:r>
          </w:p>
        </w:tc>
        <w:tc>
          <w:tcPr>
            <w:tcW w:w="5292" w:type="dxa"/>
            <w:tcBorders>
              <w:tl2br w:val="nil"/>
              <w:tr2bl w:val="nil"/>
            </w:tcBorders>
            <w:vAlign w:val="center"/>
          </w:tcPr>
          <w:p w14:paraId="2343B93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1.具有独立承担民事责任能力的法人、其他组织或自然人，并出具合法有效的营业执照或事业单位法人证书等国家规定的相关证明，自然人参与的提供其身份证明（复印件加盖供应商公章）</w:t>
            </w:r>
            <w:r>
              <w:rPr>
                <w:rFonts w:hint="eastAsia" w:ascii="宋体" w:hAnsi="宋体" w:eastAsia="宋体" w:cs="宋体"/>
                <w:b w:val="0"/>
                <w:bCs w:val="0"/>
                <w:sz w:val="24"/>
                <w:szCs w:val="24"/>
                <w:highlight w:val="none"/>
                <w:lang w:eastAsia="zh-CN"/>
              </w:rPr>
              <w:t>；</w:t>
            </w:r>
          </w:p>
          <w:p w14:paraId="20886774">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2.提供2024或2025年度经审计的财务报告（至少包括资产负债表和利润表，成立时间至提交响应文件截止时间不足一年的可提供成立后任意时段的资产负债表），报告须真实有效并符合《关于加强审计报告查验工作的通知》（财会[2023]15号）文件的要求，报告须赋二维码；或其开标前三个月内基本存款账户开户银行出具的资信证明及基本存款账户开户许可证（或基本存款账户信息）；或信用担保机构出具的投标担保函。（以上三种形式的资料提供任何一种即可，</w:t>
            </w:r>
            <w:r>
              <w:rPr>
                <w:rFonts w:hint="eastAsia" w:ascii="宋体" w:hAnsi="宋体" w:eastAsia="宋体" w:cs="宋体"/>
                <w:b w:val="0"/>
                <w:bCs w:val="0"/>
                <w:sz w:val="24"/>
                <w:szCs w:val="24"/>
                <w:highlight w:val="none"/>
                <w:lang w:eastAsia="zh-CN"/>
              </w:rPr>
              <w:t>复印件加盖供应商公章</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lang w:eastAsia="zh-CN"/>
              </w:rPr>
              <w:t>；</w:t>
            </w:r>
          </w:p>
          <w:p w14:paraId="1CAF85F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有依法缴纳社会保障资金的良好记录：提供</w:t>
            </w:r>
            <w:r>
              <w:rPr>
                <w:rFonts w:hint="eastAsia" w:ascii="宋体" w:hAnsi="宋体" w:eastAsia="宋体" w:cs="宋体"/>
                <w:b w:val="0"/>
                <w:bCs w:val="0"/>
                <w:sz w:val="24"/>
                <w:szCs w:val="24"/>
                <w:highlight w:val="none"/>
                <w:lang w:val="en-US" w:eastAsia="zh-CN"/>
              </w:rPr>
              <w:t>2025年9月至今</w:t>
            </w:r>
            <w:r>
              <w:rPr>
                <w:rFonts w:hint="eastAsia" w:ascii="宋体" w:hAnsi="宋体" w:eastAsia="宋体" w:cs="宋体"/>
                <w:b w:val="0"/>
                <w:bCs w:val="0"/>
                <w:sz w:val="24"/>
                <w:szCs w:val="24"/>
                <w:highlight w:val="none"/>
                <w:lang w:eastAsia="zh-CN"/>
              </w:rPr>
              <w:t>任意一个月</w:t>
            </w:r>
            <w:r>
              <w:rPr>
                <w:rFonts w:hint="eastAsia" w:ascii="宋体" w:hAnsi="宋体" w:eastAsia="宋体" w:cs="宋体"/>
                <w:b w:val="0"/>
                <w:bCs w:val="0"/>
                <w:sz w:val="24"/>
                <w:szCs w:val="24"/>
                <w:highlight w:val="none"/>
                <w:lang w:val="en-US" w:eastAsia="zh-CN"/>
              </w:rPr>
              <w:t>已缴存</w:t>
            </w:r>
            <w:r>
              <w:rPr>
                <w:rFonts w:hint="eastAsia" w:ascii="宋体" w:hAnsi="宋体" w:eastAsia="宋体" w:cs="宋体"/>
                <w:b w:val="0"/>
                <w:bCs w:val="0"/>
                <w:sz w:val="24"/>
                <w:szCs w:val="24"/>
                <w:highlight w:val="none"/>
                <w:lang w:eastAsia="zh-CN"/>
              </w:rPr>
              <w:t>的社会保障资金缴存单据或社保机构开具的社会保险参保缴费情况证明。依法不需要缴纳社会保障资金的供应商应提供相关文件证明（复印件加盖供应商公章）；</w:t>
            </w:r>
          </w:p>
          <w:p w14:paraId="675CBBCB">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lang w:eastAsia="zh-CN"/>
              </w:rPr>
              <w:t>有依法缴纳税收的良好记录：提供</w:t>
            </w:r>
            <w:r>
              <w:rPr>
                <w:rFonts w:hint="eastAsia" w:ascii="宋体" w:hAnsi="宋体" w:eastAsia="宋体" w:cs="宋体"/>
                <w:b w:val="0"/>
                <w:bCs w:val="0"/>
                <w:sz w:val="24"/>
                <w:szCs w:val="24"/>
                <w:highlight w:val="none"/>
                <w:lang w:val="en-US" w:eastAsia="zh-CN"/>
              </w:rPr>
              <w:t>2025年9月至今</w:t>
            </w:r>
            <w:r>
              <w:rPr>
                <w:rFonts w:hint="eastAsia" w:ascii="宋体" w:hAnsi="宋体" w:eastAsia="宋体" w:cs="宋体"/>
                <w:b w:val="0"/>
                <w:bCs w:val="0"/>
                <w:sz w:val="24"/>
                <w:szCs w:val="24"/>
                <w:highlight w:val="none"/>
                <w:lang w:eastAsia="zh-CN"/>
              </w:rPr>
              <w:t>任意一个月</w:t>
            </w:r>
            <w:r>
              <w:rPr>
                <w:rFonts w:hint="eastAsia" w:ascii="宋体" w:hAnsi="宋体" w:eastAsia="宋体" w:cs="宋体"/>
                <w:b w:val="0"/>
                <w:bCs w:val="0"/>
                <w:sz w:val="24"/>
                <w:szCs w:val="24"/>
                <w:highlight w:val="none"/>
                <w:lang w:val="en-US" w:eastAsia="zh-CN"/>
              </w:rPr>
              <w:t>已缴纳</w:t>
            </w:r>
            <w:r>
              <w:rPr>
                <w:rFonts w:hint="eastAsia" w:ascii="宋体" w:hAnsi="宋体" w:eastAsia="宋体" w:cs="宋体"/>
                <w:b w:val="0"/>
                <w:bCs w:val="0"/>
                <w:sz w:val="24"/>
                <w:szCs w:val="24"/>
                <w:highlight w:val="none"/>
                <w:lang w:eastAsia="zh-CN"/>
              </w:rPr>
              <w:t>的纳税证明或完税证明，依法免税的供应商应提供相关证明材料（复印件加盖供应商公章）；</w:t>
            </w:r>
          </w:p>
          <w:p w14:paraId="4FEA4706">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lang w:eastAsia="zh-CN"/>
              </w:rPr>
              <w:t>提供具有履行本合同所必需的设备和专业技术能力的</w:t>
            </w:r>
            <w:r>
              <w:rPr>
                <w:rFonts w:hint="eastAsia" w:ascii="宋体" w:hAnsi="宋体" w:eastAsia="宋体" w:cs="宋体"/>
                <w:b w:val="0"/>
                <w:bCs w:val="0"/>
                <w:sz w:val="24"/>
                <w:szCs w:val="24"/>
                <w:highlight w:val="none"/>
                <w:lang w:val="en-US" w:eastAsia="zh-CN"/>
              </w:rPr>
              <w:t>承诺书</w:t>
            </w:r>
            <w:r>
              <w:rPr>
                <w:rFonts w:hint="eastAsia" w:ascii="宋体" w:hAnsi="宋体" w:eastAsia="宋体" w:cs="宋体"/>
                <w:b w:val="0"/>
                <w:bCs w:val="0"/>
                <w:sz w:val="24"/>
                <w:szCs w:val="24"/>
                <w:highlight w:val="none"/>
                <w:lang w:eastAsia="zh-CN"/>
              </w:rPr>
              <w:t>；</w:t>
            </w:r>
            <w:r>
              <w:rPr>
                <w:rFonts w:hint="eastAsia" w:ascii="宋体" w:hAnsi="宋体" w:cs="宋体"/>
                <w:color w:val="auto"/>
                <w:sz w:val="24"/>
                <w:szCs w:val="24"/>
                <w:highlight w:val="none"/>
                <w:lang w:eastAsia="zh-CN"/>
              </w:rPr>
              <w:t>（格式见附件）</w:t>
            </w:r>
          </w:p>
          <w:p w14:paraId="1F11397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cs="宋体"/>
                <w:color w:val="auto"/>
                <w:sz w:val="24"/>
                <w:szCs w:val="24"/>
                <w:highlight w:val="none"/>
              </w:rPr>
            </w:pP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lang w:eastAsia="zh-CN"/>
              </w:rPr>
              <w:t>提供参加本次政府采购活动前三年内在经营活动中没有重大违法记录的书面声明；</w:t>
            </w:r>
            <w:r>
              <w:rPr>
                <w:rFonts w:hint="eastAsia" w:ascii="宋体" w:hAnsi="宋体" w:cs="宋体"/>
                <w:color w:val="auto"/>
                <w:sz w:val="24"/>
                <w:szCs w:val="24"/>
                <w:highlight w:val="none"/>
                <w:lang w:eastAsia="zh-CN"/>
              </w:rPr>
              <w:t>（格式见附件）</w:t>
            </w:r>
          </w:p>
        </w:tc>
      </w:tr>
      <w:tr w14:paraId="309939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50" w:type="dxa"/>
            <w:vMerge w:val="continue"/>
            <w:tcBorders>
              <w:tl2br w:val="nil"/>
              <w:tr2bl w:val="nil"/>
            </w:tcBorders>
            <w:vAlign w:val="center"/>
          </w:tcPr>
          <w:p w14:paraId="12B8616B">
            <w:pPr>
              <w:tabs>
                <w:tab w:val="left" w:pos="1575"/>
              </w:tabs>
              <w:spacing w:line="420" w:lineRule="exact"/>
              <w:jc w:val="center"/>
              <w:rPr>
                <w:rFonts w:ascii="宋体" w:hAnsi="宋体" w:cs="宋体"/>
                <w:color w:val="auto"/>
                <w:sz w:val="24"/>
                <w:szCs w:val="24"/>
                <w:highlight w:val="none"/>
              </w:rPr>
            </w:pPr>
          </w:p>
        </w:tc>
        <w:tc>
          <w:tcPr>
            <w:tcW w:w="3030" w:type="dxa"/>
            <w:tcBorders>
              <w:tl2br w:val="nil"/>
              <w:tr2bl w:val="nil"/>
            </w:tcBorders>
            <w:vAlign w:val="center"/>
          </w:tcPr>
          <w:p w14:paraId="50C98505">
            <w:pPr>
              <w:keepNext w:val="0"/>
              <w:keepLines w:val="0"/>
              <w:pageBreakBefore w:val="0"/>
              <w:widowControl w:val="0"/>
              <w:tabs>
                <w:tab w:val="left" w:pos="1575"/>
              </w:tabs>
              <w:kinsoku/>
              <w:wordWrap/>
              <w:overflowPunct/>
              <w:topLinePunct w:val="0"/>
              <w:autoSpaceDE/>
              <w:autoSpaceDN/>
              <w:bidi w:val="0"/>
              <w:adjustRightInd/>
              <w:snapToGrid/>
              <w:spacing w:line="2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提供</w:t>
            </w:r>
            <w:r>
              <w:rPr>
                <w:rFonts w:hint="eastAsia" w:ascii="宋体" w:hAnsi="宋体" w:eastAsia="宋体" w:cs="宋体"/>
                <w:b w:val="0"/>
                <w:bCs w:val="0"/>
                <w:sz w:val="24"/>
                <w:szCs w:val="24"/>
                <w:highlight w:val="none"/>
                <w:lang w:val="en-US" w:eastAsia="zh-CN"/>
              </w:rPr>
              <w:t>法定代表人身份证明书</w:t>
            </w:r>
            <w:r>
              <w:rPr>
                <w:rFonts w:hint="eastAsia" w:ascii="宋体" w:hAnsi="宋体" w:cs="宋体"/>
                <w:b w:val="0"/>
                <w:bCs w:val="0"/>
                <w:sz w:val="24"/>
                <w:szCs w:val="24"/>
                <w:highlight w:val="none"/>
                <w:lang w:val="en-US" w:eastAsia="zh-CN"/>
              </w:rPr>
              <w:t>、</w:t>
            </w:r>
            <w:r>
              <w:rPr>
                <w:rFonts w:hint="eastAsia" w:ascii="宋体" w:hAnsi="宋体" w:cs="宋体"/>
                <w:color w:val="auto"/>
                <w:sz w:val="24"/>
                <w:szCs w:val="24"/>
                <w:highlight w:val="none"/>
                <w:lang w:val="en-US" w:eastAsia="zh-CN"/>
              </w:rPr>
              <w:t>法定代表人授权书</w:t>
            </w:r>
          </w:p>
        </w:tc>
        <w:tc>
          <w:tcPr>
            <w:tcW w:w="5292" w:type="dxa"/>
            <w:tcBorders>
              <w:tl2br w:val="nil"/>
              <w:tr2bl w:val="nil"/>
            </w:tcBorders>
            <w:vAlign w:val="center"/>
          </w:tcPr>
          <w:p w14:paraId="37689B54">
            <w:pPr>
              <w:keepNext w:val="0"/>
              <w:keepLines w:val="0"/>
              <w:pageBreakBefore w:val="0"/>
              <w:widowControl w:val="0"/>
              <w:kinsoku/>
              <w:wordWrap w:val="0"/>
              <w:overflowPunct/>
              <w:topLinePunct w:val="0"/>
              <w:autoSpaceDE/>
              <w:autoSpaceDN/>
              <w:bidi w:val="0"/>
              <w:adjustRightInd/>
              <w:snapToGrid/>
              <w:spacing w:line="420" w:lineRule="exact"/>
              <w:textAlignment w:val="auto"/>
              <w:rPr>
                <w:rFonts w:ascii="宋体" w:hAnsi="宋体" w:cs="宋体"/>
                <w:color w:val="auto"/>
                <w:kern w:val="0"/>
                <w:sz w:val="24"/>
                <w:szCs w:val="24"/>
                <w:highlight w:val="none"/>
              </w:rPr>
            </w:pPr>
            <w:r>
              <w:rPr>
                <w:rFonts w:hint="eastAsia" w:ascii="宋体" w:hAnsi="宋体" w:eastAsia="宋体" w:cs="宋体"/>
                <w:b w:val="0"/>
                <w:bCs w:val="0"/>
                <w:sz w:val="24"/>
                <w:szCs w:val="24"/>
                <w:highlight w:val="none"/>
                <w:lang w:val="en-US" w:eastAsia="zh-CN"/>
              </w:rPr>
              <w:t>法定代表人直接参加磋商的，须提供法定代表人身份证明书（附法定代表人身份证复印件并加盖公章）；委托代理人参加磋商的，须提供法定代表人授权委托书（附法定代表人及委托代理人身份证复印件并加盖公章）</w:t>
            </w:r>
            <w:r>
              <w:rPr>
                <w:rFonts w:hint="eastAsia" w:ascii="宋体" w:hAnsi="宋体" w:eastAsia="宋体" w:cs="宋体"/>
                <w:b w:val="0"/>
                <w:bCs w:val="0"/>
                <w:sz w:val="24"/>
                <w:szCs w:val="24"/>
                <w:highlight w:val="none"/>
                <w:lang w:eastAsia="zh-CN"/>
              </w:rPr>
              <w:t>；</w:t>
            </w:r>
          </w:p>
        </w:tc>
      </w:tr>
      <w:tr w14:paraId="71977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750" w:type="dxa"/>
            <w:vMerge w:val="continue"/>
            <w:tcBorders>
              <w:tl2br w:val="nil"/>
              <w:tr2bl w:val="nil"/>
            </w:tcBorders>
            <w:vAlign w:val="center"/>
          </w:tcPr>
          <w:p w14:paraId="2329F589">
            <w:pPr>
              <w:tabs>
                <w:tab w:val="left" w:pos="1575"/>
              </w:tabs>
              <w:spacing w:line="420" w:lineRule="exact"/>
              <w:jc w:val="center"/>
              <w:rPr>
                <w:rFonts w:ascii="宋体" w:hAnsi="宋体" w:cs="宋体"/>
                <w:color w:val="auto"/>
                <w:sz w:val="24"/>
                <w:szCs w:val="24"/>
                <w:highlight w:val="none"/>
              </w:rPr>
            </w:pPr>
          </w:p>
        </w:tc>
        <w:tc>
          <w:tcPr>
            <w:tcW w:w="3030" w:type="dxa"/>
            <w:tcBorders>
              <w:tl2br w:val="nil"/>
              <w:tr2bl w:val="nil"/>
            </w:tcBorders>
            <w:vAlign w:val="center"/>
          </w:tcPr>
          <w:p w14:paraId="340F0EF3">
            <w:pPr>
              <w:keepNext w:val="0"/>
              <w:keepLines w:val="0"/>
              <w:pageBreakBefore w:val="0"/>
              <w:widowControl w:val="0"/>
              <w:tabs>
                <w:tab w:val="left" w:pos="1575"/>
              </w:tabs>
              <w:kinsoku/>
              <w:wordWrap/>
              <w:overflowPunct/>
              <w:topLinePunct w:val="0"/>
              <w:autoSpaceDE/>
              <w:autoSpaceDN/>
              <w:bidi w:val="0"/>
              <w:adjustRightInd/>
              <w:snapToGrid/>
              <w:spacing w:line="32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企业资质</w:t>
            </w:r>
          </w:p>
        </w:tc>
        <w:tc>
          <w:tcPr>
            <w:tcW w:w="5292" w:type="dxa"/>
            <w:tcBorders>
              <w:tl2br w:val="nil"/>
              <w:tr2bl w:val="nil"/>
            </w:tcBorders>
            <w:vAlign w:val="center"/>
          </w:tcPr>
          <w:p w14:paraId="4A238107">
            <w:pPr>
              <w:keepNext w:val="0"/>
              <w:keepLines w:val="0"/>
              <w:pageBreakBefore w:val="0"/>
              <w:widowControl w:val="0"/>
              <w:kinsoku/>
              <w:wordWrap w:val="0"/>
              <w:overflowPunct/>
              <w:topLinePunct w:val="0"/>
              <w:autoSpaceDE/>
              <w:autoSpaceDN/>
              <w:bidi w:val="0"/>
              <w:adjustRightInd/>
              <w:snapToGrid/>
              <w:spacing w:line="312" w:lineRule="auto"/>
              <w:jc w:val="left"/>
              <w:textAlignment w:val="auto"/>
              <w:rPr>
                <w:rFonts w:ascii="宋体" w:hAnsi="宋体" w:cs="宋体"/>
                <w:color w:val="auto"/>
                <w:kern w:val="0"/>
                <w:sz w:val="24"/>
                <w:szCs w:val="24"/>
                <w:highlight w:val="none"/>
              </w:rPr>
            </w:pPr>
            <w:r>
              <w:rPr>
                <w:rFonts w:hint="eastAsia" w:ascii="宋体" w:hAnsi="宋体" w:eastAsia="宋体" w:cs="宋体"/>
                <w:color w:val="auto"/>
                <w:sz w:val="24"/>
                <w:szCs w:val="24"/>
                <w:highlight w:val="none"/>
                <w:lang w:eastAsia="zh-CN"/>
              </w:rPr>
              <w:t>供应商须具备国家文物局颁发的文物保护工程监理甲级企业资质（业务范围含古文化遗址古墓葬）；</w:t>
            </w:r>
          </w:p>
        </w:tc>
      </w:tr>
      <w:tr w14:paraId="30DAE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750" w:type="dxa"/>
            <w:vMerge w:val="continue"/>
            <w:tcBorders>
              <w:tl2br w:val="nil"/>
              <w:tr2bl w:val="nil"/>
            </w:tcBorders>
            <w:vAlign w:val="center"/>
          </w:tcPr>
          <w:p w14:paraId="0A7D5FC1">
            <w:pPr>
              <w:tabs>
                <w:tab w:val="left" w:pos="1575"/>
              </w:tabs>
              <w:spacing w:line="420" w:lineRule="exact"/>
              <w:jc w:val="center"/>
              <w:rPr>
                <w:rFonts w:hint="eastAsia" w:ascii="宋体" w:hAnsi="宋体" w:cs="宋体"/>
                <w:b/>
                <w:bCs/>
                <w:color w:val="auto"/>
                <w:sz w:val="24"/>
                <w:szCs w:val="24"/>
                <w:highlight w:val="none"/>
              </w:rPr>
            </w:pPr>
          </w:p>
        </w:tc>
        <w:tc>
          <w:tcPr>
            <w:tcW w:w="3030" w:type="dxa"/>
            <w:tcBorders>
              <w:tl2br w:val="nil"/>
              <w:tr2bl w:val="nil"/>
            </w:tcBorders>
            <w:vAlign w:val="center"/>
          </w:tcPr>
          <w:p w14:paraId="4A390741">
            <w:pPr>
              <w:keepNext w:val="0"/>
              <w:keepLines w:val="0"/>
              <w:pageBreakBefore w:val="0"/>
              <w:widowControl w:val="0"/>
              <w:tabs>
                <w:tab w:val="left" w:pos="1575"/>
              </w:tabs>
              <w:kinsoku/>
              <w:wordWrap/>
              <w:overflowPunct/>
              <w:topLinePunct w:val="0"/>
              <w:autoSpaceDE/>
              <w:autoSpaceDN/>
              <w:bidi w:val="0"/>
              <w:adjustRightInd/>
              <w:snapToGrid/>
              <w:spacing w:line="320" w:lineRule="exact"/>
              <w:jc w:val="center"/>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项目责任监理师</w:t>
            </w:r>
            <w:r>
              <w:rPr>
                <w:rFonts w:hint="eastAsia" w:ascii="宋体" w:hAnsi="宋体" w:cs="宋体"/>
                <w:color w:val="auto"/>
                <w:sz w:val="24"/>
                <w:szCs w:val="24"/>
                <w:highlight w:val="none"/>
                <w:lang w:val="en-US" w:eastAsia="zh-CN"/>
              </w:rPr>
              <w:t>要求</w:t>
            </w:r>
          </w:p>
        </w:tc>
        <w:tc>
          <w:tcPr>
            <w:tcW w:w="5292" w:type="dxa"/>
            <w:tcBorders>
              <w:tl2br w:val="nil"/>
              <w:tr2bl w:val="nil"/>
            </w:tcBorders>
            <w:vAlign w:val="center"/>
          </w:tcPr>
          <w:p w14:paraId="702C0D78">
            <w:pPr>
              <w:keepNext w:val="0"/>
              <w:keepLines w:val="0"/>
              <w:pageBreakBefore w:val="0"/>
              <w:widowControl w:val="0"/>
              <w:kinsoku/>
              <w:wordWrap w:val="0"/>
              <w:overflowPunct/>
              <w:topLinePunct w:val="0"/>
              <w:autoSpaceDE/>
              <w:autoSpaceDN/>
              <w:bidi w:val="0"/>
              <w:adjustRightInd/>
              <w:snapToGrid/>
              <w:spacing w:line="312" w:lineRule="auto"/>
              <w:jc w:val="left"/>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供应商拟派项目责任监理师应具有文物保护工程责任监理师证书，并提供2025年9月至今供应商为其缴纳的连续三个月养老保险证明且无在建项目（提供无在建承诺，承诺真实性的法律责任自负）；</w:t>
            </w:r>
          </w:p>
        </w:tc>
      </w:tr>
      <w:tr w14:paraId="4BD6E9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0" w:hRule="atLeast"/>
          <w:jc w:val="center"/>
        </w:trPr>
        <w:tc>
          <w:tcPr>
            <w:tcW w:w="750" w:type="dxa"/>
            <w:vMerge w:val="continue"/>
            <w:tcBorders>
              <w:tl2br w:val="nil"/>
              <w:tr2bl w:val="nil"/>
            </w:tcBorders>
            <w:vAlign w:val="center"/>
          </w:tcPr>
          <w:p w14:paraId="21BF9C61">
            <w:pPr>
              <w:tabs>
                <w:tab w:val="left" w:pos="1575"/>
              </w:tabs>
              <w:spacing w:line="420" w:lineRule="exact"/>
              <w:jc w:val="center"/>
              <w:rPr>
                <w:rFonts w:ascii="宋体" w:hAnsi="宋体" w:cs="宋体"/>
                <w:color w:val="auto"/>
                <w:sz w:val="24"/>
                <w:szCs w:val="24"/>
                <w:highlight w:val="none"/>
              </w:rPr>
            </w:pPr>
          </w:p>
        </w:tc>
        <w:tc>
          <w:tcPr>
            <w:tcW w:w="3030" w:type="dxa"/>
            <w:tcBorders>
              <w:tl2br w:val="nil"/>
              <w:tr2bl w:val="nil"/>
            </w:tcBorders>
            <w:vAlign w:val="center"/>
          </w:tcPr>
          <w:p w14:paraId="4520E789">
            <w:pPr>
              <w:keepNext w:val="0"/>
              <w:keepLines w:val="0"/>
              <w:pageBreakBefore w:val="0"/>
              <w:widowControl w:val="0"/>
              <w:tabs>
                <w:tab w:val="left" w:pos="1575"/>
              </w:tabs>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eastAsia="zh-CN"/>
              </w:rPr>
              <w:t>信用查询</w:t>
            </w:r>
          </w:p>
        </w:tc>
        <w:tc>
          <w:tcPr>
            <w:tcW w:w="5292" w:type="dxa"/>
            <w:tcBorders>
              <w:tl2br w:val="nil"/>
              <w:tr2bl w:val="nil"/>
            </w:tcBorders>
            <w:vAlign w:val="center"/>
          </w:tcPr>
          <w:p w14:paraId="1C4E244F">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供应商及法定代表人未被列入“中国执行信息公开网”（http://zxgk.court.gov.cn/shixin/）失信被执行人名单，供应商未被列入“信用中国”网站（www.creditchina.gov.cn）重大税收违法失信主体，供应商未被列入“中国政府采购网”（www.ccgp.gov.cn）政府采购严重违法失信行为记录名单；</w:t>
            </w:r>
          </w:p>
        </w:tc>
      </w:tr>
      <w:tr w14:paraId="2FC71E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50" w:type="dxa"/>
            <w:vMerge w:val="continue"/>
            <w:tcBorders>
              <w:tl2br w:val="nil"/>
              <w:tr2bl w:val="nil"/>
            </w:tcBorders>
            <w:vAlign w:val="center"/>
          </w:tcPr>
          <w:p w14:paraId="3FB67BFE">
            <w:pPr>
              <w:tabs>
                <w:tab w:val="left" w:pos="1575"/>
              </w:tabs>
              <w:spacing w:line="420" w:lineRule="exact"/>
              <w:jc w:val="center"/>
              <w:rPr>
                <w:rFonts w:ascii="宋体" w:hAnsi="宋体" w:cs="宋体"/>
                <w:color w:val="auto"/>
                <w:sz w:val="24"/>
                <w:szCs w:val="24"/>
                <w:highlight w:val="none"/>
              </w:rPr>
            </w:pPr>
          </w:p>
        </w:tc>
        <w:tc>
          <w:tcPr>
            <w:tcW w:w="3030" w:type="dxa"/>
            <w:tcBorders>
              <w:tl2br w:val="nil"/>
              <w:tr2bl w:val="nil"/>
            </w:tcBorders>
            <w:vAlign w:val="center"/>
          </w:tcPr>
          <w:p w14:paraId="2DE485A3">
            <w:pPr>
              <w:keepNext w:val="0"/>
              <w:keepLines w:val="0"/>
              <w:pageBreakBefore w:val="0"/>
              <w:widowControl w:val="0"/>
              <w:tabs>
                <w:tab w:val="left" w:pos="1575"/>
              </w:tabs>
              <w:kinsoku/>
              <w:wordWrap/>
              <w:overflowPunct/>
              <w:topLinePunct w:val="0"/>
              <w:autoSpaceDE/>
              <w:autoSpaceDN/>
              <w:bidi w:val="0"/>
              <w:adjustRightInd/>
              <w:snapToGrid/>
              <w:spacing w:line="32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企业关联关系</w:t>
            </w:r>
          </w:p>
        </w:tc>
        <w:tc>
          <w:tcPr>
            <w:tcW w:w="5292" w:type="dxa"/>
            <w:tcBorders>
              <w:tl2br w:val="nil"/>
              <w:tr2bl w:val="nil"/>
            </w:tcBorders>
            <w:vAlign w:val="center"/>
          </w:tcPr>
          <w:p w14:paraId="1DD2C2F6">
            <w:pPr>
              <w:keepNext w:val="0"/>
              <w:keepLines w:val="0"/>
              <w:pageBreakBefore w:val="0"/>
              <w:widowControl w:val="0"/>
              <w:tabs>
                <w:tab w:val="left" w:pos="1575"/>
              </w:tabs>
              <w:kinsoku/>
              <w:wordWrap/>
              <w:overflowPunct/>
              <w:topLinePunct w:val="0"/>
              <w:autoSpaceDE/>
              <w:autoSpaceDN/>
              <w:bidi w:val="0"/>
              <w:adjustRightInd/>
              <w:snapToGrid/>
              <w:spacing w:line="320" w:lineRule="exact"/>
              <w:textAlignment w:val="auto"/>
              <w:outlineLvl w:val="9"/>
              <w:rPr>
                <w:rFonts w:hint="eastAsia" w:ascii="宋体" w:hAnsi="宋体" w:cs="宋体"/>
                <w:color w:val="auto"/>
                <w:kern w:val="0"/>
                <w:sz w:val="24"/>
                <w:szCs w:val="24"/>
                <w:highlight w:val="none"/>
              </w:rPr>
            </w:pPr>
            <w:r>
              <w:rPr>
                <w:rFonts w:hint="eastAsia" w:ascii="宋体" w:hAnsi="宋体" w:cs="宋体"/>
                <w:color w:val="auto"/>
                <w:sz w:val="24"/>
                <w:szCs w:val="24"/>
                <w:highlight w:val="none"/>
                <w:lang w:eastAsia="zh-CN"/>
              </w:rPr>
              <w:t>提供声明（格式见附件）</w:t>
            </w:r>
          </w:p>
        </w:tc>
      </w:tr>
      <w:tr w14:paraId="17807B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750" w:type="dxa"/>
            <w:vMerge w:val="continue"/>
            <w:tcBorders>
              <w:tl2br w:val="nil"/>
              <w:tr2bl w:val="nil"/>
            </w:tcBorders>
            <w:vAlign w:val="center"/>
          </w:tcPr>
          <w:p w14:paraId="79ED94B9">
            <w:pPr>
              <w:tabs>
                <w:tab w:val="left" w:pos="1575"/>
              </w:tabs>
              <w:spacing w:line="420" w:lineRule="exact"/>
              <w:jc w:val="center"/>
              <w:rPr>
                <w:rFonts w:ascii="宋体" w:hAnsi="宋体" w:cs="宋体"/>
                <w:color w:val="auto"/>
                <w:sz w:val="24"/>
                <w:szCs w:val="24"/>
                <w:highlight w:val="none"/>
              </w:rPr>
            </w:pPr>
          </w:p>
        </w:tc>
        <w:tc>
          <w:tcPr>
            <w:tcW w:w="3030" w:type="dxa"/>
            <w:tcBorders>
              <w:tl2br w:val="nil"/>
              <w:tr2bl w:val="nil"/>
            </w:tcBorders>
            <w:vAlign w:val="center"/>
          </w:tcPr>
          <w:p w14:paraId="38F8DD67">
            <w:pPr>
              <w:keepNext w:val="0"/>
              <w:keepLines w:val="0"/>
              <w:pageBreakBefore w:val="0"/>
              <w:widowControl w:val="0"/>
              <w:tabs>
                <w:tab w:val="left" w:pos="1575"/>
              </w:tabs>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lang w:eastAsia="zh-CN"/>
              </w:rPr>
              <w:t>专门面向中小企业采购</w:t>
            </w:r>
          </w:p>
        </w:tc>
        <w:tc>
          <w:tcPr>
            <w:tcW w:w="5292" w:type="dxa"/>
            <w:tcBorders>
              <w:tl2br w:val="nil"/>
              <w:tr2bl w:val="nil"/>
            </w:tcBorders>
            <w:vAlign w:val="center"/>
          </w:tcPr>
          <w:p w14:paraId="271252C5">
            <w:pPr>
              <w:keepNext w:val="0"/>
              <w:keepLines w:val="0"/>
              <w:pageBreakBefore w:val="0"/>
              <w:widowControl w:val="0"/>
              <w:tabs>
                <w:tab w:val="left" w:pos="1575"/>
              </w:tabs>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提供中小企业声明函（如有虚假，将依法承担相应责任）</w:t>
            </w:r>
            <w:r>
              <w:rPr>
                <w:rFonts w:hint="eastAsia" w:ascii="宋体" w:hAnsi="宋体" w:cs="宋体"/>
                <w:color w:val="auto"/>
                <w:sz w:val="24"/>
                <w:szCs w:val="24"/>
                <w:highlight w:val="none"/>
                <w:lang w:eastAsia="zh-CN"/>
              </w:rPr>
              <w:t>（格式见附件）</w:t>
            </w:r>
          </w:p>
        </w:tc>
      </w:tr>
      <w:tr w14:paraId="12340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50" w:type="dxa"/>
            <w:vMerge w:val="continue"/>
            <w:tcBorders>
              <w:tl2br w:val="nil"/>
              <w:tr2bl w:val="nil"/>
            </w:tcBorders>
            <w:vAlign w:val="center"/>
          </w:tcPr>
          <w:p w14:paraId="1BF42C92">
            <w:pPr>
              <w:tabs>
                <w:tab w:val="left" w:pos="1575"/>
              </w:tabs>
              <w:spacing w:line="420" w:lineRule="exact"/>
              <w:jc w:val="center"/>
              <w:rPr>
                <w:rFonts w:ascii="宋体" w:hAnsi="宋体" w:cs="宋体"/>
                <w:color w:val="auto"/>
                <w:sz w:val="24"/>
                <w:szCs w:val="24"/>
                <w:highlight w:val="none"/>
              </w:rPr>
            </w:pPr>
          </w:p>
        </w:tc>
        <w:tc>
          <w:tcPr>
            <w:tcW w:w="3030" w:type="dxa"/>
            <w:tcBorders>
              <w:tl2br w:val="nil"/>
              <w:tr2bl w:val="nil"/>
            </w:tcBorders>
            <w:vAlign w:val="center"/>
          </w:tcPr>
          <w:p w14:paraId="60A02ECA">
            <w:pPr>
              <w:keepNext w:val="0"/>
              <w:keepLines w:val="0"/>
              <w:pageBreakBefore w:val="0"/>
              <w:widowControl w:val="0"/>
              <w:tabs>
                <w:tab w:val="left" w:pos="1575"/>
              </w:tabs>
              <w:kinsoku/>
              <w:wordWrap/>
              <w:overflowPunct/>
              <w:topLinePunct w:val="0"/>
              <w:autoSpaceDE/>
              <w:autoSpaceDN/>
              <w:bidi w:val="0"/>
              <w:adjustRightInd/>
              <w:snapToGrid/>
              <w:spacing w:line="320" w:lineRule="exact"/>
              <w:ind w:right="0" w:rightChars="0"/>
              <w:jc w:val="center"/>
              <w:textAlignment w:val="auto"/>
              <w:rPr>
                <w:rFonts w:hint="eastAsia" w:ascii="宋体" w:hAnsi="宋体" w:cs="宋体"/>
                <w:color w:val="auto"/>
                <w:sz w:val="24"/>
                <w:szCs w:val="24"/>
                <w:highlight w:val="none"/>
              </w:rPr>
            </w:pPr>
            <w:r>
              <w:rPr>
                <w:rFonts w:hint="default" w:ascii="宋体" w:hAnsi="宋体" w:eastAsia="宋体" w:cs="宋体"/>
                <w:color w:val="auto"/>
                <w:sz w:val="24"/>
                <w:szCs w:val="24"/>
                <w:highlight w:val="none"/>
                <w:lang w:val="en-US" w:eastAsia="zh-CN"/>
              </w:rPr>
              <w:t>本项目不接受联合体</w:t>
            </w:r>
            <w:r>
              <w:rPr>
                <w:rFonts w:hint="default" w:asciiTheme="minorEastAsia" w:hAnsiTheme="minorEastAsia" w:eastAsiaTheme="minorEastAsia" w:cstheme="minorEastAsia"/>
                <w:color w:val="auto"/>
                <w:kern w:val="0"/>
                <w:sz w:val="24"/>
                <w:szCs w:val="24"/>
                <w:highlight w:val="none"/>
                <w:lang w:val="en-US" w:eastAsia="zh-CN"/>
              </w:rPr>
              <w:t>磋商</w:t>
            </w:r>
          </w:p>
        </w:tc>
        <w:tc>
          <w:tcPr>
            <w:tcW w:w="5292" w:type="dxa"/>
            <w:tcBorders>
              <w:tl2br w:val="nil"/>
              <w:tr2bl w:val="nil"/>
            </w:tcBorders>
            <w:vAlign w:val="center"/>
          </w:tcPr>
          <w:p w14:paraId="153B57A1">
            <w:pPr>
              <w:keepNext w:val="0"/>
              <w:keepLines w:val="0"/>
              <w:pageBreakBefore w:val="0"/>
              <w:widowControl w:val="0"/>
              <w:tabs>
                <w:tab w:val="left" w:pos="1575"/>
              </w:tabs>
              <w:kinsoku/>
              <w:wordWrap/>
              <w:overflowPunct/>
              <w:topLinePunct w:val="0"/>
              <w:autoSpaceDE/>
              <w:autoSpaceDN/>
              <w:bidi w:val="0"/>
              <w:adjustRightInd/>
              <w:snapToGrid/>
              <w:spacing w:line="320" w:lineRule="exact"/>
              <w:ind w:right="0" w:rightChars="0"/>
              <w:textAlignment w:val="auto"/>
              <w:outlineLvl w:val="9"/>
              <w:rPr>
                <w:rFonts w:hint="eastAsia" w:ascii="宋体" w:hAnsi="宋体" w:cs="宋体"/>
                <w:color w:val="auto"/>
                <w:kern w:val="0"/>
                <w:sz w:val="24"/>
                <w:szCs w:val="24"/>
                <w:highlight w:val="none"/>
                <w:lang w:val="en-US" w:eastAsia="zh-CN"/>
              </w:rPr>
            </w:pPr>
            <w:r>
              <w:rPr>
                <w:rFonts w:hint="eastAsia" w:ascii="宋体" w:hAnsi="宋体" w:cs="宋体"/>
                <w:color w:val="auto"/>
                <w:sz w:val="24"/>
                <w:szCs w:val="24"/>
                <w:highlight w:val="none"/>
                <w:lang w:eastAsia="zh-CN"/>
              </w:rPr>
              <w:t>提供书面声明（格式见附件）</w:t>
            </w:r>
          </w:p>
        </w:tc>
      </w:tr>
    </w:tbl>
    <w:p w14:paraId="026C03C3">
      <w:pPr>
        <w:pStyle w:val="73"/>
        <w:keepNext w:val="0"/>
        <w:keepLines w:val="0"/>
        <w:pageBreakBefore w:val="0"/>
        <w:widowControl/>
        <w:kinsoku/>
        <w:wordWrap/>
        <w:overflowPunct/>
        <w:topLinePunct w:val="0"/>
        <w:autoSpaceDE/>
        <w:autoSpaceDN/>
        <w:bidi w:val="0"/>
        <w:adjustRightInd/>
        <w:snapToGrid/>
        <w:spacing w:before="79" w:beforeLines="20" w:line="240" w:lineRule="auto"/>
        <w:ind w:left="0" w:leftChars="0" w:right="0" w:rightChars="0" w:firstLine="500" w:firstLineChars="200"/>
        <w:jc w:val="both"/>
        <w:textAlignment w:val="auto"/>
        <w:outlineLvl w:val="9"/>
        <w:rPr>
          <w:rFonts w:hint="eastAsia" w:ascii="宋体" w:hAnsi="宋体" w:cs="宋体"/>
          <w:b/>
          <w:color w:val="auto"/>
          <w:sz w:val="24"/>
          <w:szCs w:val="24"/>
          <w:highlight w:val="none"/>
        </w:rPr>
      </w:pPr>
      <w:r>
        <w:rPr>
          <w:rFonts w:hint="eastAsia" w:ascii="宋体" w:hAnsi="宋体" w:cs="宋体"/>
          <w:b/>
          <w:color w:val="auto"/>
          <w:sz w:val="24"/>
          <w:szCs w:val="24"/>
          <w:highlight w:val="none"/>
        </w:rPr>
        <w:t>若有一项不具备视为资格审查不合格，不再进入下一评审环节。</w:t>
      </w:r>
    </w:p>
    <w:p w14:paraId="3366299A">
      <w:pPr>
        <w:pStyle w:val="73"/>
        <w:keepNext w:val="0"/>
        <w:keepLines w:val="0"/>
        <w:pageBreakBefore w:val="0"/>
        <w:kinsoku/>
        <w:wordWrap/>
        <w:overflowPunct/>
        <w:topLinePunct w:val="0"/>
        <w:autoSpaceDE/>
        <w:autoSpaceDN/>
        <w:bidi w:val="0"/>
        <w:adjustRightInd/>
        <w:snapToGrid/>
        <w:spacing w:line="520" w:lineRule="exact"/>
        <w:ind w:left="0" w:leftChars="0" w:right="0" w:rightChars="0" w:firstLine="500" w:firstLineChars="200"/>
        <w:jc w:val="both"/>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3.2.2 符合性审查</w:t>
      </w:r>
    </w:p>
    <w:p w14:paraId="3F12834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00" w:firstLineChars="200"/>
        <w:jc w:val="both"/>
        <w:textAlignment w:val="auto"/>
        <w:outlineLvl w:val="9"/>
        <w:rPr>
          <w:rFonts w:hint="eastAsia" w:ascii="宋体" w:hAnsi="宋体" w:cs="宋体"/>
          <w:b/>
          <w:color w:val="auto"/>
          <w:sz w:val="24"/>
          <w:szCs w:val="24"/>
          <w:highlight w:val="none"/>
        </w:rPr>
      </w:pPr>
      <w:r>
        <w:rPr>
          <w:rFonts w:hint="eastAsia" w:ascii="宋体" w:hAnsi="宋体" w:cs="宋体"/>
          <w:bCs/>
          <w:color w:val="auto"/>
          <w:sz w:val="24"/>
          <w:szCs w:val="24"/>
          <w:highlight w:val="none"/>
        </w:rPr>
        <w:t>磋商小组对供应商提供的响应文件进行符合性审查，审查响应文件是否符合磋商文件的基本要求：内容是否完整、文件签署是否齐全、磋商报价的合格性、对磋商文件的响应程度等</w:t>
      </w:r>
      <w:r>
        <w:rPr>
          <w:rFonts w:hint="eastAsia" w:ascii="宋体" w:hAnsi="宋体" w:cs="宋体"/>
          <w:bCs/>
          <w:color w:val="auto"/>
          <w:sz w:val="24"/>
          <w:szCs w:val="24"/>
          <w:highlight w:val="none"/>
          <w:lang w:eastAsia="zh-CN"/>
        </w:rPr>
        <w:t>。</w:t>
      </w:r>
    </w:p>
    <w:p w14:paraId="2DF78056">
      <w:pPr>
        <w:tabs>
          <w:tab w:val="left" w:pos="1575"/>
        </w:tabs>
        <w:jc w:val="center"/>
        <w:rPr>
          <w:rFonts w:ascii="宋体" w:hAnsi="宋体" w:cs="宋体"/>
          <w:b/>
          <w:color w:val="auto"/>
          <w:sz w:val="24"/>
          <w:szCs w:val="24"/>
          <w:highlight w:val="none"/>
        </w:rPr>
      </w:pPr>
      <w:r>
        <w:rPr>
          <w:rFonts w:hint="eastAsia" w:ascii="宋体" w:hAnsi="宋体" w:cs="宋体"/>
          <w:b/>
          <w:color w:val="auto"/>
          <w:sz w:val="24"/>
          <w:szCs w:val="24"/>
          <w:highlight w:val="none"/>
        </w:rPr>
        <w:t>符合性审查表</w:t>
      </w:r>
    </w:p>
    <w:tbl>
      <w:tblPr>
        <w:tblStyle w:val="29"/>
        <w:tblpPr w:leftFromText="180" w:rightFromText="180" w:vertAnchor="text" w:horzAnchor="page" w:tblpX="1569" w:tblpY="161"/>
        <w:tblOverlap w:val="never"/>
        <w:tblW w:w="883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250"/>
        <w:gridCol w:w="5465"/>
      </w:tblGrid>
      <w:tr w14:paraId="17F9E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19" w:type="dxa"/>
            <w:tcBorders>
              <w:tl2br w:val="nil"/>
              <w:tr2bl w:val="nil"/>
            </w:tcBorders>
            <w:vAlign w:val="center"/>
          </w:tcPr>
          <w:p w14:paraId="329DCE57">
            <w:pPr>
              <w:tabs>
                <w:tab w:val="left" w:pos="1575"/>
              </w:tabs>
              <w:jc w:val="center"/>
              <w:rPr>
                <w:rFonts w:ascii="宋体" w:hAnsi="宋体" w:cs="宋体"/>
                <w:b/>
                <w:color w:val="auto"/>
                <w:sz w:val="24"/>
                <w:szCs w:val="24"/>
                <w:highlight w:val="none"/>
              </w:rPr>
            </w:pPr>
            <w:r>
              <w:rPr>
                <w:rFonts w:hint="eastAsia" w:ascii="宋体" w:hAnsi="宋体" w:cs="宋体"/>
                <w:b/>
                <w:color w:val="auto"/>
                <w:sz w:val="24"/>
                <w:szCs w:val="24"/>
                <w:highlight w:val="none"/>
              </w:rPr>
              <w:t>审查项目</w:t>
            </w:r>
          </w:p>
        </w:tc>
        <w:tc>
          <w:tcPr>
            <w:tcW w:w="2250" w:type="dxa"/>
            <w:tcBorders>
              <w:tl2br w:val="nil"/>
              <w:tr2bl w:val="nil"/>
            </w:tcBorders>
            <w:vAlign w:val="center"/>
          </w:tcPr>
          <w:p w14:paraId="21EBB42B">
            <w:pPr>
              <w:tabs>
                <w:tab w:val="left" w:pos="1575"/>
              </w:tabs>
              <w:jc w:val="center"/>
              <w:rPr>
                <w:rFonts w:ascii="宋体" w:hAnsi="宋体" w:cs="宋体"/>
                <w:b/>
                <w:color w:val="auto"/>
                <w:sz w:val="24"/>
                <w:szCs w:val="24"/>
                <w:highlight w:val="none"/>
              </w:rPr>
            </w:pPr>
            <w:r>
              <w:rPr>
                <w:rFonts w:hint="eastAsia" w:ascii="宋体" w:hAnsi="宋体" w:cs="宋体"/>
                <w:b/>
                <w:color w:val="auto"/>
                <w:sz w:val="24"/>
                <w:szCs w:val="24"/>
                <w:highlight w:val="none"/>
              </w:rPr>
              <w:t>审查内容</w:t>
            </w:r>
          </w:p>
        </w:tc>
        <w:tc>
          <w:tcPr>
            <w:tcW w:w="5465" w:type="dxa"/>
            <w:tcBorders>
              <w:tl2br w:val="nil"/>
              <w:tr2bl w:val="nil"/>
            </w:tcBorders>
            <w:vAlign w:val="center"/>
          </w:tcPr>
          <w:p w14:paraId="20E33276">
            <w:pPr>
              <w:tabs>
                <w:tab w:val="left" w:pos="1575"/>
              </w:tabs>
              <w:jc w:val="center"/>
              <w:rPr>
                <w:rFonts w:ascii="宋体" w:hAnsi="宋体" w:cs="宋体"/>
                <w:b/>
                <w:color w:val="auto"/>
                <w:sz w:val="24"/>
                <w:szCs w:val="24"/>
                <w:highlight w:val="none"/>
              </w:rPr>
            </w:pPr>
            <w:r>
              <w:rPr>
                <w:rFonts w:hint="eastAsia" w:ascii="宋体" w:hAnsi="宋体" w:cs="宋体"/>
                <w:b/>
                <w:color w:val="auto"/>
                <w:sz w:val="24"/>
                <w:szCs w:val="24"/>
                <w:highlight w:val="none"/>
              </w:rPr>
              <w:t>审查要求</w:t>
            </w:r>
          </w:p>
        </w:tc>
      </w:tr>
      <w:tr w14:paraId="174A55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119" w:type="dxa"/>
            <w:vMerge w:val="restart"/>
            <w:tcBorders>
              <w:tl2br w:val="nil"/>
              <w:tr2bl w:val="nil"/>
            </w:tcBorders>
            <w:vAlign w:val="center"/>
          </w:tcPr>
          <w:p w14:paraId="493C78D8">
            <w:pPr>
              <w:tabs>
                <w:tab w:val="left" w:pos="1575"/>
              </w:tabs>
              <w:jc w:val="center"/>
              <w:rPr>
                <w:rFonts w:ascii="宋体" w:hAnsi="宋体" w:cs="宋体"/>
                <w:color w:val="auto"/>
                <w:sz w:val="24"/>
                <w:szCs w:val="24"/>
                <w:highlight w:val="none"/>
              </w:rPr>
            </w:pPr>
            <w:r>
              <w:rPr>
                <w:rFonts w:hint="eastAsia" w:ascii="宋体" w:hAnsi="宋体" w:cs="宋体"/>
                <w:color w:val="auto"/>
                <w:sz w:val="24"/>
                <w:szCs w:val="24"/>
                <w:highlight w:val="none"/>
              </w:rPr>
              <w:t>有效性  审查</w:t>
            </w:r>
          </w:p>
        </w:tc>
        <w:tc>
          <w:tcPr>
            <w:tcW w:w="2250" w:type="dxa"/>
            <w:tcBorders>
              <w:tl2br w:val="nil"/>
              <w:tr2bl w:val="nil"/>
            </w:tcBorders>
            <w:vAlign w:val="center"/>
          </w:tcPr>
          <w:p w14:paraId="0BBBA029">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响应文件的</w:t>
            </w:r>
          </w:p>
          <w:p w14:paraId="7541BEAC">
            <w:pPr>
              <w:jc w:val="center"/>
              <w:rPr>
                <w:rFonts w:ascii="宋体" w:hAnsi="宋体" w:cs="宋体"/>
                <w:color w:val="auto"/>
                <w:sz w:val="24"/>
                <w:szCs w:val="24"/>
                <w:highlight w:val="none"/>
              </w:rPr>
            </w:pPr>
            <w:r>
              <w:rPr>
                <w:rFonts w:hint="eastAsia" w:ascii="宋体" w:hAnsi="宋体" w:cs="宋体"/>
                <w:color w:val="auto"/>
                <w:sz w:val="24"/>
                <w:szCs w:val="24"/>
                <w:highlight w:val="none"/>
              </w:rPr>
              <w:t>签署盖章</w:t>
            </w:r>
          </w:p>
        </w:tc>
        <w:tc>
          <w:tcPr>
            <w:tcW w:w="5465" w:type="dxa"/>
            <w:tcBorders>
              <w:tl2br w:val="nil"/>
              <w:tr2bl w:val="nil"/>
            </w:tcBorders>
            <w:vAlign w:val="center"/>
          </w:tcPr>
          <w:p w14:paraId="6EFB58F6">
            <w:pPr>
              <w:jc w:val="left"/>
              <w:rPr>
                <w:rFonts w:ascii="宋体" w:hAnsi="宋体" w:cs="宋体"/>
                <w:color w:val="auto"/>
                <w:sz w:val="24"/>
                <w:szCs w:val="24"/>
                <w:highlight w:val="none"/>
              </w:rPr>
            </w:pPr>
            <w:r>
              <w:rPr>
                <w:rFonts w:hint="eastAsia" w:ascii="宋体" w:hAnsi="宋体" w:cs="宋体"/>
                <w:color w:val="auto"/>
                <w:sz w:val="24"/>
                <w:szCs w:val="24"/>
                <w:highlight w:val="none"/>
              </w:rPr>
              <w:t>响应文件上法定代表人或其委托代理人的签字</w:t>
            </w:r>
            <w:r>
              <w:rPr>
                <w:rFonts w:hint="eastAsia" w:ascii="宋体" w:hAnsi="宋体" w:cs="宋体"/>
                <w:color w:val="auto"/>
                <w:sz w:val="24"/>
                <w:szCs w:val="24"/>
                <w:highlight w:val="none"/>
                <w:lang w:eastAsia="zh-CN"/>
              </w:rPr>
              <w:t>或盖章</w:t>
            </w:r>
            <w:r>
              <w:rPr>
                <w:rFonts w:hint="eastAsia" w:ascii="宋体" w:hAnsi="宋体" w:cs="宋体"/>
                <w:color w:val="auto"/>
                <w:sz w:val="24"/>
                <w:szCs w:val="24"/>
                <w:highlight w:val="none"/>
              </w:rPr>
              <w:t>按规定要求齐全，并加盖公章</w:t>
            </w:r>
          </w:p>
        </w:tc>
      </w:tr>
      <w:tr w14:paraId="749030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19" w:type="dxa"/>
            <w:vMerge w:val="continue"/>
            <w:tcBorders>
              <w:tl2br w:val="nil"/>
              <w:tr2bl w:val="nil"/>
            </w:tcBorders>
            <w:vAlign w:val="center"/>
          </w:tcPr>
          <w:p w14:paraId="536B2A5B">
            <w:pPr>
              <w:tabs>
                <w:tab w:val="left" w:pos="1575"/>
              </w:tabs>
              <w:jc w:val="center"/>
              <w:rPr>
                <w:rFonts w:ascii="宋体" w:hAnsi="宋体" w:cs="宋体"/>
                <w:color w:val="auto"/>
                <w:sz w:val="24"/>
                <w:szCs w:val="24"/>
                <w:highlight w:val="none"/>
              </w:rPr>
            </w:pPr>
          </w:p>
        </w:tc>
        <w:tc>
          <w:tcPr>
            <w:tcW w:w="2250" w:type="dxa"/>
            <w:tcBorders>
              <w:tl2br w:val="nil"/>
              <w:tr2bl w:val="nil"/>
            </w:tcBorders>
            <w:vAlign w:val="center"/>
          </w:tcPr>
          <w:p w14:paraId="3D816021">
            <w:pPr>
              <w:jc w:val="center"/>
              <w:rPr>
                <w:rFonts w:ascii="宋体" w:hAnsi="宋体" w:cs="宋体"/>
                <w:color w:val="auto"/>
                <w:sz w:val="24"/>
                <w:szCs w:val="24"/>
                <w:highlight w:val="none"/>
              </w:rPr>
            </w:pPr>
            <w:r>
              <w:rPr>
                <w:rFonts w:hint="eastAsia" w:ascii="宋体" w:hAnsi="宋体" w:cs="宋体"/>
                <w:color w:val="auto"/>
                <w:sz w:val="24"/>
                <w:szCs w:val="24"/>
                <w:highlight w:val="none"/>
              </w:rPr>
              <w:t>响应文件格式</w:t>
            </w:r>
          </w:p>
        </w:tc>
        <w:tc>
          <w:tcPr>
            <w:tcW w:w="5465" w:type="dxa"/>
            <w:tcBorders>
              <w:tl2br w:val="nil"/>
              <w:tr2bl w:val="nil"/>
            </w:tcBorders>
            <w:vAlign w:val="center"/>
          </w:tcPr>
          <w:p w14:paraId="02B335C2">
            <w:pPr>
              <w:jc w:val="left"/>
              <w:rPr>
                <w:rFonts w:ascii="宋体" w:hAnsi="宋体" w:cs="宋体"/>
                <w:color w:val="auto"/>
                <w:sz w:val="24"/>
                <w:szCs w:val="24"/>
                <w:highlight w:val="none"/>
              </w:rPr>
            </w:pPr>
            <w:r>
              <w:rPr>
                <w:rFonts w:hint="eastAsia" w:ascii="宋体" w:hAnsi="宋体" w:cs="宋体"/>
                <w:color w:val="auto"/>
                <w:sz w:val="24"/>
                <w:szCs w:val="24"/>
                <w:highlight w:val="none"/>
              </w:rPr>
              <w:t>应符合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竞争性磋商响应文件格式”要求</w:t>
            </w:r>
          </w:p>
        </w:tc>
      </w:tr>
      <w:tr w14:paraId="1EEF6C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1119" w:type="dxa"/>
            <w:vMerge w:val="continue"/>
            <w:tcBorders>
              <w:tl2br w:val="nil"/>
              <w:tr2bl w:val="nil"/>
            </w:tcBorders>
            <w:vAlign w:val="center"/>
          </w:tcPr>
          <w:p w14:paraId="16401E4C">
            <w:pPr>
              <w:tabs>
                <w:tab w:val="left" w:pos="1575"/>
              </w:tabs>
              <w:jc w:val="center"/>
              <w:rPr>
                <w:rFonts w:ascii="宋体" w:hAnsi="宋体" w:cs="宋体"/>
                <w:color w:val="auto"/>
                <w:sz w:val="24"/>
                <w:szCs w:val="24"/>
                <w:highlight w:val="none"/>
              </w:rPr>
            </w:pPr>
          </w:p>
        </w:tc>
        <w:tc>
          <w:tcPr>
            <w:tcW w:w="2250" w:type="dxa"/>
            <w:tcBorders>
              <w:tl2br w:val="nil"/>
              <w:tr2bl w:val="nil"/>
            </w:tcBorders>
            <w:vAlign w:val="center"/>
          </w:tcPr>
          <w:p w14:paraId="0C26F269">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磋商报价</w:t>
            </w:r>
          </w:p>
        </w:tc>
        <w:tc>
          <w:tcPr>
            <w:tcW w:w="5465" w:type="dxa"/>
            <w:tcBorders>
              <w:tl2br w:val="nil"/>
              <w:tr2bl w:val="nil"/>
            </w:tcBorders>
            <w:vAlign w:val="center"/>
          </w:tcPr>
          <w:p w14:paraId="5B816ABF">
            <w:pPr>
              <w:jc w:val="left"/>
              <w:rPr>
                <w:rFonts w:ascii="宋体" w:hAnsi="宋体" w:cs="宋体"/>
                <w:color w:val="auto"/>
                <w:sz w:val="24"/>
                <w:szCs w:val="24"/>
                <w:highlight w:val="none"/>
              </w:rPr>
            </w:pPr>
            <w:r>
              <w:rPr>
                <w:rFonts w:hint="eastAsia" w:ascii="宋体" w:hAnsi="宋体" w:cs="宋体"/>
                <w:color w:val="auto"/>
                <w:sz w:val="24"/>
                <w:szCs w:val="24"/>
                <w:highlight w:val="none"/>
              </w:rPr>
              <w:t>磋商报价</w:t>
            </w:r>
            <w:r>
              <w:rPr>
                <w:rFonts w:hint="eastAsia" w:ascii="宋体" w:hAnsi="宋体" w:cs="宋体"/>
                <w:color w:val="auto"/>
                <w:sz w:val="24"/>
                <w:szCs w:val="24"/>
                <w:highlight w:val="none"/>
                <w:lang w:val="en-US" w:eastAsia="zh-CN"/>
              </w:rPr>
              <w:t>符合唯一性要求、首次报价表填写符合要求</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报价未超</w:t>
            </w:r>
            <w:r>
              <w:rPr>
                <w:rFonts w:hint="eastAsia" w:ascii="宋体" w:hAnsi="宋体" w:cs="宋体"/>
                <w:color w:val="auto"/>
                <w:sz w:val="24"/>
                <w:szCs w:val="24"/>
                <w:highlight w:val="none"/>
                <w:lang w:eastAsia="zh-CN"/>
              </w:rPr>
              <w:t>过最高限价（</w:t>
            </w:r>
            <w:r>
              <w:rPr>
                <w:rFonts w:hint="eastAsia" w:ascii="宋体" w:hAnsi="宋体" w:cs="宋体"/>
                <w:color w:val="auto"/>
                <w:sz w:val="24"/>
                <w:szCs w:val="24"/>
                <w:highlight w:val="none"/>
                <w:lang w:val="en-US" w:eastAsia="zh-CN"/>
              </w:rPr>
              <w:t>未设定最高限价的采购项目，以采购项目预算金额作为最高限价</w:t>
            </w:r>
            <w:r>
              <w:rPr>
                <w:rFonts w:hint="eastAsia" w:ascii="宋体" w:hAnsi="宋体" w:cs="宋体"/>
                <w:color w:val="auto"/>
                <w:sz w:val="24"/>
                <w:szCs w:val="24"/>
                <w:highlight w:val="none"/>
                <w:lang w:eastAsia="zh-CN"/>
              </w:rPr>
              <w:t>）</w:t>
            </w:r>
          </w:p>
        </w:tc>
      </w:tr>
      <w:tr w14:paraId="285293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119" w:type="dxa"/>
            <w:tcBorders>
              <w:tl2br w:val="nil"/>
              <w:tr2bl w:val="nil"/>
            </w:tcBorders>
            <w:vAlign w:val="center"/>
          </w:tcPr>
          <w:p w14:paraId="3F053971">
            <w:pPr>
              <w:tabs>
                <w:tab w:val="left" w:pos="1575"/>
              </w:tabs>
              <w:jc w:val="center"/>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完整性</w:t>
            </w:r>
          </w:p>
          <w:p w14:paraId="20505A36">
            <w:pPr>
              <w:tabs>
                <w:tab w:val="left" w:pos="1575"/>
              </w:tabs>
              <w:jc w:val="center"/>
              <w:rPr>
                <w:rFonts w:ascii="宋体" w:hAnsi="宋体" w:cs="宋体"/>
                <w:color w:val="auto"/>
                <w:sz w:val="24"/>
                <w:szCs w:val="24"/>
                <w:highlight w:val="none"/>
              </w:rPr>
            </w:pPr>
            <w:r>
              <w:rPr>
                <w:rFonts w:hint="eastAsia" w:ascii="宋体" w:hAnsi="宋体" w:cs="宋体"/>
                <w:b w:val="0"/>
                <w:bCs w:val="0"/>
                <w:color w:val="auto"/>
                <w:sz w:val="24"/>
                <w:szCs w:val="24"/>
                <w:highlight w:val="none"/>
              </w:rPr>
              <w:t>审查</w:t>
            </w:r>
          </w:p>
        </w:tc>
        <w:tc>
          <w:tcPr>
            <w:tcW w:w="2250" w:type="dxa"/>
            <w:tcBorders>
              <w:tl2br w:val="nil"/>
              <w:tr2bl w:val="nil"/>
            </w:tcBorders>
            <w:vAlign w:val="center"/>
          </w:tcPr>
          <w:p w14:paraId="713689E1">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磋商响应文件</w:t>
            </w:r>
            <w:r>
              <w:rPr>
                <w:rFonts w:hint="eastAsia" w:ascii="宋体" w:hAnsi="宋体" w:cs="宋体"/>
                <w:color w:val="auto"/>
                <w:sz w:val="24"/>
                <w:szCs w:val="24"/>
                <w:highlight w:val="none"/>
              </w:rPr>
              <w:t>内容</w:t>
            </w:r>
          </w:p>
        </w:tc>
        <w:tc>
          <w:tcPr>
            <w:tcW w:w="5465" w:type="dxa"/>
            <w:tcBorders>
              <w:tl2br w:val="nil"/>
              <w:tr2bl w:val="nil"/>
            </w:tcBorders>
            <w:vAlign w:val="center"/>
          </w:tcPr>
          <w:p w14:paraId="77244B1F">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竞争性磋商响应文件</w:t>
            </w:r>
            <w:r>
              <w:rPr>
                <w:rFonts w:hint="eastAsia" w:ascii="宋体" w:hAnsi="宋体" w:cs="宋体"/>
                <w:color w:val="auto"/>
                <w:sz w:val="24"/>
                <w:szCs w:val="24"/>
                <w:highlight w:val="none"/>
              </w:rPr>
              <w:t>内容齐全、完整、无遗漏</w:t>
            </w:r>
          </w:p>
        </w:tc>
      </w:tr>
      <w:tr w14:paraId="63D123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119" w:type="dxa"/>
            <w:vMerge w:val="restart"/>
            <w:tcBorders>
              <w:tl2br w:val="nil"/>
              <w:tr2bl w:val="nil"/>
            </w:tcBorders>
            <w:vAlign w:val="center"/>
          </w:tcPr>
          <w:p w14:paraId="213783ED">
            <w:pPr>
              <w:tabs>
                <w:tab w:val="left" w:pos="1575"/>
              </w:tabs>
              <w:jc w:val="center"/>
              <w:rPr>
                <w:rFonts w:ascii="宋体" w:hAnsi="宋体" w:cs="宋体"/>
                <w:color w:val="auto"/>
                <w:sz w:val="24"/>
                <w:szCs w:val="24"/>
                <w:highlight w:val="none"/>
              </w:rPr>
            </w:pPr>
            <w:r>
              <w:rPr>
                <w:rFonts w:hint="eastAsia" w:ascii="宋体" w:hAnsi="宋体" w:cs="宋体"/>
                <w:color w:val="auto"/>
                <w:sz w:val="24"/>
                <w:szCs w:val="24"/>
                <w:highlight w:val="none"/>
              </w:rPr>
              <w:t>响应程度审查</w:t>
            </w:r>
          </w:p>
        </w:tc>
        <w:tc>
          <w:tcPr>
            <w:tcW w:w="2250" w:type="dxa"/>
            <w:tcBorders>
              <w:tl2br w:val="nil"/>
              <w:tr2bl w:val="nil"/>
            </w:tcBorders>
            <w:vAlign w:val="center"/>
          </w:tcPr>
          <w:p w14:paraId="0F0C5E1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对磋商文件</w:t>
            </w:r>
          </w:p>
          <w:p w14:paraId="33067DCC">
            <w:pPr>
              <w:jc w:val="center"/>
              <w:rPr>
                <w:rFonts w:ascii="宋体" w:hAnsi="宋体" w:cs="宋体"/>
                <w:color w:val="auto"/>
                <w:sz w:val="24"/>
                <w:szCs w:val="24"/>
                <w:highlight w:val="none"/>
              </w:rPr>
            </w:pPr>
            <w:r>
              <w:rPr>
                <w:rFonts w:hint="eastAsia" w:ascii="宋体" w:hAnsi="宋体" w:cs="宋体"/>
                <w:color w:val="auto"/>
                <w:sz w:val="24"/>
                <w:szCs w:val="24"/>
                <w:highlight w:val="none"/>
              </w:rPr>
              <w:t>响应程度</w:t>
            </w:r>
          </w:p>
        </w:tc>
        <w:tc>
          <w:tcPr>
            <w:tcW w:w="5465" w:type="dxa"/>
            <w:tcBorders>
              <w:tl2br w:val="nil"/>
              <w:tr2bl w:val="nil"/>
            </w:tcBorders>
            <w:vAlign w:val="center"/>
          </w:tcPr>
          <w:p w14:paraId="2C8BF718">
            <w:pPr>
              <w:rPr>
                <w:rFonts w:ascii="宋体" w:hAnsi="宋体" w:cs="宋体"/>
                <w:color w:val="auto"/>
                <w:sz w:val="24"/>
                <w:szCs w:val="24"/>
                <w:highlight w:val="none"/>
              </w:rPr>
            </w:pPr>
            <w:r>
              <w:rPr>
                <w:rFonts w:hint="eastAsia" w:ascii="宋体" w:hAnsi="宋体" w:cs="宋体"/>
                <w:color w:val="auto"/>
                <w:sz w:val="24"/>
                <w:szCs w:val="24"/>
                <w:highlight w:val="none"/>
              </w:rPr>
              <w:t>按磋商文件要求作出完全响应，</w:t>
            </w:r>
            <w:r>
              <w:rPr>
                <w:rFonts w:hint="eastAsia" w:ascii="宋体" w:hAnsi="宋体" w:cs="宋体"/>
                <w:color w:val="auto"/>
                <w:sz w:val="24"/>
                <w:szCs w:val="24"/>
                <w:highlight w:val="none"/>
                <w:lang w:eastAsia="zh-CN"/>
              </w:rPr>
              <w:t>不能有任何采购人不能接受的附加条件，</w:t>
            </w:r>
            <w:r>
              <w:rPr>
                <w:rFonts w:hint="eastAsia" w:ascii="宋体" w:hAnsi="宋体" w:cs="宋体"/>
                <w:color w:val="auto"/>
                <w:sz w:val="24"/>
                <w:szCs w:val="24"/>
                <w:highlight w:val="none"/>
              </w:rPr>
              <w:t>有相应承诺</w:t>
            </w:r>
          </w:p>
        </w:tc>
      </w:tr>
      <w:tr w14:paraId="7847D5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19" w:type="dxa"/>
            <w:vMerge w:val="continue"/>
            <w:tcBorders>
              <w:tl2br w:val="nil"/>
              <w:tr2bl w:val="nil"/>
            </w:tcBorders>
            <w:vAlign w:val="center"/>
          </w:tcPr>
          <w:p w14:paraId="6E3DAF54">
            <w:pPr>
              <w:tabs>
                <w:tab w:val="left" w:pos="1575"/>
              </w:tabs>
              <w:rPr>
                <w:rFonts w:ascii="宋体" w:hAnsi="宋体" w:cs="宋体"/>
                <w:color w:val="auto"/>
                <w:sz w:val="24"/>
                <w:szCs w:val="24"/>
                <w:highlight w:val="none"/>
              </w:rPr>
            </w:pPr>
          </w:p>
        </w:tc>
        <w:tc>
          <w:tcPr>
            <w:tcW w:w="2250" w:type="dxa"/>
            <w:tcBorders>
              <w:tl2br w:val="nil"/>
              <w:tr2bl w:val="nil"/>
            </w:tcBorders>
            <w:vAlign w:val="center"/>
          </w:tcPr>
          <w:p w14:paraId="3D5A4350">
            <w:pPr>
              <w:jc w:val="center"/>
              <w:rPr>
                <w:rFonts w:ascii="宋体" w:hAnsi="宋体" w:cs="宋体"/>
                <w:color w:val="auto"/>
                <w:sz w:val="24"/>
                <w:szCs w:val="24"/>
                <w:highlight w:val="none"/>
              </w:rPr>
            </w:pPr>
            <w:r>
              <w:rPr>
                <w:rFonts w:hint="eastAsia" w:ascii="宋体" w:hAnsi="宋体" w:eastAsia="宋体" w:cs="宋体"/>
                <w:sz w:val="24"/>
                <w:szCs w:val="24"/>
                <w:highlight w:val="none"/>
              </w:rPr>
              <w:t>商务</w:t>
            </w:r>
            <w:r>
              <w:rPr>
                <w:rFonts w:hint="eastAsia" w:ascii="宋体" w:hAnsi="宋体" w:eastAsia="宋体" w:cs="宋体"/>
                <w:sz w:val="24"/>
                <w:szCs w:val="24"/>
                <w:highlight w:val="none"/>
                <w:lang w:val="en-US" w:eastAsia="zh-CN"/>
              </w:rPr>
              <w:t>响应</w:t>
            </w:r>
          </w:p>
        </w:tc>
        <w:tc>
          <w:tcPr>
            <w:tcW w:w="5465" w:type="dxa"/>
            <w:tcBorders>
              <w:tl2br w:val="nil"/>
              <w:tr2bl w:val="nil"/>
            </w:tcBorders>
            <w:vAlign w:val="center"/>
          </w:tcPr>
          <w:p w14:paraId="73450A7F">
            <w:pPr>
              <w:rPr>
                <w:rFonts w:ascii="宋体" w:hAnsi="宋体" w:cs="宋体"/>
                <w:color w:val="auto"/>
                <w:sz w:val="24"/>
                <w:szCs w:val="24"/>
                <w:highlight w:val="none"/>
              </w:rPr>
            </w:pPr>
            <w:r>
              <w:rPr>
                <w:rFonts w:hint="eastAsia" w:ascii="宋体" w:hAnsi="宋体" w:eastAsia="宋体" w:cs="宋体"/>
                <w:sz w:val="24"/>
                <w:szCs w:val="24"/>
                <w:highlight w:val="none"/>
              </w:rPr>
              <w:t>应满足磋商文件提出的商务要求</w:t>
            </w:r>
          </w:p>
        </w:tc>
      </w:tr>
      <w:tr w14:paraId="5219EA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19" w:type="dxa"/>
            <w:vMerge w:val="continue"/>
            <w:tcBorders>
              <w:tl2br w:val="nil"/>
              <w:tr2bl w:val="nil"/>
            </w:tcBorders>
            <w:vAlign w:val="center"/>
          </w:tcPr>
          <w:p w14:paraId="42435C60">
            <w:pPr>
              <w:tabs>
                <w:tab w:val="left" w:pos="1575"/>
              </w:tabs>
              <w:rPr>
                <w:rFonts w:ascii="宋体" w:hAnsi="宋体" w:cs="宋体"/>
                <w:color w:val="auto"/>
                <w:sz w:val="24"/>
                <w:szCs w:val="24"/>
                <w:highlight w:val="none"/>
              </w:rPr>
            </w:pPr>
          </w:p>
        </w:tc>
        <w:tc>
          <w:tcPr>
            <w:tcW w:w="2250" w:type="dxa"/>
            <w:tcBorders>
              <w:tl2br w:val="nil"/>
              <w:tr2bl w:val="nil"/>
            </w:tcBorders>
            <w:vAlign w:val="center"/>
          </w:tcPr>
          <w:p w14:paraId="5EA02617">
            <w:pPr>
              <w:jc w:val="center"/>
              <w:rPr>
                <w:rFonts w:ascii="宋体" w:hAnsi="宋体" w:cs="宋体"/>
                <w:color w:val="auto"/>
                <w:sz w:val="24"/>
                <w:szCs w:val="24"/>
                <w:highlight w:val="none"/>
              </w:rPr>
            </w:pPr>
            <w:r>
              <w:rPr>
                <w:rFonts w:hint="eastAsia" w:ascii="宋体" w:hAnsi="宋体" w:cs="宋体"/>
                <w:color w:val="auto"/>
                <w:sz w:val="24"/>
                <w:szCs w:val="24"/>
                <w:highlight w:val="none"/>
              </w:rPr>
              <w:t>磋商有效期</w:t>
            </w:r>
          </w:p>
        </w:tc>
        <w:tc>
          <w:tcPr>
            <w:tcW w:w="5465" w:type="dxa"/>
            <w:tcBorders>
              <w:tl2br w:val="nil"/>
              <w:tr2bl w:val="nil"/>
            </w:tcBorders>
            <w:vAlign w:val="center"/>
          </w:tcPr>
          <w:p w14:paraId="023985A7">
            <w:pPr>
              <w:rPr>
                <w:rFonts w:ascii="宋体" w:hAnsi="宋体" w:cs="宋体"/>
                <w:color w:val="auto"/>
                <w:sz w:val="24"/>
                <w:szCs w:val="24"/>
                <w:highlight w:val="none"/>
              </w:rPr>
            </w:pPr>
            <w:r>
              <w:rPr>
                <w:rFonts w:hint="eastAsia" w:ascii="宋体" w:hAnsi="宋体" w:cs="宋体"/>
                <w:color w:val="auto"/>
                <w:sz w:val="24"/>
                <w:szCs w:val="24"/>
                <w:highlight w:val="none"/>
              </w:rPr>
              <w:t>满足磋商文件中的规定</w:t>
            </w:r>
          </w:p>
        </w:tc>
      </w:tr>
      <w:tr w14:paraId="010507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19" w:type="dxa"/>
            <w:vMerge w:val="continue"/>
            <w:tcBorders>
              <w:tl2br w:val="nil"/>
              <w:tr2bl w:val="nil"/>
            </w:tcBorders>
            <w:vAlign w:val="center"/>
          </w:tcPr>
          <w:p w14:paraId="0C98A3CC">
            <w:pPr>
              <w:tabs>
                <w:tab w:val="left" w:pos="1575"/>
              </w:tabs>
              <w:rPr>
                <w:rFonts w:ascii="宋体" w:hAnsi="宋体" w:cs="宋体"/>
                <w:color w:val="auto"/>
                <w:sz w:val="24"/>
                <w:szCs w:val="24"/>
                <w:highlight w:val="none"/>
              </w:rPr>
            </w:pPr>
          </w:p>
        </w:tc>
        <w:tc>
          <w:tcPr>
            <w:tcW w:w="2250" w:type="dxa"/>
            <w:tcBorders>
              <w:tl2br w:val="nil"/>
              <w:tr2bl w:val="nil"/>
            </w:tcBorders>
            <w:vAlign w:val="center"/>
          </w:tcPr>
          <w:p w14:paraId="5195210B">
            <w:pPr>
              <w:jc w:val="center"/>
              <w:rPr>
                <w:rFonts w:hint="eastAsia" w:ascii="宋体" w:hAnsi="宋体" w:cs="宋体"/>
                <w:color w:val="auto"/>
                <w:sz w:val="24"/>
                <w:szCs w:val="24"/>
                <w:highlight w:val="none"/>
              </w:rPr>
            </w:pPr>
            <w:r>
              <w:rPr>
                <w:rFonts w:hint="eastAsia" w:ascii="宋体" w:hAnsi="宋体" w:eastAsia="宋体" w:cs="宋体"/>
                <w:sz w:val="24"/>
                <w:szCs w:val="24"/>
                <w:highlight w:val="none"/>
              </w:rPr>
              <w:t>磋商保证金</w:t>
            </w:r>
          </w:p>
        </w:tc>
        <w:tc>
          <w:tcPr>
            <w:tcW w:w="5465" w:type="dxa"/>
            <w:tcBorders>
              <w:tl2br w:val="nil"/>
              <w:tr2bl w:val="nil"/>
            </w:tcBorders>
            <w:vAlign w:val="center"/>
          </w:tcPr>
          <w:p w14:paraId="342D4988">
            <w:pPr>
              <w:tabs>
                <w:tab w:val="left" w:pos="1575"/>
              </w:tabs>
              <w:spacing w:line="320" w:lineRule="exact"/>
              <w:rPr>
                <w:rFonts w:hint="eastAsia" w:ascii="宋体" w:hAnsi="宋体" w:cs="宋体"/>
                <w:color w:val="auto"/>
                <w:sz w:val="24"/>
                <w:szCs w:val="24"/>
                <w:highlight w:val="none"/>
              </w:rPr>
            </w:pPr>
            <w:r>
              <w:rPr>
                <w:rFonts w:hint="eastAsia" w:ascii="宋体" w:hAnsi="宋体" w:eastAsia="宋体" w:cs="宋体"/>
                <w:sz w:val="24"/>
                <w:szCs w:val="24"/>
                <w:highlight w:val="none"/>
              </w:rPr>
              <w:t>满足磋商文件中的规定</w:t>
            </w:r>
          </w:p>
        </w:tc>
      </w:tr>
      <w:tr w14:paraId="7F4515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19" w:type="dxa"/>
            <w:vMerge w:val="continue"/>
            <w:tcBorders>
              <w:tl2br w:val="nil"/>
              <w:tr2bl w:val="nil"/>
            </w:tcBorders>
            <w:vAlign w:val="center"/>
          </w:tcPr>
          <w:p w14:paraId="200E9F8C">
            <w:pPr>
              <w:tabs>
                <w:tab w:val="left" w:pos="1575"/>
              </w:tabs>
              <w:rPr>
                <w:rFonts w:ascii="宋体" w:hAnsi="宋体" w:cs="宋体"/>
                <w:color w:val="auto"/>
                <w:sz w:val="24"/>
                <w:szCs w:val="24"/>
                <w:highlight w:val="none"/>
              </w:rPr>
            </w:pPr>
          </w:p>
        </w:tc>
        <w:tc>
          <w:tcPr>
            <w:tcW w:w="2250" w:type="dxa"/>
            <w:tcBorders>
              <w:tl2br w:val="nil"/>
              <w:tr2bl w:val="nil"/>
            </w:tcBorders>
            <w:vAlign w:val="center"/>
          </w:tcPr>
          <w:p w14:paraId="4E90EA01">
            <w:pPr>
              <w:jc w:val="center"/>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其他</w:t>
            </w:r>
          </w:p>
        </w:tc>
        <w:tc>
          <w:tcPr>
            <w:tcW w:w="5465" w:type="dxa"/>
            <w:tcBorders>
              <w:tl2br w:val="nil"/>
              <w:tr2bl w:val="nil"/>
            </w:tcBorders>
            <w:vAlign w:val="center"/>
          </w:tcPr>
          <w:p w14:paraId="7B940008">
            <w:pPr>
              <w:rPr>
                <w:rFonts w:hint="eastAsia" w:ascii="宋体" w:hAnsi="宋体" w:cs="宋体"/>
                <w:color w:val="auto"/>
                <w:kern w:val="0"/>
                <w:sz w:val="24"/>
                <w:szCs w:val="24"/>
                <w:highlight w:val="none"/>
                <w:lang w:eastAsia="zh-CN"/>
              </w:rPr>
            </w:pPr>
            <w:r>
              <w:rPr>
                <w:rFonts w:hint="eastAsia" w:ascii="宋体" w:hAnsi="宋体" w:eastAsia="宋体" w:cs="宋体"/>
                <w:color w:val="auto"/>
                <w:sz w:val="24"/>
                <w:szCs w:val="24"/>
                <w:highlight w:val="none"/>
                <w:lang w:eastAsia="zh-CN"/>
              </w:rPr>
              <w:t>不存在法律法规或采购文件规定的其他无效响应情形</w:t>
            </w:r>
          </w:p>
        </w:tc>
      </w:tr>
    </w:tbl>
    <w:p w14:paraId="532A1372">
      <w:pPr>
        <w:keepNext w:val="0"/>
        <w:keepLines w:val="0"/>
        <w:pageBreakBefore w:val="0"/>
        <w:widowControl w:val="0"/>
        <w:tabs>
          <w:tab w:val="left" w:pos="1575"/>
        </w:tabs>
        <w:kinsoku/>
        <w:wordWrap/>
        <w:overflowPunct/>
        <w:topLinePunct w:val="0"/>
        <w:autoSpaceDE/>
        <w:autoSpaceDN/>
        <w:bidi w:val="0"/>
        <w:adjustRightInd/>
        <w:snapToGrid/>
        <w:spacing w:line="520" w:lineRule="exact"/>
        <w:ind w:firstLine="500" w:firstLineChars="200"/>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以上各项若有一项不符合视为符合性审查不合格，不再进入下一评审环节。</w:t>
      </w:r>
    </w:p>
    <w:p w14:paraId="75CE4B6F">
      <w:pPr>
        <w:keepNext w:val="0"/>
        <w:keepLines w:val="0"/>
        <w:pageBreakBefore w:val="0"/>
        <w:widowControl w:val="0"/>
        <w:kinsoku/>
        <w:wordWrap/>
        <w:overflowPunct/>
        <w:topLinePunct w:val="0"/>
        <w:autoSpaceDE/>
        <w:autoSpaceDN/>
        <w:bidi w:val="0"/>
        <w:spacing w:line="520" w:lineRule="exact"/>
        <w:ind w:firstLine="500" w:firstLineChars="200"/>
        <w:textAlignment w:val="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3.2.3在磋商响应文件的磋商和比较、成交供应商的确定过程中，供应商向磋商小组施加压力的任何行为，都将会导致其磋商被拒绝。</w:t>
      </w:r>
    </w:p>
    <w:p w14:paraId="57724537">
      <w:pPr>
        <w:keepNext w:val="0"/>
        <w:keepLines w:val="0"/>
        <w:pageBreakBefore w:val="0"/>
        <w:widowControl w:val="0"/>
        <w:kinsoku/>
        <w:wordWrap/>
        <w:overflowPunct/>
        <w:topLinePunct w:val="0"/>
        <w:autoSpaceDE/>
        <w:autoSpaceDN/>
        <w:bidi w:val="0"/>
        <w:spacing w:line="520" w:lineRule="exact"/>
        <w:ind w:firstLine="500" w:firstLineChars="200"/>
        <w:textAlignment w:val="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3.2.4磋商小组可以根据磋商文件和磋商实际情况，修改采购需求中的技术、服务要求及合同草案条款，但不得变动其他内容。实质性变动的内容，须经采购人代表确认。</w:t>
      </w:r>
    </w:p>
    <w:p w14:paraId="2139BE1F">
      <w:pPr>
        <w:keepNext w:val="0"/>
        <w:keepLines w:val="0"/>
        <w:pageBreakBefore w:val="0"/>
        <w:widowControl w:val="0"/>
        <w:kinsoku/>
        <w:wordWrap/>
        <w:overflowPunct/>
        <w:topLinePunct w:val="0"/>
        <w:autoSpaceDE/>
        <w:autoSpaceDN/>
        <w:bidi w:val="0"/>
        <w:spacing w:line="520" w:lineRule="exact"/>
        <w:ind w:firstLine="500" w:firstLineChars="200"/>
        <w:textAlignment w:val="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3.2.5磋商小组对竞争性磋商响应文件的有效性、完整性和响应程度或其他内容有疑问的，磋商小组可要求供应商对竞争性磋商响应文件含义不明确、同类问题表述不一致、有明显文字和计算错误其他内容作必要的澄清、说明或者更正。供应商应采用书面形式进行澄清、说明或者更正，并由法定代表人或授权代表签字或盖章。澄清、说明或者更正的内容不得超出竞争性磋商响应文件的范围或改变竞争性磋商响应文件的实质性内容。磋商小组不得寻求或建议对磋商价格和竞争性磋商响应文件的实质进行变更。</w:t>
      </w:r>
    </w:p>
    <w:p w14:paraId="6FD9EE48">
      <w:pPr>
        <w:keepNext w:val="0"/>
        <w:keepLines w:val="0"/>
        <w:pageBreakBefore w:val="0"/>
        <w:widowControl w:val="0"/>
        <w:kinsoku/>
        <w:wordWrap/>
        <w:overflowPunct/>
        <w:topLinePunct w:val="0"/>
        <w:autoSpaceDE/>
        <w:autoSpaceDN/>
        <w:bidi w:val="0"/>
        <w:spacing w:line="520" w:lineRule="exact"/>
        <w:ind w:firstLine="500" w:firstLineChars="200"/>
        <w:textAlignment w:val="auto"/>
        <w:outlineLvl w:val="9"/>
        <w:rPr>
          <w:rFonts w:hint="eastAsia" w:ascii="宋体" w:hAnsi="宋体" w:cs="宋体"/>
          <w:bCs/>
          <w:color w:val="auto"/>
          <w:sz w:val="24"/>
          <w:szCs w:val="24"/>
          <w:highlight w:val="none"/>
        </w:rPr>
      </w:pPr>
      <w:r>
        <w:rPr>
          <w:rFonts w:hint="eastAsia" w:ascii="宋体" w:hAnsi="宋体" w:cs="宋体"/>
          <w:bCs/>
          <w:color w:val="auto"/>
          <w:sz w:val="24"/>
          <w:szCs w:val="24"/>
          <w:highlight w:val="none"/>
        </w:rPr>
        <w:t>质询工作应当由全体磋商小组成员参加。对于实质性不响应竞争性磋商文件的，磋商小组有权予以拒绝。质询工作应做书面记录，采购人代表、磋商小组成员及供应商应在记录上签字确认。</w:t>
      </w:r>
    </w:p>
    <w:p w14:paraId="16E70FB4">
      <w:pPr>
        <w:spacing w:line="460" w:lineRule="exact"/>
        <w:ind w:firstLine="489" w:firstLineChars="196"/>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3.</w:t>
      </w:r>
      <w:r>
        <w:rPr>
          <w:rFonts w:hint="eastAsia" w:ascii="宋体" w:hAnsi="宋体" w:cs="宋体"/>
          <w:b/>
          <w:sz w:val="24"/>
          <w:szCs w:val="24"/>
          <w:highlight w:val="none"/>
          <w:lang w:val="en-US" w:eastAsia="zh-CN"/>
        </w:rPr>
        <w:t>3</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异常低价</w:t>
      </w:r>
    </w:p>
    <w:p w14:paraId="53B20348">
      <w:pPr>
        <w:spacing w:line="460" w:lineRule="exact"/>
        <w:ind w:firstLine="489" w:firstLineChars="196"/>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依据《关于推动解决政府采购异常低价问题的通知》财库〔2026〕2号文件的有关规定，强化政府采购异常低价审查的有关要求。</w:t>
      </w:r>
    </w:p>
    <w:p w14:paraId="1C554FC5">
      <w:pPr>
        <w:spacing w:line="460" w:lineRule="exact"/>
        <w:ind w:firstLine="489" w:firstLineChars="196"/>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3.3.1</w:t>
      </w:r>
      <w:r>
        <w:rPr>
          <w:rFonts w:hint="eastAsia" w:ascii="宋体" w:hAnsi="宋体" w:eastAsia="宋体" w:cs="宋体"/>
          <w:bCs/>
          <w:sz w:val="24"/>
          <w:szCs w:val="24"/>
          <w:highlight w:val="none"/>
          <w:lang w:val="en-US" w:eastAsia="zh-CN"/>
        </w:rPr>
        <w:t>出现下列情形之一的，评审委员会应当启动异常低价投标（响应）审查程序：</w:t>
      </w:r>
    </w:p>
    <w:p w14:paraId="4B773BC9">
      <w:pPr>
        <w:spacing w:line="460" w:lineRule="exact"/>
        <w:ind w:firstLine="489" w:firstLineChars="196"/>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326C6A2D">
      <w:pPr>
        <w:spacing w:line="460" w:lineRule="exact"/>
        <w:ind w:firstLine="489" w:firstLineChars="196"/>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76A07500">
      <w:pPr>
        <w:spacing w:line="460" w:lineRule="exact"/>
        <w:ind w:firstLine="489" w:firstLineChars="196"/>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（3）投标（响应）报价低于采购项目最高限价45%的，即投标（响应）报价&lt;采购项目最高限价×45%；（未设定最高限价的采购项目，以采购项目预算金额作为最高限价）</w:t>
      </w:r>
    </w:p>
    <w:p w14:paraId="2E0545E6">
      <w:pPr>
        <w:spacing w:line="460" w:lineRule="exact"/>
        <w:ind w:firstLine="489" w:firstLineChars="196"/>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（4）评审委员会基于专业判断，认为供应商报价过低，有可能影响产品质量或者不能诚信履约的其他情形。</w:t>
      </w:r>
    </w:p>
    <w:p w14:paraId="281164B0">
      <w:pPr>
        <w:spacing w:line="460" w:lineRule="exact"/>
        <w:ind w:firstLine="489" w:firstLineChars="196"/>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lang w:val="en-US" w:eastAsia="zh-CN"/>
        </w:rPr>
        <w:t>相关法律法规对供应商报价有规定的，从其规定。</w:t>
      </w:r>
    </w:p>
    <w:p w14:paraId="78F323FA">
      <w:pPr>
        <w:spacing w:line="460" w:lineRule="exact"/>
        <w:ind w:firstLine="489" w:firstLineChars="196"/>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3.3</w:t>
      </w:r>
      <w:r>
        <w:rPr>
          <w:rFonts w:hint="eastAsia" w:ascii="宋体" w:hAnsi="宋体" w:eastAsia="宋体" w:cs="宋体"/>
          <w:bCs/>
          <w:sz w:val="24"/>
          <w:szCs w:val="24"/>
          <w:highlight w:val="none"/>
          <w:lang w:val="en-US" w:eastAsia="zh-CN"/>
        </w:rPr>
        <w:t>.2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74680B1">
      <w:pPr>
        <w:spacing w:line="460" w:lineRule="exact"/>
        <w:ind w:firstLine="489" w:firstLineChars="196"/>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0959DA4">
      <w:pPr>
        <w:spacing w:line="460" w:lineRule="exact"/>
        <w:ind w:firstLine="489" w:firstLineChars="196"/>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254EAAB">
      <w:pPr>
        <w:spacing w:line="460" w:lineRule="exact"/>
        <w:ind w:firstLine="489" w:firstLineChars="196"/>
        <w:rPr>
          <w:rFonts w:hint="eastAsia" w:ascii="宋体" w:hAnsi="宋体" w:cs="宋体"/>
          <w:bCs/>
          <w:color w:val="auto"/>
          <w:sz w:val="24"/>
          <w:szCs w:val="24"/>
          <w:highlight w:val="none"/>
        </w:rPr>
      </w:pPr>
      <w:r>
        <w:rPr>
          <w:rFonts w:hint="eastAsia" w:ascii="宋体" w:hAnsi="宋体" w:eastAsia="宋体" w:cs="宋体"/>
          <w:bCs/>
          <w:sz w:val="24"/>
          <w:szCs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288F6D29">
      <w:pPr>
        <w:keepNext w:val="0"/>
        <w:keepLines w:val="0"/>
        <w:pageBreakBefore w:val="0"/>
        <w:widowControl w:val="0"/>
        <w:kinsoku/>
        <w:wordWrap/>
        <w:overflowPunct/>
        <w:topLinePunct w:val="0"/>
        <w:autoSpaceDE/>
        <w:autoSpaceDN/>
        <w:bidi w:val="0"/>
        <w:spacing w:line="520" w:lineRule="exact"/>
        <w:ind w:firstLine="500" w:firstLineChars="200"/>
        <w:textAlignment w:val="auto"/>
        <w:outlineLvl w:val="9"/>
        <w:rPr>
          <w:rFonts w:ascii="宋体" w:hAnsi="宋体" w:cs="宋体"/>
          <w:b/>
          <w:color w:val="auto"/>
          <w:sz w:val="24"/>
          <w:szCs w:val="24"/>
          <w:highlight w:val="none"/>
        </w:rPr>
      </w:pPr>
      <w:r>
        <w:rPr>
          <w:rFonts w:hint="eastAsia" w:ascii="宋体" w:hAnsi="宋体" w:cs="宋体"/>
          <w:b/>
          <w:color w:val="auto"/>
          <w:sz w:val="24"/>
          <w:szCs w:val="24"/>
          <w:highlight w:val="none"/>
        </w:rPr>
        <w:t>4、定标</w:t>
      </w:r>
    </w:p>
    <w:p w14:paraId="0E23D054">
      <w:pPr>
        <w:keepNext w:val="0"/>
        <w:keepLines w:val="0"/>
        <w:pageBreakBefore w:val="0"/>
        <w:widowControl w:val="0"/>
        <w:kinsoku/>
        <w:wordWrap/>
        <w:overflowPunct/>
        <w:topLinePunct w:val="0"/>
        <w:autoSpaceDE/>
        <w:autoSpaceDN/>
        <w:bidi w:val="0"/>
        <w:spacing w:line="520" w:lineRule="exact"/>
        <w:ind w:firstLine="500" w:firstLineChars="200"/>
        <w:textAlignment w:val="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4.1磋商小组依据磋商文件的要求，对供应商进行认真评审。经过评审、磋商、澄清、最后报价等程序后，从响应文件满足磋商文件全部实质性要求的供应商中，按照评审得分由高到低的顺序推荐3名成交候选人，并编写评审报告</w:t>
      </w:r>
      <w:r>
        <w:rPr>
          <w:rFonts w:hint="eastAsia" w:ascii="宋体" w:hAnsi="宋体" w:cs="宋体"/>
          <w:bCs/>
          <w:color w:val="auto"/>
          <w:sz w:val="24"/>
          <w:szCs w:val="24"/>
          <w:highlight w:val="none"/>
          <w:lang w:eastAsia="zh-CN"/>
        </w:rPr>
        <w:t>。评审得分相同的，按照最后报价由低到高的顺序推荐。评审得分且最后报价相同的，按照技术指标优劣顺序推荐</w:t>
      </w:r>
      <w:r>
        <w:rPr>
          <w:rFonts w:hint="eastAsia" w:ascii="宋体" w:hAnsi="宋体" w:cs="宋体"/>
          <w:bCs/>
          <w:color w:val="auto"/>
          <w:sz w:val="24"/>
          <w:szCs w:val="24"/>
          <w:highlight w:val="none"/>
        </w:rPr>
        <w:t>。</w:t>
      </w:r>
    </w:p>
    <w:p w14:paraId="25EFF927">
      <w:pPr>
        <w:keepNext w:val="0"/>
        <w:keepLines w:val="0"/>
        <w:pageBreakBefore w:val="0"/>
        <w:widowControl w:val="0"/>
        <w:kinsoku/>
        <w:wordWrap/>
        <w:overflowPunct/>
        <w:topLinePunct w:val="0"/>
        <w:autoSpaceDE/>
        <w:autoSpaceDN/>
        <w:bidi w:val="0"/>
        <w:adjustRightInd w:val="0"/>
        <w:snapToGrid w:val="0"/>
        <w:spacing w:line="520" w:lineRule="exact"/>
        <w:ind w:firstLine="500" w:firstLineChars="200"/>
        <w:textAlignment w:val="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4.2采购代理机构应当自评审结束之日起2个工作日内将评审报告送交采购人。采购人在收到评审报告后5个工作日内依据评审报告推荐的成交候选人顺序确定成交供应商；逾期未确定成交供应商且不提出异议的，视为确定评审报告推荐的第一成交候选人为成交供应商。</w:t>
      </w:r>
    </w:p>
    <w:p w14:paraId="6694FB99">
      <w:pPr>
        <w:keepNext w:val="0"/>
        <w:keepLines w:val="0"/>
        <w:pageBreakBefore w:val="0"/>
        <w:widowControl w:val="0"/>
        <w:kinsoku/>
        <w:wordWrap/>
        <w:overflowPunct/>
        <w:topLinePunct w:val="0"/>
        <w:autoSpaceDE/>
        <w:autoSpaceDN/>
        <w:bidi w:val="0"/>
        <w:adjustRightInd w:val="0"/>
        <w:snapToGrid w:val="0"/>
        <w:spacing w:line="520" w:lineRule="exact"/>
        <w:ind w:firstLine="500" w:firstLineChars="200"/>
        <w:textAlignment w:val="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4.3</w:t>
      </w:r>
      <w:r>
        <w:rPr>
          <w:rFonts w:hint="eastAsia" w:ascii="宋体" w:hAnsi="宋体" w:cs="宋体"/>
          <w:bCs/>
          <w:color w:val="auto"/>
          <w:sz w:val="24"/>
          <w:szCs w:val="24"/>
          <w:highlight w:val="none"/>
          <w:lang w:eastAsia="zh-CN"/>
        </w:rPr>
        <w:t>采购人确定成交结果后，采购代理机构</w:t>
      </w:r>
      <w:r>
        <w:rPr>
          <w:rFonts w:hint="eastAsia" w:ascii="宋体" w:hAnsi="宋体" w:cs="宋体"/>
          <w:bCs/>
          <w:color w:val="auto"/>
          <w:sz w:val="24"/>
          <w:szCs w:val="24"/>
          <w:highlight w:val="none"/>
        </w:rPr>
        <w:t>在2个工作日内将成交结果在</w:t>
      </w:r>
      <w:r>
        <w:rPr>
          <w:rFonts w:hint="eastAsia" w:ascii="宋体" w:hAnsi="宋体" w:cs="宋体"/>
          <w:bCs/>
          <w:color w:val="auto"/>
          <w:sz w:val="24"/>
          <w:szCs w:val="24"/>
          <w:highlight w:val="none"/>
          <w:lang w:eastAsia="zh-CN"/>
        </w:rPr>
        <w:t>原公告媒体</w:t>
      </w:r>
      <w:r>
        <w:rPr>
          <w:rFonts w:hint="eastAsia" w:ascii="宋体" w:hAnsi="宋体" w:cs="宋体"/>
          <w:bCs/>
          <w:color w:val="auto"/>
          <w:sz w:val="24"/>
          <w:szCs w:val="24"/>
          <w:highlight w:val="none"/>
        </w:rPr>
        <w:t>上进行公告。公告发布1个工作日，其他供应商若有异议，按《政府采购法》第52条执行。</w:t>
      </w:r>
    </w:p>
    <w:p w14:paraId="1DD7430D">
      <w:pPr>
        <w:keepNext w:val="0"/>
        <w:keepLines w:val="0"/>
        <w:pageBreakBefore w:val="0"/>
        <w:widowControl w:val="0"/>
        <w:kinsoku/>
        <w:wordWrap/>
        <w:overflowPunct/>
        <w:topLinePunct w:val="0"/>
        <w:autoSpaceDE/>
        <w:autoSpaceDN/>
        <w:bidi w:val="0"/>
        <w:spacing w:line="520" w:lineRule="exact"/>
        <w:ind w:firstLine="500" w:firstLineChars="200"/>
        <w:textAlignment w:val="auto"/>
        <w:outlineLvl w:val="9"/>
        <w:rPr>
          <w:rFonts w:hint="eastAsia" w:ascii="宋体" w:hAnsi="宋体" w:cs="宋体"/>
          <w:bCs/>
          <w:color w:val="auto"/>
          <w:sz w:val="24"/>
          <w:szCs w:val="24"/>
          <w:highlight w:val="none"/>
        </w:rPr>
      </w:pPr>
      <w:r>
        <w:rPr>
          <w:rFonts w:hint="eastAsia" w:ascii="宋体" w:hAnsi="宋体" w:cs="宋体"/>
          <w:bCs/>
          <w:color w:val="auto"/>
          <w:sz w:val="24"/>
          <w:szCs w:val="24"/>
          <w:highlight w:val="none"/>
        </w:rPr>
        <w:t>4.4成交供应商确定后，采购人和采购代理机构对未成交原因不作任何解释，竞争性磋商响应文件不予退还。</w:t>
      </w:r>
    </w:p>
    <w:p w14:paraId="1A675D38">
      <w:pPr>
        <w:keepNext w:val="0"/>
        <w:keepLines w:val="0"/>
        <w:pageBreakBefore w:val="0"/>
        <w:widowControl w:val="0"/>
        <w:kinsoku/>
        <w:wordWrap/>
        <w:overflowPunct/>
        <w:topLinePunct w:val="0"/>
        <w:autoSpaceDE/>
        <w:autoSpaceDN/>
        <w:bidi w:val="0"/>
        <w:adjustRightInd w:val="0"/>
        <w:snapToGrid w:val="0"/>
        <w:spacing w:before="196" w:beforeLines="50" w:line="240" w:lineRule="auto"/>
        <w:ind w:right="0" w:rightChars="0"/>
        <w:jc w:val="both"/>
        <w:textAlignment w:val="auto"/>
        <w:outlineLvl w:val="9"/>
        <w:rPr>
          <w:rFonts w:ascii="宋体" w:hAnsi="宋体" w:cs="宋体"/>
          <w:bCs/>
          <w:color w:val="auto"/>
          <w:sz w:val="24"/>
          <w:szCs w:val="24"/>
          <w:highlight w:val="none"/>
        </w:rPr>
      </w:pPr>
      <w:r>
        <w:rPr>
          <w:rFonts w:hint="eastAsia" w:ascii="宋体" w:hAnsi="宋体" w:cs="宋体"/>
          <w:b/>
          <w:color w:val="auto"/>
          <w:sz w:val="24"/>
          <w:szCs w:val="24"/>
          <w:highlight w:val="none"/>
        </w:rPr>
        <w:t>5、评审方法：综合评分法（总计100分）</w:t>
      </w:r>
    </w:p>
    <w:p w14:paraId="1558DFDF">
      <w:pPr>
        <w:keepNext w:val="0"/>
        <w:keepLines w:val="0"/>
        <w:pageBreakBefore w:val="0"/>
        <w:widowControl w:val="0"/>
        <w:kinsoku/>
        <w:wordWrap/>
        <w:overflowPunct/>
        <w:topLinePunct w:val="0"/>
        <w:autoSpaceDE/>
        <w:autoSpaceDN/>
        <w:bidi w:val="0"/>
        <w:adjustRightInd w:val="0"/>
        <w:snapToGrid w:val="0"/>
        <w:spacing w:before="196" w:beforeLines="50" w:after="196" w:afterLines="50" w:line="240" w:lineRule="auto"/>
        <w:ind w:right="0" w:rightChars="0"/>
        <w:jc w:val="both"/>
        <w:textAlignment w:val="auto"/>
        <w:outlineLvl w:val="9"/>
        <w:rPr>
          <w:rFonts w:hint="eastAsia" w:ascii="宋体" w:hAnsi="宋体" w:cs="宋体"/>
          <w:bCs/>
          <w:color w:val="auto"/>
          <w:sz w:val="24"/>
          <w:szCs w:val="24"/>
          <w:highlight w:val="none"/>
        </w:rPr>
      </w:pPr>
      <w:r>
        <w:rPr>
          <w:rFonts w:hint="eastAsia" w:ascii="宋体" w:hAnsi="宋体" w:cs="宋体"/>
          <w:bCs/>
          <w:color w:val="auto"/>
          <w:sz w:val="24"/>
          <w:szCs w:val="24"/>
          <w:highlight w:val="none"/>
        </w:rPr>
        <w:t>评标因素及权值如下：</w:t>
      </w:r>
    </w:p>
    <w:tbl>
      <w:tblPr>
        <w:tblStyle w:val="29"/>
        <w:tblW w:w="499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74"/>
        <w:gridCol w:w="1329"/>
        <w:gridCol w:w="1011"/>
        <w:gridCol w:w="5615"/>
      </w:tblGrid>
      <w:tr w14:paraId="3EC0E4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tblHeader/>
          <w:jc w:val="center"/>
        </w:trPr>
        <w:tc>
          <w:tcPr>
            <w:tcW w:w="494" w:type="pct"/>
            <w:noWrap w:val="0"/>
            <w:tcMar>
              <w:top w:w="0" w:type="dxa"/>
              <w:left w:w="108" w:type="dxa"/>
              <w:bottom w:w="0" w:type="dxa"/>
              <w:right w:w="108" w:type="dxa"/>
            </w:tcMar>
            <w:vAlign w:val="center"/>
          </w:tcPr>
          <w:p w14:paraId="1723C0FC">
            <w:pPr>
              <w:widowControl/>
              <w:spacing w:before="100" w:beforeAutospacing="1" w:after="100" w:afterAutospacing="1"/>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评标因素</w:t>
            </w:r>
          </w:p>
        </w:tc>
        <w:tc>
          <w:tcPr>
            <w:tcW w:w="1325" w:type="pct"/>
            <w:gridSpan w:val="2"/>
            <w:noWrap w:val="0"/>
            <w:tcMar>
              <w:top w:w="0" w:type="dxa"/>
              <w:left w:w="108" w:type="dxa"/>
              <w:bottom w:w="0" w:type="dxa"/>
              <w:right w:w="108" w:type="dxa"/>
            </w:tcMar>
            <w:vAlign w:val="center"/>
          </w:tcPr>
          <w:p w14:paraId="081918A2">
            <w:pPr>
              <w:widowControl/>
              <w:spacing w:before="100" w:beforeAutospacing="1" w:after="100" w:afterAutospacing="1"/>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权值</w:t>
            </w:r>
            <w:r>
              <w:rPr>
                <w:rFonts w:hint="eastAsia" w:ascii="宋体" w:hAnsi="宋体" w:cs="宋体"/>
                <w:sz w:val="24"/>
                <w:szCs w:val="24"/>
                <w:highlight w:val="none"/>
                <w:lang w:val="en-US" w:eastAsia="zh-CN"/>
              </w:rPr>
              <w:t>%</w:t>
            </w:r>
          </w:p>
        </w:tc>
        <w:tc>
          <w:tcPr>
            <w:tcW w:w="3179" w:type="pct"/>
            <w:noWrap w:val="0"/>
            <w:tcMar>
              <w:top w:w="0" w:type="dxa"/>
              <w:left w:w="108" w:type="dxa"/>
              <w:bottom w:w="0" w:type="dxa"/>
              <w:right w:w="108" w:type="dxa"/>
            </w:tcMar>
            <w:vAlign w:val="center"/>
          </w:tcPr>
          <w:p w14:paraId="776EBBA7">
            <w:pPr>
              <w:widowControl/>
              <w:spacing w:before="100" w:beforeAutospacing="1" w:after="100" w:afterAutospacing="1"/>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评价要素</w:t>
            </w:r>
          </w:p>
        </w:tc>
      </w:tr>
      <w:tr w14:paraId="330C37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68" w:hRule="atLeast"/>
          <w:jc w:val="center"/>
        </w:trPr>
        <w:tc>
          <w:tcPr>
            <w:tcW w:w="494" w:type="pct"/>
            <w:noWrap w:val="0"/>
            <w:tcMar>
              <w:top w:w="0" w:type="dxa"/>
              <w:left w:w="108" w:type="dxa"/>
              <w:bottom w:w="0" w:type="dxa"/>
              <w:right w:w="108" w:type="dxa"/>
            </w:tcMar>
            <w:vAlign w:val="center"/>
          </w:tcPr>
          <w:p w14:paraId="39F49C0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磋商报价</w:t>
            </w:r>
          </w:p>
        </w:tc>
        <w:tc>
          <w:tcPr>
            <w:tcW w:w="1325" w:type="pct"/>
            <w:gridSpan w:val="2"/>
            <w:noWrap w:val="0"/>
            <w:tcMar>
              <w:top w:w="0" w:type="dxa"/>
              <w:left w:w="108" w:type="dxa"/>
              <w:bottom w:w="0" w:type="dxa"/>
              <w:right w:w="108" w:type="dxa"/>
            </w:tcMar>
            <w:vAlign w:val="center"/>
          </w:tcPr>
          <w:p w14:paraId="7BD99D7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分</w:t>
            </w:r>
          </w:p>
        </w:tc>
        <w:tc>
          <w:tcPr>
            <w:tcW w:w="3179" w:type="pct"/>
            <w:noWrap w:val="0"/>
            <w:tcMar>
              <w:top w:w="0" w:type="dxa"/>
              <w:left w:w="108" w:type="dxa"/>
              <w:bottom w:w="0" w:type="dxa"/>
              <w:right w:w="108" w:type="dxa"/>
            </w:tcMar>
            <w:vAlign w:val="center"/>
          </w:tcPr>
          <w:p w14:paraId="058AD7AC">
            <w:pPr>
              <w:keepNext w:val="0"/>
              <w:keepLines w:val="0"/>
              <w:pageBreakBefore w:val="0"/>
              <w:widowControl w:val="0"/>
              <w:kinsoku/>
              <w:wordWrap/>
              <w:overflowPunct/>
              <w:topLinePunct w:val="0"/>
              <w:autoSpaceDE/>
              <w:autoSpaceDN/>
              <w:bidi w:val="0"/>
              <w:adjustRightInd/>
              <w:snapToGrid/>
              <w:spacing w:line="240" w:lineRule="auto"/>
              <w:ind w:firstLine="50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满足磋商文件要求且最终报价最低的供应商价格为评标基准价，其价格分为满分</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分。其他供应商的报价得分统一按照下列公式计算：</w:t>
            </w:r>
          </w:p>
          <w:p w14:paraId="7579C94F">
            <w:pPr>
              <w:keepNext w:val="0"/>
              <w:keepLines w:val="0"/>
              <w:pageBreakBefore w:val="0"/>
              <w:widowControl w:val="0"/>
              <w:kinsoku/>
              <w:wordWrap/>
              <w:overflowPunct/>
              <w:topLinePunct w:val="0"/>
              <w:autoSpaceDE/>
              <w:autoSpaceDN/>
              <w:bidi w:val="0"/>
              <w:adjustRightInd/>
              <w:snapToGrid/>
              <w:spacing w:line="240" w:lineRule="auto"/>
              <w:ind w:firstLine="50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磋商报价得分=（评标基准价/</w:t>
            </w:r>
            <w:r>
              <w:rPr>
                <w:rFonts w:hint="eastAsia" w:ascii="宋体" w:hAnsi="宋体" w:eastAsia="宋体" w:cs="宋体"/>
                <w:sz w:val="24"/>
                <w:szCs w:val="24"/>
                <w:highlight w:val="none"/>
                <w:lang w:eastAsia="zh-CN"/>
              </w:rPr>
              <w:t>最后</w:t>
            </w:r>
            <w:r>
              <w:rPr>
                <w:rFonts w:hint="eastAsia" w:ascii="宋体" w:hAnsi="宋体" w:eastAsia="宋体" w:cs="宋体"/>
                <w:sz w:val="24"/>
                <w:szCs w:val="24"/>
                <w:highlight w:val="none"/>
              </w:rPr>
              <w:t>磋商报价）×价格权值×</w:t>
            </w:r>
            <w:r>
              <w:rPr>
                <w:rFonts w:hint="eastAsia" w:ascii="宋体" w:hAnsi="宋体" w:eastAsia="宋体" w:cs="宋体"/>
                <w:sz w:val="24"/>
                <w:szCs w:val="24"/>
                <w:highlight w:val="none"/>
                <w:lang w:val="en-US" w:eastAsia="zh-CN"/>
              </w:rPr>
              <w:t>100</w:t>
            </w:r>
          </w:p>
          <w:p w14:paraId="3ED62780">
            <w:pPr>
              <w:keepNext w:val="0"/>
              <w:keepLines w:val="0"/>
              <w:pageBreakBefore w:val="0"/>
              <w:widowControl w:val="0"/>
              <w:kinsoku/>
              <w:wordWrap/>
              <w:overflowPunct/>
              <w:topLinePunct w:val="0"/>
              <w:autoSpaceDE/>
              <w:autoSpaceDN/>
              <w:bidi w:val="0"/>
              <w:adjustRightInd/>
              <w:snapToGrid/>
              <w:spacing w:line="240" w:lineRule="auto"/>
              <w:ind w:firstLine="500" w:firstLineChars="200"/>
              <w:jc w:val="left"/>
              <w:textAlignment w:val="auto"/>
              <w:rPr>
                <w:rFonts w:hint="default" w:eastAsia="宋体"/>
                <w:sz w:val="24"/>
                <w:szCs w:val="24"/>
                <w:highlight w:val="none"/>
                <w:lang w:val="en-US" w:eastAsia="zh-CN"/>
              </w:rPr>
            </w:pPr>
            <w:r>
              <w:rPr>
                <w:rFonts w:hint="eastAsia" w:ascii="宋体" w:hAnsi="宋体" w:eastAsia="宋体" w:cs="宋体"/>
                <w:sz w:val="24"/>
                <w:szCs w:val="24"/>
                <w:highlight w:val="none"/>
              </w:rPr>
              <w:t>注：本项目为专门面向中小企业采购项目，专门面向中小企业采购的项目，不再执行价格评审优惠的扶持政策</w:t>
            </w:r>
            <w:r>
              <w:rPr>
                <w:rFonts w:hint="eastAsia" w:ascii="宋体" w:hAnsi="宋体" w:eastAsia="宋体" w:cs="宋体"/>
                <w:sz w:val="24"/>
                <w:szCs w:val="24"/>
                <w:highlight w:val="none"/>
                <w:lang w:eastAsia="zh-CN"/>
              </w:rPr>
              <w:t>。</w:t>
            </w:r>
          </w:p>
        </w:tc>
      </w:tr>
      <w:tr w14:paraId="6540C4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7" w:hRule="atLeast"/>
          <w:jc w:val="center"/>
        </w:trPr>
        <w:tc>
          <w:tcPr>
            <w:tcW w:w="494" w:type="pct"/>
            <w:vMerge w:val="restart"/>
            <w:noWrap w:val="0"/>
            <w:tcMar>
              <w:top w:w="0" w:type="dxa"/>
              <w:left w:w="108" w:type="dxa"/>
              <w:bottom w:w="0" w:type="dxa"/>
              <w:right w:w="108" w:type="dxa"/>
            </w:tcMar>
            <w:vAlign w:val="center"/>
          </w:tcPr>
          <w:p w14:paraId="5AEACE19">
            <w:pPr>
              <w:jc w:val="center"/>
              <w:rPr>
                <w:rFonts w:hint="eastAsia" w:ascii="宋体" w:hAnsi="宋体" w:cs="宋体"/>
                <w:color w:val="auto"/>
                <w:sz w:val="24"/>
                <w:szCs w:val="24"/>
                <w:highlight w:val="none"/>
                <w:lang w:eastAsia="zh-CN"/>
              </w:rPr>
            </w:pPr>
          </w:p>
          <w:p w14:paraId="65D53EB0">
            <w:pPr>
              <w:jc w:val="center"/>
              <w:rPr>
                <w:rFonts w:hint="eastAsia" w:ascii="宋体" w:hAnsi="宋体" w:cs="宋体"/>
                <w:color w:val="auto"/>
                <w:sz w:val="24"/>
                <w:szCs w:val="24"/>
                <w:highlight w:val="none"/>
                <w:lang w:eastAsia="zh-CN"/>
              </w:rPr>
            </w:pPr>
          </w:p>
          <w:p w14:paraId="4E445EE1">
            <w:pPr>
              <w:jc w:val="center"/>
              <w:rPr>
                <w:rFonts w:hint="eastAsia" w:ascii="宋体" w:hAnsi="宋体" w:cs="宋体"/>
                <w:color w:val="auto"/>
                <w:sz w:val="24"/>
                <w:szCs w:val="24"/>
                <w:highlight w:val="none"/>
                <w:lang w:eastAsia="zh-CN"/>
              </w:rPr>
            </w:pPr>
          </w:p>
          <w:p w14:paraId="7675A61D">
            <w:pPr>
              <w:jc w:val="center"/>
              <w:rPr>
                <w:rFonts w:hint="eastAsia" w:ascii="宋体" w:hAnsi="宋体" w:cs="宋体"/>
                <w:color w:val="auto"/>
                <w:sz w:val="24"/>
                <w:szCs w:val="24"/>
                <w:highlight w:val="none"/>
                <w:lang w:eastAsia="zh-CN"/>
              </w:rPr>
            </w:pPr>
          </w:p>
          <w:p w14:paraId="7D0F7FB3">
            <w:pPr>
              <w:jc w:val="center"/>
              <w:rPr>
                <w:rFonts w:hint="eastAsia" w:ascii="宋体" w:hAnsi="宋体" w:cs="宋体"/>
                <w:color w:val="auto"/>
                <w:sz w:val="24"/>
                <w:szCs w:val="24"/>
                <w:highlight w:val="none"/>
                <w:lang w:eastAsia="zh-CN"/>
              </w:rPr>
            </w:pPr>
          </w:p>
          <w:p w14:paraId="6E56CA03">
            <w:pPr>
              <w:jc w:val="center"/>
              <w:rPr>
                <w:rFonts w:hint="eastAsia" w:ascii="宋体" w:hAnsi="宋体" w:cs="宋体"/>
                <w:color w:val="auto"/>
                <w:sz w:val="24"/>
                <w:szCs w:val="24"/>
                <w:highlight w:val="none"/>
                <w:lang w:eastAsia="zh-CN"/>
              </w:rPr>
            </w:pPr>
          </w:p>
          <w:p w14:paraId="0A0AC365">
            <w:pPr>
              <w:jc w:val="center"/>
              <w:rPr>
                <w:rFonts w:hint="eastAsia" w:ascii="宋体" w:hAnsi="宋体" w:cs="宋体"/>
                <w:color w:val="auto"/>
                <w:sz w:val="24"/>
                <w:szCs w:val="24"/>
                <w:highlight w:val="none"/>
                <w:lang w:eastAsia="zh-CN"/>
              </w:rPr>
            </w:pPr>
          </w:p>
          <w:p w14:paraId="5BE19806">
            <w:pPr>
              <w:jc w:val="center"/>
              <w:rPr>
                <w:rFonts w:hint="eastAsia" w:ascii="宋体" w:hAnsi="宋体" w:cs="宋体"/>
                <w:color w:val="auto"/>
                <w:sz w:val="24"/>
                <w:szCs w:val="24"/>
                <w:highlight w:val="none"/>
                <w:lang w:eastAsia="zh-CN"/>
              </w:rPr>
            </w:pPr>
          </w:p>
          <w:p w14:paraId="7B7D2CA2">
            <w:pPr>
              <w:jc w:val="center"/>
              <w:rPr>
                <w:rFonts w:hint="eastAsia" w:ascii="宋体" w:hAnsi="宋体" w:cs="宋体"/>
                <w:color w:val="auto"/>
                <w:sz w:val="24"/>
                <w:szCs w:val="24"/>
                <w:highlight w:val="none"/>
                <w:lang w:eastAsia="zh-CN"/>
              </w:rPr>
            </w:pPr>
          </w:p>
          <w:p w14:paraId="22683C87">
            <w:pPr>
              <w:jc w:val="center"/>
              <w:rPr>
                <w:rFonts w:hint="eastAsia" w:ascii="宋体" w:hAnsi="宋体" w:cs="宋体"/>
                <w:color w:val="auto"/>
                <w:sz w:val="24"/>
                <w:szCs w:val="24"/>
                <w:highlight w:val="none"/>
                <w:lang w:eastAsia="zh-CN"/>
              </w:rPr>
            </w:pPr>
          </w:p>
          <w:p w14:paraId="0FD4C109">
            <w:pPr>
              <w:jc w:val="center"/>
              <w:rPr>
                <w:rFonts w:hint="eastAsia" w:ascii="宋体" w:hAnsi="宋体" w:cs="宋体"/>
                <w:color w:val="auto"/>
                <w:sz w:val="24"/>
                <w:szCs w:val="24"/>
                <w:highlight w:val="none"/>
                <w:lang w:eastAsia="zh-CN"/>
              </w:rPr>
            </w:pPr>
          </w:p>
          <w:p w14:paraId="41D4BEA8">
            <w:pPr>
              <w:jc w:val="center"/>
              <w:rPr>
                <w:rFonts w:hint="eastAsia" w:ascii="宋体" w:hAnsi="宋体" w:cs="宋体"/>
                <w:color w:val="auto"/>
                <w:sz w:val="24"/>
                <w:szCs w:val="24"/>
                <w:highlight w:val="none"/>
                <w:lang w:eastAsia="zh-CN"/>
              </w:rPr>
            </w:pPr>
          </w:p>
          <w:p w14:paraId="1807F58A">
            <w:pPr>
              <w:jc w:val="center"/>
              <w:rPr>
                <w:rFonts w:hint="eastAsia" w:ascii="宋体" w:hAnsi="宋体" w:cs="宋体"/>
                <w:color w:val="auto"/>
                <w:sz w:val="24"/>
                <w:szCs w:val="24"/>
                <w:highlight w:val="none"/>
                <w:lang w:eastAsia="zh-CN"/>
              </w:rPr>
            </w:pPr>
          </w:p>
          <w:p w14:paraId="4C627B72">
            <w:pPr>
              <w:jc w:val="center"/>
              <w:rPr>
                <w:rFonts w:hint="eastAsia" w:ascii="宋体" w:hAnsi="宋体" w:cs="宋体"/>
                <w:color w:val="auto"/>
                <w:sz w:val="24"/>
                <w:szCs w:val="24"/>
                <w:highlight w:val="none"/>
                <w:lang w:eastAsia="zh-CN"/>
              </w:rPr>
            </w:pPr>
          </w:p>
          <w:p w14:paraId="004FDD9F">
            <w:pPr>
              <w:jc w:val="center"/>
              <w:rPr>
                <w:rFonts w:hint="eastAsia" w:ascii="宋体" w:hAnsi="宋体" w:cs="宋体"/>
                <w:color w:val="auto"/>
                <w:sz w:val="24"/>
                <w:szCs w:val="24"/>
                <w:highlight w:val="none"/>
                <w:lang w:eastAsia="zh-CN"/>
              </w:rPr>
            </w:pPr>
          </w:p>
          <w:p w14:paraId="20285210">
            <w:pPr>
              <w:jc w:val="center"/>
              <w:rPr>
                <w:rFonts w:hint="eastAsia" w:ascii="宋体" w:hAnsi="宋体" w:cs="宋体"/>
                <w:color w:val="auto"/>
                <w:sz w:val="24"/>
                <w:szCs w:val="24"/>
                <w:highlight w:val="none"/>
                <w:lang w:eastAsia="zh-CN"/>
              </w:rPr>
            </w:pPr>
          </w:p>
          <w:p w14:paraId="2C57E5CF">
            <w:pPr>
              <w:jc w:val="center"/>
              <w:rPr>
                <w:rFonts w:hint="eastAsia" w:ascii="宋体" w:hAnsi="宋体" w:cs="宋体"/>
                <w:color w:val="auto"/>
                <w:sz w:val="24"/>
                <w:szCs w:val="24"/>
                <w:highlight w:val="none"/>
                <w:lang w:eastAsia="zh-CN"/>
              </w:rPr>
            </w:pPr>
          </w:p>
          <w:p w14:paraId="13EADE76">
            <w:pPr>
              <w:jc w:val="center"/>
              <w:rPr>
                <w:rFonts w:hint="eastAsia" w:ascii="宋体" w:hAnsi="宋体" w:cs="宋体"/>
                <w:color w:val="auto"/>
                <w:sz w:val="24"/>
                <w:szCs w:val="24"/>
                <w:highlight w:val="none"/>
                <w:lang w:eastAsia="zh-CN"/>
              </w:rPr>
            </w:pPr>
          </w:p>
          <w:p w14:paraId="0C7337CA">
            <w:pPr>
              <w:jc w:val="center"/>
              <w:rPr>
                <w:rFonts w:hint="eastAsia" w:ascii="宋体" w:hAnsi="宋体" w:cs="宋体"/>
                <w:color w:val="auto"/>
                <w:sz w:val="24"/>
                <w:szCs w:val="24"/>
                <w:highlight w:val="none"/>
                <w:lang w:eastAsia="zh-CN"/>
              </w:rPr>
            </w:pPr>
          </w:p>
          <w:p w14:paraId="1E395B89">
            <w:pPr>
              <w:jc w:val="center"/>
              <w:rPr>
                <w:rFonts w:hint="eastAsia" w:ascii="宋体" w:hAnsi="宋体" w:cs="宋体"/>
                <w:color w:val="auto"/>
                <w:sz w:val="24"/>
                <w:szCs w:val="24"/>
                <w:highlight w:val="none"/>
                <w:lang w:eastAsia="zh-CN"/>
              </w:rPr>
            </w:pPr>
          </w:p>
          <w:p w14:paraId="20947F50">
            <w:pPr>
              <w:jc w:val="center"/>
              <w:rPr>
                <w:rFonts w:hint="eastAsia" w:ascii="宋体" w:hAnsi="宋体" w:cs="宋体"/>
                <w:color w:val="auto"/>
                <w:sz w:val="24"/>
                <w:szCs w:val="24"/>
                <w:highlight w:val="none"/>
                <w:lang w:eastAsia="zh-CN"/>
              </w:rPr>
            </w:pPr>
          </w:p>
          <w:p w14:paraId="0BD6F551">
            <w:pPr>
              <w:jc w:val="center"/>
              <w:rPr>
                <w:rFonts w:hint="eastAsia" w:ascii="宋体" w:hAnsi="宋体" w:cs="宋体"/>
                <w:color w:val="auto"/>
                <w:sz w:val="24"/>
                <w:szCs w:val="24"/>
                <w:highlight w:val="none"/>
                <w:lang w:eastAsia="zh-CN"/>
              </w:rPr>
            </w:pPr>
          </w:p>
          <w:p w14:paraId="5242D950">
            <w:pPr>
              <w:jc w:val="center"/>
              <w:rPr>
                <w:rFonts w:hint="eastAsia" w:ascii="宋体" w:hAnsi="宋体" w:cs="宋体"/>
                <w:color w:val="auto"/>
                <w:sz w:val="24"/>
                <w:szCs w:val="24"/>
                <w:highlight w:val="none"/>
                <w:lang w:eastAsia="zh-CN"/>
              </w:rPr>
            </w:pPr>
          </w:p>
          <w:p w14:paraId="3C8913DD">
            <w:pPr>
              <w:jc w:val="center"/>
              <w:rPr>
                <w:rFonts w:hint="eastAsia" w:ascii="宋体" w:hAnsi="宋体" w:cs="宋体"/>
                <w:color w:val="auto"/>
                <w:sz w:val="24"/>
                <w:szCs w:val="24"/>
                <w:highlight w:val="none"/>
                <w:lang w:eastAsia="zh-CN"/>
              </w:rPr>
            </w:pPr>
          </w:p>
          <w:p w14:paraId="793F66AC">
            <w:pPr>
              <w:jc w:val="center"/>
              <w:rPr>
                <w:rFonts w:hint="eastAsia" w:ascii="宋体" w:hAnsi="宋体" w:cs="宋体"/>
                <w:color w:val="auto"/>
                <w:sz w:val="24"/>
                <w:szCs w:val="24"/>
                <w:highlight w:val="none"/>
                <w:lang w:eastAsia="zh-CN"/>
              </w:rPr>
            </w:pPr>
          </w:p>
          <w:p w14:paraId="23FC79B9">
            <w:pPr>
              <w:jc w:val="center"/>
              <w:rPr>
                <w:rFonts w:hint="eastAsia" w:ascii="宋体" w:hAnsi="宋体" w:cs="宋体"/>
                <w:color w:val="auto"/>
                <w:sz w:val="24"/>
                <w:szCs w:val="24"/>
                <w:highlight w:val="none"/>
                <w:lang w:eastAsia="zh-CN"/>
              </w:rPr>
            </w:pPr>
          </w:p>
          <w:p w14:paraId="1A68A5F1">
            <w:pPr>
              <w:jc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监理大纲（</w:t>
            </w:r>
            <w:r>
              <w:rPr>
                <w:rFonts w:hint="eastAsia" w:ascii="宋体" w:hAnsi="宋体" w:cs="宋体"/>
                <w:color w:val="auto"/>
                <w:sz w:val="24"/>
                <w:szCs w:val="24"/>
                <w:highlight w:val="none"/>
                <w:lang w:val="en-US" w:eastAsia="zh-CN"/>
              </w:rPr>
              <w:t>70</w:t>
            </w:r>
            <w:r>
              <w:rPr>
                <w:rFonts w:hint="eastAsia" w:ascii="宋体" w:hAnsi="宋体" w:cs="宋体"/>
                <w:color w:val="auto"/>
                <w:sz w:val="24"/>
                <w:szCs w:val="24"/>
                <w:highlight w:val="none"/>
                <w:lang w:eastAsia="zh-CN"/>
              </w:rPr>
              <w:t>）</w:t>
            </w:r>
          </w:p>
        </w:tc>
        <w:tc>
          <w:tcPr>
            <w:tcW w:w="752" w:type="pct"/>
            <w:tcBorders>
              <w:bottom w:val="single" w:color="auto" w:sz="4" w:space="0"/>
            </w:tcBorders>
            <w:noWrap w:val="0"/>
            <w:tcMar>
              <w:top w:w="0" w:type="dxa"/>
              <w:left w:w="108" w:type="dxa"/>
              <w:bottom w:w="0" w:type="dxa"/>
              <w:right w:w="108" w:type="dxa"/>
            </w:tcMar>
            <w:vAlign w:val="center"/>
          </w:tcPr>
          <w:p w14:paraId="275D17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项目整体理解、工程特点与重难点剖析</w:t>
            </w:r>
          </w:p>
        </w:tc>
        <w:tc>
          <w:tcPr>
            <w:tcW w:w="572" w:type="pct"/>
            <w:tcBorders>
              <w:bottom w:val="single" w:color="auto" w:sz="4" w:space="0"/>
            </w:tcBorders>
            <w:noWrap w:val="0"/>
            <w:tcMar>
              <w:top w:w="0" w:type="dxa"/>
              <w:left w:w="108" w:type="dxa"/>
              <w:bottom w:w="0" w:type="dxa"/>
              <w:right w:w="108" w:type="dxa"/>
            </w:tcMar>
            <w:vAlign w:val="center"/>
          </w:tcPr>
          <w:p w14:paraId="69DD72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0-12分</w:t>
            </w:r>
          </w:p>
        </w:tc>
        <w:tc>
          <w:tcPr>
            <w:tcW w:w="3179" w:type="pct"/>
            <w:noWrap w:val="0"/>
            <w:tcMar>
              <w:top w:w="0" w:type="dxa"/>
              <w:left w:w="108" w:type="dxa"/>
              <w:bottom w:w="0" w:type="dxa"/>
              <w:right w:w="108" w:type="dxa"/>
            </w:tcMar>
            <w:vAlign w:val="center"/>
          </w:tcPr>
          <w:p w14:paraId="06C364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深度阐述项目概况、遗址等级、祭祀坑遗存特征、区域地质水文；精准识别微扰动施工、原状原貌保留、可逆性保护、防渗防潮、考古交叉协同、土体稳定核心重难点，结合雍城本地工况深度对标，逻辑完整针对性极强。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-12分</w:t>
            </w:r>
          </w:p>
          <w:p w14:paraId="7D5517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项目概况清晰，重难点基本齐全，少量体现文保属性，深度一般。</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-10分</w:t>
            </w:r>
          </w:p>
          <w:p w14:paraId="64D250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仅常规土建分析，遗址祭祀坑专项要点缺失过半。4-</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分</w:t>
            </w:r>
          </w:p>
          <w:p w14:paraId="5B4A83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理解肤浅，脱离本工程实际。</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分</w:t>
            </w:r>
          </w:p>
          <w:p w14:paraId="3F2764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本章节缺项无内容。0分</w:t>
            </w:r>
          </w:p>
        </w:tc>
      </w:tr>
      <w:tr w14:paraId="511FBC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7" w:hRule="atLeast"/>
          <w:jc w:val="center"/>
        </w:trPr>
        <w:tc>
          <w:tcPr>
            <w:tcW w:w="494" w:type="pct"/>
            <w:vMerge w:val="continue"/>
            <w:noWrap w:val="0"/>
            <w:tcMar>
              <w:top w:w="0" w:type="dxa"/>
              <w:left w:w="108" w:type="dxa"/>
              <w:bottom w:w="0" w:type="dxa"/>
              <w:right w:w="108" w:type="dxa"/>
            </w:tcMar>
            <w:vAlign w:val="center"/>
          </w:tcPr>
          <w:p w14:paraId="469F96F3">
            <w:pPr>
              <w:jc w:val="center"/>
              <w:rPr>
                <w:rFonts w:hint="eastAsia" w:ascii="宋体" w:hAnsi="宋体" w:cs="宋体"/>
                <w:color w:val="auto"/>
                <w:sz w:val="24"/>
                <w:szCs w:val="24"/>
                <w:highlight w:val="none"/>
                <w:lang w:eastAsia="zh-CN"/>
              </w:rPr>
            </w:pPr>
          </w:p>
        </w:tc>
        <w:tc>
          <w:tcPr>
            <w:tcW w:w="752" w:type="pct"/>
            <w:tcBorders>
              <w:bottom w:val="single" w:color="auto" w:sz="4" w:space="0"/>
            </w:tcBorders>
            <w:noWrap w:val="0"/>
            <w:tcMar>
              <w:top w:w="0" w:type="dxa"/>
              <w:left w:w="108" w:type="dxa"/>
              <w:bottom w:w="0" w:type="dxa"/>
              <w:right w:w="108" w:type="dxa"/>
            </w:tcMar>
            <w:vAlign w:val="center"/>
          </w:tcPr>
          <w:p w14:paraId="24253D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p>
          <w:p w14:paraId="7DD3248D">
            <w:pPr>
              <w:pStyle w:val="25"/>
              <w:rPr>
                <w:rFonts w:hint="eastAsia" w:ascii="宋体" w:hAnsi="宋体" w:eastAsia="宋体" w:cs="宋体"/>
                <w:color w:val="auto"/>
                <w:sz w:val="24"/>
                <w:szCs w:val="24"/>
                <w:highlight w:val="none"/>
                <w:lang w:val="en-US" w:eastAsia="zh-CN"/>
              </w:rPr>
            </w:pPr>
          </w:p>
          <w:p w14:paraId="16ABA9B3">
            <w:pPr>
              <w:rPr>
                <w:rFonts w:hint="eastAsia"/>
                <w:highlight w:val="none"/>
                <w:lang w:val="en-US" w:eastAsia="zh-CN"/>
              </w:rPr>
            </w:pPr>
          </w:p>
          <w:p w14:paraId="32EA1C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监理组织机构、人员配置、岗位职责</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驻场保障</w:t>
            </w:r>
          </w:p>
        </w:tc>
        <w:tc>
          <w:tcPr>
            <w:tcW w:w="572" w:type="pct"/>
            <w:tcBorders>
              <w:bottom w:val="single" w:color="auto" w:sz="4" w:space="0"/>
            </w:tcBorders>
            <w:noWrap w:val="0"/>
            <w:tcMar>
              <w:top w:w="0" w:type="dxa"/>
              <w:left w:w="108" w:type="dxa"/>
              <w:bottom w:w="0" w:type="dxa"/>
              <w:right w:w="108" w:type="dxa"/>
            </w:tcMar>
            <w:vAlign w:val="center"/>
          </w:tcPr>
          <w:p w14:paraId="0F5328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0-11分</w:t>
            </w:r>
          </w:p>
        </w:tc>
        <w:tc>
          <w:tcPr>
            <w:tcW w:w="3179" w:type="pct"/>
            <w:noWrap w:val="0"/>
            <w:tcMar>
              <w:top w:w="0" w:type="dxa"/>
              <w:left w:w="108" w:type="dxa"/>
              <w:bottom w:w="0" w:type="dxa"/>
              <w:right w:w="108" w:type="dxa"/>
            </w:tcMar>
            <w:vAlign w:val="center"/>
          </w:tcPr>
          <w:p w14:paraId="525696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配置文保专项总监+遗址专业监理+考古配合旁站+安全专监+资料专监；全员配套文物注册监理、高级职称、土建监理有效证件，明确到岗考勤、24h驻场、替补轮岗、履职承诺，权责分工清晰完整。</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-11分</w:t>
            </w:r>
          </w:p>
          <w:p w14:paraId="24C8AF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组织架构完整，人员持证基本达标，驻场保障常规落实。</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-9分</w:t>
            </w:r>
          </w:p>
          <w:p w14:paraId="73D0B2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岗位设置不全，无专职文保监理，岗位职责模糊不清。3-6分</w:t>
            </w:r>
          </w:p>
          <w:p w14:paraId="0DCF2B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关键岗位无证上岗，人员整体配置严重不足。</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分</w:t>
            </w:r>
          </w:p>
          <w:p w14:paraId="0B65E5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无组织机构、无人员配置、无驻场承诺，整体缺项。0分</w:t>
            </w:r>
          </w:p>
        </w:tc>
      </w:tr>
      <w:tr w14:paraId="52B86B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17" w:hRule="atLeast"/>
          <w:jc w:val="center"/>
        </w:trPr>
        <w:tc>
          <w:tcPr>
            <w:tcW w:w="494" w:type="pct"/>
            <w:vMerge w:val="continue"/>
            <w:noWrap w:val="0"/>
            <w:tcMar>
              <w:top w:w="0" w:type="dxa"/>
              <w:left w:w="108" w:type="dxa"/>
              <w:bottom w:w="0" w:type="dxa"/>
              <w:right w:w="108" w:type="dxa"/>
            </w:tcMar>
            <w:vAlign w:val="center"/>
          </w:tcPr>
          <w:p w14:paraId="31E7B357">
            <w:pPr>
              <w:jc w:val="center"/>
              <w:rPr>
                <w:rFonts w:hint="eastAsia" w:ascii="宋体" w:hAnsi="宋体" w:cs="宋体"/>
                <w:color w:val="auto"/>
                <w:sz w:val="24"/>
                <w:szCs w:val="24"/>
                <w:highlight w:val="none"/>
                <w:lang w:eastAsia="zh-CN"/>
              </w:rPr>
            </w:pPr>
          </w:p>
        </w:tc>
        <w:tc>
          <w:tcPr>
            <w:tcW w:w="752" w:type="pct"/>
            <w:tcBorders>
              <w:bottom w:val="single" w:color="auto" w:sz="4" w:space="0"/>
            </w:tcBorders>
            <w:noWrap w:val="0"/>
            <w:tcMar>
              <w:top w:w="0" w:type="dxa"/>
              <w:left w:w="108" w:type="dxa"/>
              <w:bottom w:w="0" w:type="dxa"/>
              <w:right w:w="108" w:type="dxa"/>
            </w:tcMar>
            <w:vAlign w:val="center"/>
          </w:tcPr>
          <w:p w14:paraId="223630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文物本体保护专项质量监理</w:t>
            </w:r>
          </w:p>
          <w:p w14:paraId="7924C1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控制细则</w:t>
            </w:r>
          </w:p>
        </w:tc>
        <w:tc>
          <w:tcPr>
            <w:tcW w:w="572" w:type="pct"/>
            <w:tcBorders>
              <w:bottom w:val="single" w:color="auto" w:sz="4" w:space="0"/>
            </w:tcBorders>
            <w:noWrap w:val="0"/>
            <w:tcMar>
              <w:top w:w="0" w:type="dxa"/>
              <w:left w:w="108" w:type="dxa"/>
              <w:bottom w:w="0" w:type="dxa"/>
              <w:right w:w="108" w:type="dxa"/>
            </w:tcMar>
            <w:vAlign w:val="center"/>
          </w:tcPr>
          <w:p w14:paraId="0998FE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0-15分</w:t>
            </w:r>
          </w:p>
        </w:tc>
        <w:tc>
          <w:tcPr>
            <w:tcW w:w="3179" w:type="pct"/>
            <w:noWrap w:val="0"/>
            <w:tcMar>
              <w:top w:w="0" w:type="dxa"/>
              <w:left w:w="108" w:type="dxa"/>
              <w:bottom w:w="0" w:type="dxa"/>
              <w:right w:w="108" w:type="dxa"/>
            </w:tcMar>
            <w:vAlign w:val="center"/>
          </w:tcPr>
          <w:p w14:paraId="1F48CD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全覆盖遗存原位防护、浅层土体加固、可逆修复工艺、原状覆土复原、小扰动开挖管控；落实原材料溯源送检、样板引路、考古+文保联合隐蔽验收、工序闭环锁定，严格符合文保规范，专属质控体系落地性强。1</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-15分</w:t>
            </w:r>
          </w:p>
          <w:p w14:paraId="7FFCC4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通用质量管控内容完整，文保专项细部管控措施偏弱。</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-12分</w:t>
            </w:r>
          </w:p>
          <w:p w14:paraId="3FB2EE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仅罗列普通土建监理内容，遗址文物专属质控要点缺失。</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分</w:t>
            </w:r>
          </w:p>
          <w:p w14:paraId="27750E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质量管控体系混乱，多处不符合基础文保要求。</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分</w:t>
            </w:r>
          </w:p>
          <w:p w14:paraId="166694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无文物本体专项质量监理独立章节，内容缺项。0分</w:t>
            </w:r>
          </w:p>
        </w:tc>
      </w:tr>
      <w:tr w14:paraId="607AEE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7" w:hRule="atLeast"/>
          <w:jc w:val="center"/>
        </w:trPr>
        <w:tc>
          <w:tcPr>
            <w:tcW w:w="494" w:type="pct"/>
            <w:vMerge w:val="continue"/>
            <w:noWrap w:val="0"/>
            <w:tcMar>
              <w:top w:w="0" w:type="dxa"/>
              <w:left w:w="108" w:type="dxa"/>
              <w:bottom w:w="0" w:type="dxa"/>
              <w:right w:w="108" w:type="dxa"/>
            </w:tcMar>
            <w:vAlign w:val="center"/>
          </w:tcPr>
          <w:p w14:paraId="2192B896">
            <w:pPr>
              <w:jc w:val="center"/>
              <w:rPr>
                <w:rFonts w:hint="eastAsia" w:ascii="宋体" w:hAnsi="宋体" w:cs="宋体"/>
                <w:color w:val="auto"/>
                <w:sz w:val="24"/>
                <w:szCs w:val="24"/>
                <w:highlight w:val="none"/>
                <w:lang w:eastAsia="zh-CN"/>
              </w:rPr>
            </w:pPr>
          </w:p>
        </w:tc>
        <w:tc>
          <w:tcPr>
            <w:tcW w:w="752" w:type="pct"/>
            <w:tcBorders>
              <w:bottom w:val="single" w:color="auto" w:sz="4" w:space="0"/>
            </w:tcBorders>
            <w:noWrap w:val="0"/>
            <w:tcMar>
              <w:top w:w="0" w:type="dxa"/>
              <w:left w:w="108" w:type="dxa"/>
              <w:bottom w:w="0" w:type="dxa"/>
              <w:right w:w="108" w:type="dxa"/>
            </w:tcMar>
            <w:vAlign w:val="center"/>
          </w:tcPr>
          <w:p w14:paraId="6831E8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进度、投资、合同管理及多方协调监理</w:t>
            </w:r>
          </w:p>
        </w:tc>
        <w:tc>
          <w:tcPr>
            <w:tcW w:w="572" w:type="pct"/>
            <w:tcBorders>
              <w:bottom w:val="single" w:color="auto" w:sz="4" w:space="0"/>
            </w:tcBorders>
            <w:noWrap w:val="0"/>
            <w:tcMar>
              <w:top w:w="0" w:type="dxa"/>
              <w:left w:w="108" w:type="dxa"/>
              <w:bottom w:w="0" w:type="dxa"/>
              <w:right w:w="108" w:type="dxa"/>
            </w:tcMar>
            <w:vAlign w:val="center"/>
          </w:tcPr>
          <w:p w14:paraId="360E31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0-10分</w:t>
            </w:r>
          </w:p>
        </w:tc>
        <w:tc>
          <w:tcPr>
            <w:tcW w:w="3179" w:type="pct"/>
            <w:noWrap w:val="0"/>
            <w:tcMar>
              <w:top w:w="0" w:type="dxa"/>
              <w:left w:w="108" w:type="dxa"/>
              <w:bottom w:w="0" w:type="dxa"/>
              <w:right w:w="108" w:type="dxa"/>
            </w:tcMar>
            <w:vAlign w:val="center"/>
          </w:tcPr>
          <w:p w14:paraId="42ECF7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1、结合考古分段作业编制专项进度计划，建立节点滞后纠偏机制；严控计量核算、变更签证文保联审流程，杜绝超概算；搭建建设单位+文保部门+考古队+施工方四方联动协调机制，流程清晰可落地。</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-10分</w:t>
            </w:r>
          </w:p>
          <w:p w14:paraId="5DBC35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2、进度、投资、合同三控基础齐全，文保交叉施工协调针对性不足。</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-8分</w:t>
            </w:r>
          </w:p>
          <w:p w14:paraId="31B799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3、进度与投资管控粗放，无系统化多方协调管理制度。</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-5分</w:t>
            </w:r>
          </w:p>
          <w:p w14:paraId="5015E7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4、进度、投资、协调任意核心板块整体缺项。0分</w:t>
            </w:r>
          </w:p>
        </w:tc>
      </w:tr>
      <w:tr w14:paraId="05C421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7" w:hRule="atLeast"/>
          <w:jc w:val="center"/>
        </w:trPr>
        <w:tc>
          <w:tcPr>
            <w:tcW w:w="494" w:type="pct"/>
            <w:vMerge w:val="continue"/>
            <w:noWrap w:val="0"/>
            <w:tcMar>
              <w:top w:w="0" w:type="dxa"/>
              <w:left w:w="108" w:type="dxa"/>
              <w:bottom w:w="0" w:type="dxa"/>
              <w:right w:w="108" w:type="dxa"/>
            </w:tcMar>
            <w:vAlign w:val="center"/>
          </w:tcPr>
          <w:p w14:paraId="326F514F">
            <w:pPr>
              <w:jc w:val="center"/>
              <w:rPr>
                <w:rFonts w:hint="eastAsia" w:ascii="宋体" w:hAnsi="宋体" w:cs="宋体"/>
                <w:color w:val="auto"/>
                <w:sz w:val="24"/>
                <w:szCs w:val="24"/>
                <w:highlight w:val="none"/>
                <w:lang w:eastAsia="zh-CN"/>
              </w:rPr>
            </w:pPr>
          </w:p>
        </w:tc>
        <w:tc>
          <w:tcPr>
            <w:tcW w:w="752" w:type="pct"/>
            <w:tcBorders>
              <w:bottom w:val="single" w:color="auto" w:sz="4" w:space="0"/>
            </w:tcBorders>
            <w:noWrap w:val="0"/>
            <w:tcMar>
              <w:top w:w="0" w:type="dxa"/>
              <w:left w:w="108" w:type="dxa"/>
              <w:bottom w:w="0" w:type="dxa"/>
              <w:right w:w="108" w:type="dxa"/>
            </w:tcMar>
            <w:vAlign w:val="center"/>
          </w:tcPr>
          <w:p w14:paraId="2F20DF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安全生产、文明施工、遗址专项安全防护监理</w:t>
            </w:r>
          </w:p>
        </w:tc>
        <w:tc>
          <w:tcPr>
            <w:tcW w:w="572" w:type="pct"/>
            <w:tcBorders>
              <w:bottom w:val="single" w:color="auto" w:sz="4" w:space="0"/>
            </w:tcBorders>
            <w:noWrap w:val="0"/>
            <w:tcMar>
              <w:top w:w="0" w:type="dxa"/>
              <w:left w:w="108" w:type="dxa"/>
              <w:bottom w:w="0" w:type="dxa"/>
              <w:right w:w="108" w:type="dxa"/>
            </w:tcMar>
            <w:vAlign w:val="center"/>
          </w:tcPr>
          <w:p w14:paraId="14CC41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0-12分</w:t>
            </w:r>
          </w:p>
        </w:tc>
        <w:tc>
          <w:tcPr>
            <w:tcW w:w="3179" w:type="pct"/>
            <w:noWrap w:val="0"/>
            <w:tcMar>
              <w:top w:w="0" w:type="dxa"/>
              <w:left w:w="108" w:type="dxa"/>
              <w:bottom w:w="0" w:type="dxa"/>
              <w:right w:w="108" w:type="dxa"/>
            </w:tcMar>
            <w:vAlign w:val="center"/>
          </w:tcPr>
          <w:p w14:paraId="3C6DF9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1、落实遗址红线封闭隔离、文物防盗防破坏、扬尘水土保持、基坑边坡稳定监测、危大工程旁站、临电专项管控；24小时现场巡查值守，文物损伤、土体坍塌双重防控及消防保障体系完善。1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-12分</w:t>
            </w:r>
          </w:p>
          <w:p w14:paraId="17ACA0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2、常规安全文明施工措施到位，遗址专属文物防护内容薄弱。</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-10分</w:t>
            </w:r>
          </w:p>
          <w:p w14:paraId="304FB2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3、安全管理内容简单笼统，无遗址保护区特殊管控措施。4-7分</w:t>
            </w:r>
          </w:p>
          <w:p w14:paraId="7EFA31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4、现场安全管控存在明显漏洞，漠视遗址文物防护底线。</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p w14:paraId="3D698E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5、无安全文明、遗址专项防护独立章节，整体缺项。0分</w:t>
            </w:r>
          </w:p>
        </w:tc>
      </w:tr>
      <w:tr w14:paraId="5C1F7A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7" w:hRule="atLeast"/>
          <w:jc w:val="center"/>
        </w:trPr>
        <w:tc>
          <w:tcPr>
            <w:tcW w:w="494" w:type="pct"/>
            <w:vMerge w:val="continue"/>
            <w:noWrap w:val="0"/>
            <w:tcMar>
              <w:top w:w="0" w:type="dxa"/>
              <w:left w:w="108" w:type="dxa"/>
              <w:bottom w:w="0" w:type="dxa"/>
              <w:right w:w="108" w:type="dxa"/>
            </w:tcMar>
            <w:vAlign w:val="center"/>
          </w:tcPr>
          <w:p w14:paraId="04F64A0D">
            <w:pPr>
              <w:jc w:val="center"/>
              <w:rPr>
                <w:rFonts w:hint="eastAsia" w:ascii="宋体" w:hAnsi="宋体" w:cs="宋体"/>
                <w:color w:val="auto"/>
                <w:sz w:val="24"/>
                <w:szCs w:val="24"/>
                <w:highlight w:val="none"/>
                <w:lang w:eastAsia="zh-CN"/>
              </w:rPr>
            </w:pPr>
          </w:p>
        </w:tc>
        <w:tc>
          <w:tcPr>
            <w:tcW w:w="752" w:type="pct"/>
            <w:tcBorders>
              <w:bottom w:val="single" w:color="auto" w:sz="4" w:space="0"/>
            </w:tcBorders>
            <w:noWrap w:val="0"/>
            <w:tcMar>
              <w:top w:w="0" w:type="dxa"/>
              <w:left w:w="108" w:type="dxa"/>
              <w:bottom w:w="0" w:type="dxa"/>
              <w:right w:w="108" w:type="dxa"/>
            </w:tcMar>
            <w:vAlign w:val="center"/>
          </w:tcPr>
          <w:p w14:paraId="437E8F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监测检测、资料归档、成品保护</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应急处置方案</w:t>
            </w:r>
          </w:p>
        </w:tc>
        <w:tc>
          <w:tcPr>
            <w:tcW w:w="572" w:type="pct"/>
            <w:tcBorders>
              <w:bottom w:val="single" w:color="auto" w:sz="4" w:space="0"/>
            </w:tcBorders>
            <w:noWrap w:val="0"/>
            <w:tcMar>
              <w:top w:w="0" w:type="dxa"/>
              <w:left w:w="108" w:type="dxa"/>
              <w:bottom w:w="0" w:type="dxa"/>
              <w:right w:w="108" w:type="dxa"/>
            </w:tcMar>
            <w:vAlign w:val="center"/>
          </w:tcPr>
          <w:p w14:paraId="3FA005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0-10分</w:t>
            </w:r>
          </w:p>
        </w:tc>
        <w:tc>
          <w:tcPr>
            <w:tcW w:w="3179" w:type="pct"/>
            <w:noWrap w:val="0"/>
            <w:tcMar>
              <w:top w:w="0" w:type="dxa"/>
              <w:left w:w="108" w:type="dxa"/>
              <w:bottom w:w="0" w:type="dxa"/>
              <w:right w:w="108" w:type="dxa"/>
            </w:tcMar>
            <w:vAlign w:val="center"/>
          </w:tcPr>
          <w:p w14:paraId="739AC9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科学布设沉降、土体温湿度、结构稳定性监测点位；建立文保专用台账，全过程影像留痕、分部分项与考古同步资料闭环归档；制定祭祀坑长效防尘防潮防踩踏成品保护，含极端天气、土体塌陷、遗存破损专项可落地预案。</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-10分</w:t>
            </w:r>
          </w:p>
          <w:p w14:paraId="301FE9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2、基础资料整理、常规监测内容齐全，应急处置与成品保护较常规。</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-8分</w:t>
            </w:r>
          </w:p>
          <w:p w14:paraId="4FA022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3、资料管理杂乱无序，无系统化监测安排，应急方案流于形式。</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-5分</w:t>
            </w:r>
          </w:p>
          <w:p w14:paraId="261BCE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4、监测、归档、成品保护、应急核心板块大面积缺内容。0分</w:t>
            </w:r>
          </w:p>
        </w:tc>
      </w:tr>
      <w:tr w14:paraId="670B2E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94" w:hRule="atLeast"/>
          <w:jc w:val="center"/>
        </w:trPr>
        <w:tc>
          <w:tcPr>
            <w:tcW w:w="494" w:type="pct"/>
            <w:tcBorders>
              <w:top w:val="single" w:color="auto" w:sz="4" w:space="0"/>
            </w:tcBorders>
            <w:noWrap w:val="0"/>
            <w:tcMar>
              <w:top w:w="0" w:type="dxa"/>
              <w:left w:w="108" w:type="dxa"/>
              <w:bottom w:w="0" w:type="dxa"/>
              <w:right w:w="108" w:type="dxa"/>
            </w:tcMar>
            <w:vAlign w:val="center"/>
          </w:tcPr>
          <w:p w14:paraId="2402328C">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类似业绩</w:t>
            </w:r>
          </w:p>
        </w:tc>
        <w:tc>
          <w:tcPr>
            <w:tcW w:w="1325" w:type="pct"/>
            <w:gridSpan w:val="2"/>
            <w:tcBorders>
              <w:top w:val="single" w:color="auto" w:sz="4" w:space="0"/>
            </w:tcBorders>
            <w:noWrap w:val="0"/>
            <w:tcMar>
              <w:top w:w="0" w:type="dxa"/>
              <w:left w:w="108" w:type="dxa"/>
              <w:bottom w:w="0" w:type="dxa"/>
              <w:right w:w="108" w:type="dxa"/>
            </w:tcMar>
            <w:vAlign w:val="center"/>
          </w:tcPr>
          <w:p w14:paraId="65200455">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0-10</w:t>
            </w:r>
            <w:r>
              <w:rPr>
                <w:rFonts w:hint="eastAsia" w:ascii="宋体" w:hAnsi="宋体" w:cs="宋体"/>
                <w:color w:val="auto"/>
                <w:sz w:val="24"/>
                <w:szCs w:val="24"/>
                <w:highlight w:val="none"/>
              </w:rPr>
              <w:t>分</w:t>
            </w:r>
          </w:p>
        </w:tc>
        <w:tc>
          <w:tcPr>
            <w:tcW w:w="3179" w:type="pct"/>
            <w:noWrap w:val="0"/>
            <w:tcMar>
              <w:top w:w="0" w:type="dxa"/>
              <w:left w:w="108" w:type="dxa"/>
              <w:bottom w:w="0" w:type="dxa"/>
              <w:right w:w="108" w:type="dxa"/>
            </w:tcMar>
            <w:vAlign w:val="center"/>
          </w:tcPr>
          <w:p w14:paraId="5930FEE6">
            <w:pPr>
              <w:pageBreakBefore w:val="0"/>
              <w:wordWrap/>
              <w:overflowPunct/>
              <w:topLinePunct w:val="0"/>
              <w:bidi w:val="0"/>
              <w:spacing w:line="320" w:lineRule="exact"/>
              <w:jc w:val="left"/>
              <w:outlineLvl w:val="9"/>
              <w:rPr>
                <w:rFonts w:hint="eastAsia" w:ascii="宋体" w:hAnsi="宋体" w:eastAsia="宋体"/>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rPr>
              <w:t>提供近三年类似工程监理业绩（2023年1月1日至今，以合同签订日期为准）每提供一项得2</w:t>
            </w:r>
            <w:r>
              <w:rPr>
                <w:rFonts w:hint="eastAsia" w:ascii="宋体" w:hAnsi="宋体" w:cs="Times New Roman"/>
                <w:color w:val="auto"/>
                <w:kern w:val="0"/>
                <w:sz w:val="24"/>
                <w:szCs w:val="24"/>
                <w:highlight w:val="none"/>
                <w:lang w:val="en-US" w:eastAsia="zh-CN"/>
              </w:rPr>
              <w:t>.5</w:t>
            </w:r>
            <w:r>
              <w:rPr>
                <w:rFonts w:hint="eastAsia" w:ascii="宋体" w:hAnsi="宋体" w:eastAsia="宋体" w:cs="Times New Roman"/>
                <w:color w:val="auto"/>
                <w:kern w:val="0"/>
                <w:sz w:val="24"/>
                <w:szCs w:val="24"/>
                <w:highlight w:val="none"/>
                <w:lang w:val="en-US" w:eastAsia="zh-CN"/>
              </w:rPr>
              <w:t>分，满分10分（响应文件中须附合同协议书复印件加盖公章）。</w:t>
            </w:r>
          </w:p>
        </w:tc>
      </w:tr>
    </w:tbl>
    <w:p w14:paraId="0A2D9FFB">
      <w:pPr>
        <w:pStyle w:val="47"/>
        <w:ind w:left="0" w:leftChars="0" w:firstLine="0" w:firstLineChars="0"/>
        <w:rPr>
          <w:rFonts w:hint="eastAsia" w:ascii="宋体" w:hAnsi="宋体" w:cs="宋体"/>
          <w:bCs/>
          <w:color w:val="auto"/>
          <w:sz w:val="24"/>
          <w:szCs w:val="24"/>
          <w:highlight w:val="none"/>
        </w:rPr>
      </w:pPr>
    </w:p>
    <w:p w14:paraId="4CB43B7D">
      <w:pPr>
        <w:keepNext w:val="0"/>
        <w:keepLines w:val="0"/>
        <w:pageBreakBefore w:val="0"/>
        <w:widowControl/>
        <w:kinsoku/>
        <w:wordWrap/>
        <w:overflowPunct/>
        <w:topLinePunct w:val="0"/>
        <w:autoSpaceDE w:val="0"/>
        <w:autoSpaceDN w:val="0"/>
        <w:bidi w:val="0"/>
        <w:adjustRightInd/>
        <w:snapToGrid/>
        <w:spacing w:before="196" w:beforeLines="50" w:line="240" w:lineRule="auto"/>
        <w:ind w:right="0" w:rightChars="0" w:firstLine="500" w:firstLineChars="200"/>
        <w:jc w:val="both"/>
        <w:textAlignment w:val="bottom"/>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注：1）评委打分超过得分界限或未按本方法赋分时，该评委的打分按废票处理。</w:t>
      </w:r>
    </w:p>
    <w:p w14:paraId="32D3A8DF">
      <w:pPr>
        <w:widowControl/>
        <w:autoSpaceDE w:val="0"/>
        <w:autoSpaceDN w:val="0"/>
        <w:ind w:firstLine="1000" w:firstLineChars="400"/>
        <w:textAlignment w:val="bottom"/>
        <w:rPr>
          <w:rFonts w:ascii="宋体" w:hAnsi="宋体" w:cs="宋体"/>
          <w:b/>
          <w:color w:val="auto"/>
          <w:sz w:val="24"/>
          <w:szCs w:val="24"/>
          <w:highlight w:val="none"/>
        </w:rPr>
      </w:pPr>
      <w:r>
        <w:rPr>
          <w:rFonts w:hint="eastAsia" w:ascii="宋体" w:hAnsi="宋体" w:cs="宋体"/>
          <w:bCs/>
          <w:color w:val="auto"/>
          <w:sz w:val="24"/>
          <w:szCs w:val="24"/>
          <w:highlight w:val="none"/>
        </w:rPr>
        <w:t>2）各种计算数字均保留两位小数，第三位“四舍五入”。</w:t>
      </w:r>
    </w:p>
    <w:p w14:paraId="5F2C715B">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
          <w:color w:val="auto"/>
          <w:sz w:val="24"/>
          <w:szCs w:val="24"/>
          <w:highlight w:val="none"/>
        </w:rPr>
        <w:t>6、小微企业的价格评分标准</w:t>
      </w:r>
    </w:p>
    <w:p w14:paraId="49CC0122">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00" w:firstLineChars="200"/>
        <w:textAlignment w:val="auto"/>
        <w:rPr>
          <w:rFonts w:ascii="宋体" w:hAnsi="宋体" w:cs="宋体"/>
          <w:bCs/>
          <w:sz w:val="24"/>
          <w:szCs w:val="24"/>
          <w:highlight w:val="none"/>
        </w:rPr>
      </w:pPr>
      <w:r>
        <w:rPr>
          <w:rFonts w:hint="eastAsia" w:ascii="宋体" w:hAnsi="宋体" w:cs="宋体"/>
          <w:bCs/>
          <w:sz w:val="24"/>
          <w:szCs w:val="24"/>
          <w:highlight w:val="none"/>
        </w:rPr>
        <w:t>（一）小微企业的价格评分标准</w:t>
      </w:r>
      <w:r>
        <w:rPr>
          <w:rFonts w:hint="eastAsia" w:ascii="宋体" w:hAnsi="宋体" w:cs="宋体"/>
          <w:bCs/>
          <w:color w:val="000000" w:themeColor="text1"/>
          <w:sz w:val="24"/>
          <w:szCs w:val="24"/>
          <w:highlight w:val="none"/>
          <w:lang w:eastAsia="zh-CN"/>
          <w14:textFill>
            <w14:solidFill>
              <w14:schemeClr w14:val="tx1"/>
            </w14:solidFill>
          </w14:textFill>
        </w:rPr>
        <w:t>（专门面向中小企业采购项目本条不适用）</w:t>
      </w:r>
    </w:p>
    <w:p w14:paraId="2451AA94">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00" w:firstLineChars="200"/>
        <w:textAlignment w:val="auto"/>
        <w:rPr>
          <w:rFonts w:ascii="宋体" w:hAnsi="宋体" w:cs="宋体"/>
          <w:bCs/>
          <w:sz w:val="24"/>
          <w:szCs w:val="24"/>
          <w:highlight w:val="none"/>
        </w:rPr>
      </w:pPr>
      <w:r>
        <w:rPr>
          <w:rFonts w:hint="eastAsia" w:ascii="宋体" w:hAnsi="宋体" w:cs="宋体"/>
          <w:bCs/>
          <w:sz w:val="24"/>
          <w:szCs w:val="24"/>
          <w:highlight w:val="none"/>
        </w:rPr>
        <w:t>根据财政部《关于印发&lt;政府采购促进中小企业发展管理办法&gt;的通知》(财库〔2020〕46号的规定，符合条件的中小企业，享受政府采购扶持政策。</w:t>
      </w:r>
    </w:p>
    <w:p w14:paraId="3C179A0B">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00" w:firstLineChars="200"/>
        <w:textAlignment w:val="auto"/>
        <w:rPr>
          <w:rFonts w:ascii="宋体" w:hAnsi="宋体" w:cs="宋体"/>
          <w:bCs/>
          <w:sz w:val="24"/>
          <w:szCs w:val="24"/>
          <w:highlight w:val="none"/>
        </w:rPr>
      </w:pPr>
      <w:r>
        <w:rPr>
          <w:rFonts w:hint="eastAsia" w:ascii="宋体" w:hAnsi="宋体" w:cs="宋体"/>
          <w:bCs/>
          <w:sz w:val="24"/>
          <w:szCs w:val="24"/>
          <w:highlight w:val="none"/>
        </w:rPr>
        <w:t>1、中小企业：指在中华人民共和国境内依法设立，依据国务院批准的中小企业划分标准确定的中型企业、小型企业和微型企业，但与大企业的负责人为同一人，或者与大企业存在直接控股、管理关系的除外。</w:t>
      </w:r>
    </w:p>
    <w:p w14:paraId="3E74517A">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00" w:firstLineChars="200"/>
        <w:textAlignment w:val="auto"/>
        <w:rPr>
          <w:rFonts w:ascii="宋体" w:hAnsi="宋体" w:cs="宋体"/>
          <w:bCs/>
          <w:sz w:val="24"/>
          <w:szCs w:val="24"/>
          <w:highlight w:val="none"/>
        </w:rPr>
      </w:pPr>
      <w:r>
        <w:rPr>
          <w:rFonts w:hint="eastAsia" w:ascii="宋体" w:hAnsi="宋体" w:cs="宋体"/>
          <w:bCs/>
          <w:sz w:val="24"/>
          <w:szCs w:val="24"/>
          <w:highlight w:val="none"/>
        </w:rPr>
        <w:t>2、享受政府采购扶持政策的供应商，应当符合以下条件：</w:t>
      </w:r>
    </w:p>
    <w:p w14:paraId="16869EBE">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00" w:firstLineChars="200"/>
        <w:textAlignment w:val="auto"/>
        <w:rPr>
          <w:rFonts w:ascii="宋体" w:hAnsi="宋体" w:cs="宋体"/>
          <w:bCs/>
          <w:sz w:val="24"/>
          <w:szCs w:val="24"/>
          <w:highlight w:val="none"/>
        </w:rPr>
      </w:pPr>
      <w:r>
        <w:rPr>
          <w:rFonts w:hint="eastAsia" w:ascii="宋体" w:hAnsi="宋体" w:cs="宋体"/>
          <w:bCs/>
          <w:sz w:val="24"/>
          <w:szCs w:val="24"/>
          <w:highlight w:val="none"/>
        </w:rPr>
        <w:t xml:space="preserve">①在货物采购项目中，货物由中小企业制造，即货物由中小企业生产且使用该中小企业商号或者注册商标；供应商提供的货物既有中小企业制造货物，也有大型企业制造货物的，不享受中小企业扶持政策。 </w:t>
      </w:r>
    </w:p>
    <w:p w14:paraId="42615D1F">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00" w:firstLineChars="200"/>
        <w:textAlignment w:val="auto"/>
        <w:rPr>
          <w:rFonts w:ascii="宋体" w:hAnsi="宋体" w:cs="宋体"/>
          <w:bCs/>
          <w:sz w:val="24"/>
          <w:szCs w:val="24"/>
          <w:highlight w:val="none"/>
        </w:rPr>
      </w:pPr>
      <w:r>
        <w:rPr>
          <w:rFonts w:hint="eastAsia" w:ascii="宋体" w:hAnsi="宋体" w:cs="宋体"/>
          <w:bCs/>
          <w:sz w:val="24"/>
          <w:szCs w:val="24"/>
          <w:highlight w:val="none"/>
        </w:rPr>
        <w:t>②在工程采购项目中，工程由中小企业承建，即工程施工单位为中小企业；</w:t>
      </w:r>
    </w:p>
    <w:p w14:paraId="30AEFD32">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00" w:firstLineChars="200"/>
        <w:textAlignment w:val="auto"/>
        <w:rPr>
          <w:rFonts w:ascii="宋体" w:hAnsi="宋体" w:cs="宋体"/>
          <w:bCs/>
          <w:sz w:val="24"/>
          <w:szCs w:val="24"/>
          <w:highlight w:val="none"/>
        </w:rPr>
      </w:pPr>
      <w:r>
        <w:rPr>
          <w:rFonts w:hint="eastAsia" w:ascii="宋体" w:hAnsi="宋体" w:cs="宋体"/>
          <w:bCs/>
          <w:sz w:val="24"/>
          <w:szCs w:val="24"/>
          <w:highlight w:val="none"/>
        </w:rPr>
        <w:t xml:space="preserve">③在服务采购项目中，服务由中小企业承接，即提供服务的人员为中小企业依照《中华人民共和国劳动民法典》订立劳动合同的从业人员； </w:t>
      </w:r>
    </w:p>
    <w:p w14:paraId="7651DD12">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00" w:firstLineChars="200"/>
        <w:textAlignment w:val="auto"/>
        <w:rPr>
          <w:rFonts w:ascii="宋体" w:hAnsi="宋体" w:cs="宋体"/>
          <w:bCs/>
          <w:sz w:val="24"/>
          <w:szCs w:val="24"/>
          <w:highlight w:val="none"/>
        </w:rPr>
      </w:pPr>
      <w:r>
        <w:rPr>
          <w:rFonts w:hint="eastAsia" w:ascii="宋体" w:hAnsi="宋体" w:cs="宋体"/>
          <w:bCs/>
          <w:sz w:val="24"/>
          <w:szCs w:val="24"/>
          <w:highlight w:val="none"/>
        </w:rPr>
        <w:t>④提供中小企业的声明函，不提供或提供有瑕疵的，在评审时不享受政府采购优惠政策。</w:t>
      </w:r>
    </w:p>
    <w:p w14:paraId="29087B5D">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500" w:firstLineChars="200"/>
        <w:textAlignment w:val="auto"/>
        <w:rPr>
          <w:rFonts w:hint="eastAsia" w:ascii="宋体" w:hAnsi="宋体" w:cs="宋体"/>
          <w:bCs/>
          <w:sz w:val="24"/>
          <w:szCs w:val="24"/>
          <w:highlight w:val="none"/>
        </w:rPr>
      </w:pPr>
      <w:r>
        <w:rPr>
          <w:rFonts w:hint="eastAsia" w:ascii="宋体" w:hAnsi="宋体" w:cs="宋体"/>
          <w:bCs/>
          <w:sz w:val="24"/>
          <w:szCs w:val="24"/>
          <w:highlight w:val="none"/>
          <w:lang w:val="en-US" w:eastAsia="zh-CN"/>
        </w:rPr>
        <w:t>3、</w:t>
      </w:r>
      <w:r>
        <w:rPr>
          <w:rFonts w:hint="eastAsia" w:ascii="宋体" w:hAnsi="宋体" w:cs="宋体"/>
          <w:bCs/>
          <w:sz w:val="24"/>
          <w:szCs w:val="24"/>
          <w:highlight w:val="none"/>
        </w:rPr>
        <w:t>供应商投标产品是小微企业制造的，其产品</w:t>
      </w:r>
      <w:r>
        <w:rPr>
          <w:rFonts w:hint="eastAsia" w:ascii="宋体" w:hAnsi="宋体" w:cs="宋体"/>
          <w:bCs/>
          <w:sz w:val="24"/>
          <w:szCs w:val="24"/>
          <w:highlight w:val="none"/>
          <w:lang w:eastAsia="zh-CN"/>
        </w:rPr>
        <w:t>最终</w:t>
      </w:r>
      <w:r>
        <w:rPr>
          <w:rFonts w:hint="eastAsia" w:ascii="宋体" w:hAnsi="宋体" w:cs="宋体"/>
          <w:bCs/>
          <w:sz w:val="24"/>
          <w:szCs w:val="24"/>
          <w:highlight w:val="none"/>
        </w:rPr>
        <w:t>报价给予</w:t>
      </w:r>
      <w:r>
        <w:rPr>
          <w:rFonts w:hint="eastAsia" w:ascii="宋体" w:hAnsi="宋体" w:cs="宋体"/>
          <w:bCs/>
          <w:sz w:val="24"/>
          <w:szCs w:val="24"/>
          <w:highlight w:val="none"/>
          <w:lang w:eastAsia="zh-CN"/>
        </w:rPr>
        <w:t>10％</w:t>
      </w:r>
      <w:r>
        <w:rPr>
          <w:rFonts w:hint="eastAsia" w:ascii="宋体" w:hAnsi="宋体" w:cs="宋体"/>
          <w:bCs/>
          <w:sz w:val="24"/>
          <w:szCs w:val="24"/>
          <w:highlight w:val="none"/>
        </w:rPr>
        <w:t>的扣除，用扣除后的价格参与投标报价计算。小微企业参与政府采购服务类项目时，报价给予</w:t>
      </w:r>
      <w:r>
        <w:rPr>
          <w:rFonts w:hint="eastAsia" w:ascii="宋体" w:hAnsi="宋体" w:cs="宋体"/>
          <w:bCs/>
          <w:sz w:val="24"/>
          <w:szCs w:val="24"/>
          <w:highlight w:val="none"/>
          <w:lang w:eastAsia="zh-CN"/>
        </w:rPr>
        <w:t>10％</w:t>
      </w:r>
      <w:r>
        <w:rPr>
          <w:rFonts w:hint="eastAsia" w:ascii="宋体" w:hAnsi="宋体" w:cs="宋体"/>
          <w:bCs/>
          <w:sz w:val="24"/>
          <w:szCs w:val="24"/>
          <w:highlight w:val="none"/>
        </w:rPr>
        <w:t>的扣除，用扣除后的价格参与投标报价计算。小微企业参与政府采购工程类项目时，</w:t>
      </w:r>
      <w:r>
        <w:rPr>
          <w:rFonts w:hint="eastAsia" w:ascii="宋体" w:hAnsi="宋体" w:cs="宋体"/>
          <w:bCs/>
          <w:sz w:val="24"/>
          <w:szCs w:val="24"/>
          <w:highlight w:val="none"/>
          <w:lang w:eastAsia="zh-CN"/>
        </w:rPr>
        <w:t>最终</w:t>
      </w:r>
      <w:r>
        <w:rPr>
          <w:rFonts w:hint="eastAsia" w:ascii="宋体" w:hAnsi="宋体" w:cs="宋体"/>
          <w:bCs/>
          <w:sz w:val="24"/>
          <w:szCs w:val="24"/>
          <w:highlight w:val="none"/>
        </w:rPr>
        <w:t>报价给予3％的扣除，用扣除后的价格参与投标报价计算。</w:t>
      </w:r>
    </w:p>
    <w:p w14:paraId="1F7B7025">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500" w:firstLineChars="200"/>
        <w:textAlignment w:val="auto"/>
        <w:rPr>
          <w:rFonts w:hint="eastAsia" w:ascii="宋体" w:hAnsi="宋体" w:cs="宋体"/>
          <w:bCs/>
          <w:sz w:val="24"/>
          <w:szCs w:val="24"/>
          <w:highlight w:val="none"/>
        </w:rPr>
      </w:pPr>
      <w:r>
        <w:rPr>
          <w:rFonts w:hint="eastAsia" w:ascii="宋体" w:hAnsi="宋体" w:eastAsia="宋体" w:cs="宋体"/>
          <w:bCs/>
          <w:sz w:val="24"/>
          <w:szCs w:val="24"/>
          <w:highlight w:val="none"/>
          <w:lang w:val="en-US" w:eastAsia="zh-CN"/>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工程项目为1%）的扣除，用扣除后的价格参加评审。组成联合体或者接受分包的小微企业与联合体内其他企业、分包企业之间存在直接控股、管理关系的，不享受价格扣除优惠政策。</w:t>
      </w:r>
    </w:p>
    <w:p w14:paraId="49671A13">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00" w:firstLineChars="200"/>
        <w:textAlignment w:val="auto"/>
        <w:rPr>
          <w:rFonts w:ascii="宋体" w:hAnsi="宋体" w:cs="宋体"/>
          <w:bCs/>
          <w:sz w:val="24"/>
          <w:szCs w:val="24"/>
          <w:highlight w:val="none"/>
        </w:rPr>
      </w:pPr>
      <w:r>
        <w:rPr>
          <w:rFonts w:hint="eastAsia" w:ascii="宋体" w:hAnsi="宋体" w:cs="宋体"/>
          <w:bCs/>
          <w:sz w:val="24"/>
          <w:szCs w:val="24"/>
          <w:highlight w:val="none"/>
        </w:rPr>
        <w:t>（二）监狱企业的价格评分标准</w:t>
      </w:r>
    </w:p>
    <w:p w14:paraId="08CE7DDE">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00" w:firstLineChars="200"/>
        <w:textAlignment w:val="auto"/>
        <w:rPr>
          <w:rFonts w:ascii="宋体" w:hAnsi="宋体" w:cs="宋体"/>
          <w:bCs/>
          <w:sz w:val="24"/>
          <w:szCs w:val="24"/>
          <w:highlight w:val="none"/>
        </w:rPr>
      </w:pPr>
      <w:r>
        <w:rPr>
          <w:rFonts w:hint="eastAsia" w:ascii="宋体" w:hAnsi="宋体" w:cs="宋体"/>
          <w:bCs/>
          <w:sz w:val="24"/>
          <w:szCs w:val="24"/>
          <w:highlight w:val="none"/>
        </w:rPr>
        <w:t>根据财库[2014]68 号《财政部司法部关于政府采购支持监狱企业发展有关问题的通知》规定，符合条件的监狱企业，享受政府采购扶持政策。投标供应商投标产品是监狱企业制造的，其产品</w:t>
      </w:r>
      <w:r>
        <w:rPr>
          <w:rFonts w:hint="eastAsia" w:ascii="宋体" w:hAnsi="宋体" w:cs="宋体"/>
          <w:bCs/>
          <w:sz w:val="24"/>
          <w:szCs w:val="24"/>
          <w:highlight w:val="none"/>
          <w:lang w:eastAsia="zh-CN"/>
        </w:rPr>
        <w:t>最终</w:t>
      </w:r>
      <w:r>
        <w:rPr>
          <w:rFonts w:hint="eastAsia" w:ascii="宋体" w:hAnsi="宋体" w:cs="宋体"/>
          <w:bCs/>
          <w:sz w:val="24"/>
          <w:szCs w:val="24"/>
          <w:highlight w:val="none"/>
        </w:rPr>
        <w:t>报价给予一定比例的扣除，其产品</w:t>
      </w:r>
      <w:r>
        <w:rPr>
          <w:rFonts w:hint="eastAsia" w:ascii="宋体" w:hAnsi="宋体" w:cs="宋体"/>
          <w:bCs/>
          <w:sz w:val="24"/>
          <w:szCs w:val="24"/>
          <w:highlight w:val="none"/>
          <w:lang w:eastAsia="zh-CN"/>
        </w:rPr>
        <w:t>最终</w:t>
      </w:r>
      <w:r>
        <w:rPr>
          <w:rFonts w:hint="eastAsia" w:ascii="宋体" w:hAnsi="宋体" w:cs="宋体"/>
          <w:bCs/>
          <w:sz w:val="24"/>
          <w:szCs w:val="24"/>
          <w:highlight w:val="none"/>
        </w:rPr>
        <w:t>报价给予</w:t>
      </w:r>
      <w:r>
        <w:rPr>
          <w:rFonts w:hint="eastAsia" w:ascii="宋体" w:hAnsi="宋体" w:cs="宋体"/>
          <w:bCs/>
          <w:sz w:val="24"/>
          <w:szCs w:val="24"/>
          <w:highlight w:val="none"/>
          <w:lang w:eastAsia="zh-CN"/>
        </w:rPr>
        <w:t>10％</w:t>
      </w:r>
      <w:r>
        <w:rPr>
          <w:rFonts w:hint="eastAsia" w:ascii="宋体" w:hAnsi="宋体" w:cs="宋体"/>
          <w:bCs/>
          <w:sz w:val="24"/>
          <w:szCs w:val="24"/>
          <w:highlight w:val="none"/>
        </w:rPr>
        <w:t>的扣除，用扣除后的价格参与报价计算，如同时属于小型、微型企业的，其享受的价格不重复计算。</w:t>
      </w:r>
    </w:p>
    <w:p w14:paraId="031579A4">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00" w:firstLineChars="200"/>
        <w:textAlignment w:val="auto"/>
        <w:rPr>
          <w:rFonts w:ascii="宋体" w:hAnsi="宋体" w:cs="宋体"/>
          <w:bCs/>
          <w:sz w:val="24"/>
          <w:szCs w:val="24"/>
          <w:highlight w:val="none"/>
        </w:rPr>
      </w:pPr>
      <w:r>
        <w:rPr>
          <w:rFonts w:hint="eastAsia" w:ascii="宋体" w:hAnsi="宋体" w:cs="宋体"/>
          <w:bCs/>
          <w:sz w:val="24"/>
          <w:szCs w:val="24"/>
          <w:highlight w:val="none"/>
        </w:rPr>
        <w:t>1、残疾人福利性单位的价格评分标准</w:t>
      </w:r>
    </w:p>
    <w:p w14:paraId="14417414">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00" w:firstLineChars="200"/>
        <w:textAlignment w:val="auto"/>
        <w:rPr>
          <w:rFonts w:ascii="宋体" w:hAnsi="宋体" w:cs="宋体"/>
          <w:bCs/>
          <w:sz w:val="24"/>
          <w:szCs w:val="24"/>
          <w:highlight w:val="none"/>
        </w:rPr>
      </w:pPr>
      <w:r>
        <w:rPr>
          <w:rFonts w:hint="eastAsia" w:ascii="宋体" w:hAnsi="宋体" w:cs="宋体"/>
          <w:bCs/>
          <w:sz w:val="24"/>
          <w:szCs w:val="24"/>
          <w:highlight w:val="none"/>
        </w:rPr>
        <w:t>投标供应商投标产品是残疾人福利性单位的，其产品报价给予一定比例的扣除，其产品</w:t>
      </w:r>
      <w:r>
        <w:rPr>
          <w:rFonts w:hint="eastAsia" w:ascii="宋体" w:hAnsi="宋体" w:cs="宋体"/>
          <w:bCs/>
          <w:sz w:val="24"/>
          <w:szCs w:val="24"/>
          <w:highlight w:val="none"/>
          <w:lang w:eastAsia="zh-CN"/>
        </w:rPr>
        <w:t>最终</w:t>
      </w:r>
      <w:r>
        <w:rPr>
          <w:rFonts w:hint="eastAsia" w:ascii="宋体" w:hAnsi="宋体" w:cs="宋体"/>
          <w:bCs/>
          <w:sz w:val="24"/>
          <w:szCs w:val="24"/>
          <w:highlight w:val="none"/>
        </w:rPr>
        <w:t>报价给予</w:t>
      </w:r>
      <w:r>
        <w:rPr>
          <w:rFonts w:hint="eastAsia" w:ascii="宋体" w:hAnsi="宋体" w:cs="宋体"/>
          <w:bCs/>
          <w:sz w:val="24"/>
          <w:szCs w:val="24"/>
          <w:highlight w:val="none"/>
          <w:lang w:eastAsia="zh-CN"/>
        </w:rPr>
        <w:t>10％</w:t>
      </w:r>
      <w:r>
        <w:rPr>
          <w:rFonts w:hint="eastAsia" w:ascii="宋体" w:hAnsi="宋体" w:cs="宋体"/>
          <w:bCs/>
          <w:sz w:val="24"/>
          <w:szCs w:val="24"/>
          <w:highlight w:val="none"/>
        </w:rPr>
        <w:t>的扣除，用扣除后的价格参与投标报价计算。残疾人福利性单位同时属于小型、微型企业的，其享受的价格优惠不重复计算。</w:t>
      </w:r>
    </w:p>
    <w:p w14:paraId="5A91D23C">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00" w:firstLineChars="200"/>
        <w:textAlignment w:val="auto"/>
        <w:rPr>
          <w:rFonts w:ascii="宋体" w:hAnsi="宋体" w:cs="宋体"/>
          <w:bCs/>
          <w:sz w:val="24"/>
          <w:szCs w:val="24"/>
          <w:highlight w:val="none"/>
        </w:rPr>
      </w:pPr>
      <w:r>
        <w:rPr>
          <w:rFonts w:hint="eastAsia" w:ascii="宋体" w:hAnsi="宋体" w:cs="宋体"/>
          <w:bCs/>
          <w:sz w:val="24"/>
          <w:szCs w:val="24"/>
          <w:highlight w:val="none"/>
        </w:rPr>
        <w:t>2、节能产品、环境标志产品政策</w:t>
      </w:r>
    </w:p>
    <w:p w14:paraId="7736DE6F">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00" w:firstLineChars="200"/>
        <w:textAlignment w:val="auto"/>
        <w:rPr>
          <w:rFonts w:ascii="宋体" w:hAnsi="宋体" w:cs="宋体"/>
          <w:bCs/>
          <w:sz w:val="24"/>
          <w:szCs w:val="24"/>
          <w:highlight w:val="none"/>
        </w:rPr>
      </w:pPr>
      <w:r>
        <w:rPr>
          <w:rFonts w:hint="eastAsia" w:ascii="宋体" w:hAnsi="宋体" w:cs="宋体"/>
          <w:bCs/>
          <w:sz w:val="24"/>
          <w:szCs w:val="24"/>
          <w:highlight w:val="none"/>
          <w:lang w:eastAsia="en-US"/>
        </w:rPr>
        <w:t>（1）节能产品根据《财政部、国家发展和改革委员会关于印发&lt;节能产品政府采购实施意见&gt;的通知》（财库【2004】185号）、《国务院办公厅关于建立政府强制采购节能产品制度的通知》（国办发〔2007〕51号）的有关规定，以中国政府采购网（http://www.ccgp.gov.cn/）公布的最新一期节能产品政府采购清单为准。</w:t>
      </w:r>
      <w:r>
        <w:rPr>
          <w:rFonts w:hint="eastAsia" w:ascii="宋体" w:hAnsi="宋体" w:cs="宋体"/>
          <w:bCs/>
          <w:sz w:val="24"/>
          <w:szCs w:val="24"/>
          <w:highlight w:val="none"/>
        </w:rPr>
        <w:t>节能清单所列产品包括政府强制采购和优先采购的节能产品，标注“★”的品目为政府强制采购的节能产品，其他品目为政府优先采购的节能产品。</w:t>
      </w:r>
    </w:p>
    <w:p w14:paraId="70F36A70">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00" w:firstLineChars="200"/>
        <w:textAlignment w:val="auto"/>
        <w:rPr>
          <w:rFonts w:ascii="宋体" w:hAnsi="宋体" w:cs="宋体"/>
          <w:bCs/>
          <w:sz w:val="24"/>
          <w:szCs w:val="24"/>
          <w:highlight w:val="none"/>
        </w:rPr>
      </w:pPr>
      <w:r>
        <w:rPr>
          <w:rFonts w:hint="eastAsia" w:ascii="宋体" w:hAnsi="宋体" w:cs="宋体"/>
          <w:bCs/>
          <w:sz w:val="24"/>
          <w:szCs w:val="24"/>
          <w:highlight w:val="none"/>
          <w:lang w:eastAsia="en-US"/>
        </w:rPr>
        <w:t>（2）环境标志产品根据《财政部、国家环保总局联合印发&lt;关于环境标志产品政府采购实施的意见&gt;》（财库【2006】90号）的规定，以中国政府采购网（http://www.ccgp.gov.cn/）公布的最新一期环境标志产品政府采购清单为准。</w:t>
      </w:r>
      <w:r>
        <w:rPr>
          <w:rFonts w:hint="eastAsia" w:ascii="宋体" w:hAnsi="宋体" w:cs="宋体"/>
          <w:bCs/>
          <w:sz w:val="24"/>
          <w:szCs w:val="24"/>
          <w:highlight w:val="none"/>
        </w:rPr>
        <w:t>环保清单所列产品为政府优先采购产品。</w:t>
      </w:r>
    </w:p>
    <w:p w14:paraId="2C62AC64">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textAlignment w:val="auto"/>
        <w:rPr>
          <w:rFonts w:ascii="宋体" w:hAnsi="宋体" w:cs="宋体"/>
          <w:b/>
          <w:sz w:val="24"/>
          <w:szCs w:val="24"/>
          <w:highlight w:val="none"/>
        </w:rPr>
      </w:pPr>
      <w:r>
        <w:rPr>
          <w:rFonts w:hint="eastAsia" w:ascii="宋体" w:hAnsi="宋体" w:cs="宋体"/>
          <w:b/>
          <w:sz w:val="24"/>
          <w:szCs w:val="24"/>
          <w:highlight w:val="none"/>
        </w:rPr>
        <w:t>7、特殊情况处理</w:t>
      </w:r>
    </w:p>
    <w:p w14:paraId="60C82EE3">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7.1若出现综合得分相同的，磋商报价得分高者为第一成交候选人；若综合得分和磋商报价得分相同，以监理大纲得分高者为第一成交候选人；若上述两种情况得分均相同，则由全体磋商小组成员无记名投票，得票高者为第一成交候选人。</w:t>
      </w:r>
    </w:p>
    <w:p w14:paraId="4693E33A">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7.2当供应商某评分项出现未报、漏报或零报价时，该分项得零分。</w:t>
      </w:r>
    </w:p>
    <w:p w14:paraId="5CE34CC1">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7.3评议过程中，若出现本评分方法以外的特殊情况时，将暂停评审，待磋商小组商榷后再进行复会。</w:t>
      </w:r>
    </w:p>
    <w:p w14:paraId="76F2CF73">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7.4如果出现计算错误，可按以下原则进行修正：</w:t>
      </w:r>
    </w:p>
    <w:p w14:paraId="4B707D1C">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a、磋商响应文件中报价一览表内容与磋商响应文件中相应内容不一致的，以磋商报价表为准；</w:t>
      </w:r>
    </w:p>
    <w:p w14:paraId="405D5E88">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b、大写金额与小写金额不一致的，以大写金额为准；</w:t>
      </w:r>
    </w:p>
    <w:p w14:paraId="374286B1">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c、单价金额小数点或者百分比有明显错位的，以“磋商报价表”的总价为准，并修改单价；</w:t>
      </w:r>
    </w:p>
    <w:p w14:paraId="3908819C">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d、总价金额与按单价汇总金额不一致的，以单价金额计算结果为准。</w:t>
      </w:r>
    </w:p>
    <w:p w14:paraId="7AAE2444">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e、磋商响应文件图表与文字不符时，以文字为准；</w:t>
      </w:r>
    </w:p>
    <w:p w14:paraId="1FD2EBB3">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f、多处内容交叉不符时，以磋商小组评审结果为准。</w:t>
      </w:r>
    </w:p>
    <w:p w14:paraId="4A368FAF">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textAlignment w:val="auto"/>
        <w:rPr>
          <w:rFonts w:hint="eastAsia" w:eastAsia="宋体"/>
          <w:color w:val="auto"/>
          <w:sz w:val="24"/>
          <w:szCs w:val="24"/>
          <w:highlight w:val="none"/>
          <w:lang w:val="en-US" w:eastAsia="zh-CN"/>
        </w:rPr>
      </w:pPr>
      <w:r>
        <w:rPr>
          <w:rFonts w:hint="eastAsia" w:ascii="宋体" w:hAnsi="宋体" w:cs="宋体"/>
          <w:bCs/>
          <w:color w:val="auto"/>
          <w:sz w:val="24"/>
          <w:szCs w:val="24"/>
          <w:highlight w:val="none"/>
          <w:lang w:val="en-US" w:eastAsia="zh-CN"/>
        </w:rPr>
        <w:t>同时出现两种以上不一致的，按照以上规定的顺序修正。修正后的报价经供应商确认后产生约束力，供应商不确认的，其投标无效。</w:t>
      </w:r>
    </w:p>
    <w:p w14:paraId="32F9C767">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00" w:firstLineChars="200"/>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六、成交通知</w:t>
      </w:r>
    </w:p>
    <w:p w14:paraId="7423A9CF">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0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采购人、采购代理机构应当在成交结果公示同时向成交供应商发出《成交通知书》，成交供应商应在接到采购代理机构通知之日起7日内领取成交通知书。未在规定时间内领取成交通知书的，视为放弃成交资格。</w:t>
      </w:r>
    </w:p>
    <w:p w14:paraId="5F8A1B16">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00" w:firstLineChars="200"/>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七、合同的签订授予</w:t>
      </w:r>
    </w:p>
    <w:p w14:paraId="3F880985">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textAlignment w:val="auto"/>
        <w:outlineLvl w:val="9"/>
        <w:rPr>
          <w:rFonts w:hint="eastAsia" w:ascii="宋体" w:hAnsi="宋体" w:cs="宋体"/>
          <w:bCs/>
          <w:color w:val="auto"/>
          <w:sz w:val="24"/>
          <w:szCs w:val="24"/>
          <w:highlight w:val="none"/>
        </w:rPr>
      </w:pPr>
      <w:r>
        <w:rPr>
          <w:rFonts w:hint="eastAsia" w:ascii="宋体" w:hAnsi="宋体" w:cs="宋体"/>
          <w:bCs/>
          <w:color w:val="auto"/>
          <w:sz w:val="24"/>
          <w:szCs w:val="24"/>
          <w:highlight w:val="none"/>
        </w:rPr>
        <w:t>1、成交供应商应当自收到成交通知书之日起</w:t>
      </w:r>
      <w:r>
        <w:rPr>
          <w:rFonts w:hint="eastAsia" w:ascii="宋体" w:hAnsi="宋体" w:cs="宋体"/>
          <w:bCs/>
          <w:color w:val="auto"/>
          <w:sz w:val="24"/>
          <w:szCs w:val="24"/>
          <w:highlight w:val="none"/>
          <w:lang w:val="en-US" w:eastAsia="zh-CN"/>
        </w:rPr>
        <w:t>25</w:t>
      </w:r>
      <w:r>
        <w:rPr>
          <w:rFonts w:hint="eastAsia" w:ascii="宋体" w:hAnsi="宋体" w:cs="宋体"/>
          <w:bCs/>
          <w:color w:val="auto"/>
          <w:sz w:val="24"/>
          <w:szCs w:val="24"/>
          <w:highlight w:val="none"/>
        </w:rPr>
        <w:t>日内，按照竞争性磋商文件的要求和成交供应商响应文件的约定与采购人签订采购合同。成交供应商因自身原因不按规定与采购人签订合同，则采购人将废除授标，磋商保证金不予退还。给采购人造成损失超过磋商保证金额的，还应当对超过部分予以赔偿，并依法承担相应法律责任；</w:t>
      </w:r>
    </w:p>
    <w:p w14:paraId="68B63862">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textAlignment w:val="auto"/>
        <w:outlineLvl w:val="9"/>
        <w:rPr>
          <w:rFonts w:hint="eastAsia" w:ascii="宋体" w:hAnsi="宋体" w:cs="宋体"/>
          <w:bCs/>
          <w:color w:val="auto"/>
          <w:sz w:val="24"/>
          <w:szCs w:val="24"/>
          <w:highlight w:val="none"/>
        </w:rPr>
      </w:pPr>
      <w:r>
        <w:rPr>
          <w:rFonts w:hint="eastAsia" w:ascii="宋体" w:hAnsi="宋体" w:cs="宋体"/>
          <w:bCs/>
          <w:color w:val="auto"/>
          <w:sz w:val="24"/>
          <w:szCs w:val="24"/>
          <w:highlight w:val="none"/>
        </w:rPr>
        <w:t>2、</w:t>
      </w:r>
      <w:r>
        <w:rPr>
          <w:rFonts w:hint="eastAsia" w:ascii="宋体" w:hAnsi="宋体" w:cs="宋体"/>
          <w:bCs/>
          <w:color w:val="auto"/>
          <w:sz w:val="24"/>
          <w:szCs w:val="24"/>
          <w:highlight w:val="none"/>
          <w:lang w:val="en-US" w:eastAsia="zh-CN"/>
        </w:rPr>
        <w:t>如成交供应商拒绝与采购人签订合同的，</w:t>
      </w:r>
      <w:r>
        <w:rPr>
          <w:rFonts w:hint="eastAsia" w:ascii="宋体" w:hAnsi="宋体" w:cs="宋体"/>
          <w:bCs/>
          <w:color w:val="auto"/>
          <w:sz w:val="24"/>
          <w:szCs w:val="24"/>
          <w:highlight w:val="none"/>
        </w:rPr>
        <w:t>采购人可以按照评审报告推荐的成交候选人名单排序，确定下一候选人为成交供应商，也可以重新开展政府采购活动。拒绝签订政府采购合同的成交供应商不得参加对该项目重新开展的政府采购活动。</w:t>
      </w:r>
    </w:p>
    <w:p w14:paraId="1A79998E">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textAlignment w:val="auto"/>
        <w:outlineLvl w:val="9"/>
        <w:rPr>
          <w:rFonts w:hint="eastAsia" w:ascii="宋体" w:hAnsi="宋体" w:cs="宋体"/>
          <w:bCs/>
          <w:color w:val="auto"/>
          <w:sz w:val="24"/>
          <w:szCs w:val="24"/>
          <w:highlight w:val="none"/>
        </w:rPr>
      </w:pPr>
      <w:r>
        <w:rPr>
          <w:rFonts w:hint="eastAsia" w:ascii="宋体" w:hAnsi="宋体" w:cs="宋体"/>
          <w:bCs/>
          <w:color w:val="auto"/>
          <w:sz w:val="24"/>
          <w:szCs w:val="24"/>
          <w:highlight w:val="none"/>
        </w:rPr>
        <w:t>3、成交通知书将是合同的重要组成部分。竞争性磋商文件、成交供应商的磋商响应文件及评议过程中有关的澄清文件均作为合同附件。</w:t>
      </w:r>
    </w:p>
    <w:p w14:paraId="232B9DD6">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textAlignment w:val="auto"/>
        <w:outlineLvl w:val="9"/>
        <w:rPr>
          <w:rFonts w:hint="eastAsia" w:ascii="宋体" w:hAnsi="宋体" w:cs="宋体"/>
          <w:bCs/>
          <w:color w:val="auto"/>
          <w:sz w:val="24"/>
          <w:szCs w:val="24"/>
          <w:highlight w:val="none"/>
        </w:rPr>
      </w:pPr>
      <w:r>
        <w:rPr>
          <w:rFonts w:hint="eastAsia" w:ascii="宋体" w:hAnsi="宋体" w:cs="宋体"/>
          <w:bCs/>
          <w:color w:val="auto"/>
          <w:sz w:val="24"/>
          <w:szCs w:val="24"/>
          <w:highlight w:val="none"/>
        </w:rPr>
        <w:t>4、成交后，成交人应按照合同约定履行义务，完成磋商项目的工作内容。经采购人同意，成交人可以依法采取分包方式履行合同。分包部分为成交项目的部分非主体、非关键性工作。接受分包的供应商应当具备相应的资格条件，并不得再次分包。分包履行的，成交人就采购项目和分包项目向采购人负责，分包供应商就分包项目承担责任。</w:t>
      </w:r>
    </w:p>
    <w:p w14:paraId="2D382FDE">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textAlignment w:val="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5、采购人需追加与合同标的相同的货物、工程或服务的，在不改变合同其他条款的前提下，可以与供应商协商签订补充合同，但所有补充合同的采购金额不得超过原合同采购金额的百分之十。</w:t>
      </w:r>
    </w:p>
    <w:p w14:paraId="29EACBB9">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jc w:val="left"/>
        <w:textAlignment w:val="auto"/>
        <w:outlineLvl w:val="9"/>
        <w:rPr>
          <w:rFonts w:ascii="宋体" w:hAnsi="宋体" w:cs="宋体"/>
          <w:b/>
          <w:color w:val="auto"/>
          <w:sz w:val="24"/>
          <w:szCs w:val="24"/>
          <w:highlight w:val="none"/>
        </w:rPr>
      </w:pPr>
      <w:r>
        <w:rPr>
          <w:rFonts w:hint="eastAsia" w:ascii="宋体" w:hAnsi="宋体" w:cs="宋体"/>
          <w:b/>
          <w:color w:val="auto"/>
          <w:sz w:val="24"/>
          <w:szCs w:val="24"/>
          <w:highlight w:val="none"/>
        </w:rPr>
        <w:t>八、代理服务费</w:t>
      </w:r>
    </w:p>
    <w:p w14:paraId="60FEF93D">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00" w:firstLineChars="200"/>
        <w:textAlignment w:val="auto"/>
        <w:outlineLvl w:val="9"/>
        <w:rPr>
          <w:rFonts w:ascii="宋体" w:hAnsi="宋体" w:cs="宋体"/>
          <w:b/>
          <w:color w:val="0000FF"/>
          <w:sz w:val="24"/>
          <w:szCs w:val="24"/>
          <w:highlight w:val="none"/>
        </w:rPr>
      </w:pPr>
      <w:r>
        <w:rPr>
          <w:rFonts w:hint="eastAsia" w:ascii="宋体" w:hAnsi="宋体" w:cs="宋体"/>
          <w:bCs/>
          <w:color w:val="auto"/>
          <w:sz w:val="24"/>
          <w:szCs w:val="24"/>
          <w:highlight w:val="none"/>
        </w:rPr>
        <w:t>采购代理服务费依据国家计委关于印发《招标代理服务收费管理暂行办法》的通知（计价格〔2002〕1980号）、《国家发展和改革委员会办公厅关于招标代理服务收费有关问题的通知》（发改办价格〔2003〕857号）规定及《关于进一步放开建设项目专业服务价格的通知》（发改价格〔2015〕299号）文件的规定以签订的合同协议为准。</w:t>
      </w:r>
    </w:p>
    <w:p w14:paraId="38676A84">
      <w:pPr>
        <w:keepNext w:val="0"/>
        <w:keepLines w:val="0"/>
        <w:pageBreakBefore w:val="0"/>
        <w:widowControl w:val="0"/>
        <w:numPr>
          <w:ilvl w:val="0"/>
          <w:numId w:val="3"/>
        </w:numPr>
        <w:kinsoku/>
        <w:wordWrap/>
        <w:overflowPunct/>
        <w:topLinePunct w:val="0"/>
        <w:autoSpaceDE/>
        <w:autoSpaceDN/>
        <w:bidi w:val="0"/>
        <w:spacing w:line="540" w:lineRule="exact"/>
        <w:ind w:left="0" w:leftChars="0" w:right="0" w:rightChars="0" w:firstLine="500" w:firstLineChars="200"/>
        <w:jc w:val="left"/>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质疑与投诉</w:t>
      </w:r>
    </w:p>
    <w:p w14:paraId="3751E465">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jc w:val="lef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1.质疑</w:t>
      </w:r>
    </w:p>
    <w:p w14:paraId="72130FEE">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jc w:val="lef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1.1供应商对本次磋商采购活动有疑问的，按照《政府采购法》《政府采购法实施条例》和《政府采购质疑和投诉办法》(财政部94号令)的规定办理。</w:t>
      </w:r>
    </w:p>
    <w:p w14:paraId="75E02E94">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jc w:val="lef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1.2供应商对磋商文件、采购过程或成交结果使自身的合法权益受到损害，应当在法定期限内，按照质疑函范本格式要求以书面形式向采购代理机构或采购人提出质疑。</w:t>
      </w:r>
    </w:p>
    <w:p w14:paraId="5DC06D79">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jc w:val="lef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1.2.1质疑书应当包括以下主要内容：被质疑项目名称、项目编号、磋商文件获取日期、质疑事项、证据及来源线索、法律依据(具体条款)、政府采购活动中自己权益受到侵害的实质内容、质疑人有效联系方式等。</w:t>
      </w:r>
    </w:p>
    <w:p w14:paraId="5258D3F8">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jc w:val="lef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1.2.2质疑书应当由法定代表人或授权代表签字或盖章，并加盖单位公章，公章不得以合同章或其他印章代替，并附法人身份证明。</w:t>
      </w:r>
    </w:p>
    <w:p w14:paraId="72F693F6">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jc w:val="lef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1.2.3质疑人可以委托代理人办理质疑事项，代理人办理质疑事项时，除提交质疑书外，还应当提交质疑人的授权委托书及代理人的有效身份证明，授权委托书应当载明委托代理的具体权限和事项。</w:t>
      </w:r>
    </w:p>
    <w:p w14:paraId="5BF42415">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jc w:val="lef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1.2.4质疑函范本格式在中国政府采购网站(http://www.ccgp.gov.cn/)自行下载。</w:t>
      </w:r>
    </w:p>
    <w:p w14:paraId="6DA1E8C0">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jc w:val="lef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1.2.5接收质疑函的联系部门、联系电话和通讯地址同采购公告。</w:t>
      </w:r>
    </w:p>
    <w:p w14:paraId="67DF9C5A">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jc w:val="lef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1.2.6有下列情形之一的，属于无效质疑，采购代理机构和采购人不予受理：</w:t>
      </w:r>
    </w:p>
    <w:p w14:paraId="3A72070A">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jc w:val="lef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(1)质疑人不是参与本次政府采购项目的供应商；</w:t>
      </w:r>
    </w:p>
    <w:p w14:paraId="72D04EFC">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jc w:val="lef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(2)质疑人与质疑事项不存在利害关系的；</w:t>
      </w:r>
    </w:p>
    <w:p w14:paraId="5353F9B2">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jc w:val="lef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(3)未在法定期限内提出质疑的；</w:t>
      </w:r>
    </w:p>
    <w:p w14:paraId="121A7440">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jc w:val="lef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(4)质疑未以书面形式提出，以传真、电子邮件、移动通信等形式即时收悉提交的质疑材料；</w:t>
      </w:r>
    </w:p>
    <w:p w14:paraId="0FA2F776">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jc w:val="lef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(5)质疑未按质疑函范本格式提出的；</w:t>
      </w:r>
    </w:p>
    <w:p w14:paraId="0A4576AF">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jc w:val="lef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(6)质疑书主要内容构成不完整的；</w:t>
      </w:r>
    </w:p>
    <w:p w14:paraId="1A74F136">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jc w:val="lef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(7)质疑书没有合法有效的签字、盖章或授权的；</w:t>
      </w:r>
    </w:p>
    <w:p w14:paraId="6A8DB142">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jc w:val="lef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(8)以非法手段取得证据、材料的；</w:t>
      </w:r>
    </w:p>
    <w:p w14:paraId="5DDA7E67">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jc w:val="lef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(9)质疑答复后，同一质疑人就同一事项再次提出质疑的；</w:t>
      </w:r>
    </w:p>
    <w:p w14:paraId="7093CD59">
      <w:pPr>
        <w:keepNext w:val="0"/>
        <w:keepLines w:val="0"/>
        <w:pageBreakBefore w:val="0"/>
        <w:widowControl w:val="0"/>
        <w:kinsoku/>
        <w:wordWrap/>
        <w:overflowPunct/>
        <w:topLinePunct w:val="0"/>
        <w:autoSpaceDE/>
        <w:autoSpaceDN/>
        <w:bidi w:val="0"/>
        <w:spacing w:line="540" w:lineRule="exact"/>
        <w:ind w:left="0" w:leftChars="0" w:right="0" w:rightChars="0" w:firstLine="500" w:firstLineChars="200"/>
        <w:jc w:val="lef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(10)不符合法律、法规、规章和政府采购监管机构规定的其他条件的。</w:t>
      </w:r>
    </w:p>
    <w:p w14:paraId="3A0461A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00" w:firstLineChars="200"/>
        <w:jc w:val="lef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1.2.7采购代理机构或采购人将在收到书面质疑后7个工作日内做出答复，并以书面形式通知质疑人和其他有关投标供应商。</w:t>
      </w:r>
    </w:p>
    <w:p w14:paraId="448A991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00" w:firstLineChars="200"/>
        <w:jc w:val="lef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2.投诉</w:t>
      </w:r>
    </w:p>
    <w:p w14:paraId="22675F5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00" w:firstLineChars="200"/>
        <w:jc w:val="lef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供应商和其他</w:t>
      </w:r>
      <w:r>
        <w:rPr>
          <w:rFonts w:hint="eastAsia" w:ascii="宋体" w:hAnsi="宋体" w:cs="宋体"/>
          <w:bCs/>
          <w:color w:val="auto"/>
          <w:sz w:val="24"/>
          <w:szCs w:val="24"/>
          <w:highlight w:val="none"/>
          <w:lang w:eastAsia="zh-CN"/>
        </w:rPr>
        <w:t>利害</w:t>
      </w:r>
      <w:r>
        <w:rPr>
          <w:rFonts w:hint="eastAsia" w:ascii="宋体" w:hAnsi="宋体" w:cs="宋体"/>
          <w:bCs/>
          <w:color w:val="auto"/>
          <w:sz w:val="24"/>
          <w:szCs w:val="24"/>
          <w:highlight w:val="none"/>
        </w:rPr>
        <w:t>关系人认为本次磋商采购活动违反法律、法规和规章规定的，有权向有关行政监督机构投诉。</w:t>
      </w:r>
    </w:p>
    <w:p w14:paraId="4140786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00" w:firstLineChars="200"/>
        <w:jc w:val="lef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2.1质疑人对采购代理机构或采购人的答复不满意，以及采购代理机构或采购人未在规定时间内做出答复的，可以在答复期满后15个工作日内向政府采购监管机构提出投诉。</w:t>
      </w:r>
    </w:p>
    <w:p w14:paraId="786C265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00" w:firstLineChars="200"/>
        <w:jc w:val="lef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2.2供应商投诉的事项不得超出已质疑事项的范围。</w:t>
      </w:r>
    </w:p>
    <w:p w14:paraId="3E7C052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00" w:firstLineChars="200"/>
        <w:jc w:val="lef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2.3投诉书范本格式在中国政府采购网站（http://www.ccgp.gov.cn/）自行下载。</w:t>
      </w:r>
    </w:p>
    <w:p w14:paraId="657A70E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00" w:firstLineChars="200"/>
        <w:jc w:val="left"/>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十、其他</w:t>
      </w:r>
    </w:p>
    <w:p w14:paraId="6739D8D6">
      <w:pPr>
        <w:keepNext w:val="0"/>
        <w:keepLines w:val="0"/>
        <w:pageBreakBefore w:val="0"/>
        <w:widowControl w:val="0"/>
        <w:kinsoku/>
        <w:wordWrap/>
        <w:overflowPunct/>
        <w:topLinePunct w:val="0"/>
        <w:autoSpaceDE/>
        <w:autoSpaceDN/>
        <w:bidi w:val="0"/>
        <w:spacing w:line="520" w:lineRule="exact"/>
        <w:ind w:firstLine="500" w:firstLineChars="200"/>
        <w:textAlignment w:val="auto"/>
        <w:outlineLvl w:val="9"/>
        <w:rPr>
          <w:rFonts w:ascii="宋体" w:hAnsi="宋体" w:cs="宋体"/>
          <w:bCs/>
          <w:color w:val="auto"/>
          <w:sz w:val="24"/>
          <w:szCs w:val="24"/>
          <w:highlight w:val="none"/>
        </w:rPr>
      </w:pPr>
      <w:bookmarkStart w:id="25" w:name="_Toc8148_WPSOffice_Level1"/>
      <w:bookmarkStart w:id="26" w:name="_Toc17500"/>
      <w:r>
        <w:rPr>
          <w:rFonts w:hint="eastAsia" w:ascii="宋体" w:hAnsi="宋体" w:cs="宋体"/>
          <w:bCs/>
          <w:color w:val="auto"/>
          <w:sz w:val="24"/>
          <w:szCs w:val="24"/>
          <w:highlight w:val="none"/>
        </w:rPr>
        <w:t>1、如果发生下列情况之一的，采购人或采购代理机构将按《政府采购竞争性磋商采购方式管理暂行办法》等有关规定重新组织采购：</w:t>
      </w:r>
    </w:p>
    <w:p w14:paraId="2885CF52">
      <w:pPr>
        <w:keepNext w:val="0"/>
        <w:keepLines w:val="0"/>
        <w:pageBreakBefore w:val="0"/>
        <w:widowControl w:val="0"/>
        <w:kinsoku/>
        <w:wordWrap/>
        <w:overflowPunct/>
        <w:topLinePunct w:val="0"/>
        <w:autoSpaceDE/>
        <w:autoSpaceDN/>
        <w:bidi w:val="0"/>
        <w:spacing w:line="520" w:lineRule="exact"/>
        <w:ind w:firstLine="500" w:firstLineChars="200"/>
        <w:textAlignment w:val="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1.1因情况变化，不再符合规定的竞争性磋商采购方式适用情形的；</w:t>
      </w:r>
    </w:p>
    <w:p w14:paraId="40A96B77">
      <w:pPr>
        <w:keepNext w:val="0"/>
        <w:keepLines w:val="0"/>
        <w:pageBreakBefore w:val="0"/>
        <w:widowControl w:val="0"/>
        <w:kinsoku/>
        <w:wordWrap/>
        <w:overflowPunct/>
        <w:topLinePunct w:val="0"/>
        <w:autoSpaceDE/>
        <w:autoSpaceDN/>
        <w:bidi w:val="0"/>
        <w:spacing w:line="520" w:lineRule="exact"/>
        <w:ind w:firstLine="500" w:firstLineChars="200"/>
        <w:textAlignment w:val="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1.2出现影响采购公正的违法、违规行为的；</w:t>
      </w:r>
    </w:p>
    <w:p w14:paraId="3FCCB5E9">
      <w:pPr>
        <w:keepNext w:val="0"/>
        <w:keepLines w:val="0"/>
        <w:pageBreakBefore w:val="0"/>
        <w:widowControl w:val="0"/>
        <w:kinsoku/>
        <w:wordWrap/>
        <w:overflowPunct/>
        <w:topLinePunct w:val="0"/>
        <w:autoSpaceDE/>
        <w:autoSpaceDN/>
        <w:bidi w:val="0"/>
        <w:spacing w:line="520" w:lineRule="exact"/>
        <w:ind w:firstLine="500" w:firstLineChars="200"/>
        <w:textAlignment w:val="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1.3磋商小组三分之二以上的专家认定所有磋商报价存在价格不实的现象；</w:t>
      </w:r>
    </w:p>
    <w:p w14:paraId="7ADB11E2">
      <w:pPr>
        <w:keepNext w:val="0"/>
        <w:keepLines w:val="0"/>
        <w:pageBreakBefore w:val="0"/>
        <w:widowControl w:val="0"/>
        <w:kinsoku/>
        <w:wordWrap/>
        <w:overflowPunct/>
        <w:topLinePunct w:val="0"/>
        <w:autoSpaceDE/>
        <w:autoSpaceDN/>
        <w:bidi w:val="0"/>
        <w:spacing w:line="520" w:lineRule="exact"/>
        <w:ind w:firstLine="500" w:firstLineChars="200"/>
        <w:textAlignment w:val="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1.4提交最后报价的供应商不足三家的；</w:t>
      </w:r>
    </w:p>
    <w:p w14:paraId="633209C0">
      <w:pPr>
        <w:keepNext w:val="0"/>
        <w:keepLines w:val="0"/>
        <w:pageBreakBefore w:val="0"/>
        <w:widowControl w:val="0"/>
        <w:kinsoku/>
        <w:wordWrap/>
        <w:overflowPunct/>
        <w:topLinePunct w:val="0"/>
        <w:autoSpaceDE/>
        <w:autoSpaceDN/>
        <w:bidi w:val="0"/>
        <w:spacing w:line="520" w:lineRule="exact"/>
        <w:ind w:firstLine="500" w:firstLineChars="200"/>
        <w:textAlignment w:val="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1.5除《政府采购竞争性磋商采购方式管理暂行办法》第二十一条第三款规定的情形外，在采购过程中符合要求的供应商或者报价未超过</w:t>
      </w:r>
      <w:r>
        <w:rPr>
          <w:rFonts w:hint="eastAsia" w:ascii="宋体" w:hAnsi="宋体" w:cs="宋体"/>
          <w:bCs/>
          <w:color w:val="auto"/>
          <w:sz w:val="24"/>
          <w:szCs w:val="24"/>
          <w:highlight w:val="none"/>
          <w:lang w:eastAsia="zh-CN"/>
        </w:rPr>
        <w:t>最高限价</w:t>
      </w:r>
      <w:r>
        <w:rPr>
          <w:rFonts w:hint="eastAsia" w:ascii="宋体" w:hAnsi="宋体" w:cs="宋体"/>
          <w:bCs/>
          <w:color w:val="auto"/>
          <w:sz w:val="24"/>
          <w:szCs w:val="24"/>
          <w:highlight w:val="none"/>
        </w:rPr>
        <w:t>（未设定最高限价的采购项目，以采购项目预算金额作为最高限价）的供应商不足三家的。</w:t>
      </w:r>
    </w:p>
    <w:p w14:paraId="2E598582">
      <w:pPr>
        <w:keepNext w:val="0"/>
        <w:keepLines w:val="0"/>
        <w:pageBreakBefore w:val="0"/>
        <w:widowControl w:val="0"/>
        <w:numPr>
          <w:ilvl w:val="0"/>
          <w:numId w:val="0"/>
        </w:numPr>
        <w:kinsoku/>
        <w:wordWrap/>
        <w:overflowPunct/>
        <w:topLinePunct w:val="0"/>
        <w:autoSpaceDE/>
        <w:autoSpaceDN/>
        <w:bidi w:val="0"/>
        <w:spacing w:line="520" w:lineRule="exact"/>
        <w:ind w:left="0" w:leftChars="0" w:right="0" w:rightChars="0" w:firstLine="500" w:firstLineChars="200"/>
        <w:textAlignment w:val="auto"/>
        <w:rPr>
          <w:rFonts w:ascii="宋体" w:hAnsi="宋体" w:cs="宋体"/>
          <w:bCs/>
          <w:color w:val="auto"/>
          <w:sz w:val="24"/>
          <w:szCs w:val="24"/>
          <w:highlight w:val="none"/>
        </w:rPr>
      </w:pPr>
      <w:r>
        <w:rPr>
          <w:rFonts w:ascii="宋体" w:hAnsi="宋体" w:eastAsia="宋体" w:cs="宋体"/>
          <w:bCs/>
          <w:color w:val="auto"/>
          <w:kern w:val="2"/>
          <w:sz w:val="24"/>
          <w:szCs w:val="24"/>
          <w:highlight w:val="none"/>
          <w:lang w:val="en-US" w:eastAsia="zh-CN" w:bidi="ar-SA"/>
        </w:rPr>
        <w:t>2、</w:t>
      </w:r>
      <w:r>
        <w:rPr>
          <w:rFonts w:hint="eastAsia" w:ascii="宋体" w:hAnsi="宋体" w:cs="宋体"/>
          <w:bCs/>
          <w:color w:val="auto"/>
          <w:sz w:val="24"/>
          <w:szCs w:val="24"/>
          <w:highlight w:val="none"/>
        </w:rPr>
        <w:t>拒绝商业贿赂。遵照陕西省财政厅的规定，采购人、采购代理机构、供应商和评审专家在磋商活动中，都要签订相应的《拒绝政府采购领域商业贿赂承诺书》，并对违反承诺的行为承担全部责任。</w:t>
      </w:r>
    </w:p>
    <w:p w14:paraId="1CE7F6C8">
      <w:pPr>
        <w:keepNext w:val="0"/>
        <w:keepLines w:val="0"/>
        <w:pageBreakBefore w:val="0"/>
        <w:widowControl w:val="0"/>
        <w:kinsoku/>
        <w:wordWrap/>
        <w:overflowPunct/>
        <w:topLinePunct w:val="0"/>
        <w:autoSpaceDE/>
        <w:autoSpaceDN/>
        <w:bidi w:val="0"/>
        <w:adjustRightInd/>
        <w:snapToGrid/>
        <w:spacing w:before="196" w:beforeLines="50" w:after="196" w:afterLines="50" w:line="700" w:lineRule="exact"/>
        <w:ind w:left="0" w:leftChars="0" w:right="0" w:rightChars="0" w:firstLine="0" w:firstLineChars="0"/>
        <w:jc w:val="center"/>
        <w:textAlignment w:val="auto"/>
        <w:outlineLvl w:val="0"/>
        <w:rPr>
          <w:rFonts w:hint="eastAsia" w:ascii="宋体" w:hAnsi="宋体" w:cs="宋体"/>
          <w:b/>
          <w:color w:val="auto"/>
          <w:kern w:val="0"/>
          <w:sz w:val="24"/>
          <w:szCs w:val="24"/>
          <w:highlight w:val="none"/>
        </w:rPr>
      </w:pPr>
    </w:p>
    <w:p w14:paraId="30718F5F">
      <w:pPr>
        <w:keepNext w:val="0"/>
        <w:keepLines w:val="0"/>
        <w:pageBreakBefore w:val="0"/>
        <w:widowControl w:val="0"/>
        <w:kinsoku/>
        <w:wordWrap/>
        <w:overflowPunct/>
        <w:topLinePunct w:val="0"/>
        <w:autoSpaceDE/>
        <w:autoSpaceDN/>
        <w:bidi w:val="0"/>
        <w:adjustRightInd/>
        <w:snapToGrid/>
        <w:spacing w:before="196" w:beforeLines="50" w:after="196" w:afterLines="50" w:line="700" w:lineRule="exact"/>
        <w:ind w:left="0" w:leftChars="0" w:right="0" w:rightChars="0" w:firstLine="0" w:firstLineChars="0"/>
        <w:jc w:val="center"/>
        <w:textAlignment w:val="auto"/>
        <w:outlineLvl w:val="0"/>
        <w:rPr>
          <w:rFonts w:hint="eastAsia" w:ascii="宋体" w:hAnsi="宋体" w:cs="宋体"/>
          <w:b/>
          <w:color w:val="auto"/>
          <w:kern w:val="0"/>
          <w:sz w:val="24"/>
          <w:szCs w:val="24"/>
          <w:highlight w:val="none"/>
        </w:rPr>
      </w:pPr>
    </w:p>
    <w:p w14:paraId="31AB2996">
      <w:pPr>
        <w:keepNext w:val="0"/>
        <w:keepLines w:val="0"/>
        <w:pageBreakBefore w:val="0"/>
        <w:widowControl w:val="0"/>
        <w:kinsoku/>
        <w:wordWrap/>
        <w:overflowPunct/>
        <w:topLinePunct w:val="0"/>
        <w:autoSpaceDE/>
        <w:autoSpaceDN/>
        <w:bidi w:val="0"/>
        <w:adjustRightInd/>
        <w:snapToGrid/>
        <w:spacing w:before="196" w:beforeLines="50" w:after="196" w:afterLines="50" w:line="700" w:lineRule="exact"/>
        <w:ind w:left="0" w:leftChars="0" w:right="0" w:rightChars="0" w:firstLine="0" w:firstLineChars="0"/>
        <w:jc w:val="center"/>
        <w:textAlignment w:val="auto"/>
        <w:outlineLvl w:val="0"/>
        <w:rPr>
          <w:rFonts w:hint="eastAsia" w:ascii="宋体" w:hAnsi="宋体" w:cs="宋体"/>
          <w:b/>
          <w:color w:val="auto"/>
          <w:kern w:val="0"/>
          <w:sz w:val="24"/>
          <w:szCs w:val="24"/>
          <w:highlight w:val="none"/>
        </w:rPr>
      </w:pPr>
    </w:p>
    <w:p w14:paraId="13C4BFB2">
      <w:pPr>
        <w:keepNext w:val="0"/>
        <w:keepLines w:val="0"/>
        <w:pageBreakBefore w:val="0"/>
        <w:widowControl w:val="0"/>
        <w:kinsoku/>
        <w:wordWrap/>
        <w:overflowPunct/>
        <w:topLinePunct w:val="0"/>
        <w:autoSpaceDE/>
        <w:autoSpaceDN/>
        <w:bidi w:val="0"/>
        <w:adjustRightInd/>
        <w:snapToGrid/>
        <w:spacing w:before="196" w:beforeLines="50" w:after="196" w:afterLines="50" w:line="700" w:lineRule="exact"/>
        <w:ind w:left="0" w:leftChars="0" w:right="0" w:rightChars="0" w:firstLine="0" w:firstLineChars="0"/>
        <w:jc w:val="center"/>
        <w:textAlignment w:val="auto"/>
        <w:outlineLvl w:val="0"/>
        <w:rPr>
          <w:rFonts w:hint="eastAsia" w:ascii="宋体" w:hAnsi="宋体" w:cs="宋体"/>
          <w:b/>
          <w:color w:val="auto"/>
          <w:kern w:val="0"/>
          <w:sz w:val="24"/>
          <w:szCs w:val="24"/>
          <w:highlight w:val="none"/>
        </w:rPr>
      </w:pPr>
    </w:p>
    <w:p w14:paraId="76681D9F">
      <w:pPr>
        <w:keepNext w:val="0"/>
        <w:keepLines w:val="0"/>
        <w:pageBreakBefore w:val="0"/>
        <w:widowControl w:val="0"/>
        <w:kinsoku/>
        <w:wordWrap/>
        <w:overflowPunct/>
        <w:topLinePunct w:val="0"/>
        <w:autoSpaceDE/>
        <w:autoSpaceDN/>
        <w:bidi w:val="0"/>
        <w:adjustRightInd/>
        <w:snapToGrid/>
        <w:spacing w:before="196" w:beforeLines="50" w:after="196" w:afterLines="50" w:line="700" w:lineRule="exact"/>
        <w:ind w:left="0" w:leftChars="0" w:right="0" w:rightChars="0" w:firstLine="0" w:firstLineChars="0"/>
        <w:jc w:val="center"/>
        <w:textAlignment w:val="auto"/>
        <w:outlineLvl w:val="0"/>
        <w:rPr>
          <w:rFonts w:hint="eastAsia" w:ascii="宋体" w:hAnsi="宋体" w:cs="宋体"/>
          <w:b/>
          <w:color w:val="auto"/>
          <w:kern w:val="0"/>
          <w:sz w:val="24"/>
          <w:szCs w:val="24"/>
          <w:highlight w:val="none"/>
        </w:rPr>
      </w:pPr>
    </w:p>
    <w:p w14:paraId="34983CAF">
      <w:pPr>
        <w:keepNext w:val="0"/>
        <w:keepLines w:val="0"/>
        <w:pageBreakBefore w:val="0"/>
        <w:widowControl w:val="0"/>
        <w:kinsoku/>
        <w:wordWrap/>
        <w:overflowPunct/>
        <w:topLinePunct w:val="0"/>
        <w:autoSpaceDE/>
        <w:autoSpaceDN/>
        <w:bidi w:val="0"/>
        <w:adjustRightInd/>
        <w:snapToGrid/>
        <w:spacing w:before="196" w:beforeLines="50" w:after="196" w:afterLines="50" w:line="700" w:lineRule="exact"/>
        <w:ind w:left="0" w:leftChars="0" w:right="0" w:rightChars="0" w:firstLine="0" w:firstLineChars="0"/>
        <w:jc w:val="center"/>
        <w:textAlignment w:val="auto"/>
        <w:outlineLvl w:val="0"/>
        <w:rPr>
          <w:rFonts w:hint="eastAsia" w:ascii="宋体" w:hAnsi="宋体" w:cs="宋体"/>
          <w:b/>
          <w:color w:val="auto"/>
          <w:kern w:val="0"/>
          <w:sz w:val="24"/>
          <w:szCs w:val="24"/>
          <w:highlight w:val="none"/>
        </w:rPr>
      </w:pPr>
    </w:p>
    <w:p w14:paraId="3926C29C">
      <w:pPr>
        <w:keepNext w:val="0"/>
        <w:keepLines w:val="0"/>
        <w:pageBreakBefore w:val="0"/>
        <w:widowControl w:val="0"/>
        <w:kinsoku/>
        <w:wordWrap/>
        <w:overflowPunct/>
        <w:topLinePunct w:val="0"/>
        <w:autoSpaceDE/>
        <w:autoSpaceDN/>
        <w:bidi w:val="0"/>
        <w:adjustRightInd/>
        <w:snapToGrid/>
        <w:spacing w:before="196" w:beforeLines="50" w:after="196" w:afterLines="50" w:line="700" w:lineRule="exact"/>
        <w:ind w:left="0" w:leftChars="0" w:right="0" w:rightChars="0" w:firstLine="0" w:firstLineChars="0"/>
        <w:jc w:val="center"/>
        <w:textAlignment w:val="auto"/>
        <w:outlineLvl w:val="0"/>
        <w:rPr>
          <w:rFonts w:hint="eastAsia" w:ascii="宋体" w:hAnsi="宋体" w:cs="宋体"/>
          <w:b/>
          <w:color w:val="auto"/>
          <w:kern w:val="0"/>
          <w:sz w:val="24"/>
          <w:szCs w:val="24"/>
          <w:highlight w:val="none"/>
        </w:rPr>
      </w:pPr>
    </w:p>
    <w:p w14:paraId="0E445992">
      <w:pPr>
        <w:keepNext w:val="0"/>
        <w:keepLines w:val="0"/>
        <w:pageBreakBefore w:val="0"/>
        <w:widowControl w:val="0"/>
        <w:kinsoku/>
        <w:wordWrap/>
        <w:overflowPunct/>
        <w:topLinePunct w:val="0"/>
        <w:autoSpaceDE/>
        <w:autoSpaceDN/>
        <w:bidi w:val="0"/>
        <w:adjustRightInd/>
        <w:snapToGrid/>
        <w:spacing w:before="196" w:beforeLines="50" w:after="196" w:afterLines="50" w:line="700" w:lineRule="exact"/>
        <w:ind w:left="0" w:leftChars="0" w:right="0" w:rightChars="0" w:firstLine="0" w:firstLineChars="0"/>
        <w:jc w:val="center"/>
        <w:textAlignment w:val="auto"/>
        <w:outlineLvl w:val="0"/>
        <w:rPr>
          <w:rFonts w:hint="eastAsia" w:ascii="宋体" w:hAnsi="宋体" w:cs="宋体"/>
          <w:b/>
          <w:color w:val="auto"/>
          <w:kern w:val="0"/>
          <w:sz w:val="24"/>
          <w:szCs w:val="24"/>
          <w:highlight w:val="none"/>
        </w:rPr>
      </w:pPr>
    </w:p>
    <w:p w14:paraId="5FBBD32F">
      <w:pPr>
        <w:pStyle w:val="47"/>
        <w:ind w:left="0" w:leftChars="0" w:firstLine="0" w:firstLineChars="0"/>
        <w:rPr>
          <w:rFonts w:hint="eastAsia"/>
          <w:highlight w:val="none"/>
        </w:rPr>
      </w:pPr>
    </w:p>
    <w:bookmarkEnd w:id="25"/>
    <w:bookmarkEnd w:id="26"/>
    <w:p w14:paraId="4B43D7BD">
      <w:pPr>
        <w:keepNext w:val="0"/>
        <w:keepLines w:val="0"/>
        <w:pageBreakBefore w:val="0"/>
        <w:widowControl/>
        <w:numPr>
          <w:ilvl w:val="0"/>
          <w:numId w:val="4"/>
        </w:numPr>
        <w:kinsoku/>
        <w:wordWrap/>
        <w:overflowPunct/>
        <w:topLinePunct w:val="0"/>
        <w:autoSpaceDE/>
        <w:autoSpaceDN/>
        <w:bidi w:val="0"/>
        <w:adjustRightInd/>
        <w:snapToGrid/>
        <w:spacing w:line="526" w:lineRule="exact"/>
        <w:ind w:right="0" w:rightChars="0"/>
        <w:jc w:val="center"/>
        <w:textAlignment w:val="auto"/>
        <w:rPr>
          <w:rFonts w:hint="eastAsia" w:ascii="宋体" w:hAnsi="宋体" w:eastAsia="宋体" w:cs="宋体"/>
          <w:b/>
          <w:bCs/>
          <w:kern w:val="0"/>
          <w:sz w:val="28"/>
          <w:szCs w:val="28"/>
          <w:highlight w:val="none"/>
        </w:rPr>
      </w:pPr>
      <w:bookmarkStart w:id="27" w:name="_Toc5038_WPSOffice_Level1"/>
      <w:bookmarkStart w:id="28" w:name="_Toc24614"/>
      <w:r>
        <w:rPr>
          <w:rFonts w:hint="eastAsia" w:ascii="宋体" w:hAnsi="宋体" w:eastAsia="宋体" w:cs="宋体"/>
          <w:b/>
          <w:bCs/>
          <w:kern w:val="0"/>
          <w:sz w:val="28"/>
          <w:szCs w:val="28"/>
          <w:highlight w:val="none"/>
        </w:rPr>
        <w:t>采购内容及要求</w:t>
      </w:r>
    </w:p>
    <w:p w14:paraId="730FB459">
      <w:pPr>
        <w:keepNext w:val="0"/>
        <w:keepLines w:val="0"/>
        <w:pageBreakBefore w:val="0"/>
        <w:widowControl/>
        <w:numPr>
          <w:ilvl w:val="0"/>
          <w:numId w:val="0"/>
        </w:numPr>
        <w:kinsoku/>
        <w:wordWrap/>
        <w:overflowPunct/>
        <w:topLinePunct w:val="0"/>
        <w:autoSpaceDE/>
        <w:autoSpaceDN/>
        <w:bidi w:val="0"/>
        <w:adjustRightInd/>
        <w:snapToGrid/>
        <w:spacing w:line="526" w:lineRule="exact"/>
        <w:ind w:right="0" w:rightChars="0"/>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一、项目基本情况：</w:t>
      </w:r>
    </w:p>
    <w:p w14:paraId="6BAF864A">
      <w:pPr>
        <w:keepNext w:val="0"/>
        <w:keepLines w:val="0"/>
        <w:pageBreakBefore w:val="0"/>
        <w:numPr>
          <w:ilvl w:val="0"/>
          <w:numId w:val="0"/>
        </w:numPr>
        <w:kinsoku/>
        <w:wordWrap/>
        <w:overflowPunct/>
        <w:topLinePunct w:val="0"/>
        <w:autoSpaceDE/>
        <w:autoSpaceDN/>
        <w:bidi w:val="0"/>
        <w:adjustRightInd/>
        <w:snapToGrid/>
        <w:spacing w:line="526" w:lineRule="exact"/>
        <w:ind w:leftChars="200" w:right="0" w:rightChars="0"/>
        <w:jc w:val="both"/>
        <w:textAlignment w:val="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w:t>
      </w:r>
      <w:r>
        <w:rPr>
          <w:rFonts w:hint="eastAsia" w:ascii="宋体" w:hAnsi="宋体" w:cs="宋体"/>
          <w:b w:val="0"/>
          <w:bCs w:val="0"/>
          <w:color w:val="auto"/>
          <w:kern w:val="0"/>
          <w:sz w:val="24"/>
          <w:szCs w:val="24"/>
          <w:highlight w:val="none"/>
          <w:lang w:eastAsia="zh-CN"/>
        </w:rPr>
        <w:t>项目名称：</w:t>
      </w:r>
      <w:r>
        <w:rPr>
          <w:rFonts w:hint="eastAsia" w:ascii="宋体" w:hAnsi="宋体" w:cs="宋体"/>
          <w:b w:val="0"/>
          <w:bCs w:val="0"/>
          <w:color w:val="auto"/>
          <w:kern w:val="0"/>
          <w:sz w:val="24"/>
          <w:szCs w:val="24"/>
          <w:highlight w:val="none"/>
          <w:lang w:val="en-US" w:eastAsia="zh-CN"/>
        </w:rPr>
        <w:t>秦雍城遗址秦公一号大墓祭祀坑保护展示工程监理（三次）</w:t>
      </w:r>
    </w:p>
    <w:p w14:paraId="02D043B2">
      <w:pPr>
        <w:keepNext w:val="0"/>
        <w:keepLines w:val="0"/>
        <w:pageBreakBefore w:val="0"/>
        <w:numPr>
          <w:ilvl w:val="0"/>
          <w:numId w:val="0"/>
        </w:numPr>
        <w:kinsoku/>
        <w:wordWrap/>
        <w:overflowPunct/>
        <w:topLinePunct w:val="0"/>
        <w:autoSpaceDE/>
        <w:autoSpaceDN/>
        <w:bidi w:val="0"/>
        <w:adjustRightInd/>
        <w:snapToGrid/>
        <w:spacing w:line="526" w:lineRule="exact"/>
        <w:ind w:leftChars="200" w:right="0" w:rightChars="0"/>
        <w:jc w:val="both"/>
        <w:textAlignment w:val="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w:t>
      </w:r>
      <w:r>
        <w:rPr>
          <w:rFonts w:hint="eastAsia" w:ascii="宋体" w:hAnsi="宋体" w:cs="宋体"/>
          <w:b w:val="0"/>
          <w:bCs w:val="0"/>
          <w:color w:val="auto"/>
          <w:kern w:val="0"/>
          <w:sz w:val="24"/>
          <w:szCs w:val="24"/>
          <w:highlight w:val="none"/>
          <w:lang w:eastAsia="zh-CN"/>
        </w:rPr>
        <w:t>项目地点：宝鸡先秦陵园博物馆</w:t>
      </w:r>
    </w:p>
    <w:p w14:paraId="2EF832B2">
      <w:pPr>
        <w:keepNext w:val="0"/>
        <w:keepLines w:val="0"/>
        <w:pageBreakBefore w:val="0"/>
        <w:numPr>
          <w:ilvl w:val="0"/>
          <w:numId w:val="0"/>
        </w:numPr>
        <w:kinsoku/>
        <w:wordWrap/>
        <w:overflowPunct/>
        <w:topLinePunct w:val="0"/>
        <w:autoSpaceDE/>
        <w:autoSpaceDN/>
        <w:bidi w:val="0"/>
        <w:adjustRightInd/>
        <w:snapToGrid/>
        <w:spacing w:line="526" w:lineRule="exact"/>
        <w:ind w:leftChars="200" w:right="0" w:rightChars="0"/>
        <w:jc w:val="both"/>
        <w:textAlignment w:val="auto"/>
        <w:rPr>
          <w:rFonts w:hint="eastAsia" w:ascii="宋体" w:hAnsi="宋体" w:cs="宋体"/>
          <w:b w:val="0"/>
          <w:bCs w:val="0"/>
          <w:color w:val="auto"/>
          <w:kern w:val="0"/>
          <w:sz w:val="24"/>
          <w:szCs w:val="24"/>
          <w:highlight w:val="none"/>
          <w:lang w:eastAsia="zh-CN"/>
        </w:rPr>
      </w:pPr>
      <w:r>
        <w:rPr>
          <w:rFonts w:hint="eastAsia" w:ascii="宋体" w:hAnsi="宋体" w:cs="宋体"/>
          <w:b w:val="0"/>
          <w:bCs w:val="0"/>
          <w:color w:val="auto"/>
          <w:kern w:val="0"/>
          <w:sz w:val="24"/>
          <w:szCs w:val="24"/>
          <w:highlight w:val="none"/>
          <w:lang w:val="en-US" w:eastAsia="zh-CN"/>
        </w:rPr>
        <w:t>3、</w:t>
      </w:r>
      <w:r>
        <w:rPr>
          <w:rFonts w:hint="eastAsia" w:ascii="宋体" w:hAnsi="宋体" w:cs="宋体"/>
          <w:b w:val="0"/>
          <w:bCs w:val="0"/>
          <w:color w:val="auto"/>
          <w:kern w:val="0"/>
          <w:sz w:val="24"/>
          <w:szCs w:val="24"/>
          <w:highlight w:val="none"/>
          <w:lang w:eastAsia="zh-CN"/>
        </w:rPr>
        <w:t>服务内容：</w:t>
      </w:r>
      <w:r>
        <w:rPr>
          <w:rFonts w:hint="default" w:ascii="宋体" w:hAnsi="宋体" w:eastAsia="宋体" w:cs="宋体"/>
          <w:color w:val="auto"/>
          <w:kern w:val="0"/>
          <w:sz w:val="24"/>
          <w:szCs w:val="22"/>
          <w:highlight w:val="none"/>
          <w:lang w:val="en-US" w:eastAsia="zh-CN" w:bidi="ar-SA"/>
        </w:rPr>
        <w:t>整个工程建设期</w:t>
      </w:r>
      <w:r>
        <w:rPr>
          <w:rFonts w:hint="eastAsia" w:ascii="宋体" w:hAnsi="宋体" w:eastAsia="宋体" w:cs="宋体"/>
          <w:color w:val="auto"/>
          <w:kern w:val="0"/>
          <w:sz w:val="24"/>
          <w:szCs w:val="22"/>
          <w:highlight w:val="none"/>
          <w:lang w:val="en-US" w:eastAsia="zh-CN" w:bidi="ar-SA"/>
        </w:rPr>
        <w:t>监理服务</w:t>
      </w:r>
    </w:p>
    <w:p w14:paraId="05DF709B">
      <w:pPr>
        <w:keepNext w:val="0"/>
        <w:keepLines w:val="0"/>
        <w:pageBreakBefore w:val="0"/>
        <w:numPr>
          <w:ilvl w:val="0"/>
          <w:numId w:val="0"/>
        </w:numPr>
        <w:kinsoku/>
        <w:wordWrap/>
        <w:overflowPunct/>
        <w:topLinePunct w:val="0"/>
        <w:autoSpaceDE/>
        <w:autoSpaceDN/>
        <w:bidi w:val="0"/>
        <w:adjustRightInd/>
        <w:snapToGrid/>
        <w:spacing w:line="526" w:lineRule="exact"/>
        <w:ind w:right="0" w:rightChars="0"/>
        <w:jc w:val="both"/>
        <w:textAlignment w:val="auto"/>
        <w:rPr>
          <w:rFonts w:ascii="宋体" w:hAnsi="宋体" w:cs="宋体"/>
          <w:color w:val="auto"/>
          <w:kern w:val="0"/>
          <w:sz w:val="24"/>
          <w:szCs w:val="24"/>
          <w:highlight w:val="none"/>
        </w:rPr>
      </w:pPr>
      <w:r>
        <w:rPr>
          <w:rFonts w:hint="eastAsia" w:ascii="宋体" w:hAnsi="宋体" w:cs="宋体"/>
          <w:b/>
          <w:bCs/>
          <w:color w:val="auto"/>
          <w:kern w:val="0"/>
          <w:sz w:val="24"/>
          <w:szCs w:val="24"/>
          <w:highlight w:val="none"/>
          <w:lang w:eastAsia="zh-CN"/>
        </w:rPr>
        <w:t>二、</w:t>
      </w:r>
      <w:r>
        <w:rPr>
          <w:rFonts w:hint="eastAsia" w:ascii="宋体" w:hAnsi="宋体" w:cs="宋体"/>
          <w:b/>
          <w:bCs/>
          <w:color w:val="auto"/>
          <w:kern w:val="0"/>
          <w:sz w:val="24"/>
          <w:szCs w:val="24"/>
          <w:highlight w:val="none"/>
        </w:rPr>
        <w:t>商务要求</w:t>
      </w:r>
    </w:p>
    <w:p w14:paraId="36448B81">
      <w:pPr>
        <w:keepNext w:val="0"/>
        <w:keepLines w:val="0"/>
        <w:pageBreakBefore w:val="0"/>
        <w:numPr>
          <w:ilvl w:val="0"/>
          <w:numId w:val="0"/>
        </w:numPr>
        <w:kinsoku/>
        <w:wordWrap/>
        <w:overflowPunct/>
        <w:topLinePunct w:val="0"/>
        <w:autoSpaceDE/>
        <w:autoSpaceDN/>
        <w:bidi w:val="0"/>
        <w:adjustRightInd/>
        <w:snapToGrid/>
        <w:spacing w:line="526" w:lineRule="exact"/>
        <w:ind w:leftChars="200" w:right="0" w:rightChars="0"/>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1、服务期：</w:t>
      </w:r>
      <w:r>
        <w:rPr>
          <w:rFonts w:hint="eastAsia" w:ascii="宋体" w:hAnsi="宋体" w:cs="宋体"/>
          <w:color w:val="auto"/>
          <w:kern w:val="0"/>
          <w:sz w:val="24"/>
          <w:szCs w:val="24"/>
          <w:highlight w:val="none"/>
          <w:lang w:val="en-US" w:eastAsia="zh-CN"/>
        </w:rPr>
        <w:t>180日历天，直至施工缺陷责任期结束。</w:t>
      </w:r>
    </w:p>
    <w:p w14:paraId="3E19893F">
      <w:pPr>
        <w:keepNext w:val="0"/>
        <w:keepLines w:val="0"/>
        <w:pageBreakBefore w:val="0"/>
        <w:numPr>
          <w:ilvl w:val="0"/>
          <w:numId w:val="0"/>
        </w:numPr>
        <w:kinsoku/>
        <w:wordWrap/>
        <w:overflowPunct/>
        <w:topLinePunct w:val="0"/>
        <w:autoSpaceDE/>
        <w:autoSpaceDN/>
        <w:bidi w:val="0"/>
        <w:adjustRightInd/>
        <w:snapToGrid/>
        <w:spacing w:line="526" w:lineRule="exact"/>
        <w:ind w:leftChars="200" w:right="0" w:rightChars="0"/>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2、质量要求：按国家及行业规范验收合格</w:t>
      </w:r>
    </w:p>
    <w:p w14:paraId="680BCC83">
      <w:pPr>
        <w:keepNext w:val="0"/>
        <w:keepLines w:val="0"/>
        <w:pageBreakBefore w:val="0"/>
        <w:numPr>
          <w:ilvl w:val="0"/>
          <w:numId w:val="0"/>
        </w:numPr>
        <w:kinsoku/>
        <w:wordWrap/>
        <w:overflowPunct/>
        <w:topLinePunct w:val="0"/>
        <w:autoSpaceDE/>
        <w:autoSpaceDN/>
        <w:bidi w:val="0"/>
        <w:adjustRightInd/>
        <w:snapToGrid/>
        <w:spacing w:line="526" w:lineRule="exact"/>
        <w:ind w:leftChars="200" w:right="0" w:rightChars="0"/>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3、付款方式：</w:t>
      </w:r>
    </w:p>
    <w:p w14:paraId="05B0512B">
      <w:pPr>
        <w:keepNext w:val="0"/>
        <w:keepLines w:val="0"/>
        <w:pageBreakBefore w:val="0"/>
        <w:numPr>
          <w:ilvl w:val="0"/>
          <w:numId w:val="0"/>
        </w:numPr>
        <w:kinsoku/>
        <w:wordWrap/>
        <w:overflowPunct/>
        <w:topLinePunct w:val="0"/>
        <w:autoSpaceDE/>
        <w:autoSpaceDN/>
        <w:bidi w:val="0"/>
        <w:adjustRightInd/>
        <w:snapToGrid/>
        <w:spacing w:line="526" w:lineRule="exact"/>
        <w:ind w:right="0" w:rightChars="0" w:firstLine="500" w:firstLineChars="200"/>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第一期：合同签订7日内，付30%；第二期：完成祭祀坑展示复原主体工程付40%，第三期：周边环境改造提升施工完成，完成初验，付27%；第四期：完成终验后20个工作日一次性付清剩余3%。</w:t>
      </w:r>
    </w:p>
    <w:p w14:paraId="0D13A7E1">
      <w:pPr>
        <w:keepNext w:val="0"/>
        <w:keepLines w:val="0"/>
        <w:pageBreakBefore w:val="0"/>
        <w:numPr>
          <w:ilvl w:val="0"/>
          <w:numId w:val="0"/>
        </w:numPr>
        <w:kinsoku/>
        <w:wordWrap/>
        <w:overflowPunct/>
        <w:topLinePunct w:val="0"/>
        <w:autoSpaceDE/>
        <w:autoSpaceDN/>
        <w:bidi w:val="0"/>
        <w:adjustRightInd/>
        <w:snapToGrid/>
        <w:spacing w:line="526" w:lineRule="exact"/>
        <w:ind w:leftChars="200" w:right="0" w:rightChars="0"/>
        <w:jc w:val="both"/>
        <w:textAlignment w:val="auto"/>
        <w:rPr>
          <w:rFonts w:hint="eastAsia" w:ascii="宋体" w:hAnsi="宋体" w:eastAsia="宋体" w:cs="宋体"/>
          <w:b w:val="0"/>
          <w:bCs w:val="0"/>
          <w:color w:val="auto"/>
          <w:kern w:val="0"/>
          <w:sz w:val="24"/>
          <w:szCs w:val="24"/>
          <w:highlight w:val="none"/>
          <w:lang w:val="en-US" w:eastAsia="zh-CN"/>
        </w:rPr>
      </w:pPr>
    </w:p>
    <w:p w14:paraId="7926546E">
      <w:pPr>
        <w:keepNext w:val="0"/>
        <w:keepLines w:val="0"/>
        <w:pageBreakBefore w:val="0"/>
        <w:kinsoku/>
        <w:wordWrap/>
        <w:overflowPunct/>
        <w:topLinePunct w:val="0"/>
        <w:autoSpaceDE/>
        <w:autoSpaceDN/>
        <w:bidi w:val="0"/>
        <w:adjustRightInd/>
        <w:snapToGrid/>
        <w:spacing w:line="526" w:lineRule="exact"/>
        <w:textAlignment w:val="auto"/>
        <w:rPr>
          <w:rFonts w:hint="eastAsia"/>
          <w:sz w:val="24"/>
          <w:szCs w:val="24"/>
          <w:highlight w:val="none"/>
          <w:lang w:eastAsia="zh-CN"/>
        </w:rPr>
      </w:pPr>
    </w:p>
    <w:p w14:paraId="6E1064BC">
      <w:pPr>
        <w:keepNext w:val="0"/>
        <w:keepLines w:val="0"/>
        <w:pageBreakBefore w:val="0"/>
        <w:kinsoku/>
        <w:wordWrap/>
        <w:overflowPunct/>
        <w:topLinePunct w:val="0"/>
        <w:autoSpaceDE/>
        <w:autoSpaceDN/>
        <w:bidi w:val="0"/>
        <w:adjustRightInd/>
        <w:snapToGrid/>
        <w:spacing w:line="526" w:lineRule="exact"/>
        <w:textAlignment w:val="auto"/>
        <w:rPr>
          <w:rFonts w:hint="eastAsia"/>
          <w:sz w:val="24"/>
          <w:szCs w:val="24"/>
          <w:highlight w:val="none"/>
          <w:lang w:eastAsia="zh-CN"/>
        </w:rPr>
      </w:pPr>
    </w:p>
    <w:p w14:paraId="2672E6F0">
      <w:pPr>
        <w:keepNext w:val="0"/>
        <w:keepLines w:val="0"/>
        <w:pageBreakBefore w:val="0"/>
        <w:kinsoku/>
        <w:wordWrap/>
        <w:overflowPunct/>
        <w:topLinePunct w:val="0"/>
        <w:autoSpaceDE/>
        <w:autoSpaceDN/>
        <w:bidi w:val="0"/>
        <w:adjustRightInd/>
        <w:snapToGrid/>
        <w:spacing w:line="526" w:lineRule="exact"/>
        <w:textAlignment w:val="auto"/>
        <w:rPr>
          <w:rFonts w:hint="eastAsia"/>
          <w:sz w:val="24"/>
          <w:szCs w:val="24"/>
          <w:highlight w:val="none"/>
          <w:lang w:eastAsia="zh-CN"/>
        </w:rPr>
      </w:pPr>
    </w:p>
    <w:p w14:paraId="4BCB6633">
      <w:pPr>
        <w:keepNext w:val="0"/>
        <w:keepLines w:val="0"/>
        <w:pageBreakBefore w:val="0"/>
        <w:kinsoku/>
        <w:wordWrap/>
        <w:overflowPunct/>
        <w:topLinePunct w:val="0"/>
        <w:autoSpaceDE/>
        <w:autoSpaceDN/>
        <w:bidi w:val="0"/>
        <w:adjustRightInd/>
        <w:snapToGrid/>
        <w:spacing w:line="526" w:lineRule="exact"/>
        <w:textAlignment w:val="auto"/>
        <w:rPr>
          <w:rFonts w:hint="eastAsia"/>
          <w:sz w:val="24"/>
          <w:szCs w:val="24"/>
          <w:highlight w:val="none"/>
          <w:lang w:eastAsia="zh-CN"/>
        </w:rPr>
      </w:pPr>
    </w:p>
    <w:p w14:paraId="5D86430E">
      <w:pPr>
        <w:keepNext w:val="0"/>
        <w:keepLines w:val="0"/>
        <w:pageBreakBefore w:val="0"/>
        <w:kinsoku/>
        <w:wordWrap/>
        <w:overflowPunct/>
        <w:topLinePunct w:val="0"/>
        <w:autoSpaceDE/>
        <w:autoSpaceDN/>
        <w:bidi w:val="0"/>
        <w:adjustRightInd/>
        <w:snapToGrid/>
        <w:spacing w:line="526" w:lineRule="exact"/>
        <w:textAlignment w:val="auto"/>
        <w:rPr>
          <w:rFonts w:hint="eastAsia"/>
          <w:sz w:val="24"/>
          <w:szCs w:val="24"/>
          <w:highlight w:val="none"/>
          <w:lang w:eastAsia="zh-CN"/>
        </w:rPr>
      </w:pPr>
    </w:p>
    <w:p w14:paraId="6E00EAC5">
      <w:pPr>
        <w:keepNext w:val="0"/>
        <w:keepLines w:val="0"/>
        <w:pageBreakBefore w:val="0"/>
        <w:kinsoku/>
        <w:wordWrap/>
        <w:overflowPunct/>
        <w:topLinePunct w:val="0"/>
        <w:autoSpaceDE/>
        <w:autoSpaceDN/>
        <w:bidi w:val="0"/>
        <w:adjustRightInd/>
        <w:snapToGrid/>
        <w:spacing w:line="526" w:lineRule="exact"/>
        <w:textAlignment w:val="auto"/>
        <w:rPr>
          <w:rFonts w:hint="eastAsia"/>
          <w:sz w:val="24"/>
          <w:szCs w:val="24"/>
          <w:highlight w:val="none"/>
          <w:lang w:eastAsia="zh-CN"/>
        </w:rPr>
      </w:pPr>
    </w:p>
    <w:p w14:paraId="2BB8E26D">
      <w:pPr>
        <w:keepNext w:val="0"/>
        <w:keepLines w:val="0"/>
        <w:pageBreakBefore w:val="0"/>
        <w:kinsoku/>
        <w:wordWrap/>
        <w:overflowPunct/>
        <w:topLinePunct w:val="0"/>
        <w:autoSpaceDE/>
        <w:autoSpaceDN/>
        <w:bidi w:val="0"/>
        <w:adjustRightInd/>
        <w:snapToGrid/>
        <w:spacing w:line="526" w:lineRule="exact"/>
        <w:textAlignment w:val="auto"/>
        <w:rPr>
          <w:rFonts w:hint="eastAsia"/>
          <w:sz w:val="24"/>
          <w:szCs w:val="24"/>
          <w:highlight w:val="none"/>
          <w:lang w:eastAsia="zh-CN"/>
        </w:rPr>
      </w:pPr>
    </w:p>
    <w:p w14:paraId="6DF267CB">
      <w:pPr>
        <w:keepNext w:val="0"/>
        <w:keepLines w:val="0"/>
        <w:pageBreakBefore w:val="0"/>
        <w:kinsoku/>
        <w:wordWrap/>
        <w:overflowPunct/>
        <w:topLinePunct w:val="0"/>
        <w:autoSpaceDE/>
        <w:autoSpaceDN/>
        <w:bidi w:val="0"/>
        <w:adjustRightInd/>
        <w:snapToGrid/>
        <w:spacing w:line="526" w:lineRule="exact"/>
        <w:textAlignment w:val="auto"/>
        <w:rPr>
          <w:rFonts w:hint="eastAsia"/>
          <w:sz w:val="24"/>
          <w:szCs w:val="24"/>
          <w:highlight w:val="none"/>
          <w:lang w:eastAsia="zh-CN"/>
        </w:rPr>
      </w:pPr>
    </w:p>
    <w:p w14:paraId="4B90C48B">
      <w:pPr>
        <w:keepNext w:val="0"/>
        <w:keepLines w:val="0"/>
        <w:pageBreakBefore w:val="0"/>
        <w:kinsoku/>
        <w:wordWrap/>
        <w:overflowPunct/>
        <w:topLinePunct w:val="0"/>
        <w:autoSpaceDE/>
        <w:autoSpaceDN/>
        <w:bidi w:val="0"/>
        <w:adjustRightInd/>
        <w:snapToGrid/>
        <w:spacing w:line="526" w:lineRule="exact"/>
        <w:textAlignment w:val="auto"/>
        <w:rPr>
          <w:rFonts w:hint="eastAsia"/>
          <w:sz w:val="24"/>
          <w:szCs w:val="24"/>
          <w:highlight w:val="none"/>
          <w:lang w:eastAsia="zh-CN"/>
        </w:rPr>
      </w:pPr>
    </w:p>
    <w:p w14:paraId="2B54CD25">
      <w:pPr>
        <w:keepNext w:val="0"/>
        <w:keepLines w:val="0"/>
        <w:pageBreakBefore w:val="0"/>
        <w:kinsoku/>
        <w:wordWrap/>
        <w:overflowPunct/>
        <w:topLinePunct w:val="0"/>
        <w:autoSpaceDE/>
        <w:autoSpaceDN/>
        <w:bidi w:val="0"/>
        <w:adjustRightInd/>
        <w:snapToGrid/>
        <w:spacing w:line="526" w:lineRule="exact"/>
        <w:textAlignment w:val="auto"/>
        <w:rPr>
          <w:rFonts w:hint="eastAsia"/>
          <w:sz w:val="24"/>
          <w:szCs w:val="24"/>
          <w:highlight w:val="none"/>
          <w:lang w:eastAsia="zh-CN"/>
        </w:rPr>
      </w:pPr>
    </w:p>
    <w:p w14:paraId="3D13427A">
      <w:pPr>
        <w:keepNext w:val="0"/>
        <w:keepLines w:val="0"/>
        <w:pageBreakBefore w:val="0"/>
        <w:kinsoku/>
        <w:wordWrap/>
        <w:overflowPunct/>
        <w:topLinePunct w:val="0"/>
        <w:autoSpaceDE/>
        <w:autoSpaceDN/>
        <w:bidi w:val="0"/>
        <w:adjustRightInd/>
        <w:snapToGrid/>
        <w:spacing w:line="526" w:lineRule="exact"/>
        <w:textAlignment w:val="auto"/>
        <w:rPr>
          <w:rFonts w:hint="eastAsia"/>
          <w:sz w:val="24"/>
          <w:szCs w:val="24"/>
          <w:highlight w:val="none"/>
          <w:lang w:eastAsia="zh-CN"/>
        </w:rPr>
      </w:pPr>
    </w:p>
    <w:p w14:paraId="7559D1BA">
      <w:pPr>
        <w:pStyle w:val="5"/>
        <w:ind w:left="0" w:leftChars="0" w:firstLine="0" w:firstLineChars="0"/>
        <w:rPr>
          <w:rFonts w:hint="eastAsia"/>
          <w:sz w:val="24"/>
          <w:szCs w:val="24"/>
          <w:highlight w:val="none"/>
        </w:rPr>
      </w:pPr>
    </w:p>
    <w:p w14:paraId="1BD05C05">
      <w:pPr>
        <w:spacing w:afterLines="50" w:line="700" w:lineRule="exact"/>
        <w:jc w:val="center"/>
        <w:outlineLvl w:val="0"/>
        <w:rPr>
          <w:rFonts w:ascii="宋体" w:hAnsi="宋体" w:cs="宋体"/>
          <w:b/>
          <w:bCs w:val="0"/>
          <w:color w:val="auto"/>
          <w:sz w:val="28"/>
          <w:szCs w:val="28"/>
          <w:highlight w:val="none"/>
        </w:rPr>
      </w:pPr>
      <w:bookmarkStart w:id="29" w:name="_Toc16848"/>
      <w:bookmarkStart w:id="30" w:name="_Toc18172"/>
      <w:r>
        <w:rPr>
          <w:rFonts w:hint="eastAsia" w:ascii="宋体" w:hAnsi="宋体" w:cs="宋体"/>
          <w:b/>
          <w:bCs w:val="0"/>
          <w:color w:val="auto"/>
          <w:sz w:val="28"/>
          <w:szCs w:val="28"/>
          <w:highlight w:val="none"/>
        </w:rPr>
        <w:t>第四部分 合同条款</w:t>
      </w:r>
      <w:bookmarkEnd w:id="29"/>
    </w:p>
    <w:p w14:paraId="57D1616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cs="宋体"/>
          <w:b/>
          <w:color w:val="auto"/>
          <w:sz w:val="28"/>
          <w:szCs w:val="28"/>
          <w:highlight w:val="none"/>
        </w:rPr>
      </w:pPr>
      <w:bookmarkStart w:id="31" w:name="_Toc8205"/>
      <w:bookmarkStart w:id="32" w:name="_Toc7619"/>
      <w:r>
        <w:rPr>
          <w:rFonts w:hint="eastAsia" w:ascii="宋体" w:hAnsi="宋体" w:cs="宋体"/>
          <w:b/>
          <w:color w:val="auto"/>
          <w:sz w:val="28"/>
          <w:szCs w:val="28"/>
          <w:highlight w:val="none"/>
        </w:rPr>
        <w:t>合同条款及合同文件格式</w:t>
      </w:r>
      <w:bookmarkEnd w:id="31"/>
      <w:bookmarkEnd w:id="32"/>
    </w:p>
    <w:p w14:paraId="16BB7DD9">
      <w:pPr>
        <w:pStyle w:val="25"/>
        <w:outlineLvl w:val="0"/>
        <w:rPr>
          <w:rFonts w:hint="eastAsia" w:ascii="宋体" w:hAnsi="宋体" w:eastAsia="宋体" w:cs="宋体"/>
          <w:color w:val="auto"/>
          <w:sz w:val="28"/>
          <w:szCs w:val="20"/>
          <w:highlight w:val="none"/>
        </w:rPr>
      </w:pPr>
    </w:p>
    <w:p w14:paraId="279F1D3A">
      <w:pPr>
        <w:keepNext w:val="0"/>
        <w:keepLines w:val="0"/>
        <w:pageBreakBefore w:val="0"/>
        <w:widowControl w:val="0"/>
        <w:kinsoku/>
        <w:wordWrap/>
        <w:overflowPunct/>
        <w:topLinePunct w:val="0"/>
        <w:autoSpaceDE/>
        <w:autoSpaceDN/>
        <w:bidi w:val="0"/>
        <w:adjustRightInd/>
        <w:snapToGrid/>
        <w:jc w:val="right"/>
        <w:textAlignment w:val="auto"/>
        <w:outlineLvl w:val="9"/>
        <w:rPr>
          <w:rFonts w:hint="eastAsia" w:ascii="宋体" w:hAnsi="宋体" w:eastAsia="宋体" w:cs="宋体"/>
          <w:b/>
          <w:bCs w:val="0"/>
          <w:color w:val="auto"/>
          <w:sz w:val="30"/>
          <w:szCs w:val="30"/>
          <w:highlight w:val="none"/>
        </w:rPr>
      </w:pPr>
      <w:r>
        <w:rPr>
          <w:rFonts w:hint="eastAsia" w:ascii="宋体" w:hAnsi="宋体" w:eastAsia="宋体" w:cs="宋体"/>
          <w:b/>
          <w:bCs w:val="0"/>
          <w:color w:val="auto"/>
          <w:sz w:val="30"/>
          <w:szCs w:val="30"/>
          <w:highlight w:val="none"/>
        </w:rPr>
        <w:t>（GF—2017—0201）</w:t>
      </w:r>
    </w:p>
    <w:p w14:paraId="2624A437">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华文中宋"/>
          <w:b/>
          <w:color w:val="auto"/>
          <w:sz w:val="52"/>
          <w:szCs w:val="52"/>
          <w:highlight w:val="none"/>
        </w:rPr>
      </w:pPr>
    </w:p>
    <w:p w14:paraId="13E7BEFB">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华文中宋"/>
          <w:b/>
          <w:color w:val="auto"/>
          <w:sz w:val="52"/>
          <w:szCs w:val="52"/>
          <w:highlight w:val="none"/>
        </w:rPr>
      </w:pPr>
    </w:p>
    <w:p w14:paraId="6B2ED773">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华文中宋"/>
          <w:b/>
          <w:color w:val="auto"/>
          <w:sz w:val="28"/>
          <w:szCs w:val="28"/>
          <w:highlight w:val="none"/>
          <w:lang w:eastAsia="zh-CN"/>
        </w:rPr>
      </w:pPr>
      <w:r>
        <w:rPr>
          <w:rFonts w:ascii="Times New Roman" w:hAnsi="Times New Roman" w:eastAsia="华文中宋"/>
          <w:b/>
          <w:color w:val="auto"/>
          <w:sz w:val="28"/>
          <w:szCs w:val="28"/>
          <w:highlight w:val="none"/>
        </w:rPr>
        <w:t>建设工程合同</w:t>
      </w:r>
    </w:p>
    <w:p w14:paraId="2C7BD415">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华文中宋"/>
          <w:b/>
          <w:color w:val="auto"/>
          <w:sz w:val="28"/>
          <w:szCs w:val="28"/>
          <w:highlight w:val="none"/>
        </w:rPr>
      </w:pPr>
      <w:r>
        <w:rPr>
          <w:rFonts w:ascii="Times New Roman" w:hAnsi="Times New Roman" w:eastAsia="华文中宋"/>
          <w:b/>
          <w:color w:val="auto"/>
          <w:sz w:val="28"/>
          <w:szCs w:val="28"/>
          <w:highlight w:val="none"/>
        </w:rPr>
        <w:t>（示范文本）</w:t>
      </w:r>
    </w:p>
    <w:p w14:paraId="7FC44DB5">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华文中宋"/>
          <w:b/>
          <w:color w:val="auto"/>
          <w:sz w:val="52"/>
          <w:szCs w:val="52"/>
          <w:highlight w:val="none"/>
        </w:rPr>
      </w:pPr>
    </w:p>
    <w:p w14:paraId="46F82ED0">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黑体"/>
          <w:b/>
          <w:color w:val="auto"/>
          <w:sz w:val="72"/>
          <w:szCs w:val="72"/>
          <w:highlight w:val="none"/>
        </w:rPr>
      </w:pPr>
    </w:p>
    <w:p w14:paraId="4358EF6A">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Times New Roman" w:hAnsi="Times New Roman" w:eastAsia="楷体_GB2312"/>
          <w:b/>
          <w:color w:val="auto"/>
          <w:sz w:val="72"/>
          <w:szCs w:val="72"/>
          <w:highlight w:val="none"/>
          <w:lang w:val="en-US" w:eastAsia="zh-CN"/>
        </w:rPr>
      </w:pPr>
    </w:p>
    <w:p w14:paraId="627DAD1B">
      <w:pPr>
        <w:keepNext w:val="0"/>
        <w:keepLines w:val="0"/>
        <w:pageBreakBefore w:val="0"/>
        <w:widowControl w:val="0"/>
        <w:kinsoku/>
        <w:wordWrap/>
        <w:overflowPunct/>
        <w:topLinePunct w:val="0"/>
        <w:autoSpaceDE/>
        <w:autoSpaceDN/>
        <w:bidi w:val="0"/>
        <w:adjustRightInd/>
        <w:snapToGrid/>
        <w:textAlignment w:val="auto"/>
        <w:outlineLvl w:val="9"/>
        <w:rPr>
          <w:rFonts w:ascii="Times New Roman" w:hAnsi="Times New Roman"/>
          <w:b/>
          <w:color w:val="auto"/>
          <w:sz w:val="28"/>
          <w:szCs w:val="28"/>
          <w:highlight w:val="none"/>
        </w:rPr>
      </w:pPr>
    </w:p>
    <w:p w14:paraId="2AB72F82">
      <w:pPr>
        <w:keepNext w:val="0"/>
        <w:keepLines w:val="0"/>
        <w:pageBreakBefore w:val="0"/>
        <w:widowControl w:val="0"/>
        <w:kinsoku/>
        <w:wordWrap/>
        <w:overflowPunct/>
        <w:topLinePunct w:val="0"/>
        <w:autoSpaceDE/>
        <w:autoSpaceDN/>
        <w:bidi w:val="0"/>
        <w:adjustRightInd/>
        <w:snapToGrid/>
        <w:spacing w:line="360" w:lineRule="auto"/>
        <w:ind w:right="2860" w:rightChars="1300"/>
        <w:jc w:val="distribute"/>
        <w:textAlignment w:val="auto"/>
        <w:outlineLvl w:val="9"/>
        <w:rPr>
          <w:rFonts w:ascii="Times New Roman" w:hAnsi="Times New Roman"/>
          <w:b/>
          <w:color w:val="auto"/>
          <w:sz w:val="32"/>
          <w:szCs w:val="28"/>
          <w:highlight w:val="none"/>
        </w:rPr>
      </w:pPr>
      <w:r>
        <w:rPr>
          <w:rFonts w:ascii="Times New Roman" w:hAnsi="Times New Roman"/>
          <w:color w:val="auto"/>
          <w:highlight w:val="none"/>
        </w:rPr>
        <mc:AlternateContent>
          <mc:Choice Requires="wps">
            <w:drawing>
              <wp:anchor distT="0" distB="0" distL="114300" distR="114300" simplePos="0" relativeHeight="251659264" behindDoc="1" locked="0" layoutInCell="1" allowOverlap="1">
                <wp:simplePos x="0" y="0"/>
                <wp:positionH relativeFrom="column">
                  <wp:posOffset>3875405</wp:posOffset>
                </wp:positionH>
                <wp:positionV relativeFrom="paragraph">
                  <wp:posOffset>227965</wp:posOffset>
                </wp:positionV>
                <wp:extent cx="933450" cy="524510"/>
                <wp:effectExtent l="0" t="0" r="0" b="0"/>
                <wp:wrapTight wrapText="bothSides">
                  <wp:wrapPolygon>
                    <wp:start x="2233" y="2092"/>
                    <wp:lineTo x="19381" y="2092"/>
                    <wp:lineTo x="19381" y="19534"/>
                    <wp:lineTo x="2233" y="19534"/>
                    <wp:lineTo x="2233" y="2092"/>
                  </wp:wrapPolygon>
                </wp:wrapTight>
                <wp:docPr id="46" name="文本框 46"/>
                <wp:cNvGraphicFramePr/>
                <a:graphic xmlns:a="http://schemas.openxmlformats.org/drawingml/2006/main">
                  <a:graphicData uri="http://schemas.microsoft.com/office/word/2010/wordprocessingShape">
                    <wps:wsp>
                      <wps:cNvSpPr txBox="1"/>
                      <wps:spPr>
                        <a:xfrm>
                          <a:off x="0" y="0"/>
                          <a:ext cx="933450" cy="524510"/>
                        </a:xfrm>
                        <a:prstGeom prst="rect">
                          <a:avLst/>
                        </a:prstGeom>
                        <a:noFill/>
                        <a:ln w="9525">
                          <a:noFill/>
                        </a:ln>
                        <a:effectLst/>
                      </wps:spPr>
                      <wps:txbx>
                        <w:txbxContent>
                          <w:p w14:paraId="6B8BDAAF">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05.15pt;margin-top:17.95pt;height:41.3pt;width:73.5pt;mso-wrap-distance-left:9pt;mso-wrap-distance-right:9pt;z-index:-251657216;mso-width-relative:page;mso-height-relative:page;" filled="f" stroked="f" coordsize="21600,21600" wrapcoords="2233 2092 19381 2092 19381 19534 2233 19534 2233 2092" o:gfxdata="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nqjfrXAAAACgEAAA8AAAAAAAAAAQAgAAAAIgAAAGRycy9kb3ducmV2LnhtbFBLAQIU&#10;ABQAAAAIAIdO4kAGXmmuuwEAAGYDAAAOAAAAAAAAAAEAIAAAACYBAABkcnMvZTJvRG9jLnhtbFBL&#10;BQYAAAAABgAGAFkBAABTBQAAAAA=&#10;">
                <v:fill on="f" focussize="0,0"/>
                <v:stroke on="f"/>
                <v:imagedata o:title=""/>
                <o:lock v:ext="edit" aspectratio="f"/>
                <v:textbox>
                  <w:txbxContent>
                    <w:p w14:paraId="6B8BDAAF">
                      <w:pPr>
                        <w:rPr>
                          <w:rFonts w:hint="eastAsia"/>
                          <w:b/>
                          <w:bCs/>
                          <w:sz w:val="32"/>
                        </w:rPr>
                      </w:pPr>
                      <w:r>
                        <w:rPr>
                          <w:rFonts w:hint="eastAsia"/>
                          <w:b/>
                          <w:bCs/>
                          <w:sz w:val="32"/>
                        </w:rPr>
                        <w:t>制定</w:t>
                      </w:r>
                    </w:p>
                  </w:txbxContent>
                </v:textbox>
                <w10:wrap type="tight"/>
              </v:shape>
            </w:pict>
          </mc:Fallback>
        </mc:AlternateContent>
      </w:r>
      <w:r>
        <w:rPr>
          <w:rFonts w:hint="eastAsia" w:ascii="Times New Roman" w:hAnsi="Times New Roman"/>
          <w:b/>
          <w:color w:val="auto"/>
          <w:sz w:val="32"/>
          <w:szCs w:val="28"/>
          <w:highlight w:val="none"/>
          <w:lang w:val="en-US" w:eastAsia="zh-CN"/>
        </w:rPr>
        <w:t xml:space="preserve">              </w:t>
      </w:r>
      <w:r>
        <w:rPr>
          <w:rFonts w:ascii="Times New Roman" w:hAnsi="Times New Roman"/>
          <w:b/>
          <w:color w:val="auto"/>
          <w:sz w:val="32"/>
          <w:szCs w:val="28"/>
          <w:highlight w:val="none"/>
        </w:rPr>
        <w:t>住房城乡建设部</w:t>
      </w:r>
    </w:p>
    <w:p w14:paraId="0D9B3184">
      <w:pPr>
        <w:keepNext w:val="0"/>
        <w:keepLines w:val="0"/>
        <w:pageBreakBefore w:val="0"/>
        <w:widowControl w:val="0"/>
        <w:kinsoku/>
        <w:wordWrap/>
        <w:overflowPunct/>
        <w:topLinePunct w:val="0"/>
        <w:autoSpaceDE/>
        <w:autoSpaceDN/>
        <w:bidi w:val="0"/>
        <w:adjustRightInd/>
        <w:snapToGrid/>
        <w:spacing w:line="360" w:lineRule="auto"/>
        <w:ind w:right="2860" w:rightChars="1300"/>
        <w:jc w:val="distribute"/>
        <w:textAlignment w:val="auto"/>
        <w:outlineLvl w:val="9"/>
        <w:rPr>
          <w:rFonts w:hint="eastAsia" w:ascii="宋体" w:hAnsi="宋体" w:eastAsia="宋体" w:cs="宋体"/>
          <w:b/>
          <w:color w:val="auto"/>
          <w:szCs w:val="30"/>
          <w:highlight w:val="none"/>
        </w:rPr>
      </w:pPr>
      <w:r>
        <w:rPr>
          <w:rFonts w:hint="eastAsia" w:ascii="Times New Roman" w:hAnsi="Times New Roman"/>
          <w:b/>
          <w:color w:val="auto"/>
          <w:sz w:val="32"/>
          <w:szCs w:val="28"/>
          <w:highlight w:val="none"/>
          <w:lang w:val="en-US" w:eastAsia="zh-CN"/>
        </w:rPr>
        <w:t xml:space="preserve">              </w:t>
      </w:r>
      <w:r>
        <w:rPr>
          <w:rFonts w:ascii="Times New Roman" w:hAnsi="Times New Roman"/>
          <w:b/>
          <w:color w:val="auto"/>
          <w:sz w:val="32"/>
          <w:szCs w:val="28"/>
          <w:highlight w:val="none"/>
        </w:rPr>
        <w:t>国家工商行政管理总局</w:t>
      </w:r>
      <w:bookmarkStart w:id="33" w:name="_Toc358122727"/>
      <w:bookmarkStart w:id="34" w:name="_Toc358127510"/>
      <w:bookmarkStart w:id="35" w:name="_Toc326842582"/>
    </w:p>
    <w:bookmarkEnd w:id="33"/>
    <w:bookmarkEnd w:id="34"/>
    <w:bookmarkEnd w:id="35"/>
    <w:p w14:paraId="5036497F">
      <w:pPr>
        <w:pStyle w:val="9"/>
        <w:spacing w:before="4"/>
        <w:ind w:left="0"/>
        <w:rPr>
          <w:rFonts w:ascii="方正楷体_GBK"/>
          <w:sz w:val="14"/>
          <w:highlight w:val="none"/>
        </w:rPr>
      </w:pPr>
    </w:p>
    <w:p w14:paraId="44D016A7">
      <w:pPr>
        <w:pStyle w:val="9"/>
        <w:spacing w:before="4"/>
        <w:ind w:left="0"/>
        <w:rPr>
          <w:rFonts w:ascii="方正楷体_GBK"/>
          <w:sz w:val="14"/>
          <w:highlight w:val="none"/>
        </w:rPr>
      </w:pPr>
    </w:p>
    <w:p w14:paraId="26FCBDAE">
      <w:pPr>
        <w:pStyle w:val="9"/>
        <w:spacing w:before="4"/>
        <w:ind w:left="0"/>
        <w:rPr>
          <w:rFonts w:ascii="方正楷体_GBK"/>
          <w:sz w:val="14"/>
          <w:highlight w:val="none"/>
        </w:rPr>
      </w:pPr>
    </w:p>
    <w:p w14:paraId="01C3E163">
      <w:pPr>
        <w:pStyle w:val="9"/>
        <w:spacing w:before="4"/>
        <w:ind w:left="0"/>
        <w:rPr>
          <w:rFonts w:ascii="方正楷体_GBK"/>
          <w:sz w:val="14"/>
          <w:highlight w:val="none"/>
        </w:rPr>
      </w:pPr>
    </w:p>
    <w:p w14:paraId="3CDD9C28">
      <w:pPr>
        <w:tabs>
          <w:tab w:val="left" w:pos="3120"/>
        </w:tabs>
        <w:spacing w:beforeLines="0" w:afterLines="0" w:line="500" w:lineRule="atLeast"/>
        <w:ind w:firstLine="562"/>
        <w:jc w:val="center"/>
        <w:outlineLvl w:val="0"/>
        <w:rPr>
          <w:rFonts w:hint="eastAsia" w:ascii="宋体" w:hAnsi="宋体" w:eastAsia="宋体" w:cs="宋体"/>
          <w:b/>
          <w:color w:val="auto"/>
          <w:sz w:val="24"/>
          <w:szCs w:val="24"/>
          <w:highlight w:val="none"/>
          <w:lang w:val="zh-CN"/>
        </w:rPr>
      </w:pPr>
      <w:bookmarkStart w:id="36" w:name="_Toc15221"/>
      <w:bookmarkStart w:id="37" w:name="_Toc28651"/>
      <w:bookmarkStart w:id="38" w:name="_Toc17001"/>
      <w:bookmarkStart w:id="39" w:name="_Toc7367"/>
      <w:bookmarkStart w:id="40" w:name="_Toc11469"/>
      <w:bookmarkStart w:id="41" w:name="_Toc20455"/>
      <w:bookmarkStart w:id="42" w:name="_Toc25042"/>
      <w:r>
        <w:rPr>
          <w:rFonts w:hint="eastAsia" w:ascii="宋体" w:hAnsi="宋体" w:cs="宋体"/>
          <w:b/>
          <w:color w:val="auto"/>
          <w:sz w:val="24"/>
          <w:szCs w:val="24"/>
          <w:highlight w:val="none"/>
          <w:lang w:val="zh-CN"/>
        </w:rPr>
        <w:t>第一部分</w:t>
      </w:r>
      <w:r>
        <w:rPr>
          <w:rFonts w:hint="eastAsia" w:ascii="宋体" w:hAnsi="宋体" w:eastAsia="宋体" w:cs="宋体"/>
          <w:b/>
          <w:color w:val="auto"/>
          <w:sz w:val="24"/>
          <w:szCs w:val="24"/>
          <w:highlight w:val="none"/>
          <w:lang w:val="zh-CN"/>
        </w:rPr>
        <w:t xml:space="preserve">  协议书</w:t>
      </w:r>
      <w:bookmarkEnd w:id="36"/>
      <w:bookmarkEnd w:id="37"/>
      <w:bookmarkEnd w:id="38"/>
      <w:bookmarkEnd w:id="39"/>
      <w:bookmarkEnd w:id="40"/>
    </w:p>
    <w:p w14:paraId="4790E55D">
      <w:pPr>
        <w:spacing w:beforeLines="0" w:afterLines="0" w:line="500" w:lineRule="atLeast"/>
        <w:ind w:firstLine="48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委托人（全称）：</w:t>
      </w:r>
      <w:r>
        <w:rPr>
          <w:rFonts w:hint="eastAsia" w:ascii="宋体" w:hAnsi="宋体" w:eastAsia="宋体" w:cs="宋体"/>
          <w:b/>
          <w:color w:val="auto"/>
          <w:sz w:val="24"/>
          <w:szCs w:val="24"/>
          <w:highlight w:val="none"/>
          <w:u w:val="single"/>
          <w:lang w:val="zh-CN"/>
        </w:rPr>
        <w:t xml:space="preserve">                                      </w:t>
      </w:r>
    </w:p>
    <w:p w14:paraId="5BF4E182">
      <w:pPr>
        <w:spacing w:beforeLines="0" w:afterLines="0" w:line="500" w:lineRule="atLeast"/>
        <w:ind w:firstLine="482"/>
        <w:rPr>
          <w:rFonts w:hint="eastAsia" w:ascii="宋体" w:hAnsi="宋体" w:eastAsia="宋体" w:cs="宋体"/>
          <w:color w:val="auto"/>
          <w:sz w:val="24"/>
          <w:szCs w:val="24"/>
          <w:highlight w:val="none"/>
          <w:lang w:val="zh-CN"/>
        </w:rPr>
      </w:pPr>
      <w:r>
        <w:rPr>
          <w:rFonts w:hint="eastAsia" w:ascii="宋体" w:hAnsi="宋体" w:eastAsia="宋体" w:cs="宋体"/>
          <w:b/>
          <w:color w:val="auto"/>
          <w:sz w:val="24"/>
          <w:szCs w:val="24"/>
          <w:highlight w:val="none"/>
          <w:lang w:val="zh-CN"/>
        </w:rPr>
        <w:t>监理人（全称）：</w:t>
      </w:r>
      <w:r>
        <w:rPr>
          <w:rFonts w:hint="eastAsia" w:ascii="宋体" w:hAnsi="宋体" w:eastAsia="宋体" w:cs="宋体"/>
          <w:b/>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zh-CN"/>
        </w:rPr>
        <w:t xml:space="preserve">   </w:t>
      </w:r>
    </w:p>
    <w:p w14:paraId="7B8B2C95">
      <w:pPr>
        <w:spacing w:beforeLines="0" w:afterLines="0" w:line="500" w:lineRule="atLeast"/>
        <w:ind w:firstLine="48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根据《中华人民共和国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lang w:val="zh-CN"/>
        </w:rPr>
        <w:t>》、《中华人民共和国建筑法》及其他有关法律、法规，遵循平等、自愿、公平和诚信的原则，双方就下述工程委托监理与相关服务事项协商一致，订立本合同。</w:t>
      </w:r>
    </w:p>
    <w:p w14:paraId="643428B6">
      <w:pPr>
        <w:spacing w:beforeLines="0" w:afterLines="0" w:line="500" w:lineRule="atLeast"/>
        <w:ind w:firstLine="48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一、工程概况</w:t>
      </w:r>
    </w:p>
    <w:p w14:paraId="272ADA14">
      <w:pPr>
        <w:tabs>
          <w:tab w:val="left" w:pos="7965"/>
        </w:tabs>
        <w:spacing w:beforeLines="0" w:afterLines="0" w:line="500" w:lineRule="atLeast"/>
        <w:ind w:firstLine="47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 工程名称：</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50E3737F">
      <w:pPr>
        <w:spacing w:beforeLines="0" w:afterLines="0" w:line="500" w:lineRule="atLeast"/>
        <w:ind w:firstLine="47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 工程地点：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31BF8FE9">
      <w:pPr>
        <w:spacing w:beforeLines="0" w:afterLines="0" w:line="500" w:lineRule="atLeast"/>
        <w:ind w:firstLine="47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 工程规模：</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035025B7">
      <w:pPr>
        <w:spacing w:beforeLines="0" w:afterLines="0" w:line="500" w:lineRule="atLeast"/>
        <w:ind w:firstLine="475"/>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 工程概算投资额或建筑安装工程费：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31E58918">
      <w:pPr>
        <w:spacing w:beforeLines="0" w:afterLines="0" w:line="500" w:lineRule="atLeast"/>
        <w:ind w:firstLine="48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二、词语限定</w:t>
      </w:r>
    </w:p>
    <w:p w14:paraId="15941775">
      <w:pPr>
        <w:spacing w:beforeLines="0" w:afterLines="0" w:line="500" w:lineRule="atLeast"/>
        <w:ind w:firstLine="47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协议书中相关词语的含义与通用条件中的定义与解释相同。</w:t>
      </w:r>
    </w:p>
    <w:p w14:paraId="16794719">
      <w:pPr>
        <w:spacing w:beforeLines="0" w:afterLines="0" w:line="500" w:lineRule="atLeast"/>
        <w:ind w:firstLine="48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三、组成本合同的文件</w:t>
      </w:r>
    </w:p>
    <w:p w14:paraId="6683419D">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 协议书；</w:t>
      </w:r>
    </w:p>
    <w:p w14:paraId="72F336A3">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 中标通知书（适用于招标工程）或委托书（适用于非招标工程）；</w:t>
      </w:r>
    </w:p>
    <w:p w14:paraId="3408C42E">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 投标文件（适用于招标工程）或监理与相关服务建议书（适用于非招标工程）；</w:t>
      </w:r>
    </w:p>
    <w:p w14:paraId="645252D9">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 专用条件；</w:t>
      </w:r>
    </w:p>
    <w:p w14:paraId="0A161CA8">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 通用条件；</w:t>
      </w:r>
    </w:p>
    <w:p w14:paraId="79D1222A">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 附录，即：</w:t>
      </w:r>
    </w:p>
    <w:p w14:paraId="500B7C65">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附录A  相关服务的范围和内容</w:t>
      </w:r>
    </w:p>
    <w:p w14:paraId="23197FA3">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附录B  委托人派遣的人员和提供的房屋、资料、设备</w:t>
      </w:r>
    </w:p>
    <w:p w14:paraId="280448F6">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本合同签订后，双方依法签订的补充协议也是本合同文件的组成部分。</w:t>
      </w:r>
    </w:p>
    <w:p w14:paraId="41D560F8">
      <w:pPr>
        <w:spacing w:beforeLines="0" w:afterLines="0" w:line="500" w:lineRule="atLeast"/>
        <w:ind w:firstLine="48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四、总监理工程师</w:t>
      </w:r>
    </w:p>
    <w:p w14:paraId="1606C836">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总监理工程师姓名：</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，身份证号码：</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，注册号：</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59C300D7">
      <w:pPr>
        <w:spacing w:beforeLines="0" w:afterLines="0" w:line="500" w:lineRule="atLeast"/>
        <w:ind w:firstLine="48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五、签约酬金</w:t>
      </w:r>
    </w:p>
    <w:p w14:paraId="672F7DBA">
      <w:pPr>
        <w:spacing w:beforeLines="0" w:afterLines="0" w:line="500" w:lineRule="atLeast"/>
        <w:ind w:firstLine="48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zh-CN"/>
        </w:rPr>
        <w:t>签约酬金（大写）：</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rPr>
        <w:t>¥        ）。</w:t>
      </w:r>
    </w:p>
    <w:p w14:paraId="598D6EA1">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包括：</w:t>
      </w:r>
    </w:p>
    <w:p w14:paraId="1B9EF175">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 监理酬金：</w:t>
      </w:r>
      <w:r>
        <w:rPr>
          <w:rFonts w:hint="eastAsia" w:ascii="宋体" w:hAnsi="宋体" w:eastAsia="宋体" w:cs="宋体"/>
          <w:color w:val="auto"/>
          <w:sz w:val="24"/>
          <w:szCs w:val="24"/>
          <w:highlight w:val="none"/>
          <w:u w:val="single"/>
          <w:lang w:val="zh-CN"/>
        </w:rPr>
        <w:t xml:space="preserve">                                。</w:t>
      </w:r>
    </w:p>
    <w:p w14:paraId="0F74811D">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 相关服务酬金：</w:t>
      </w:r>
      <w:r>
        <w:rPr>
          <w:rFonts w:hint="eastAsia" w:ascii="宋体" w:hAnsi="宋体" w:eastAsia="宋体" w:cs="宋体"/>
          <w:color w:val="auto"/>
          <w:sz w:val="24"/>
          <w:szCs w:val="24"/>
          <w:highlight w:val="none"/>
          <w:u w:val="single"/>
          <w:lang w:val="zh-CN"/>
        </w:rPr>
        <w:t xml:space="preserve">                            。</w:t>
      </w:r>
    </w:p>
    <w:p w14:paraId="220DDB8C">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其中：</w:t>
      </w:r>
    </w:p>
    <w:p w14:paraId="360C6B1E">
      <w:pPr>
        <w:spacing w:beforeLines="0" w:afterLines="0" w:line="500" w:lineRule="atLeast"/>
        <w:ind w:firstLine="96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（1）勘察阶段服务酬金：</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7CBD1C87">
      <w:pPr>
        <w:spacing w:beforeLines="0" w:afterLines="0" w:line="500" w:lineRule="atLeast"/>
        <w:ind w:firstLine="96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（2）设计阶段服务酬金：</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214B97B7">
      <w:pPr>
        <w:spacing w:beforeLines="0" w:afterLines="0" w:line="500" w:lineRule="atLeast"/>
        <w:ind w:firstLine="96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（3）保修阶段服务酬金：</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3CD66754">
      <w:pPr>
        <w:spacing w:beforeLines="0" w:afterLines="0" w:line="500" w:lineRule="atLeast"/>
        <w:ind w:firstLine="96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（4）其他相关服务酬金：</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6B1B703F">
      <w:pPr>
        <w:spacing w:beforeLines="0" w:afterLines="0" w:line="500" w:lineRule="atLeast"/>
        <w:ind w:firstLine="48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六、期限</w:t>
      </w:r>
    </w:p>
    <w:p w14:paraId="0DBE65CA">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 监理期限：</w:t>
      </w:r>
    </w:p>
    <w:p w14:paraId="3B8D5726">
      <w:pPr>
        <w:spacing w:beforeLines="0" w:afterLines="0" w:line="500" w:lineRule="atLeast"/>
        <w:ind w:firstLine="1066" w:firstLineChars="427"/>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自</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日始，至</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日止。</w:t>
      </w:r>
    </w:p>
    <w:p w14:paraId="515EC1D9">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 相关服务期限：</w:t>
      </w:r>
    </w:p>
    <w:p w14:paraId="1E77D250">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（1）勘察阶段服务期限自</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日始，至</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日止。</w:t>
      </w:r>
    </w:p>
    <w:p w14:paraId="6D9FDB2C">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（2）设计阶段服务期限自</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日始，至</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日止。</w:t>
      </w:r>
    </w:p>
    <w:p w14:paraId="72F2AF9F">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（3）保修阶段服务期限自</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日始，至</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日止。</w:t>
      </w:r>
    </w:p>
    <w:p w14:paraId="5457F229">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（4）其他相关服务期限自</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日始，至</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日止。</w:t>
      </w:r>
    </w:p>
    <w:p w14:paraId="55BDDE0A">
      <w:pPr>
        <w:spacing w:beforeLines="0" w:afterLines="0" w:line="500" w:lineRule="atLeast"/>
        <w:ind w:firstLine="48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七、双方承诺</w:t>
      </w:r>
    </w:p>
    <w:p w14:paraId="133CD486">
      <w:pPr>
        <w:spacing w:beforeLines="0" w:afterLines="0" w:line="500" w:lineRule="atLeast"/>
        <w:ind w:firstLine="480"/>
        <w:rPr>
          <w:rFonts w:hint="eastAsia"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lang w:val="zh-CN"/>
        </w:rPr>
        <w:t>1. 监理人向委托人承诺，按照本合同约定提供监理与相关服务。</w:t>
      </w:r>
    </w:p>
    <w:p w14:paraId="5FB40136">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 委托人向监理人承诺，按照本合同约定派遣相应的人员，提供房屋、资料、设备，并按本合同约定支付酬金。</w:t>
      </w:r>
    </w:p>
    <w:p w14:paraId="283E874D">
      <w:pPr>
        <w:spacing w:beforeLines="0" w:afterLines="0" w:line="500" w:lineRule="atLeast"/>
        <w:ind w:firstLine="48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八、合同订立</w:t>
      </w:r>
    </w:p>
    <w:p w14:paraId="46A0CFE7">
      <w:pPr>
        <w:spacing w:beforeLines="0" w:afterLines="0" w:line="500" w:lineRule="atLeast"/>
        <w:ind w:firstLine="47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 订立时间：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p>
    <w:p w14:paraId="36F93F65">
      <w:pPr>
        <w:spacing w:beforeLines="0" w:afterLines="0" w:line="500" w:lineRule="atLeast"/>
        <w:ind w:firstLine="47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 订立地点：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444F5CE6">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 本合同一式</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份，具有同等法律效力，双方各执</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份。</w:t>
      </w:r>
    </w:p>
    <w:p w14:paraId="6A31AF31">
      <w:pPr>
        <w:spacing w:beforeLines="0" w:afterLines="0" w:line="500" w:lineRule="atLeast"/>
        <w:ind w:firstLine="199"/>
        <w:rPr>
          <w:rFonts w:hint="eastAsia" w:ascii="宋体" w:hAnsi="宋体" w:eastAsia="宋体" w:cs="宋体"/>
          <w:color w:val="auto"/>
          <w:sz w:val="24"/>
          <w:szCs w:val="24"/>
          <w:highlight w:val="none"/>
          <w:lang w:val="zh-CN"/>
        </w:rPr>
      </w:pPr>
    </w:p>
    <w:p w14:paraId="1C7E10E6">
      <w:pPr>
        <w:spacing w:beforeLines="0" w:afterLines="0" w:line="500" w:lineRule="atLeast"/>
        <w:ind w:firstLine="199"/>
        <w:rPr>
          <w:rFonts w:hint="eastAsia" w:ascii="宋体" w:hAnsi="宋体" w:eastAsia="宋体" w:cs="宋体"/>
          <w:color w:val="auto"/>
          <w:sz w:val="24"/>
          <w:szCs w:val="24"/>
          <w:highlight w:val="none"/>
          <w:lang w:val="zh-CN"/>
        </w:rPr>
      </w:pPr>
    </w:p>
    <w:p w14:paraId="3C2F6E33">
      <w:pPr>
        <w:spacing w:beforeLines="0" w:afterLines="0" w:line="500" w:lineRule="atLeast"/>
        <w:ind w:firstLine="19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委托人：</w:t>
      </w:r>
      <w:r>
        <w:rPr>
          <w:rFonts w:hint="eastAsia" w:ascii="宋体" w:hAnsi="宋体" w:eastAsia="宋体" w:cs="宋体"/>
          <w:color w:val="auto"/>
          <w:sz w:val="24"/>
          <w:szCs w:val="24"/>
          <w:highlight w:val="none"/>
          <w:u w:val="single"/>
          <w:lang w:val="zh-CN"/>
        </w:rPr>
        <w:t xml:space="preserve">（盖章）             </w:t>
      </w:r>
      <w:r>
        <w:rPr>
          <w:rFonts w:hint="eastAsia" w:ascii="宋体" w:hAnsi="宋体" w:eastAsia="宋体" w:cs="宋体"/>
          <w:color w:val="auto"/>
          <w:sz w:val="24"/>
          <w:szCs w:val="24"/>
          <w:highlight w:val="none"/>
          <w:lang w:val="zh-CN"/>
        </w:rPr>
        <w:t xml:space="preserve">        监理人：</w:t>
      </w:r>
      <w:r>
        <w:rPr>
          <w:rFonts w:hint="eastAsia" w:ascii="宋体" w:hAnsi="宋体" w:eastAsia="宋体" w:cs="宋体"/>
          <w:color w:val="auto"/>
          <w:sz w:val="24"/>
          <w:szCs w:val="24"/>
          <w:highlight w:val="none"/>
          <w:u w:val="single"/>
          <w:lang w:val="zh-CN"/>
        </w:rPr>
        <w:t xml:space="preserve">   （盖章）          </w:t>
      </w:r>
    </w:p>
    <w:p w14:paraId="2FC46917">
      <w:pPr>
        <w:spacing w:beforeLines="0" w:afterLines="0" w:line="500" w:lineRule="atLeast"/>
        <w:ind w:firstLine="19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住所： </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 xml:space="preserve">        住所： </w:t>
      </w:r>
      <w:r>
        <w:rPr>
          <w:rFonts w:hint="eastAsia" w:ascii="宋体" w:hAnsi="宋体" w:eastAsia="宋体" w:cs="宋体"/>
          <w:color w:val="auto"/>
          <w:sz w:val="24"/>
          <w:szCs w:val="24"/>
          <w:highlight w:val="none"/>
          <w:u w:val="single"/>
          <w:lang w:val="zh-CN"/>
        </w:rPr>
        <w:t xml:space="preserve">                      </w:t>
      </w:r>
    </w:p>
    <w:p w14:paraId="3D781B8C">
      <w:pPr>
        <w:spacing w:beforeLines="0" w:afterLines="0" w:line="500" w:lineRule="atLeast"/>
        <w:ind w:firstLine="19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邮政编码：</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 xml:space="preserve">        邮政编码：</w:t>
      </w:r>
      <w:r>
        <w:rPr>
          <w:rFonts w:hint="eastAsia" w:ascii="宋体" w:hAnsi="宋体" w:eastAsia="宋体" w:cs="宋体"/>
          <w:color w:val="auto"/>
          <w:sz w:val="24"/>
          <w:szCs w:val="24"/>
          <w:highlight w:val="none"/>
          <w:u w:val="single"/>
          <w:lang w:val="zh-CN"/>
        </w:rPr>
        <w:t xml:space="preserve">                   </w:t>
      </w:r>
    </w:p>
    <w:p w14:paraId="6B65898B">
      <w:pPr>
        <w:spacing w:beforeLines="0" w:afterLines="0" w:line="500" w:lineRule="atLeast"/>
        <w:ind w:firstLine="19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法定代表人或其授权                  法定代表人或其授权</w:t>
      </w:r>
    </w:p>
    <w:p w14:paraId="7847B524">
      <w:pPr>
        <w:spacing w:beforeLines="0" w:afterLines="0" w:line="500" w:lineRule="atLeast"/>
        <w:ind w:firstLine="19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的代理人：</w:t>
      </w:r>
      <w:r>
        <w:rPr>
          <w:rFonts w:hint="eastAsia" w:ascii="宋体" w:hAnsi="宋体" w:eastAsia="宋体" w:cs="宋体"/>
          <w:color w:val="auto"/>
          <w:sz w:val="24"/>
          <w:szCs w:val="24"/>
          <w:highlight w:val="none"/>
          <w:u w:val="single"/>
          <w:lang w:val="zh-CN"/>
        </w:rPr>
        <w:t xml:space="preserve">（签字）           </w:t>
      </w:r>
      <w:r>
        <w:rPr>
          <w:rFonts w:hint="eastAsia" w:ascii="宋体" w:hAnsi="宋体" w:eastAsia="宋体" w:cs="宋体"/>
          <w:color w:val="auto"/>
          <w:sz w:val="24"/>
          <w:szCs w:val="24"/>
          <w:highlight w:val="none"/>
          <w:lang w:val="zh-CN"/>
        </w:rPr>
        <w:t xml:space="preserve">        的代理人：</w:t>
      </w:r>
      <w:r>
        <w:rPr>
          <w:rFonts w:hint="eastAsia" w:ascii="宋体" w:hAnsi="宋体" w:eastAsia="宋体" w:cs="宋体"/>
          <w:color w:val="auto"/>
          <w:sz w:val="24"/>
          <w:szCs w:val="24"/>
          <w:highlight w:val="none"/>
          <w:u w:val="single"/>
          <w:lang w:val="zh-CN"/>
        </w:rPr>
        <w:t xml:space="preserve">（签字）            </w:t>
      </w:r>
    </w:p>
    <w:p w14:paraId="7D182C9D">
      <w:pPr>
        <w:spacing w:beforeLines="0" w:afterLines="0" w:line="500" w:lineRule="atLeast"/>
        <w:ind w:firstLine="19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开户银行：</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 xml:space="preserve">        开户银行：</w:t>
      </w:r>
      <w:r>
        <w:rPr>
          <w:rFonts w:hint="eastAsia" w:ascii="宋体" w:hAnsi="宋体" w:eastAsia="宋体" w:cs="宋体"/>
          <w:color w:val="auto"/>
          <w:sz w:val="24"/>
          <w:szCs w:val="24"/>
          <w:highlight w:val="none"/>
          <w:u w:val="single"/>
          <w:lang w:val="zh-CN"/>
        </w:rPr>
        <w:t xml:space="preserve">                   </w:t>
      </w:r>
    </w:p>
    <w:p w14:paraId="77123E6C">
      <w:pPr>
        <w:spacing w:beforeLines="0" w:afterLines="0" w:line="500" w:lineRule="atLeast"/>
        <w:ind w:firstLine="19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账号：</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 xml:space="preserve">        账号：</w:t>
      </w:r>
      <w:r>
        <w:rPr>
          <w:rFonts w:hint="eastAsia" w:ascii="宋体" w:hAnsi="宋体" w:eastAsia="宋体" w:cs="宋体"/>
          <w:color w:val="auto"/>
          <w:sz w:val="24"/>
          <w:szCs w:val="24"/>
          <w:highlight w:val="none"/>
          <w:u w:val="single"/>
          <w:lang w:val="zh-CN"/>
        </w:rPr>
        <w:t xml:space="preserve">                       </w:t>
      </w:r>
    </w:p>
    <w:p w14:paraId="71742BB0">
      <w:pPr>
        <w:spacing w:beforeLines="0" w:afterLines="0" w:line="500" w:lineRule="atLeast"/>
        <w:ind w:firstLine="19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电话：</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 xml:space="preserve">        电话：</w:t>
      </w:r>
      <w:r>
        <w:rPr>
          <w:rFonts w:hint="eastAsia" w:ascii="宋体" w:hAnsi="宋体" w:eastAsia="宋体" w:cs="宋体"/>
          <w:color w:val="auto"/>
          <w:sz w:val="24"/>
          <w:szCs w:val="24"/>
          <w:highlight w:val="none"/>
          <w:u w:val="single"/>
          <w:lang w:val="zh-CN"/>
        </w:rPr>
        <w:t xml:space="preserve">                       </w:t>
      </w:r>
    </w:p>
    <w:p w14:paraId="54B01472">
      <w:pPr>
        <w:spacing w:beforeLines="0" w:afterLines="0" w:line="500" w:lineRule="atLeast"/>
        <w:ind w:firstLine="19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传真：</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 xml:space="preserve">        传真：</w:t>
      </w:r>
      <w:r>
        <w:rPr>
          <w:rFonts w:hint="eastAsia" w:ascii="宋体" w:hAnsi="宋体" w:eastAsia="宋体" w:cs="宋体"/>
          <w:color w:val="auto"/>
          <w:sz w:val="24"/>
          <w:szCs w:val="24"/>
          <w:highlight w:val="none"/>
          <w:u w:val="single"/>
          <w:lang w:val="zh-CN"/>
        </w:rPr>
        <w:t xml:space="preserve">                       </w:t>
      </w:r>
    </w:p>
    <w:p w14:paraId="676CA677">
      <w:pPr>
        <w:spacing w:beforeLines="0" w:afterLines="0" w:line="500" w:lineRule="atLeast"/>
        <w:ind w:firstLine="199"/>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电子邮箱：</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 xml:space="preserve">        电子邮箱：</w:t>
      </w:r>
      <w:r>
        <w:rPr>
          <w:rFonts w:hint="eastAsia" w:ascii="宋体" w:hAnsi="宋体" w:eastAsia="宋体" w:cs="宋体"/>
          <w:color w:val="auto"/>
          <w:sz w:val="24"/>
          <w:szCs w:val="24"/>
          <w:highlight w:val="none"/>
          <w:u w:val="single"/>
          <w:lang w:val="zh-CN"/>
        </w:rPr>
        <w:t xml:space="preserve">                   </w:t>
      </w:r>
    </w:p>
    <w:p w14:paraId="1C7BDFE1">
      <w:pPr>
        <w:spacing w:beforeLines="0" w:afterLines="0"/>
        <w:jc w:val="left"/>
        <w:rPr>
          <w:rFonts w:hint="eastAsia" w:ascii="宋体" w:hAnsi="宋体" w:eastAsia="宋体" w:cs="宋体"/>
          <w:color w:val="auto"/>
          <w:sz w:val="24"/>
          <w:szCs w:val="24"/>
          <w:highlight w:val="none"/>
          <w:lang w:val="zh-CN"/>
        </w:rPr>
      </w:pPr>
    </w:p>
    <w:p w14:paraId="4689415E">
      <w:pPr>
        <w:spacing w:beforeLines="0" w:afterLines="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p>
    <w:p w14:paraId="2A4AF00E">
      <w:pPr>
        <w:numPr>
          <w:ilvl w:val="0"/>
          <w:numId w:val="5"/>
        </w:numPr>
        <w:tabs>
          <w:tab w:val="left" w:pos="3120"/>
        </w:tabs>
        <w:spacing w:beforeLines="0" w:afterLines="0" w:line="500" w:lineRule="atLeast"/>
        <w:ind w:firstLine="562"/>
        <w:jc w:val="center"/>
        <w:outlineLvl w:val="0"/>
        <w:rPr>
          <w:rFonts w:hint="eastAsia" w:ascii="宋体" w:hAnsi="宋体" w:eastAsia="宋体" w:cs="宋体"/>
          <w:b/>
          <w:color w:val="auto"/>
          <w:sz w:val="24"/>
          <w:szCs w:val="24"/>
          <w:highlight w:val="none"/>
          <w:lang w:val="en-US" w:eastAsia="zh-CN"/>
        </w:rPr>
      </w:pPr>
      <w:bookmarkStart w:id="43" w:name="_Toc21871"/>
      <w:bookmarkStart w:id="44" w:name="_Toc8880"/>
      <w:bookmarkStart w:id="45" w:name="_Toc5160"/>
      <w:bookmarkStart w:id="46" w:name="_Toc4106"/>
      <w:bookmarkStart w:id="47" w:name="_Toc17898"/>
      <w:r>
        <w:rPr>
          <w:rFonts w:hint="eastAsia" w:ascii="宋体" w:hAnsi="宋体" w:eastAsia="宋体" w:cs="宋体"/>
          <w:b/>
          <w:color w:val="auto"/>
          <w:sz w:val="24"/>
          <w:szCs w:val="24"/>
          <w:highlight w:val="none"/>
          <w:lang w:val="en-US" w:eastAsia="zh-CN"/>
        </w:rPr>
        <w:t>通用条款</w:t>
      </w:r>
      <w:bookmarkEnd w:id="43"/>
    </w:p>
    <w:p w14:paraId="4CA9933C">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词语定义、适用范围和法规 </w:t>
      </w:r>
    </w:p>
    <w:p w14:paraId="412D19E3">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第一条　下列名词和用语，除上下文另有规定外，有如下含义： </w:t>
      </w:r>
    </w:p>
    <w:p w14:paraId="0AD5C19B">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（１）“工程”是指委托人委托实施监理的工程。 </w:t>
      </w:r>
    </w:p>
    <w:p w14:paraId="6FAAB073">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（２）“委托人”是指承担直接投资责任和委托监理业务的一方以及其合法继承人。 </w:t>
      </w:r>
    </w:p>
    <w:p w14:paraId="6DDF796A">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（３）“监理人”是指承担监理业务和监理责任的一方，以及其合法继承人。 </w:t>
      </w:r>
    </w:p>
    <w:p w14:paraId="270C8AF0">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（４）“监理机构”是指监理人派驻本工程现场实施监理业务的组织。 </w:t>
      </w:r>
    </w:p>
    <w:p w14:paraId="111802A6">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（５）“总监理工程师”是指经委托人同意，监理人派到监理机构全面履行本合同的全权负责人。 </w:t>
      </w:r>
    </w:p>
    <w:p w14:paraId="3F8F984D">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（６）“承包人”是指除监理人以外，委托人就工程建设有关事宜签订合同的当事人。 </w:t>
      </w:r>
    </w:p>
    <w:p w14:paraId="59546CF7">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（７）“工程监理的正常工作”是指双方在专用条件中约定，委托人委托的监理工作范围和内容。 </w:t>
      </w:r>
    </w:p>
    <w:p w14:paraId="78B342B3">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（８）“工程监理的附加工作”是指：①委托人委托监理范围以外，通过双方书面协议另外增加的工作内容；②由于委托人或承包人原因，使监理工作受到阻碍或延误，因增加工作量或持续时间而增加的工作。 </w:t>
      </w:r>
    </w:p>
    <w:p w14:paraId="54B1777F">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（９）“工程监理的额外工作”是指正常工作和附加工作以外或非监理人自己的原因而暂停或终止监理业务，其善后工作及恢复监理业务的工作。 </w:t>
      </w:r>
    </w:p>
    <w:p w14:paraId="23112F07">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（１０）“日”是指任何一天零时至第二天零时的时间段。 </w:t>
      </w:r>
    </w:p>
    <w:p w14:paraId="2D6955EC">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（１１）“月”是指根据公历从一个月份中任何一天开始到下列个月相应日期的前一天的时间段。 </w:t>
      </w:r>
    </w:p>
    <w:p w14:paraId="176B1A36">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第二条　建设工程委托监理合同适用的法律是指国家的法律、行政法规，以及专用条件中议定的部门规章或工程所在地的地方法规、地方规章。 </w:t>
      </w:r>
    </w:p>
    <w:p w14:paraId="2F6F21F7">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第三条　本合同文件使用汉语语言文字书写、解释和说明。如专用条件约定使用两种以上（含两种）语言文字时，汉语应为解释和说明本合同的标准语言文字。监理人义务 </w:t>
      </w:r>
    </w:p>
    <w:p w14:paraId="117D4C4C">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第四条　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 </w:t>
      </w:r>
    </w:p>
    <w:p w14:paraId="648E0F4F">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第五条　监理人在履行本合同的义务期间，应认真、勤奋地工作，为委托人提供与其水平相适应的咨询意见，公正维护各方面的合理权益。 </w:t>
      </w:r>
    </w:p>
    <w:p w14:paraId="04AD38FF">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第六条　监理人使用委托人提供的设施和物品属委托人的财产。在监理工作完成或中止时，应将其设施和剩余的物品按合同约定的时间和方式移交给委托人。 </w:t>
      </w:r>
    </w:p>
    <w:p w14:paraId="56E94AF0">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第七条　在合同期内或合同终止后，未征得有关方同意，不得泄露与本工程、本合同业务有关的保密资料。 </w:t>
      </w:r>
    </w:p>
    <w:p w14:paraId="780503B4">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委托人义务 </w:t>
      </w:r>
    </w:p>
    <w:p w14:paraId="53BCACD8">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第八条　委托人在监理人开展监理业务之前应向监理人支付预付款。 </w:t>
      </w:r>
    </w:p>
    <w:p w14:paraId="4C79293E">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第九条　委托人应当负责工程建设的所有外部关系的协调，为监理工作提供外部条件。根据需要，如将部分或全部协调工作委托监理人承担，则应在专用条件中明确委托的工作和相应的报酬。 </w:t>
      </w:r>
    </w:p>
    <w:p w14:paraId="68BE32F8">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第十条　委托人应当在双方约定的时间内免费向监理人提供与工程有关的为监理工作所需要的工程资料。 </w:t>
      </w:r>
    </w:p>
    <w:p w14:paraId="15655C48">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第十一条　委托人应当在专用条款约定的时间内就监理人书面提交并要求作出决定的一切事宜作出书面决定。 </w:t>
      </w:r>
    </w:p>
    <w:p w14:paraId="3374E5A7">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第十二条　委托人应当授权一名熟悉工程情况、能在规定时间内作出决定的常驻代表（在专用条款中约定），负责与监理人联系。更换常驻代表，要提前通知监理人。 </w:t>
      </w:r>
    </w:p>
    <w:p w14:paraId="62FDB911">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第十三条　委托人应当授予监理人的监理权利，以及监理人主要成员的职能分工、监理权限及时书面通知已选定的承包合同的承包人，并在与第三人签订的合同中予以明确。 </w:t>
      </w:r>
    </w:p>
    <w:p w14:paraId="195165E1">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第十四条　委托人应在不影响监理人开展监理工作的时间内提供如下资料： </w:t>
      </w:r>
    </w:p>
    <w:p w14:paraId="19DC4215">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（１）与本工程合作的原材料、构配件、设备等生产厂家名录。 </w:t>
      </w:r>
    </w:p>
    <w:p w14:paraId="0949B2AD">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（２）提供与本工程有关的协作单位、配合单位的名录。 </w:t>
      </w:r>
    </w:p>
    <w:p w14:paraId="1C85E10C">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第十五条　委托人应免费向监理人提供办公用房、通讯设施、监理人员工地住房及合同专用条件约定的设施，对监理人自备的设施给予合理的经济补偿（补偿金额＝设施在工程使用时间占折旧年限的比例×设施原值＋管理费）。 </w:t>
      </w:r>
    </w:p>
    <w:p w14:paraId="6D2CB2B6">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第十六条　根据情况需要，如果双方约定，由委托人免费向监理人提供其他人员，应在监理合同专用条款中予以明确。 </w:t>
      </w:r>
    </w:p>
    <w:p w14:paraId="3C291908">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监理人权利 </w:t>
      </w:r>
    </w:p>
    <w:p w14:paraId="7D42E7F9">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第十七条　监理人在委托人委托的工程范围内，享有以下权利： </w:t>
      </w:r>
    </w:p>
    <w:p w14:paraId="6187032F">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（１）选择工程总承包人的建议权。 </w:t>
      </w:r>
    </w:p>
    <w:p w14:paraId="6F40FA80">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（２）选择工程分包人的认可权。 </w:t>
      </w:r>
    </w:p>
    <w:p w14:paraId="7115295E">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（３）对工程建设有关事项包括工程规模、设计标准、规划设计、生产工艺设计和使用功能要求，向委托人的建议权。 </w:t>
      </w:r>
    </w:p>
    <w:p w14:paraId="6EF323E2">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４）对工程设计中的技术问题，按照安全和优化的原则，向设计人提出建议；如果拟提出的建议可能会提供工程造价，或延长工期，应当事先征得委托人的同意。当发现工程设计不符合国家颁布的建设工程质量标准和设计合同约定的质量标准时，监理人应当书面报告委托人并要求设计人更正。 </w:t>
      </w:r>
    </w:p>
    <w:p w14:paraId="5E5DBD99">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（５）审批工程施工组织设计和技术方案，按照保质量、保工期和降低成本的原则，向承包人提出建议，并向委托人提出书面报告。 </w:t>
      </w:r>
    </w:p>
    <w:p w14:paraId="57494860">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（６）主持工程建设有关协作单位的组织协调，重要协调事项应当事先向委托人报告。 </w:t>
      </w:r>
    </w:p>
    <w:p w14:paraId="308390FF">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（７）征得委托人同意，监理人有权发布开工令、停工令、复工令，但应当事先向委托人报告。如在紧急情况下未能事先报告时，则应在２４小时内向委托人作出书面报告。 </w:t>
      </w:r>
    </w:p>
    <w:p w14:paraId="0C7D262F">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８）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 </w:t>
      </w:r>
    </w:p>
    <w:p w14:paraId="08E81B97">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（９）工程施工进度的检查、监督权，以及工程实际竣工日期提前或超过工程施工合同规定的竣工期限的签订权。 </w:t>
      </w:r>
    </w:p>
    <w:p w14:paraId="40EE4C3F">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（１０）在工程施工合同约定的工程价格范围内，工程款支付的审核和签订权，以及工程结算的复核确认权与否决权。未经总监理工程师签字确认，委托人不支付工程款。 </w:t>
      </w:r>
    </w:p>
    <w:p w14:paraId="388E7FC6">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第十八条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人员工作不力，监理机构可要求承包人调换有关人员。 </w:t>
      </w:r>
    </w:p>
    <w:p w14:paraId="5C2C6945">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第十九条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构仲裁时，应当提供作证的事实材料。 </w:t>
      </w:r>
    </w:p>
    <w:p w14:paraId="0D4CE2A1">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委托人权利 </w:t>
      </w:r>
    </w:p>
    <w:p w14:paraId="3D8B3C39">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第二十条　委托人有选定工程总承包人，以及与其订立合同的权利。 </w:t>
      </w:r>
    </w:p>
    <w:p w14:paraId="45B04E6C">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第二十一条　委托人有对工程规模、设计标准、规划设计、生产工艺设计和设计使用功能要求的认定权，以及对工程设计变更的审批权。 </w:t>
      </w:r>
    </w:p>
    <w:p w14:paraId="03693E96">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第二十二条　监理人调换总监理工程师须事先经委托人同意。 </w:t>
      </w:r>
    </w:p>
    <w:p w14:paraId="3C307E47">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第二十三条　委托人有权要求监理人提交监理工作月报及监理业务范围内的专项报告。 </w:t>
      </w:r>
    </w:p>
    <w:p w14:paraId="07183BFC">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第二十四条　当委托人发现监理人员不按监理合同履行监理职责，或与承包人串通给委托人或工程造成损失的，委托人有权要求监理便</w:t>
      </w:r>
      <w:r>
        <w:rPr>
          <w:rFonts w:hint="eastAsia" w:ascii="宋体" w:hAnsi="宋体" w:cs="宋体"/>
          <w:sz w:val="24"/>
          <w:szCs w:val="24"/>
          <w:highlight w:val="none"/>
          <w:lang w:eastAsia="zh-CN"/>
        </w:rPr>
        <w:t>更换</w:t>
      </w:r>
      <w:r>
        <w:rPr>
          <w:rFonts w:hint="eastAsia" w:ascii="宋体" w:hAnsi="宋体" w:eastAsia="宋体" w:cs="宋体"/>
          <w:sz w:val="24"/>
          <w:szCs w:val="24"/>
          <w:highlight w:val="none"/>
        </w:rPr>
        <w:t xml:space="preserve">监理人员，直到终止合同并要求监理人承担相应的赔偿责任或连带赔偿责任。 </w:t>
      </w:r>
    </w:p>
    <w:p w14:paraId="2A767E95">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监理人责任 </w:t>
      </w:r>
    </w:p>
    <w:p w14:paraId="66BAE7C5">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第二十五条　监理人的责任期即委托监理合同有效期。在监理过程中，如果因工程建设进度的推迟或延误而超过书面约定的日期，双方应进一步约定相应延长的合同期。 </w:t>
      </w:r>
    </w:p>
    <w:p w14:paraId="456B6089">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第二十六条　监理人在责任期内，应当履行约定的义务。如果因监理人过失而造成了委托人的经济损失，应当向委托人赔偿。累计赔偿总额（除本合同第二十四条规定以外）不应</w:t>
      </w:r>
      <w:r>
        <w:rPr>
          <w:rFonts w:hint="eastAsia" w:ascii="宋体" w:hAnsi="宋体" w:cs="宋体"/>
          <w:sz w:val="24"/>
          <w:szCs w:val="24"/>
          <w:highlight w:val="none"/>
          <w:lang w:eastAsia="zh-CN"/>
        </w:rPr>
        <w:t>超过</w:t>
      </w:r>
      <w:r>
        <w:rPr>
          <w:rFonts w:hint="eastAsia" w:ascii="宋体" w:hAnsi="宋体" w:eastAsia="宋体" w:cs="宋体"/>
          <w:sz w:val="24"/>
          <w:szCs w:val="24"/>
          <w:highlight w:val="none"/>
        </w:rPr>
        <w:t xml:space="preserve">监理报酬总额（除去税金）。 </w:t>
      </w:r>
    </w:p>
    <w:p w14:paraId="3389705B">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第二十七条　监理人对承包人违反合同规定的质量要求和完工（交图、交货）时限，不承担责任。因不可抗力导致委托监理合同不能全部或部分履行，监理人不承担责任。但对违反第五条规定引起的与之有关的事宜，向委托人承担赔偿责任。 </w:t>
      </w:r>
    </w:p>
    <w:p w14:paraId="4EAEDFB9">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第二十八条　监理人向委托人提出赔偿要求不能成立时，监理人应当补偿由于该索赔所导致委托人的各种费用支出。 </w:t>
      </w:r>
    </w:p>
    <w:p w14:paraId="5E98572F">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委托人责任 </w:t>
      </w:r>
    </w:p>
    <w:p w14:paraId="1187F713">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第二十九条　委托人应当履行委托监理合同约定的义务，如有违反则应当承担违约责任，赔偿给监理人造成的经济损失。 </w:t>
      </w:r>
    </w:p>
    <w:p w14:paraId="08EE2C90">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监理人处理委托业务时，因非监理人原因的事由受到损失的，可以向委托人要求补偿损失。 </w:t>
      </w:r>
    </w:p>
    <w:p w14:paraId="4D82907E">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第三十条　委托人如果向监理人提出赔偿的要求不能成立，则应当补偿由该索赔所引起的监理人的各种费用支出。 </w:t>
      </w:r>
    </w:p>
    <w:p w14:paraId="7B6C5799">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合同生效、变更与终止 </w:t>
      </w:r>
    </w:p>
    <w:p w14:paraId="21BAF542">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第三十一条　由于委托人或承包人的原因使监理工作受到阻碍或延误，以致发生了附加工作或延长了持续时间，则监理人应当将此情况与可能产生的影响及时通知委托人。完成监理业务的时间相应延长，并得到附加工作的报酬。 </w:t>
      </w:r>
    </w:p>
    <w:p w14:paraId="6189FCBF">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第三十二条　在委托监理合同签订后，实际情况发生变化，使得监理人不能全部或部分执行监理业务时，监理人应当立即通知委托人。该监理业务的完成时间应予延长。当恢复执行监理业务时，应当增加不超过４２日的时间用于恢复执行监理业务，并按双方约定的数量支付监理报酬。 </w:t>
      </w:r>
    </w:p>
    <w:p w14:paraId="4C777884">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第三十三条　监理人向委托人办理完竣工验收或工程移交手续，承包人和委托人已签订工程保修责任书，监理人收到监理报酬尾款，本合同即终止。保修期间的责任，双方在专用条款中约定。 </w:t>
      </w:r>
    </w:p>
    <w:p w14:paraId="7085D734">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第三十四条　当事人一方要求变更或解除合同时，应当在</w:t>
      </w:r>
      <w:r>
        <w:rPr>
          <w:rFonts w:hint="eastAsia" w:ascii="宋体" w:hAnsi="宋体" w:eastAsia="宋体" w:cs="宋体"/>
          <w:sz w:val="24"/>
          <w:szCs w:val="24"/>
          <w:highlight w:val="none"/>
          <w:lang w:val="en-US" w:eastAsia="zh-CN"/>
        </w:rPr>
        <w:t>42</w:t>
      </w:r>
      <w:r>
        <w:rPr>
          <w:rFonts w:hint="eastAsia" w:ascii="宋体" w:hAnsi="宋体" w:eastAsia="宋体" w:cs="宋体"/>
          <w:sz w:val="24"/>
          <w:szCs w:val="24"/>
          <w:highlight w:val="none"/>
        </w:rPr>
        <w:t xml:space="preserve">日前通知对方，因解除合同使一方遭受损失的，除依法可以免除责任的外，应由责任方负责赔偿。 </w:t>
      </w:r>
    </w:p>
    <w:p w14:paraId="3425AB5B">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变更或解除合同的通知或协议必须采取书面形式，协议未达成之前，原合同仍然有效。 </w:t>
      </w:r>
    </w:p>
    <w:p w14:paraId="200CCB6A">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第三十五条　监理人在应当获得监理报酬之日起</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日内仍未收到支付单据，而委托人又未对监理人提出任何书面解释时，或根据第三十一条及第三十二条已暂停执行监理业务时限超过六个月的，监理人可向委托人发出终止合同的通知，发出通知后１４日内仍未得到委托人答复，可进一步发现终止合同的通知，如果第二份通知发出后</w:t>
      </w:r>
      <w:r>
        <w:rPr>
          <w:rFonts w:hint="eastAsia" w:ascii="宋体" w:hAnsi="宋体" w:eastAsia="宋体" w:cs="宋体"/>
          <w:sz w:val="24"/>
          <w:szCs w:val="24"/>
          <w:highlight w:val="none"/>
          <w:lang w:val="en-US" w:eastAsia="zh-CN"/>
        </w:rPr>
        <w:t>42</w:t>
      </w:r>
      <w:r>
        <w:rPr>
          <w:rFonts w:hint="eastAsia" w:ascii="宋体" w:hAnsi="宋体" w:eastAsia="宋体" w:cs="宋体"/>
          <w:sz w:val="24"/>
          <w:szCs w:val="24"/>
          <w:highlight w:val="none"/>
        </w:rPr>
        <w:t xml:space="preserve">日内仍未得到委托人答复，可终止合同或自行暂停或继续暂停执行全部或部分监理业务。委托人承担违约责任。 </w:t>
      </w:r>
    </w:p>
    <w:p w14:paraId="03331CF3">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第三十六条　监理人由于非自己的原因而暂停或终止执行监理业务，其善后勤工作以及恢复执行监理业务的工作，应当视为额外工作，有权得到额外的报酬。 </w:t>
      </w:r>
    </w:p>
    <w:p w14:paraId="74BB8D4D">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第三十七条　当委托人认为监理人无正当理由而又未履行监理义务时，可向监理人</w:t>
      </w:r>
      <w:r>
        <w:rPr>
          <w:rFonts w:hint="eastAsia" w:ascii="宋体" w:hAnsi="宋体" w:cs="宋体"/>
          <w:sz w:val="24"/>
          <w:szCs w:val="24"/>
          <w:highlight w:val="none"/>
          <w:lang w:eastAsia="zh-CN"/>
        </w:rPr>
        <w:t>发出</w:t>
      </w:r>
      <w:r>
        <w:rPr>
          <w:rFonts w:hint="eastAsia" w:ascii="宋体" w:hAnsi="宋体" w:eastAsia="宋体" w:cs="宋体"/>
          <w:sz w:val="24"/>
          <w:szCs w:val="24"/>
          <w:highlight w:val="none"/>
        </w:rPr>
        <w:t>指明其未履行义务的通知。若委托人发出通知后</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日内没有收到答复，可在第一个通知发出后</w:t>
      </w:r>
      <w:r>
        <w:rPr>
          <w:rFonts w:hint="eastAsia" w:ascii="宋体" w:hAnsi="宋体" w:eastAsia="宋体" w:cs="宋体"/>
          <w:sz w:val="24"/>
          <w:szCs w:val="24"/>
          <w:highlight w:val="none"/>
          <w:lang w:val="en-US" w:eastAsia="zh-CN"/>
        </w:rPr>
        <w:t>35</w:t>
      </w:r>
      <w:r>
        <w:rPr>
          <w:rFonts w:hint="eastAsia" w:ascii="宋体" w:hAnsi="宋体" w:eastAsia="宋体" w:cs="宋体"/>
          <w:sz w:val="24"/>
          <w:szCs w:val="24"/>
          <w:highlight w:val="none"/>
        </w:rPr>
        <w:t xml:space="preserve">日内发出终止委托监理合同的通知，合同即行终止。监理人承担违约责任。 </w:t>
      </w:r>
    </w:p>
    <w:p w14:paraId="39EDB5E8">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第三十八条　合同协议的终止并不影响各方应有的权利和应当承担的责任。 </w:t>
      </w:r>
    </w:p>
    <w:p w14:paraId="1C1DF6A8">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监理报酬 </w:t>
      </w:r>
    </w:p>
    <w:p w14:paraId="32AF858D">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第三十九条　正常的监理工作、附加工作和额外工作的报酬，按照监理合同专用条件中约定的方法计算，并按约定的时间和数额支付。 </w:t>
      </w:r>
    </w:p>
    <w:p w14:paraId="197905BA">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第四十条　如果委托人在规定的支付期限内未支付监理报酬，自规定之日起，还应向监理人支付滞纳金。滞纳金从规定支付期限最后一日起计算。 </w:t>
      </w:r>
    </w:p>
    <w:p w14:paraId="4648ABD8">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第四十一条　支付监理报酬所采取的货币币种、汇率由合同专用条件约定。 </w:t>
      </w:r>
    </w:p>
    <w:p w14:paraId="24A8E65A">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第四十二条　如果委托人对监理人提交的支付通知中报酬或部分报酬项目提出异议，应当在收到支付通知书</w:t>
      </w: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 xml:space="preserve">小时内向监理人发出表示异议的通知，但委托人不得拖延其他无异议报酬项目的支付。 </w:t>
      </w:r>
    </w:p>
    <w:p w14:paraId="32AB907F">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其他 </w:t>
      </w:r>
    </w:p>
    <w:p w14:paraId="38F2CA0A">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第四十三条　委托的建设工程监理所必要的监理人员出外考察、材料、设备复试，其费用支出经委托人同意的，在预算范围内向委托人实报实销。 </w:t>
      </w:r>
    </w:p>
    <w:p w14:paraId="08806DC7">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第四十四条　在监理业务范围内，如需聘用专家咨询或协助，由监理人聘用的，其费用由监理人承担；由委托人聘用的，其费用由委托人承担。 </w:t>
      </w:r>
    </w:p>
    <w:p w14:paraId="1549F6D7">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第四十五条　监理人在监理工作过程中</w:t>
      </w:r>
      <w:r>
        <w:rPr>
          <w:rFonts w:hint="eastAsia" w:ascii="宋体" w:hAnsi="宋体" w:cs="宋体"/>
          <w:sz w:val="24"/>
          <w:szCs w:val="24"/>
          <w:highlight w:val="none"/>
          <w:lang w:eastAsia="zh-CN"/>
        </w:rPr>
        <w:t>给出</w:t>
      </w:r>
      <w:r>
        <w:rPr>
          <w:rFonts w:hint="eastAsia" w:ascii="宋体" w:hAnsi="宋体" w:eastAsia="宋体" w:cs="宋体"/>
          <w:sz w:val="24"/>
          <w:szCs w:val="24"/>
          <w:highlight w:val="none"/>
        </w:rPr>
        <w:t xml:space="preserve">的合理化建议，使委托人得到了经济效益，委托人应按专用条件中的约定给予经济奖励。 </w:t>
      </w:r>
    </w:p>
    <w:p w14:paraId="7597E2B1">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第四十六条　监理人驻地监理机构及其职员不得接受监理工程项目施工承包人的任何报酬或者经济利益。 </w:t>
      </w:r>
    </w:p>
    <w:p w14:paraId="745836F0">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监理人不得参与可能与合同规定的与委托人的利益相冲突的任何活动。 </w:t>
      </w:r>
    </w:p>
    <w:p w14:paraId="2041D41D">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5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第四十七条　监理人在监理过程中，不得泄露委托人申明的秘密，监理人亦不得泄露设计人、承包人等提供并申明的秘密。 </w:t>
      </w:r>
    </w:p>
    <w:p w14:paraId="172509DE">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第四十八条　监理人对于由其编制的所有文件拥有版权，委托人仅有权为本工程使用或复制此类文件。 </w:t>
      </w:r>
    </w:p>
    <w:p w14:paraId="6776A2AC">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争议的解决 </w:t>
      </w:r>
    </w:p>
    <w:p w14:paraId="096ECC77">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第四十九条　因违反或终止合同而引起的对方损失和损害的赔偿，双方应当协商解决，如未能达成一致，可提交主管部门协调，如仍未能达成一致时，根据双方约定提交仲裁机构仲裁，或向人民法院起诉。 </w:t>
      </w:r>
    </w:p>
    <w:p w14:paraId="783AF25F">
      <w:pPr>
        <w:tabs>
          <w:tab w:val="left" w:pos="3120"/>
        </w:tabs>
        <w:spacing w:beforeLines="0" w:afterLines="0" w:line="500" w:lineRule="atLeast"/>
        <w:ind w:firstLine="2666" w:firstLineChars="1067"/>
        <w:jc w:val="both"/>
        <w:outlineLvl w:val="0"/>
        <w:rPr>
          <w:rFonts w:hint="eastAsia" w:ascii="宋体" w:hAnsi="宋体" w:eastAsia="宋体" w:cs="宋体"/>
          <w:b/>
          <w:color w:val="auto"/>
          <w:sz w:val="24"/>
          <w:szCs w:val="24"/>
          <w:highlight w:val="none"/>
          <w:lang w:val="zh-CN" w:eastAsia="zh-CN"/>
        </w:rPr>
      </w:pPr>
      <w:bookmarkStart w:id="48" w:name="_Toc6712"/>
      <w:r>
        <w:rPr>
          <w:rFonts w:hint="eastAsia" w:ascii="宋体" w:hAnsi="宋体" w:eastAsia="宋体" w:cs="宋体"/>
          <w:b/>
          <w:color w:val="auto"/>
          <w:sz w:val="24"/>
          <w:szCs w:val="24"/>
          <w:highlight w:val="none"/>
          <w:lang w:val="zh-CN"/>
        </w:rPr>
        <w:t>第</w:t>
      </w: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lang w:val="zh-CN"/>
        </w:rPr>
        <w:t>部分  专用</w:t>
      </w:r>
      <w:bookmarkEnd w:id="44"/>
      <w:bookmarkEnd w:id="45"/>
      <w:bookmarkEnd w:id="46"/>
      <w:bookmarkEnd w:id="47"/>
      <w:r>
        <w:rPr>
          <w:rFonts w:hint="eastAsia" w:ascii="宋体" w:hAnsi="宋体" w:eastAsia="宋体" w:cs="宋体"/>
          <w:b/>
          <w:color w:val="auto"/>
          <w:sz w:val="24"/>
          <w:szCs w:val="24"/>
          <w:highlight w:val="none"/>
          <w:lang w:val="en-US" w:eastAsia="zh-CN"/>
        </w:rPr>
        <w:t>条款</w:t>
      </w:r>
      <w:bookmarkEnd w:id="48"/>
    </w:p>
    <w:p w14:paraId="63A0086E">
      <w:pPr>
        <w:spacing w:beforeLines="0" w:afterLines="0" w:line="500" w:lineRule="atLeast"/>
        <w:ind w:firstLine="48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 定义与解释</w:t>
      </w:r>
    </w:p>
    <w:p w14:paraId="58B44941">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  解释</w:t>
      </w:r>
    </w:p>
    <w:p w14:paraId="5A6E95B2">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1.2.1 本合同文件除使用中文外，还可用</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355B36A1">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1.2.2 约定本合同文件的解释顺序为：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360E4995">
      <w:pPr>
        <w:spacing w:beforeLines="0" w:afterLines="0" w:line="500" w:lineRule="atLeast"/>
        <w:ind w:firstLine="48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 监理人义务</w:t>
      </w:r>
    </w:p>
    <w:p w14:paraId="6B9AB8CF">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2.1 监理的范围和内容</w:t>
      </w:r>
    </w:p>
    <w:p w14:paraId="46FAAD59">
      <w:pPr>
        <w:spacing w:beforeLines="0" w:afterLines="0" w:line="500" w:lineRule="atLeast"/>
        <w:ind w:firstLine="48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2.1.1 监理范围包括：</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1E8F88F9">
      <w:pPr>
        <w:spacing w:beforeLines="0" w:afterLines="0" w:line="500" w:lineRule="atLeast"/>
        <w:ind w:firstLine="48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2.1.2 监理工作内容还包括：</w:t>
      </w:r>
      <w:r>
        <w:rPr>
          <w:rFonts w:hint="eastAsia" w:ascii="宋体" w:hAnsi="宋体" w:eastAsia="宋体" w:cs="宋体"/>
          <w:color w:val="auto"/>
          <w:sz w:val="24"/>
          <w:szCs w:val="24"/>
          <w:highlight w:val="none"/>
          <w:u w:val="single"/>
          <w:lang w:val="zh-CN"/>
        </w:rPr>
        <w:t>监理单位承担本工程施工的监理任务，并按照合同约定相应阶段的监理程序及监理规则、工作细则实施监理工作，对工程质量、工期和工程造价进行有效控制，做好安全生产监督管理以及合同、信息管理工作。</w:t>
      </w:r>
    </w:p>
    <w:p w14:paraId="3255338D">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2.2 监理与相关服务依据</w:t>
      </w:r>
    </w:p>
    <w:p w14:paraId="45B88716">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2.2.1 监理依据包括：</w:t>
      </w:r>
      <w:r>
        <w:rPr>
          <w:rFonts w:hint="eastAsia" w:ascii="宋体" w:hAnsi="宋体" w:eastAsia="宋体" w:cs="宋体"/>
          <w:color w:val="auto"/>
          <w:sz w:val="24"/>
          <w:szCs w:val="24"/>
          <w:highlight w:val="none"/>
          <w:u w:val="single"/>
          <w:lang w:val="zh-CN"/>
        </w:rPr>
        <w:t>国家现行的有关建设法规、陕西省有关建设工程文件、规定；工程建设标准强制性条文；与本工程有关的标准、规范；工程施工图纸、标准图集及相关的施工合同</w:t>
      </w:r>
      <w:r>
        <w:rPr>
          <w:rFonts w:hint="eastAsia" w:ascii="宋体" w:hAnsi="宋体" w:eastAsia="宋体" w:cs="宋体"/>
          <w:color w:val="auto"/>
          <w:sz w:val="24"/>
          <w:szCs w:val="24"/>
          <w:highlight w:val="none"/>
          <w:lang w:val="zh-CN"/>
        </w:rPr>
        <w:t>。</w:t>
      </w:r>
    </w:p>
    <w:p w14:paraId="5D6D04ED">
      <w:pPr>
        <w:spacing w:beforeLines="0" w:afterLines="0" w:line="500" w:lineRule="atLeast"/>
        <w:ind w:firstLine="480"/>
        <w:rPr>
          <w:rFonts w:hint="eastAsia" w:ascii="宋体" w:hAnsi="宋体" w:eastAsia="宋体" w:cs="宋体"/>
          <w:strike/>
          <w:color w:val="auto"/>
          <w:sz w:val="24"/>
          <w:szCs w:val="24"/>
          <w:highlight w:val="none"/>
          <w:lang w:val="zh-CN"/>
        </w:rPr>
      </w:pPr>
      <w:r>
        <w:rPr>
          <w:rFonts w:hint="eastAsia" w:ascii="宋体" w:hAnsi="宋体" w:eastAsia="宋体" w:cs="宋体"/>
          <w:color w:val="auto"/>
          <w:sz w:val="24"/>
          <w:szCs w:val="24"/>
          <w:highlight w:val="none"/>
          <w:lang w:val="zh-CN"/>
        </w:rPr>
        <w:t>2.2.2 相关服务依据包括：</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37FDE32D">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2.3项目监理机构和人员</w:t>
      </w:r>
    </w:p>
    <w:p w14:paraId="7BCD38EC">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2.3.4 更换监理人员的其他情形：</w:t>
      </w:r>
      <w:r>
        <w:rPr>
          <w:rFonts w:hint="eastAsia" w:ascii="宋体" w:hAnsi="宋体" w:eastAsia="宋体" w:cs="宋体"/>
          <w:color w:val="auto"/>
          <w:sz w:val="24"/>
          <w:szCs w:val="24"/>
          <w:highlight w:val="none"/>
          <w:u w:val="single"/>
          <w:lang w:val="zh-CN"/>
        </w:rPr>
        <w:t>监理人可根据工程进展和工作需要调整项目监理机构人员。监理人更换总监理工程师时，应提前7天向委托人书面报告，经委托人同意后方可更换；监理人更换项目监理机构其他监理人员，应以相当资格与能力的人员替换，并征得委托人同意。</w:t>
      </w:r>
    </w:p>
    <w:p w14:paraId="2455DC56">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2.4 履行职责</w:t>
      </w:r>
    </w:p>
    <w:p w14:paraId="0471A69B">
      <w:pPr>
        <w:spacing w:beforeLines="0" w:afterLines="0" w:line="500" w:lineRule="atLeast"/>
        <w:ind w:firstLine="48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2.4.3 对监理人的授权范围：</w:t>
      </w:r>
      <w:r>
        <w:rPr>
          <w:rFonts w:hint="eastAsia" w:ascii="宋体" w:hAnsi="宋体" w:eastAsia="宋体" w:cs="宋体"/>
          <w:color w:val="auto"/>
          <w:sz w:val="24"/>
          <w:szCs w:val="24"/>
          <w:highlight w:val="none"/>
          <w:u w:val="single"/>
          <w:lang w:val="zh-CN"/>
        </w:rPr>
        <w:t>监理人需征得委托人同意才能行使的职权：①设计变更；②工期延误索赔或鉴证，工程量及费用增减的索赔或鉴证；③工程款支付；④分包商的确定；⑤主要材料的确定；⑥施工组织设计、施工总进度计划的审定；⑦其他重要突发事件处理决定见本工程建设监理合同约定权限以及发包人以书面形式通知监理工程师的其他权限；⑧停工、复工通知；⑨发包人认为须取得批准方可实施的其它重要事项</w:t>
      </w:r>
      <w:r>
        <w:rPr>
          <w:rFonts w:hint="eastAsia" w:ascii="宋体" w:hAnsi="宋体" w:eastAsia="宋体" w:cs="宋体"/>
          <w:color w:val="auto"/>
          <w:sz w:val="24"/>
          <w:szCs w:val="24"/>
          <w:highlight w:val="none"/>
          <w:lang w:val="zh-CN"/>
        </w:rPr>
        <w:t>。</w:t>
      </w:r>
    </w:p>
    <w:p w14:paraId="21FA31E2">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在涉及工程延期</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天内和（或）金额</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万元内的变更，监理人不需请示委托人即可向承包人发布变更通知。</w:t>
      </w:r>
    </w:p>
    <w:p w14:paraId="147B58B0">
      <w:pPr>
        <w:tabs>
          <w:tab w:val="left" w:pos="0"/>
        </w:tabs>
        <w:spacing w:beforeLines="0" w:afterLines="0" w:line="500" w:lineRule="atLeast"/>
        <w:ind w:firstLine="48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2.4.4 监理人有权要求承包人调换其人员的限制条件1、承包人不能胜任职责的。2、承包人能力和责任心不适应本工程条件的。。  </w:t>
      </w:r>
    </w:p>
    <w:p w14:paraId="22F867B7">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2.5 提交报告</w:t>
      </w:r>
    </w:p>
    <w:p w14:paraId="222D96DE">
      <w:pPr>
        <w:spacing w:beforeLines="0" w:afterLines="0" w:line="500" w:lineRule="atLeast"/>
        <w:ind w:firstLine="48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监理人应提交报告的种类(包括监理规划、监理月报及约定的专项报告)、时间和份数：</w:t>
      </w:r>
      <w:r>
        <w:rPr>
          <w:rFonts w:hint="eastAsia" w:ascii="宋体" w:hAnsi="宋体" w:eastAsia="宋体" w:cs="宋体"/>
          <w:color w:val="auto"/>
          <w:sz w:val="24"/>
          <w:szCs w:val="24"/>
          <w:highlight w:val="none"/>
          <w:u w:val="single"/>
          <w:lang w:val="zh-CN"/>
        </w:rPr>
        <w:t>1、监理规划， 合同签订后七天内提交2、监理月报，每月26-28日提交。3、专项报告随工程进度情况，随时提交。</w:t>
      </w:r>
    </w:p>
    <w:p w14:paraId="16BD4E00">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2.7 使用委托人的财产</w:t>
      </w:r>
    </w:p>
    <w:p w14:paraId="144782C9">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附录B中由委托人无偿提供的房屋、设备的所有权属于：</w:t>
      </w:r>
      <w:r>
        <w:rPr>
          <w:rFonts w:hint="eastAsia" w:ascii="宋体" w:hAnsi="宋体" w:eastAsia="宋体" w:cs="宋体"/>
          <w:color w:val="auto"/>
          <w:sz w:val="24"/>
          <w:szCs w:val="24"/>
          <w:highlight w:val="none"/>
          <w:u w:val="single"/>
          <w:lang w:val="zh-CN"/>
        </w:rPr>
        <w:t>委托人</w:t>
      </w:r>
      <w:r>
        <w:rPr>
          <w:rFonts w:hint="eastAsia" w:ascii="宋体" w:hAnsi="宋体" w:eastAsia="宋体" w:cs="宋体"/>
          <w:color w:val="auto"/>
          <w:sz w:val="24"/>
          <w:szCs w:val="24"/>
          <w:highlight w:val="none"/>
          <w:lang w:val="zh-CN"/>
        </w:rPr>
        <w:t>。</w:t>
      </w:r>
    </w:p>
    <w:p w14:paraId="3CE731F1">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监理人应在本合同终止后</w:t>
      </w:r>
      <w:r>
        <w:rPr>
          <w:rFonts w:hint="eastAsia" w:ascii="宋体" w:hAnsi="宋体" w:eastAsia="宋体" w:cs="宋体"/>
          <w:color w:val="auto"/>
          <w:sz w:val="24"/>
          <w:szCs w:val="24"/>
          <w:highlight w:val="none"/>
          <w:u w:val="single"/>
          <w:lang w:val="zh-CN"/>
        </w:rPr>
        <w:t xml:space="preserve">   30    </w:t>
      </w:r>
      <w:r>
        <w:rPr>
          <w:rFonts w:hint="eastAsia" w:ascii="宋体" w:hAnsi="宋体" w:eastAsia="宋体" w:cs="宋体"/>
          <w:color w:val="auto"/>
          <w:sz w:val="24"/>
          <w:szCs w:val="24"/>
          <w:highlight w:val="none"/>
          <w:lang w:val="zh-CN"/>
        </w:rPr>
        <w:t>天内移交委托人无偿提供的房屋、设备，移交的时间和方式为：</w:t>
      </w:r>
      <w:r>
        <w:rPr>
          <w:rFonts w:hint="eastAsia" w:ascii="宋体" w:hAnsi="宋体" w:eastAsia="宋体" w:cs="宋体"/>
          <w:color w:val="auto"/>
          <w:sz w:val="24"/>
          <w:szCs w:val="24"/>
          <w:highlight w:val="none"/>
          <w:u w:val="single"/>
          <w:lang w:val="zh-CN"/>
        </w:rPr>
        <w:t xml:space="preserve">  书面移交  </w:t>
      </w:r>
      <w:r>
        <w:rPr>
          <w:rFonts w:hint="eastAsia" w:ascii="宋体" w:hAnsi="宋体" w:eastAsia="宋体" w:cs="宋体"/>
          <w:color w:val="auto"/>
          <w:sz w:val="24"/>
          <w:szCs w:val="24"/>
          <w:highlight w:val="none"/>
          <w:lang w:val="zh-CN"/>
        </w:rPr>
        <w:t>。</w:t>
      </w:r>
    </w:p>
    <w:p w14:paraId="3616FDEC">
      <w:pPr>
        <w:spacing w:beforeLines="0" w:afterLines="0" w:line="500" w:lineRule="atLeast"/>
        <w:ind w:firstLine="48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 xml:space="preserve">3. 委托人义务  </w:t>
      </w:r>
    </w:p>
    <w:p w14:paraId="493AD7A6">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3.4 委托人代表</w:t>
      </w:r>
    </w:p>
    <w:p w14:paraId="6DDE42C4">
      <w:pPr>
        <w:spacing w:beforeLines="0" w:afterLines="0" w:line="500" w:lineRule="atLeast"/>
        <w:ind w:firstLine="48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委托人代表为：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2A8086AD">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3.6 答复</w:t>
      </w:r>
    </w:p>
    <w:p w14:paraId="35C69C34">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委托人同意在</w:t>
      </w:r>
      <w:r>
        <w:rPr>
          <w:rFonts w:hint="eastAsia" w:ascii="宋体" w:hAnsi="宋体" w:eastAsia="宋体" w:cs="宋体"/>
          <w:color w:val="auto"/>
          <w:sz w:val="24"/>
          <w:szCs w:val="24"/>
          <w:highlight w:val="none"/>
          <w:u w:val="single"/>
          <w:lang w:val="zh-CN"/>
        </w:rPr>
        <w:t xml:space="preserve">   3   </w:t>
      </w:r>
      <w:r>
        <w:rPr>
          <w:rFonts w:hint="eastAsia" w:ascii="宋体" w:hAnsi="宋体" w:eastAsia="宋体" w:cs="宋体"/>
          <w:color w:val="auto"/>
          <w:sz w:val="24"/>
          <w:szCs w:val="24"/>
          <w:highlight w:val="none"/>
          <w:lang w:val="zh-CN"/>
        </w:rPr>
        <w:t>天内，对监理人书面提交并要求做出决定的事宜给予书面答复。</w:t>
      </w:r>
    </w:p>
    <w:p w14:paraId="3BC140B1">
      <w:pPr>
        <w:spacing w:beforeLines="0" w:afterLines="0" w:line="500" w:lineRule="atLeast"/>
        <w:ind w:firstLine="48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4. 违约责任</w:t>
      </w:r>
    </w:p>
    <w:p w14:paraId="7DD0EAEC">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4.1 监理人的违约责任</w:t>
      </w:r>
    </w:p>
    <w:p w14:paraId="3C5149AE">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4.1.1监理人赔偿金额按下列方法确定：</w:t>
      </w:r>
    </w:p>
    <w:p w14:paraId="33E8637F">
      <w:pPr>
        <w:spacing w:beforeLines="0" w:afterLines="0" w:line="500" w:lineRule="atLeast"/>
        <w:ind w:firstLine="48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zh-CN"/>
        </w:rPr>
        <w:t>赔偿金＝直接经济损失</w:t>
      </w:r>
      <w:r>
        <w:rPr>
          <w:rFonts w:hint="eastAsia" w:ascii="宋体" w:hAnsi="宋体" w:eastAsia="宋体" w:cs="宋体"/>
          <w:color w:val="auto"/>
          <w:sz w:val="24"/>
          <w:szCs w:val="24"/>
          <w:highlight w:val="none"/>
          <w:lang w:val="en-US"/>
        </w:rPr>
        <w:t>×正常工作酬金÷工程概算投资额（或建筑安装工程费）</w:t>
      </w:r>
    </w:p>
    <w:p w14:paraId="360244E1">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4.2 委托人的违约责任</w:t>
      </w:r>
    </w:p>
    <w:p w14:paraId="77B0C1FC">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4.2.3 委托人逾期付款利息按下列方法确定：</w:t>
      </w:r>
    </w:p>
    <w:p w14:paraId="6742A07D">
      <w:pPr>
        <w:spacing w:beforeLines="0" w:afterLines="0" w:line="500" w:lineRule="atLeast"/>
        <w:ind w:firstLine="48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zh-CN"/>
        </w:rPr>
        <w:t>逾期付款利息＝当期应付款总额</w:t>
      </w:r>
      <w:r>
        <w:rPr>
          <w:rFonts w:hint="eastAsia" w:ascii="宋体" w:hAnsi="宋体" w:eastAsia="宋体" w:cs="宋体"/>
          <w:color w:val="auto"/>
          <w:sz w:val="24"/>
          <w:szCs w:val="24"/>
          <w:highlight w:val="none"/>
          <w:lang w:val="en-US"/>
        </w:rPr>
        <w:t>×银行同期贷款利率×拖延支付天数</w:t>
      </w:r>
    </w:p>
    <w:p w14:paraId="790D3FD4">
      <w:pPr>
        <w:spacing w:beforeLines="0" w:afterLines="0" w:line="500" w:lineRule="atLeast"/>
        <w:ind w:firstLine="48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5. 支付</w:t>
      </w:r>
    </w:p>
    <w:p w14:paraId="3B45B9A1">
      <w:pPr>
        <w:spacing w:beforeLines="0" w:afterLines="0" w:line="500" w:lineRule="atLeast"/>
        <w:ind w:firstLine="480"/>
        <w:rPr>
          <w:rFonts w:hint="eastAsia"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lang w:val="zh-CN"/>
        </w:rPr>
        <w:t>5.1 支付货币</w:t>
      </w:r>
    </w:p>
    <w:p w14:paraId="169ECFF4">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币种为：</w:t>
      </w:r>
      <w:r>
        <w:rPr>
          <w:rFonts w:hint="eastAsia" w:ascii="宋体" w:hAnsi="宋体" w:eastAsia="宋体" w:cs="宋体"/>
          <w:color w:val="auto"/>
          <w:sz w:val="24"/>
          <w:szCs w:val="24"/>
          <w:highlight w:val="none"/>
          <w:u w:val="single"/>
          <w:lang w:val="zh-CN"/>
        </w:rPr>
        <w:t xml:space="preserve"> 人民币 </w:t>
      </w:r>
      <w:r>
        <w:rPr>
          <w:rFonts w:hint="eastAsia" w:ascii="宋体" w:hAnsi="宋体" w:eastAsia="宋体" w:cs="宋体"/>
          <w:color w:val="auto"/>
          <w:sz w:val="24"/>
          <w:szCs w:val="24"/>
          <w:highlight w:val="none"/>
          <w:lang w:val="zh-CN"/>
        </w:rPr>
        <w:t>，比例为：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，汇率为：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 xml:space="preserve">。 </w:t>
      </w:r>
    </w:p>
    <w:p w14:paraId="02EDE633">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5.3 支付酬金</w:t>
      </w:r>
    </w:p>
    <w:p w14:paraId="286BFC89">
      <w:pPr>
        <w:spacing w:beforeLines="0" w:afterLines="0" w:line="500" w:lineRule="atLeas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正常工作酬金的支付：</w:t>
      </w:r>
      <w:r>
        <w:rPr>
          <w:rFonts w:hint="eastAsia" w:ascii="宋体" w:hAnsi="宋体" w:eastAsia="宋体" w:cs="宋体"/>
          <w:color w:val="auto"/>
          <w:sz w:val="24"/>
          <w:szCs w:val="24"/>
          <w:highlight w:val="none"/>
          <w:u w:val="single"/>
          <w:lang w:val="en-US" w:eastAsia="zh-CN"/>
        </w:rPr>
        <w:t xml:space="preserve">第一期：合同签订7日内，付30%；第二期：完成祭祀坑展示复原主体工程付40%，第三期：周边环境改造提升施工完成，完成初验，付27%；第四期：完成终验后20个工作日一次性付清剩余3%。 </w:t>
      </w:r>
    </w:p>
    <w:p w14:paraId="4F14E083">
      <w:pPr>
        <w:spacing w:beforeLines="0" w:afterLines="0" w:line="500" w:lineRule="atLeast"/>
        <w:ind w:firstLine="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本工程预付款</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 xml:space="preserve">。 </w:t>
      </w:r>
    </w:p>
    <w:p w14:paraId="1E7ED6D1">
      <w:pPr>
        <w:spacing w:beforeLines="0" w:afterLines="0" w:line="500" w:lineRule="atLeast"/>
        <w:ind w:firstLine="480"/>
        <w:rPr>
          <w:rFonts w:hint="eastAsia"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lang w:val="zh-CN"/>
        </w:rPr>
        <w:t>6</w:t>
      </w:r>
      <w:r>
        <w:rPr>
          <w:rFonts w:hint="eastAsia" w:ascii="宋体" w:hAnsi="宋体" w:eastAsia="宋体" w:cs="宋体"/>
          <w:b/>
          <w:color w:val="auto"/>
          <w:sz w:val="24"/>
          <w:szCs w:val="24"/>
          <w:highlight w:val="none"/>
          <w:lang w:val="zh-CN"/>
        </w:rPr>
        <w:t>. 合同生效、变更、暂停、解除与终止</w:t>
      </w:r>
    </w:p>
    <w:p w14:paraId="417B2C9A">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6.1 生效    本合同生效条件：</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477E393E">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6.2 变更</w:t>
      </w:r>
    </w:p>
    <w:p w14:paraId="3A399483">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6.2.2 除不可抗力外， 因非监理人原因导致本合同期限延长时，附加工作酬金按下列方法确定：</w:t>
      </w:r>
    </w:p>
    <w:p w14:paraId="60EE7491">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延期一个月内无补偿，延期超过一个月按以下原则进行补偿：</w:t>
      </w:r>
    </w:p>
    <w:p w14:paraId="56178A3C">
      <w:pPr>
        <w:spacing w:beforeLines="0" w:afterLines="0" w:line="500" w:lineRule="atLeast"/>
        <w:ind w:firstLine="48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zh-CN"/>
        </w:rPr>
        <w:t>附加工作酬金=本合同期限延长时间（天）</w:t>
      </w:r>
      <w:r>
        <w:rPr>
          <w:rFonts w:hint="eastAsia" w:ascii="宋体" w:hAnsi="宋体" w:eastAsia="宋体" w:cs="宋体"/>
          <w:color w:val="auto"/>
          <w:sz w:val="24"/>
          <w:szCs w:val="24"/>
          <w:highlight w:val="none"/>
          <w:lang w:val="en-US"/>
        </w:rPr>
        <w:t>×正常工作酬金÷协议书约定的监理与相关服务期限（天）</w:t>
      </w:r>
    </w:p>
    <w:p w14:paraId="4FB4B757">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6.2.3附加工作酬金按下列方法确定：</w:t>
      </w:r>
    </w:p>
    <w:p w14:paraId="7815108B">
      <w:pPr>
        <w:spacing w:beforeLines="0" w:afterLines="0" w:line="500" w:lineRule="atLeast"/>
        <w:ind w:firstLine="48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zh-CN"/>
        </w:rPr>
        <w:t>附加工作酬金=善后工作及恢复服务的准备工作时间（天）</w:t>
      </w:r>
      <w:r>
        <w:rPr>
          <w:rFonts w:hint="eastAsia" w:ascii="宋体" w:hAnsi="宋体" w:eastAsia="宋体" w:cs="宋体"/>
          <w:color w:val="auto"/>
          <w:sz w:val="24"/>
          <w:szCs w:val="24"/>
          <w:highlight w:val="none"/>
          <w:lang w:val="en-US"/>
        </w:rPr>
        <w:t>×正常工作酬金÷协议书约定的监理与相关服务期限（天）</w:t>
      </w:r>
    </w:p>
    <w:p w14:paraId="139EC486">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6.2.5 正常工作酬金增加额按下列方法确定： </w:t>
      </w:r>
    </w:p>
    <w:p w14:paraId="1EF2B6A4">
      <w:pPr>
        <w:spacing w:beforeLines="0" w:afterLines="0" w:line="500" w:lineRule="atLeast"/>
        <w:ind w:firstLine="48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zh-CN"/>
        </w:rPr>
        <w:t>正常工作酬金增加额=工程投资额或建筑安装工程费增加额</w:t>
      </w:r>
      <w:r>
        <w:rPr>
          <w:rFonts w:hint="eastAsia" w:ascii="宋体" w:hAnsi="宋体" w:eastAsia="宋体" w:cs="宋体"/>
          <w:color w:val="auto"/>
          <w:sz w:val="24"/>
          <w:szCs w:val="24"/>
          <w:highlight w:val="none"/>
          <w:lang w:val="en-US"/>
        </w:rPr>
        <w:t>×正常工作酬金÷工程概算投资额（或建筑安装工程费）</w:t>
      </w:r>
    </w:p>
    <w:p w14:paraId="5B4ED656">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6.2.6 因工程规模、监理范围的变化导致监理人的正常工作量减少时，按减少工作量的比例从协议书约定的正常工作酬金中扣减相同比例的酬金。</w:t>
      </w:r>
    </w:p>
    <w:p w14:paraId="72663AE2">
      <w:pPr>
        <w:spacing w:beforeLines="0" w:afterLines="0" w:line="500" w:lineRule="atLeast"/>
        <w:ind w:firstLine="48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7. 争议解决</w:t>
      </w:r>
    </w:p>
    <w:p w14:paraId="596A4A2C">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7.2 调解</w:t>
      </w:r>
    </w:p>
    <w:p w14:paraId="78E9B317">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本合同争议进行调解时，可提交</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进行调解。</w:t>
      </w:r>
    </w:p>
    <w:p w14:paraId="4E72AFD6">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7.3 仲裁或诉讼</w:t>
      </w:r>
    </w:p>
    <w:p w14:paraId="3B2D2060">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合同争议的最终解决方式为下列第</w:t>
      </w:r>
      <w:r>
        <w:rPr>
          <w:rFonts w:hint="eastAsia" w:ascii="宋体" w:hAnsi="宋体" w:eastAsia="宋体" w:cs="宋体"/>
          <w:color w:val="auto"/>
          <w:sz w:val="24"/>
          <w:szCs w:val="24"/>
          <w:highlight w:val="none"/>
          <w:u w:val="single"/>
          <w:lang w:val="zh-CN"/>
        </w:rPr>
        <w:t>（1）</w:t>
      </w:r>
      <w:r>
        <w:rPr>
          <w:rFonts w:hint="eastAsia" w:ascii="宋体" w:hAnsi="宋体" w:eastAsia="宋体" w:cs="宋体"/>
          <w:color w:val="auto"/>
          <w:sz w:val="24"/>
          <w:szCs w:val="24"/>
          <w:highlight w:val="none"/>
          <w:lang w:val="zh-CN"/>
        </w:rPr>
        <w:t>种方式：</w:t>
      </w:r>
    </w:p>
    <w:p w14:paraId="226D6F85">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（1）提请</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宝鸡</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仲裁委员会进行仲裁。</w:t>
      </w:r>
    </w:p>
    <w:p w14:paraId="0A2C949C">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（2）向</w:t>
      </w:r>
      <w:r>
        <w:rPr>
          <w:rFonts w:hint="eastAsia" w:ascii="宋体" w:hAnsi="宋体" w:eastAsia="宋体" w:cs="宋体"/>
          <w:color w:val="auto"/>
          <w:sz w:val="24"/>
          <w:szCs w:val="24"/>
          <w:highlight w:val="none"/>
          <w:u w:val="single"/>
          <w:lang w:val="zh-CN"/>
        </w:rPr>
        <w:t xml:space="preserve"> 工程所在地  </w:t>
      </w:r>
      <w:r>
        <w:rPr>
          <w:rFonts w:hint="eastAsia" w:ascii="宋体" w:hAnsi="宋体" w:eastAsia="宋体" w:cs="宋体"/>
          <w:color w:val="auto"/>
          <w:sz w:val="24"/>
          <w:szCs w:val="24"/>
          <w:highlight w:val="none"/>
          <w:lang w:val="zh-CN"/>
        </w:rPr>
        <w:t>人民法院提起诉讼。</w:t>
      </w:r>
    </w:p>
    <w:p w14:paraId="40D06CB2">
      <w:pPr>
        <w:spacing w:beforeLines="0" w:afterLines="0" w:line="500" w:lineRule="atLeast"/>
        <w:ind w:firstLine="48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8. 其他</w:t>
      </w:r>
    </w:p>
    <w:p w14:paraId="53F6978F">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8.2 检测费用</w:t>
      </w:r>
    </w:p>
    <w:p w14:paraId="1B36F4C1">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委托人应在检测工作完成后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天内支付检测费用。</w:t>
      </w:r>
    </w:p>
    <w:p w14:paraId="4D71C5B1">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8.3 咨询费用</w:t>
      </w:r>
    </w:p>
    <w:p w14:paraId="3C79F206">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委托人应在咨询工作完成后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天内支付咨询费用。</w:t>
      </w:r>
    </w:p>
    <w:p w14:paraId="6D2A7E02">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8.4 奖励</w:t>
      </w:r>
    </w:p>
    <w:p w14:paraId="6B00C7DE">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合理化建议的奖励金额按下列方法确定为：</w:t>
      </w:r>
    </w:p>
    <w:p w14:paraId="39FBB4D7">
      <w:pPr>
        <w:spacing w:beforeLines="0" w:afterLines="0" w:line="500" w:lineRule="atLeast"/>
        <w:ind w:firstLine="48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zh-CN"/>
        </w:rPr>
        <w:t>奖励金额＝工程投资节省额</w:t>
      </w:r>
      <w:r>
        <w:rPr>
          <w:rFonts w:hint="eastAsia" w:ascii="宋体" w:hAnsi="宋体" w:eastAsia="宋体" w:cs="宋体"/>
          <w:color w:val="auto"/>
          <w:sz w:val="24"/>
          <w:szCs w:val="24"/>
          <w:highlight w:val="none"/>
          <w:lang w:val="en-US"/>
        </w:rPr>
        <w:t>×奖励金额的比率；</w:t>
      </w:r>
    </w:p>
    <w:p w14:paraId="76989344">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奖励金额的比率为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45D9BDF4">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8.6 保密</w:t>
      </w:r>
    </w:p>
    <w:p w14:paraId="5EEDF22B">
      <w:pPr>
        <w:spacing w:beforeLines="0" w:afterLines="0" w:line="500" w:lineRule="atLeast"/>
        <w:ind w:firstLine="48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委托人申明的保密事项和期限：</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0801DB0C">
      <w:pPr>
        <w:spacing w:beforeLines="0" w:afterLines="0" w:line="500" w:lineRule="atLeast"/>
        <w:ind w:firstLine="48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监理人申明的保密事项和期限：</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236B5050">
      <w:pPr>
        <w:spacing w:beforeLines="0" w:afterLines="0" w:line="500" w:lineRule="atLeast"/>
        <w:ind w:firstLine="48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第三方申明的保密事项和期限：</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77ACDD5E">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8.8著作权</w:t>
      </w:r>
    </w:p>
    <w:p w14:paraId="16E0001D">
      <w:pPr>
        <w:spacing w:beforeLines="0" w:afterLines="0" w:line="500" w:lineRule="atLeast"/>
        <w:ind w:firstLine="48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监理人在本合同履行期间及本合同终止后两年内出版涉及本工程的有关监理与相关服务的资料的限制条件：</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28118CA7">
      <w:pPr>
        <w:spacing w:beforeLines="0" w:afterLines="0" w:line="500" w:lineRule="atLeast"/>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9. 补充条款</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7BCEB31C">
      <w:pPr>
        <w:spacing w:beforeLines="0" w:afterLines="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p>
    <w:p w14:paraId="394C3074">
      <w:pPr>
        <w:tabs>
          <w:tab w:val="left" w:pos="3120"/>
        </w:tabs>
        <w:spacing w:beforeLines="0" w:afterLines="0" w:line="500" w:lineRule="atLeast"/>
        <w:ind w:firstLine="562"/>
        <w:jc w:val="center"/>
        <w:outlineLvl w:val="0"/>
        <w:rPr>
          <w:rFonts w:hint="eastAsia" w:ascii="宋体" w:hAnsi="宋体" w:eastAsia="宋体" w:cs="宋体"/>
          <w:b/>
          <w:color w:val="auto"/>
          <w:sz w:val="24"/>
          <w:szCs w:val="24"/>
          <w:highlight w:val="none"/>
          <w:lang w:val="zh-CN"/>
        </w:rPr>
      </w:pPr>
      <w:bookmarkStart w:id="49" w:name="_Toc21120"/>
      <w:bookmarkStart w:id="50" w:name="_Toc30333"/>
      <w:bookmarkStart w:id="51" w:name="_Toc20831"/>
      <w:bookmarkStart w:id="52" w:name="_Toc30772"/>
      <w:bookmarkStart w:id="53" w:name="_Toc27478"/>
      <w:r>
        <w:rPr>
          <w:rFonts w:hint="eastAsia" w:ascii="宋体" w:hAnsi="宋体" w:eastAsia="宋体" w:cs="宋体"/>
          <w:b/>
          <w:color w:val="auto"/>
          <w:sz w:val="24"/>
          <w:szCs w:val="24"/>
          <w:highlight w:val="none"/>
          <w:lang w:val="zh-CN"/>
        </w:rPr>
        <w:t>附录A  相关服务的范围和内容</w:t>
      </w:r>
      <w:bookmarkEnd w:id="49"/>
      <w:bookmarkEnd w:id="50"/>
      <w:bookmarkEnd w:id="51"/>
      <w:bookmarkEnd w:id="52"/>
      <w:bookmarkEnd w:id="53"/>
    </w:p>
    <w:p w14:paraId="55EEA5AD">
      <w:pPr>
        <w:spacing w:beforeLines="0" w:afterLines="0"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A-1 勘察阶段：</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19AC1E2F">
      <w:pPr>
        <w:spacing w:beforeLines="0" w:afterLines="0"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A-2 设计阶段：</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562A771C">
      <w:pPr>
        <w:spacing w:beforeLines="0" w:afterLines="0"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A-3 保修阶段：</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7892C829">
      <w:pPr>
        <w:spacing w:beforeLines="0" w:afterLines="0" w:line="360" w:lineRule="auto"/>
        <w:ind w:firstLine="48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A-4 其他（专业技术咨询、外部协调工作等）：</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477B674E">
      <w:pPr>
        <w:spacing w:beforeLines="0" w:afterLines="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p>
    <w:p w14:paraId="17367285">
      <w:pPr>
        <w:tabs>
          <w:tab w:val="left" w:pos="3120"/>
        </w:tabs>
        <w:spacing w:beforeLines="0" w:afterLines="0" w:line="500" w:lineRule="atLeast"/>
        <w:jc w:val="center"/>
        <w:outlineLvl w:val="0"/>
        <w:rPr>
          <w:rFonts w:hint="eastAsia" w:ascii="宋体" w:hAnsi="宋体" w:eastAsia="宋体" w:cs="宋体"/>
          <w:b/>
          <w:color w:val="auto"/>
          <w:sz w:val="24"/>
          <w:szCs w:val="24"/>
          <w:highlight w:val="none"/>
          <w:lang w:val="zh-CN"/>
        </w:rPr>
      </w:pPr>
      <w:bookmarkStart w:id="54" w:name="_Toc13726"/>
      <w:bookmarkStart w:id="55" w:name="_Toc24794"/>
      <w:bookmarkStart w:id="56" w:name="_Toc13636"/>
      <w:bookmarkStart w:id="57" w:name="_Toc30244"/>
      <w:bookmarkStart w:id="58" w:name="_Toc6866"/>
      <w:r>
        <w:rPr>
          <w:rFonts w:hint="eastAsia" w:ascii="宋体" w:hAnsi="宋体" w:eastAsia="宋体" w:cs="宋体"/>
          <w:b/>
          <w:color w:val="auto"/>
          <w:sz w:val="24"/>
          <w:szCs w:val="24"/>
          <w:highlight w:val="none"/>
          <w:lang w:val="zh-CN"/>
        </w:rPr>
        <w:t>附录B  委托人派遣的人员和提供的房屋、资料、设备</w:t>
      </w:r>
      <w:bookmarkEnd w:id="54"/>
      <w:bookmarkEnd w:id="55"/>
      <w:bookmarkEnd w:id="56"/>
      <w:bookmarkEnd w:id="57"/>
      <w:bookmarkEnd w:id="58"/>
    </w:p>
    <w:p w14:paraId="240A5B3E">
      <w:pPr>
        <w:spacing w:beforeLines="0" w:afterLines="0" w:line="360" w:lineRule="auto"/>
        <w:ind w:firstLine="48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B-1  委托人派遣的人员</w:t>
      </w:r>
    </w:p>
    <w:tbl>
      <w:tblPr>
        <w:tblStyle w:val="29"/>
        <w:tblW w:w="830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1"/>
        <w:gridCol w:w="1544"/>
        <w:gridCol w:w="2070"/>
        <w:gridCol w:w="1860"/>
      </w:tblGrid>
      <w:tr w14:paraId="57790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283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4CD4459">
            <w:pPr>
              <w:spacing w:beforeLines="0" w:afterLines="0"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名称</w:t>
            </w:r>
          </w:p>
        </w:tc>
        <w:tc>
          <w:tcPr>
            <w:tcW w:w="154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43F9CE3D">
            <w:pPr>
              <w:spacing w:beforeLines="0" w:afterLines="0"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数量</w:t>
            </w:r>
          </w:p>
        </w:tc>
        <w:tc>
          <w:tcPr>
            <w:tcW w:w="207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02C5FE2E">
            <w:pPr>
              <w:spacing w:beforeLines="0" w:afterLines="0"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工作要求</w:t>
            </w:r>
          </w:p>
        </w:tc>
        <w:tc>
          <w:tcPr>
            <w:tcW w:w="186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3D8993F6">
            <w:pPr>
              <w:spacing w:beforeLines="0" w:afterLines="0"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提供时间</w:t>
            </w:r>
          </w:p>
        </w:tc>
      </w:tr>
      <w:tr w14:paraId="22457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283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2D333770">
            <w:pPr>
              <w:spacing w:beforeLines="0" w:afterLines="0"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1.工程技术人员 </w:t>
            </w:r>
          </w:p>
        </w:tc>
        <w:tc>
          <w:tcPr>
            <w:tcW w:w="154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6A42C68C">
            <w:pPr>
              <w:spacing w:beforeLines="0" w:afterLines="0" w:line="360" w:lineRule="auto"/>
              <w:ind w:firstLine="480"/>
              <w:rPr>
                <w:rFonts w:hint="eastAsia" w:ascii="宋体" w:hAnsi="宋体" w:eastAsia="宋体" w:cs="宋体"/>
                <w:color w:val="auto"/>
                <w:sz w:val="24"/>
                <w:szCs w:val="24"/>
                <w:highlight w:val="none"/>
                <w:lang w:val="zh-CN"/>
              </w:rPr>
            </w:pPr>
          </w:p>
        </w:tc>
        <w:tc>
          <w:tcPr>
            <w:tcW w:w="207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011DF2B7">
            <w:pPr>
              <w:spacing w:beforeLines="0" w:afterLines="0" w:line="360" w:lineRule="auto"/>
              <w:ind w:firstLine="480"/>
              <w:rPr>
                <w:rFonts w:hint="eastAsia" w:ascii="宋体" w:hAnsi="宋体" w:eastAsia="宋体" w:cs="宋体"/>
                <w:color w:val="auto"/>
                <w:sz w:val="24"/>
                <w:szCs w:val="24"/>
                <w:highlight w:val="none"/>
                <w:lang w:val="zh-CN"/>
              </w:rPr>
            </w:pPr>
          </w:p>
        </w:tc>
        <w:tc>
          <w:tcPr>
            <w:tcW w:w="186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60349652">
            <w:pPr>
              <w:spacing w:beforeLines="0" w:afterLines="0" w:line="360" w:lineRule="auto"/>
              <w:ind w:firstLine="480"/>
              <w:rPr>
                <w:rFonts w:hint="eastAsia" w:ascii="宋体" w:hAnsi="宋体" w:eastAsia="宋体" w:cs="宋体"/>
                <w:color w:val="auto"/>
                <w:sz w:val="24"/>
                <w:szCs w:val="24"/>
                <w:highlight w:val="none"/>
                <w:lang w:val="zh-CN"/>
              </w:rPr>
            </w:pPr>
          </w:p>
        </w:tc>
      </w:tr>
      <w:tr w14:paraId="34A2D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283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6C74390A">
            <w:pPr>
              <w:spacing w:beforeLines="0" w:afterLines="0"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2.辅助工作人员</w:t>
            </w:r>
          </w:p>
        </w:tc>
        <w:tc>
          <w:tcPr>
            <w:tcW w:w="154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3A2C9411">
            <w:pPr>
              <w:spacing w:beforeLines="0" w:afterLines="0" w:line="360" w:lineRule="auto"/>
              <w:ind w:firstLine="480"/>
              <w:rPr>
                <w:rFonts w:hint="eastAsia" w:ascii="宋体" w:hAnsi="宋体" w:eastAsia="宋体" w:cs="宋体"/>
                <w:color w:val="auto"/>
                <w:sz w:val="24"/>
                <w:szCs w:val="24"/>
                <w:highlight w:val="none"/>
                <w:lang w:val="zh-CN"/>
              </w:rPr>
            </w:pPr>
          </w:p>
        </w:tc>
        <w:tc>
          <w:tcPr>
            <w:tcW w:w="207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5E85D892">
            <w:pPr>
              <w:spacing w:beforeLines="0" w:afterLines="0" w:line="360" w:lineRule="auto"/>
              <w:ind w:firstLine="480"/>
              <w:rPr>
                <w:rFonts w:hint="eastAsia" w:ascii="宋体" w:hAnsi="宋体" w:eastAsia="宋体" w:cs="宋体"/>
                <w:color w:val="auto"/>
                <w:sz w:val="24"/>
                <w:szCs w:val="24"/>
                <w:highlight w:val="none"/>
                <w:lang w:val="zh-CN"/>
              </w:rPr>
            </w:pPr>
          </w:p>
        </w:tc>
        <w:tc>
          <w:tcPr>
            <w:tcW w:w="186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675B9CDC">
            <w:pPr>
              <w:spacing w:beforeLines="0" w:afterLines="0" w:line="360" w:lineRule="auto"/>
              <w:ind w:firstLine="480"/>
              <w:rPr>
                <w:rFonts w:hint="eastAsia" w:ascii="宋体" w:hAnsi="宋体" w:eastAsia="宋体" w:cs="宋体"/>
                <w:color w:val="auto"/>
                <w:sz w:val="24"/>
                <w:szCs w:val="24"/>
                <w:highlight w:val="none"/>
                <w:lang w:val="zh-CN"/>
              </w:rPr>
            </w:pPr>
          </w:p>
        </w:tc>
      </w:tr>
      <w:tr w14:paraId="5B7CF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283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3FAB4120">
            <w:pPr>
              <w:spacing w:beforeLines="0" w:afterLines="0"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3.其他人员</w:t>
            </w:r>
          </w:p>
        </w:tc>
        <w:tc>
          <w:tcPr>
            <w:tcW w:w="154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251CF135">
            <w:pPr>
              <w:spacing w:beforeLines="0" w:afterLines="0" w:line="360" w:lineRule="auto"/>
              <w:ind w:firstLine="480"/>
              <w:rPr>
                <w:rFonts w:hint="eastAsia" w:ascii="宋体" w:hAnsi="宋体" w:eastAsia="宋体" w:cs="宋体"/>
                <w:color w:val="auto"/>
                <w:sz w:val="24"/>
                <w:szCs w:val="24"/>
                <w:highlight w:val="none"/>
                <w:lang w:val="zh-CN"/>
              </w:rPr>
            </w:pPr>
          </w:p>
        </w:tc>
        <w:tc>
          <w:tcPr>
            <w:tcW w:w="207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04DBFFD4">
            <w:pPr>
              <w:spacing w:beforeLines="0" w:afterLines="0" w:line="360" w:lineRule="auto"/>
              <w:ind w:firstLine="480"/>
              <w:rPr>
                <w:rFonts w:hint="eastAsia" w:ascii="宋体" w:hAnsi="宋体" w:eastAsia="宋体" w:cs="宋体"/>
                <w:color w:val="auto"/>
                <w:sz w:val="24"/>
                <w:szCs w:val="24"/>
                <w:highlight w:val="none"/>
                <w:lang w:val="zh-CN"/>
              </w:rPr>
            </w:pPr>
          </w:p>
        </w:tc>
        <w:tc>
          <w:tcPr>
            <w:tcW w:w="186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694A9FFE">
            <w:pPr>
              <w:spacing w:beforeLines="0" w:afterLines="0" w:line="360" w:lineRule="auto"/>
              <w:ind w:firstLine="480"/>
              <w:rPr>
                <w:rFonts w:hint="eastAsia" w:ascii="宋体" w:hAnsi="宋体" w:eastAsia="宋体" w:cs="宋体"/>
                <w:color w:val="auto"/>
                <w:sz w:val="24"/>
                <w:szCs w:val="24"/>
                <w:highlight w:val="none"/>
                <w:lang w:val="zh-CN"/>
              </w:rPr>
            </w:pPr>
          </w:p>
        </w:tc>
      </w:tr>
      <w:tr w14:paraId="0DD43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283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27D666CB">
            <w:pPr>
              <w:spacing w:beforeLines="0" w:afterLines="0" w:line="360" w:lineRule="auto"/>
              <w:ind w:firstLine="480"/>
              <w:rPr>
                <w:rFonts w:hint="eastAsia" w:ascii="宋体" w:hAnsi="宋体" w:eastAsia="宋体" w:cs="宋体"/>
                <w:color w:val="auto"/>
                <w:sz w:val="24"/>
                <w:szCs w:val="24"/>
                <w:highlight w:val="none"/>
                <w:lang w:val="zh-CN"/>
              </w:rPr>
            </w:pPr>
          </w:p>
        </w:tc>
        <w:tc>
          <w:tcPr>
            <w:tcW w:w="154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4F62DFEE">
            <w:pPr>
              <w:spacing w:beforeLines="0" w:afterLines="0" w:line="360" w:lineRule="auto"/>
              <w:ind w:firstLine="480"/>
              <w:rPr>
                <w:rFonts w:hint="eastAsia" w:ascii="宋体" w:hAnsi="宋体" w:eastAsia="宋体" w:cs="宋体"/>
                <w:color w:val="auto"/>
                <w:sz w:val="24"/>
                <w:szCs w:val="24"/>
                <w:highlight w:val="none"/>
                <w:lang w:val="zh-CN"/>
              </w:rPr>
            </w:pPr>
          </w:p>
        </w:tc>
        <w:tc>
          <w:tcPr>
            <w:tcW w:w="207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588978DB">
            <w:pPr>
              <w:spacing w:beforeLines="0" w:afterLines="0" w:line="360" w:lineRule="auto"/>
              <w:ind w:firstLine="480"/>
              <w:rPr>
                <w:rFonts w:hint="eastAsia" w:ascii="宋体" w:hAnsi="宋体" w:eastAsia="宋体" w:cs="宋体"/>
                <w:color w:val="auto"/>
                <w:sz w:val="24"/>
                <w:szCs w:val="24"/>
                <w:highlight w:val="none"/>
                <w:lang w:val="zh-CN"/>
              </w:rPr>
            </w:pPr>
          </w:p>
        </w:tc>
        <w:tc>
          <w:tcPr>
            <w:tcW w:w="186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3F7D9E11">
            <w:pPr>
              <w:spacing w:beforeLines="0" w:afterLines="0" w:line="360" w:lineRule="auto"/>
              <w:ind w:firstLine="480"/>
              <w:rPr>
                <w:rFonts w:hint="eastAsia" w:ascii="宋体" w:hAnsi="宋体" w:eastAsia="宋体" w:cs="宋体"/>
                <w:color w:val="auto"/>
                <w:sz w:val="24"/>
                <w:szCs w:val="24"/>
                <w:highlight w:val="none"/>
                <w:lang w:val="zh-CN"/>
              </w:rPr>
            </w:pPr>
          </w:p>
        </w:tc>
      </w:tr>
    </w:tbl>
    <w:p w14:paraId="37AADF1A">
      <w:pPr>
        <w:spacing w:beforeLines="0" w:afterLines="0" w:line="360" w:lineRule="auto"/>
        <w:ind w:firstLine="48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B-2  委托人提供的房屋</w:t>
      </w:r>
    </w:p>
    <w:tbl>
      <w:tblPr>
        <w:tblStyle w:val="29"/>
        <w:tblW w:w="829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58"/>
        <w:gridCol w:w="1717"/>
        <w:gridCol w:w="2085"/>
        <w:gridCol w:w="1830"/>
      </w:tblGrid>
      <w:tr w14:paraId="16D07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6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7D31E770">
            <w:pPr>
              <w:spacing w:beforeLines="0" w:afterLines="0"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名称</w:t>
            </w:r>
          </w:p>
        </w:tc>
        <w:tc>
          <w:tcPr>
            <w:tcW w:w="171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60B1FC97">
            <w:pPr>
              <w:spacing w:beforeLines="0" w:afterLines="0"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数量</w:t>
            </w:r>
          </w:p>
        </w:tc>
        <w:tc>
          <w:tcPr>
            <w:tcW w:w="208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618F4BD6">
            <w:pPr>
              <w:spacing w:beforeLines="0" w:afterLines="0"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面积</w:t>
            </w:r>
          </w:p>
        </w:tc>
        <w:tc>
          <w:tcPr>
            <w:tcW w:w="183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3661BA07">
            <w:pPr>
              <w:spacing w:beforeLines="0" w:afterLines="0"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提供时间</w:t>
            </w:r>
          </w:p>
        </w:tc>
      </w:tr>
      <w:tr w14:paraId="03EA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6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3C8A0E64">
            <w:pPr>
              <w:spacing w:beforeLines="0" w:afterLines="0"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1.办公用房</w:t>
            </w:r>
          </w:p>
        </w:tc>
        <w:tc>
          <w:tcPr>
            <w:tcW w:w="171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65B91C00">
            <w:pPr>
              <w:spacing w:beforeLines="0" w:afterLines="0" w:line="360" w:lineRule="auto"/>
              <w:ind w:firstLine="240"/>
              <w:jc w:val="center"/>
              <w:rPr>
                <w:rFonts w:hint="eastAsia" w:ascii="宋体" w:hAnsi="宋体" w:eastAsia="宋体" w:cs="宋体"/>
                <w:color w:val="auto"/>
                <w:sz w:val="24"/>
                <w:szCs w:val="24"/>
                <w:highlight w:val="none"/>
                <w:lang w:val="zh-CN"/>
              </w:rPr>
            </w:pPr>
          </w:p>
        </w:tc>
        <w:tc>
          <w:tcPr>
            <w:tcW w:w="208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4DA4551F">
            <w:pPr>
              <w:spacing w:beforeLines="0" w:afterLines="0" w:line="360" w:lineRule="auto"/>
              <w:ind w:firstLine="240"/>
              <w:jc w:val="center"/>
              <w:rPr>
                <w:rFonts w:hint="eastAsia" w:ascii="宋体" w:hAnsi="宋体" w:eastAsia="宋体" w:cs="宋体"/>
                <w:color w:val="auto"/>
                <w:sz w:val="24"/>
                <w:szCs w:val="24"/>
                <w:highlight w:val="none"/>
                <w:lang w:val="zh-CN"/>
              </w:rPr>
            </w:pPr>
          </w:p>
        </w:tc>
        <w:tc>
          <w:tcPr>
            <w:tcW w:w="183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F8BB6CC">
            <w:pPr>
              <w:spacing w:beforeLines="0" w:afterLines="0" w:line="360" w:lineRule="auto"/>
              <w:ind w:firstLine="480"/>
              <w:jc w:val="center"/>
              <w:rPr>
                <w:rFonts w:hint="eastAsia" w:ascii="宋体" w:hAnsi="宋体" w:eastAsia="宋体" w:cs="宋体"/>
                <w:color w:val="auto"/>
                <w:sz w:val="24"/>
                <w:szCs w:val="24"/>
                <w:highlight w:val="none"/>
                <w:lang w:val="zh-CN"/>
              </w:rPr>
            </w:pPr>
          </w:p>
        </w:tc>
      </w:tr>
      <w:tr w14:paraId="32179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6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022BF38">
            <w:pPr>
              <w:spacing w:beforeLines="0" w:afterLines="0"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2.生活用房</w:t>
            </w:r>
          </w:p>
        </w:tc>
        <w:tc>
          <w:tcPr>
            <w:tcW w:w="171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3FDB4AEE">
            <w:pPr>
              <w:spacing w:beforeLines="0" w:afterLines="0" w:line="360" w:lineRule="auto"/>
              <w:ind w:firstLine="480"/>
              <w:jc w:val="center"/>
              <w:rPr>
                <w:rFonts w:hint="eastAsia" w:ascii="宋体" w:hAnsi="宋体" w:eastAsia="宋体" w:cs="宋体"/>
                <w:color w:val="auto"/>
                <w:sz w:val="24"/>
                <w:szCs w:val="24"/>
                <w:highlight w:val="none"/>
                <w:lang w:val="zh-CN"/>
              </w:rPr>
            </w:pPr>
          </w:p>
        </w:tc>
        <w:tc>
          <w:tcPr>
            <w:tcW w:w="208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5A4FD571">
            <w:pPr>
              <w:spacing w:beforeLines="0" w:afterLines="0" w:line="360" w:lineRule="auto"/>
              <w:ind w:firstLine="480"/>
              <w:jc w:val="center"/>
              <w:rPr>
                <w:rFonts w:hint="eastAsia" w:ascii="宋体" w:hAnsi="宋体" w:eastAsia="宋体" w:cs="宋体"/>
                <w:color w:val="auto"/>
                <w:sz w:val="24"/>
                <w:szCs w:val="24"/>
                <w:highlight w:val="none"/>
                <w:lang w:val="zh-CN"/>
              </w:rPr>
            </w:pPr>
          </w:p>
        </w:tc>
        <w:tc>
          <w:tcPr>
            <w:tcW w:w="183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18291775">
            <w:pPr>
              <w:spacing w:beforeLines="0" w:afterLines="0" w:line="360" w:lineRule="auto"/>
              <w:ind w:firstLine="480"/>
              <w:jc w:val="center"/>
              <w:rPr>
                <w:rFonts w:hint="eastAsia" w:ascii="宋体" w:hAnsi="宋体" w:eastAsia="宋体" w:cs="宋体"/>
                <w:color w:val="auto"/>
                <w:sz w:val="24"/>
                <w:szCs w:val="24"/>
                <w:highlight w:val="none"/>
                <w:lang w:val="zh-CN"/>
              </w:rPr>
            </w:pPr>
          </w:p>
        </w:tc>
      </w:tr>
      <w:tr w14:paraId="7B396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6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00EA5FD">
            <w:pPr>
              <w:spacing w:beforeLines="0" w:afterLines="0"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3.试验用房</w:t>
            </w:r>
          </w:p>
        </w:tc>
        <w:tc>
          <w:tcPr>
            <w:tcW w:w="171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47F0073D">
            <w:pPr>
              <w:spacing w:beforeLines="0" w:afterLines="0" w:line="360" w:lineRule="auto"/>
              <w:ind w:firstLine="480"/>
              <w:jc w:val="center"/>
              <w:rPr>
                <w:rFonts w:hint="eastAsia" w:ascii="宋体" w:hAnsi="宋体" w:eastAsia="宋体" w:cs="宋体"/>
                <w:color w:val="auto"/>
                <w:sz w:val="24"/>
                <w:szCs w:val="24"/>
                <w:highlight w:val="none"/>
                <w:lang w:val="zh-CN"/>
              </w:rPr>
            </w:pPr>
          </w:p>
        </w:tc>
        <w:tc>
          <w:tcPr>
            <w:tcW w:w="208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01621E4A">
            <w:pPr>
              <w:spacing w:beforeLines="0" w:afterLines="0" w:line="360" w:lineRule="auto"/>
              <w:ind w:firstLine="480"/>
              <w:jc w:val="center"/>
              <w:rPr>
                <w:rFonts w:hint="eastAsia" w:ascii="宋体" w:hAnsi="宋体" w:eastAsia="宋体" w:cs="宋体"/>
                <w:color w:val="auto"/>
                <w:sz w:val="24"/>
                <w:szCs w:val="24"/>
                <w:highlight w:val="none"/>
                <w:lang w:val="zh-CN"/>
              </w:rPr>
            </w:pPr>
          </w:p>
        </w:tc>
        <w:tc>
          <w:tcPr>
            <w:tcW w:w="183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40091A50">
            <w:pPr>
              <w:spacing w:beforeLines="0" w:afterLines="0" w:line="360" w:lineRule="auto"/>
              <w:ind w:firstLine="480"/>
              <w:jc w:val="center"/>
              <w:rPr>
                <w:rFonts w:hint="eastAsia" w:ascii="宋体" w:hAnsi="宋体" w:eastAsia="宋体" w:cs="宋体"/>
                <w:color w:val="auto"/>
                <w:sz w:val="24"/>
                <w:szCs w:val="24"/>
                <w:highlight w:val="none"/>
                <w:lang w:val="zh-CN"/>
              </w:rPr>
            </w:pPr>
          </w:p>
        </w:tc>
      </w:tr>
      <w:tr w14:paraId="57D64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6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6E9B5F8B">
            <w:pPr>
              <w:spacing w:beforeLines="0" w:afterLines="0"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4.样品用房</w:t>
            </w:r>
          </w:p>
        </w:tc>
        <w:tc>
          <w:tcPr>
            <w:tcW w:w="171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07FE50B3">
            <w:pPr>
              <w:spacing w:beforeLines="0" w:afterLines="0" w:line="360" w:lineRule="auto"/>
              <w:ind w:firstLine="480"/>
              <w:jc w:val="center"/>
              <w:rPr>
                <w:rFonts w:hint="eastAsia" w:ascii="宋体" w:hAnsi="宋体" w:eastAsia="宋体" w:cs="宋体"/>
                <w:color w:val="auto"/>
                <w:sz w:val="24"/>
                <w:szCs w:val="24"/>
                <w:highlight w:val="none"/>
                <w:lang w:val="zh-CN"/>
              </w:rPr>
            </w:pPr>
          </w:p>
        </w:tc>
        <w:tc>
          <w:tcPr>
            <w:tcW w:w="208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32368EF1">
            <w:pPr>
              <w:spacing w:beforeLines="0" w:afterLines="0" w:line="360" w:lineRule="auto"/>
              <w:ind w:firstLine="480"/>
              <w:jc w:val="center"/>
              <w:rPr>
                <w:rFonts w:hint="eastAsia" w:ascii="宋体" w:hAnsi="宋体" w:eastAsia="宋体" w:cs="宋体"/>
                <w:color w:val="auto"/>
                <w:sz w:val="24"/>
                <w:szCs w:val="24"/>
                <w:highlight w:val="none"/>
                <w:lang w:val="zh-CN"/>
              </w:rPr>
            </w:pPr>
          </w:p>
        </w:tc>
        <w:tc>
          <w:tcPr>
            <w:tcW w:w="183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171139C2">
            <w:pPr>
              <w:spacing w:beforeLines="0" w:afterLines="0" w:line="360" w:lineRule="auto"/>
              <w:ind w:firstLine="480"/>
              <w:jc w:val="center"/>
              <w:rPr>
                <w:rFonts w:hint="eastAsia" w:ascii="宋体" w:hAnsi="宋体" w:eastAsia="宋体" w:cs="宋体"/>
                <w:color w:val="auto"/>
                <w:sz w:val="24"/>
                <w:szCs w:val="24"/>
                <w:highlight w:val="none"/>
                <w:lang w:val="zh-CN"/>
              </w:rPr>
            </w:pPr>
          </w:p>
        </w:tc>
      </w:tr>
      <w:tr w14:paraId="61902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6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096DF582">
            <w:pPr>
              <w:spacing w:beforeLines="0" w:afterLines="0" w:line="360" w:lineRule="auto"/>
              <w:ind w:firstLine="480"/>
              <w:jc w:val="center"/>
              <w:rPr>
                <w:rFonts w:hint="eastAsia" w:ascii="宋体" w:hAnsi="宋体" w:eastAsia="宋体" w:cs="宋体"/>
                <w:color w:val="auto"/>
                <w:sz w:val="24"/>
                <w:szCs w:val="24"/>
                <w:highlight w:val="none"/>
                <w:lang w:val="zh-CN"/>
              </w:rPr>
            </w:pPr>
          </w:p>
        </w:tc>
        <w:tc>
          <w:tcPr>
            <w:tcW w:w="171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46DEB16B">
            <w:pPr>
              <w:spacing w:beforeLines="0" w:afterLines="0" w:line="360" w:lineRule="auto"/>
              <w:ind w:firstLine="480"/>
              <w:jc w:val="center"/>
              <w:rPr>
                <w:rFonts w:hint="eastAsia" w:ascii="宋体" w:hAnsi="宋体" w:eastAsia="宋体" w:cs="宋体"/>
                <w:color w:val="auto"/>
                <w:sz w:val="24"/>
                <w:szCs w:val="24"/>
                <w:highlight w:val="none"/>
                <w:lang w:val="zh-CN"/>
              </w:rPr>
            </w:pPr>
          </w:p>
        </w:tc>
        <w:tc>
          <w:tcPr>
            <w:tcW w:w="208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522E87C9">
            <w:pPr>
              <w:spacing w:beforeLines="0" w:afterLines="0" w:line="360" w:lineRule="auto"/>
              <w:ind w:firstLine="480"/>
              <w:jc w:val="center"/>
              <w:rPr>
                <w:rFonts w:hint="eastAsia" w:ascii="宋体" w:hAnsi="宋体" w:eastAsia="宋体" w:cs="宋体"/>
                <w:color w:val="auto"/>
                <w:sz w:val="24"/>
                <w:szCs w:val="24"/>
                <w:highlight w:val="none"/>
                <w:lang w:val="zh-CN"/>
              </w:rPr>
            </w:pPr>
          </w:p>
        </w:tc>
        <w:tc>
          <w:tcPr>
            <w:tcW w:w="183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3F77F915">
            <w:pPr>
              <w:spacing w:beforeLines="0" w:afterLines="0" w:line="360" w:lineRule="auto"/>
              <w:ind w:firstLine="480"/>
              <w:jc w:val="center"/>
              <w:rPr>
                <w:rFonts w:hint="eastAsia" w:ascii="宋体" w:hAnsi="宋体" w:eastAsia="宋体" w:cs="宋体"/>
                <w:color w:val="auto"/>
                <w:sz w:val="24"/>
                <w:szCs w:val="24"/>
                <w:highlight w:val="none"/>
                <w:lang w:val="zh-CN"/>
              </w:rPr>
            </w:pPr>
          </w:p>
        </w:tc>
      </w:tr>
      <w:tr w14:paraId="167F3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26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79C48B75">
            <w:pPr>
              <w:spacing w:beforeLines="0" w:afterLines="0"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用餐及其他生活条件</w:t>
            </w:r>
          </w:p>
        </w:tc>
        <w:tc>
          <w:tcPr>
            <w:tcW w:w="5632" w:type="dxa"/>
            <w:gridSpan w:val="3"/>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1E4A25EA">
            <w:pPr>
              <w:spacing w:beforeLines="0" w:afterLines="0" w:line="360" w:lineRule="auto"/>
              <w:ind w:firstLine="480"/>
              <w:jc w:val="center"/>
              <w:rPr>
                <w:rFonts w:hint="eastAsia" w:ascii="宋体" w:hAnsi="宋体" w:eastAsia="宋体" w:cs="宋体"/>
                <w:color w:val="auto"/>
                <w:sz w:val="24"/>
                <w:szCs w:val="24"/>
                <w:highlight w:val="none"/>
                <w:lang w:val="zh-CN"/>
              </w:rPr>
            </w:pPr>
          </w:p>
        </w:tc>
      </w:tr>
    </w:tbl>
    <w:p w14:paraId="527B9150">
      <w:pPr>
        <w:spacing w:beforeLines="0" w:afterLines="0" w:line="360" w:lineRule="auto"/>
        <w:ind w:firstLine="482"/>
        <w:rPr>
          <w:rFonts w:hint="eastAsia" w:ascii="宋体" w:hAnsi="宋体" w:eastAsia="宋体" w:cs="宋体"/>
          <w:b/>
          <w:color w:val="auto"/>
          <w:sz w:val="24"/>
          <w:szCs w:val="24"/>
          <w:highlight w:val="none"/>
          <w:lang w:val="zh-CN"/>
        </w:rPr>
      </w:pPr>
    </w:p>
    <w:p w14:paraId="598D3EF8">
      <w:pPr>
        <w:spacing w:beforeLines="0" w:afterLines="0" w:line="360" w:lineRule="auto"/>
        <w:ind w:firstLine="482"/>
        <w:rPr>
          <w:rFonts w:hint="eastAsia" w:ascii="宋体" w:hAnsi="宋体" w:eastAsia="宋体" w:cs="宋体"/>
          <w:b/>
          <w:color w:val="auto"/>
          <w:sz w:val="24"/>
          <w:szCs w:val="24"/>
          <w:highlight w:val="none"/>
          <w:lang w:val="zh-CN"/>
        </w:rPr>
      </w:pPr>
    </w:p>
    <w:p w14:paraId="1E21A17B">
      <w:pPr>
        <w:spacing w:beforeLines="0" w:afterLines="0" w:line="360" w:lineRule="auto"/>
        <w:ind w:firstLine="482"/>
        <w:rPr>
          <w:rFonts w:hint="eastAsia" w:ascii="宋体" w:hAnsi="宋体" w:eastAsia="宋体" w:cs="宋体"/>
          <w:b/>
          <w:color w:val="auto"/>
          <w:sz w:val="24"/>
          <w:szCs w:val="24"/>
          <w:highlight w:val="none"/>
          <w:lang w:val="zh-CN"/>
        </w:rPr>
      </w:pPr>
    </w:p>
    <w:p w14:paraId="77E34013">
      <w:pPr>
        <w:spacing w:beforeLines="0" w:afterLines="0" w:line="360" w:lineRule="auto"/>
        <w:ind w:firstLine="482"/>
        <w:rPr>
          <w:rFonts w:hint="eastAsia" w:ascii="宋体" w:hAnsi="宋体" w:eastAsia="宋体" w:cs="宋体"/>
          <w:b/>
          <w:color w:val="auto"/>
          <w:sz w:val="24"/>
          <w:szCs w:val="24"/>
          <w:highlight w:val="none"/>
          <w:lang w:val="zh-CN"/>
        </w:rPr>
      </w:pPr>
    </w:p>
    <w:p w14:paraId="522E7D56">
      <w:pPr>
        <w:spacing w:beforeLines="0" w:afterLines="0" w:line="360" w:lineRule="auto"/>
        <w:ind w:firstLine="482"/>
        <w:rPr>
          <w:rFonts w:hint="eastAsia" w:ascii="宋体" w:hAnsi="宋体" w:eastAsia="宋体" w:cs="宋体"/>
          <w:b/>
          <w:color w:val="auto"/>
          <w:sz w:val="24"/>
          <w:szCs w:val="24"/>
          <w:highlight w:val="none"/>
          <w:lang w:val="zh-CN"/>
        </w:rPr>
      </w:pPr>
    </w:p>
    <w:p w14:paraId="38DCB988">
      <w:pPr>
        <w:spacing w:beforeLines="0" w:afterLines="0" w:line="360" w:lineRule="auto"/>
        <w:ind w:firstLine="482"/>
        <w:rPr>
          <w:rFonts w:hint="eastAsia" w:ascii="宋体" w:hAnsi="宋体" w:eastAsia="宋体" w:cs="宋体"/>
          <w:b/>
          <w:color w:val="auto"/>
          <w:sz w:val="24"/>
          <w:szCs w:val="24"/>
          <w:highlight w:val="none"/>
          <w:lang w:val="zh-CN"/>
        </w:rPr>
      </w:pPr>
    </w:p>
    <w:p w14:paraId="629CD474">
      <w:pPr>
        <w:spacing w:beforeLines="0" w:afterLines="0" w:line="360" w:lineRule="auto"/>
        <w:ind w:firstLine="48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B-3  委托人提供的资料</w:t>
      </w:r>
    </w:p>
    <w:tbl>
      <w:tblPr>
        <w:tblStyle w:val="29"/>
        <w:tblW w:w="826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05"/>
        <w:gridCol w:w="1250"/>
        <w:gridCol w:w="1701"/>
        <w:gridCol w:w="2010"/>
      </w:tblGrid>
      <w:tr w14:paraId="33F80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330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3E508576">
            <w:pPr>
              <w:spacing w:beforeLines="0" w:afterLines="0"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名称</w:t>
            </w:r>
          </w:p>
        </w:tc>
        <w:tc>
          <w:tcPr>
            <w:tcW w:w="125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70B8B35F">
            <w:pPr>
              <w:spacing w:beforeLines="0" w:afterLines="0"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份数</w:t>
            </w:r>
          </w:p>
        </w:tc>
        <w:tc>
          <w:tcPr>
            <w:tcW w:w="170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00CA5573">
            <w:pPr>
              <w:spacing w:beforeLines="0" w:afterLines="0"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提供时间</w:t>
            </w:r>
          </w:p>
        </w:tc>
        <w:tc>
          <w:tcPr>
            <w:tcW w:w="20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73568077">
            <w:pPr>
              <w:spacing w:beforeLines="0" w:afterLines="0"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备注</w:t>
            </w:r>
          </w:p>
        </w:tc>
      </w:tr>
      <w:tr w14:paraId="3505A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330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4D992BC1">
            <w:pPr>
              <w:spacing w:beforeLines="0" w:afterLines="0" w:line="360" w:lineRule="auto"/>
              <w:ind w:firstLine="228"/>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1.工程立项文件</w:t>
            </w:r>
          </w:p>
        </w:tc>
        <w:tc>
          <w:tcPr>
            <w:tcW w:w="125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5F7DCE45">
            <w:pPr>
              <w:spacing w:beforeLines="0" w:afterLines="0" w:line="360" w:lineRule="auto"/>
              <w:ind w:firstLine="480"/>
              <w:rPr>
                <w:rFonts w:hint="eastAsia" w:ascii="宋体" w:hAnsi="宋体" w:eastAsia="宋体" w:cs="宋体"/>
                <w:color w:val="auto"/>
                <w:sz w:val="24"/>
                <w:szCs w:val="24"/>
                <w:highlight w:val="none"/>
                <w:lang w:val="zh-CN"/>
              </w:rPr>
            </w:pPr>
          </w:p>
        </w:tc>
        <w:tc>
          <w:tcPr>
            <w:tcW w:w="170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4ED2F3CA">
            <w:pPr>
              <w:spacing w:beforeLines="0" w:afterLines="0" w:line="360" w:lineRule="auto"/>
              <w:ind w:firstLine="480"/>
              <w:rPr>
                <w:rFonts w:hint="eastAsia" w:ascii="宋体" w:hAnsi="宋体" w:eastAsia="宋体" w:cs="宋体"/>
                <w:color w:val="auto"/>
                <w:sz w:val="24"/>
                <w:szCs w:val="24"/>
                <w:highlight w:val="none"/>
                <w:lang w:val="zh-CN"/>
              </w:rPr>
            </w:pPr>
          </w:p>
        </w:tc>
        <w:tc>
          <w:tcPr>
            <w:tcW w:w="20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0830BA92">
            <w:pPr>
              <w:spacing w:beforeLines="0" w:afterLines="0" w:line="360" w:lineRule="auto"/>
              <w:ind w:firstLine="480"/>
              <w:rPr>
                <w:rFonts w:hint="eastAsia" w:ascii="宋体" w:hAnsi="宋体" w:eastAsia="宋体" w:cs="宋体"/>
                <w:color w:val="auto"/>
                <w:sz w:val="24"/>
                <w:szCs w:val="24"/>
                <w:highlight w:val="none"/>
                <w:lang w:val="zh-CN"/>
              </w:rPr>
            </w:pPr>
          </w:p>
        </w:tc>
      </w:tr>
      <w:tr w14:paraId="7B4D5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330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11DD73DC">
            <w:pPr>
              <w:spacing w:beforeLines="0" w:afterLines="0" w:line="360" w:lineRule="auto"/>
              <w:ind w:firstLine="228"/>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2.工程勘察文件</w:t>
            </w:r>
          </w:p>
        </w:tc>
        <w:tc>
          <w:tcPr>
            <w:tcW w:w="125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30E1DCE4">
            <w:pPr>
              <w:spacing w:beforeLines="0" w:afterLines="0" w:line="360" w:lineRule="auto"/>
              <w:ind w:firstLine="480"/>
              <w:rPr>
                <w:rFonts w:hint="eastAsia" w:ascii="宋体" w:hAnsi="宋体" w:eastAsia="宋体" w:cs="宋体"/>
                <w:color w:val="auto"/>
                <w:sz w:val="24"/>
                <w:szCs w:val="24"/>
                <w:highlight w:val="none"/>
                <w:lang w:val="zh-CN"/>
              </w:rPr>
            </w:pPr>
          </w:p>
        </w:tc>
        <w:tc>
          <w:tcPr>
            <w:tcW w:w="170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62EAD7A1">
            <w:pPr>
              <w:spacing w:beforeLines="0" w:afterLines="0" w:line="360" w:lineRule="auto"/>
              <w:ind w:firstLine="480"/>
              <w:rPr>
                <w:rFonts w:hint="eastAsia" w:ascii="宋体" w:hAnsi="宋体" w:eastAsia="宋体" w:cs="宋体"/>
                <w:color w:val="auto"/>
                <w:sz w:val="24"/>
                <w:szCs w:val="24"/>
                <w:highlight w:val="none"/>
                <w:lang w:val="zh-CN"/>
              </w:rPr>
            </w:pPr>
          </w:p>
        </w:tc>
        <w:tc>
          <w:tcPr>
            <w:tcW w:w="20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7EF27765">
            <w:pPr>
              <w:spacing w:beforeLines="0" w:afterLines="0" w:line="360" w:lineRule="auto"/>
              <w:ind w:firstLine="480"/>
              <w:rPr>
                <w:rFonts w:hint="eastAsia" w:ascii="宋体" w:hAnsi="宋体" w:eastAsia="宋体" w:cs="宋体"/>
                <w:color w:val="auto"/>
                <w:sz w:val="24"/>
                <w:szCs w:val="24"/>
                <w:highlight w:val="none"/>
                <w:lang w:val="zh-CN"/>
              </w:rPr>
            </w:pPr>
          </w:p>
        </w:tc>
      </w:tr>
      <w:tr w14:paraId="26A59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330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5FEE8923">
            <w:pPr>
              <w:spacing w:beforeLines="0" w:afterLines="0" w:line="360" w:lineRule="auto"/>
              <w:ind w:firstLine="228"/>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3.工程设计及施工图纸</w:t>
            </w:r>
          </w:p>
        </w:tc>
        <w:tc>
          <w:tcPr>
            <w:tcW w:w="125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778C8244">
            <w:pPr>
              <w:spacing w:beforeLines="0" w:afterLines="0" w:line="360" w:lineRule="auto"/>
              <w:ind w:firstLine="480"/>
              <w:rPr>
                <w:rFonts w:hint="eastAsia" w:ascii="宋体" w:hAnsi="宋体" w:eastAsia="宋体" w:cs="宋体"/>
                <w:color w:val="auto"/>
                <w:sz w:val="24"/>
                <w:szCs w:val="24"/>
                <w:highlight w:val="none"/>
                <w:lang w:val="zh-CN"/>
              </w:rPr>
            </w:pPr>
          </w:p>
        </w:tc>
        <w:tc>
          <w:tcPr>
            <w:tcW w:w="170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5CDDD764">
            <w:pPr>
              <w:spacing w:beforeLines="0" w:afterLines="0" w:line="360" w:lineRule="auto"/>
              <w:ind w:firstLine="480"/>
              <w:rPr>
                <w:rFonts w:hint="eastAsia" w:ascii="宋体" w:hAnsi="宋体" w:eastAsia="宋体" w:cs="宋体"/>
                <w:color w:val="auto"/>
                <w:sz w:val="24"/>
                <w:szCs w:val="24"/>
                <w:highlight w:val="none"/>
                <w:lang w:val="zh-CN"/>
              </w:rPr>
            </w:pPr>
          </w:p>
        </w:tc>
        <w:tc>
          <w:tcPr>
            <w:tcW w:w="20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1E9C86E6">
            <w:pPr>
              <w:spacing w:beforeLines="0" w:afterLines="0" w:line="360" w:lineRule="auto"/>
              <w:ind w:firstLine="480"/>
              <w:rPr>
                <w:rFonts w:hint="eastAsia" w:ascii="宋体" w:hAnsi="宋体" w:eastAsia="宋体" w:cs="宋体"/>
                <w:color w:val="auto"/>
                <w:sz w:val="24"/>
                <w:szCs w:val="24"/>
                <w:highlight w:val="none"/>
                <w:lang w:val="zh-CN"/>
              </w:rPr>
            </w:pPr>
          </w:p>
        </w:tc>
      </w:tr>
      <w:tr w14:paraId="08AD2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30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77991D47">
            <w:pPr>
              <w:spacing w:beforeLines="0" w:afterLines="0" w:line="360" w:lineRule="auto"/>
              <w:ind w:firstLine="2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4.工程承包合同及其他相关合同</w:t>
            </w:r>
          </w:p>
        </w:tc>
        <w:tc>
          <w:tcPr>
            <w:tcW w:w="125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3D3F8F2C">
            <w:pPr>
              <w:spacing w:beforeLines="0" w:afterLines="0" w:line="360" w:lineRule="auto"/>
              <w:ind w:firstLine="480"/>
              <w:rPr>
                <w:rFonts w:hint="eastAsia" w:ascii="宋体" w:hAnsi="宋体" w:eastAsia="宋体" w:cs="宋体"/>
                <w:color w:val="auto"/>
                <w:sz w:val="24"/>
                <w:szCs w:val="24"/>
                <w:highlight w:val="none"/>
                <w:lang w:val="zh-CN"/>
              </w:rPr>
            </w:pPr>
          </w:p>
        </w:tc>
        <w:tc>
          <w:tcPr>
            <w:tcW w:w="170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78E4DCFA">
            <w:pPr>
              <w:spacing w:beforeLines="0" w:afterLines="0" w:line="360" w:lineRule="auto"/>
              <w:ind w:firstLine="480"/>
              <w:rPr>
                <w:rFonts w:hint="eastAsia" w:ascii="宋体" w:hAnsi="宋体" w:eastAsia="宋体" w:cs="宋体"/>
                <w:color w:val="auto"/>
                <w:sz w:val="24"/>
                <w:szCs w:val="24"/>
                <w:highlight w:val="none"/>
                <w:lang w:val="zh-CN"/>
              </w:rPr>
            </w:pPr>
          </w:p>
        </w:tc>
        <w:tc>
          <w:tcPr>
            <w:tcW w:w="20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2C28E1C1">
            <w:pPr>
              <w:spacing w:beforeLines="0" w:afterLines="0" w:line="360" w:lineRule="auto"/>
              <w:ind w:firstLine="480"/>
              <w:rPr>
                <w:rFonts w:hint="eastAsia" w:ascii="宋体" w:hAnsi="宋体" w:eastAsia="宋体" w:cs="宋体"/>
                <w:color w:val="auto"/>
                <w:sz w:val="24"/>
                <w:szCs w:val="24"/>
                <w:highlight w:val="none"/>
                <w:lang w:val="zh-CN"/>
              </w:rPr>
            </w:pPr>
          </w:p>
        </w:tc>
      </w:tr>
      <w:tr w14:paraId="1BCCA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330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3464D4F4">
            <w:pPr>
              <w:spacing w:beforeLines="0" w:afterLines="0" w:line="360" w:lineRule="auto"/>
              <w:ind w:firstLine="2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 施工许可文件</w:t>
            </w:r>
          </w:p>
        </w:tc>
        <w:tc>
          <w:tcPr>
            <w:tcW w:w="125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34CEA0D3">
            <w:pPr>
              <w:spacing w:beforeLines="0" w:afterLines="0" w:line="360" w:lineRule="auto"/>
              <w:ind w:firstLine="480"/>
              <w:rPr>
                <w:rFonts w:hint="eastAsia" w:ascii="宋体" w:hAnsi="宋体" w:eastAsia="宋体" w:cs="宋体"/>
                <w:color w:val="auto"/>
                <w:sz w:val="24"/>
                <w:szCs w:val="24"/>
                <w:highlight w:val="none"/>
                <w:lang w:val="zh-CN"/>
              </w:rPr>
            </w:pPr>
          </w:p>
        </w:tc>
        <w:tc>
          <w:tcPr>
            <w:tcW w:w="170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0549F50B">
            <w:pPr>
              <w:spacing w:beforeLines="0" w:afterLines="0" w:line="360" w:lineRule="auto"/>
              <w:ind w:firstLine="480"/>
              <w:rPr>
                <w:rFonts w:hint="eastAsia" w:ascii="宋体" w:hAnsi="宋体" w:eastAsia="宋体" w:cs="宋体"/>
                <w:color w:val="auto"/>
                <w:sz w:val="24"/>
                <w:szCs w:val="24"/>
                <w:highlight w:val="none"/>
                <w:lang w:val="zh-CN"/>
              </w:rPr>
            </w:pPr>
          </w:p>
        </w:tc>
        <w:tc>
          <w:tcPr>
            <w:tcW w:w="20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6511F07B">
            <w:pPr>
              <w:spacing w:beforeLines="0" w:afterLines="0" w:line="360" w:lineRule="auto"/>
              <w:ind w:firstLine="480"/>
              <w:rPr>
                <w:rFonts w:hint="eastAsia" w:ascii="宋体" w:hAnsi="宋体" w:eastAsia="宋体" w:cs="宋体"/>
                <w:color w:val="auto"/>
                <w:sz w:val="24"/>
                <w:szCs w:val="24"/>
                <w:highlight w:val="none"/>
                <w:lang w:val="zh-CN"/>
              </w:rPr>
            </w:pPr>
          </w:p>
        </w:tc>
      </w:tr>
      <w:tr w14:paraId="5BBE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330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6E78FC21">
            <w:pPr>
              <w:spacing w:beforeLines="0" w:afterLines="0"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6.其他文件</w:t>
            </w:r>
          </w:p>
        </w:tc>
        <w:tc>
          <w:tcPr>
            <w:tcW w:w="125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4A90694D">
            <w:pPr>
              <w:spacing w:beforeLines="0" w:afterLines="0" w:line="360" w:lineRule="auto"/>
              <w:ind w:firstLine="480"/>
              <w:rPr>
                <w:rFonts w:hint="eastAsia" w:ascii="宋体" w:hAnsi="宋体" w:eastAsia="宋体" w:cs="宋体"/>
                <w:color w:val="auto"/>
                <w:sz w:val="24"/>
                <w:szCs w:val="24"/>
                <w:highlight w:val="none"/>
                <w:lang w:val="zh-CN"/>
              </w:rPr>
            </w:pPr>
          </w:p>
        </w:tc>
        <w:tc>
          <w:tcPr>
            <w:tcW w:w="170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417C1688">
            <w:pPr>
              <w:spacing w:beforeLines="0" w:afterLines="0" w:line="360" w:lineRule="auto"/>
              <w:ind w:firstLine="480"/>
              <w:rPr>
                <w:rFonts w:hint="eastAsia" w:ascii="宋体" w:hAnsi="宋体" w:eastAsia="宋体" w:cs="宋体"/>
                <w:color w:val="auto"/>
                <w:sz w:val="24"/>
                <w:szCs w:val="24"/>
                <w:highlight w:val="none"/>
                <w:lang w:val="zh-CN"/>
              </w:rPr>
            </w:pPr>
          </w:p>
        </w:tc>
        <w:tc>
          <w:tcPr>
            <w:tcW w:w="20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5FE29C81">
            <w:pPr>
              <w:spacing w:beforeLines="0" w:afterLines="0" w:line="360" w:lineRule="auto"/>
              <w:ind w:firstLine="480"/>
              <w:rPr>
                <w:rFonts w:hint="eastAsia" w:ascii="宋体" w:hAnsi="宋体" w:eastAsia="宋体" w:cs="宋体"/>
                <w:color w:val="auto"/>
                <w:sz w:val="24"/>
                <w:szCs w:val="24"/>
                <w:highlight w:val="none"/>
                <w:lang w:val="zh-CN"/>
              </w:rPr>
            </w:pPr>
          </w:p>
        </w:tc>
      </w:tr>
    </w:tbl>
    <w:p w14:paraId="365139DA">
      <w:pPr>
        <w:spacing w:beforeLines="0" w:afterLines="0" w:line="360" w:lineRule="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B-4 委托人提供的设备</w:t>
      </w:r>
    </w:p>
    <w:tbl>
      <w:tblPr>
        <w:tblStyle w:val="29"/>
        <w:tblW w:w="826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2"/>
        <w:gridCol w:w="1591"/>
        <w:gridCol w:w="1688"/>
        <w:gridCol w:w="1995"/>
      </w:tblGrid>
      <w:tr w14:paraId="25125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9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17342F87">
            <w:pPr>
              <w:spacing w:beforeLines="0" w:afterLines="0"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名称</w:t>
            </w:r>
          </w:p>
        </w:tc>
        <w:tc>
          <w:tcPr>
            <w:tcW w:w="159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367641F6">
            <w:pPr>
              <w:spacing w:beforeLines="0" w:afterLines="0"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数量</w:t>
            </w:r>
          </w:p>
        </w:tc>
        <w:tc>
          <w:tcPr>
            <w:tcW w:w="168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5009C708">
            <w:pPr>
              <w:spacing w:beforeLines="0" w:afterLines="0"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型号与规格</w:t>
            </w:r>
          </w:p>
        </w:tc>
        <w:tc>
          <w:tcPr>
            <w:tcW w:w="199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145C54D1">
            <w:pPr>
              <w:spacing w:beforeLines="0" w:afterLines="0"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提供时间</w:t>
            </w:r>
          </w:p>
        </w:tc>
      </w:tr>
      <w:tr w14:paraId="1CFCC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9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5B9BEEA6">
            <w:pPr>
              <w:spacing w:beforeLines="0" w:afterLines="0"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 通讯设备</w:t>
            </w:r>
          </w:p>
        </w:tc>
        <w:tc>
          <w:tcPr>
            <w:tcW w:w="159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1DC434A5">
            <w:pPr>
              <w:spacing w:beforeLines="0" w:afterLines="0" w:line="360" w:lineRule="auto"/>
              <w:ind w:firstLine="480"/>
              <w:rPr>
                <w:rFonts w:hint="eastAsia" w:ascii="宋体" w:hAnsi="宋体" w:eastAsia="宋体" w:cs="宋体"/>
                <w:color w:val="auto"/>
                <w:sz w:val="24"/>
                <w:szCs w:val="24"/>
                <w:highlight w:val="none"/>
                <w:lang w:val="zh-CN"/>
              </w:rPr>
            </w:pPr>
          </w:p>
        </w:tc>
        <w:tc>
          <w:tcPr>
            <w:tcW w:w="168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54EC112D">
            <w:pPr>
              <w:spacing w:beforeLines="0" w:afterLines="0" w:line="360" w:lineRule="auto"/>
              <w:ind w:firstLine="480"/>
              <w:rPr>
                <w:rFonts w:hint="eastAsia" w:ascii="宋体" w:hAnsi="宋体" w:eastAsia="宋体" w:cs="宋体"/>
                <w:color w:val="auto"/>
                <w:sz w:val="24"/>
                <w:szCs w:val="24"/>
                <w:highlight w:val="none"/>
                <w:lang w:val="zh-CN"/>
              </w:rPr>
            </w:pPr>
          </w:p>
        </w:tc>
        <w:tc>
          <w:tcPr>
            <w:tcW w:w="199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13DCEB1D">
            <w:pPr>
              <w:spacing w:beforeLines="0" w:afterLines="0" w:line="360" w:lineRule="auto"/>
              <w:ind w:firstLine="480"/>
              <w:rPr>
                <w:rFonts w:hint="eastAsia" w:ascii="宋体" w:hAnsi="宋体" w:eastAsia="宋体" w:cs="宋体"/>
                <w:color w:val="auto"/>
                <w:sz w:val="24"/>
                <w:szCs w:val="24"/>
                <w:highlight w:val="none"/>
                <w:lang w:val="zh-CN"/>
              </w:rPr>
            </w:pPr>
          </w:p>
        </w:tc>
      </w:tr>
      <w:tr w14:paraId="18250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9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0FFF1592">
            <w:pPr>
              <w:spacing w:beforeLines="0" w:afterLines="0"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 办公设备</w:t>
            </w:r>
          </w:p>
        </w:tc>
        <w:tc>
          <w:tcPr>
            <w:tcW w:w="159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2DA9D0A2">
            <w:pPr>
              <w:spacing w:beforeLines="0" w:afterLines="0" w:line="360" w:lineRule="auto"/>
              <w:ind w:firstLine="480"/>
              <w:rPr>
                <w:rFonts w:hint="eastAsia" w:ascii="宋体" w:hAnsi="宋体" w:eastAsia="宋体" w:cs="宋体"/>
                <w:color w:val="auto"/>
                <w:sz w:val="24"/>
                <w:szCs w:val="24"/>
                <w:highlight w:val="none"/>
                <w:lang w:val="zh-CN"/>
              </w:rPr>
            </w:pPr>
          </w:p>
        </w:tc>
        <w:tc>
          <w:tcPr>
            <w:tcW w:w="168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6217919D">
            <w:pPr>
              <w:spacing w:beforeLines="0" w:afterLines="0" w:line="360" w:lineRule="auto"/>
              <w:ind w:firstLine="480"/>
              <w:rPr>
                <w:rFonts w:hint="eastAsia" w:ascii="宋体" w:hAnsi="宋体" w:eastAsia="宋体" w:cs="宋体"/>
                <w:color w:val="auto"/>
                <w:sz w:val="24"/>
                <w:szCs w:val="24"/>
                <w:highlight w:val="none"/>
                <w:lang w:val="zh-CN"/>
              </w:rPr>
            </w:pPr>
          </w:p>
        </w:tc>
        <w:tc>
          <w:tcPr>
            <w:tcW w:w="199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1E88E2BE">
            <w:pPr>
              <w:spacing w:beforeLines="0" w:afterLines="0" w:line="360" w:lineRule="auto"/>
              <w:ind w:firstLine="480"/>
              <w:rPr>
                <w:rFonts w:hint="eastAsia" w:ascii="宋体" w:hAnsi="宋体" w:eastAsia="宋体" w:cs="宋体"/>
                <w:color w:val="auto"/>
                <w:sz w:val="24"/>
                <w:szCs w:val="24"/>
                <w:highlight w:val="none"/>
                <w:lang w:val="zh-CN"/>
              </w:rPr>
            </w:pPr>
          </w:p>
        </w:tc>
      </w:tr>
      <w:tr w14:paraId="5D105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9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093A220F">
            <w:pPr>
              <w:spacing w:beforeLines="0" w:afterLines="0"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 交通工具</w:t>
            </w:r>
          </w:p>
        </w:tc>
        <w:tc>
          <w:tcPr>
            <w:tcW w:w="159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1BA5A59E">
            <w:pPr>
              <w:spacing w:beforeLines="0" w:afterLines="0" w:line="360" w:lineRule="auto"/>
              <w:ind w:firstLine="480"/>
              <w:rPr>
                <w:rFonts w:hint="eastAsia" w:ascii="宋体" w:hAnsi="宋体" w:eastAsia="宋体" w:cs="宋体"/>
                <w:color w:val="auto"/>
                <w:sz w:val="24"/>
                <w:szCs w:val="24"/>
                <w:highlight w:val="none"/>
                <w:lang w:val="zh-CN"/>
              </w:rPr>
            </w:pPr>
          </w:p>
        </w:tc>
        <w:tc>
          <w:tcPr>
            <w:tcW w:w="168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6E94DA12">
            <w:pPr>
              <w:spacing w:beforeLines="0" w:afterLines="0" w:line="360" w:lineRule="auto"/>
              <w:ind w:firstLine="480"/>
              <w:rPr>
                <w:rFonts w:hint="eastAsia" w:ascii="宋体" w:hAnsi="宋体" w:eastAsia="宋体" w:cs="宋体"/>
                <w:color w:val="auto"/>
                <w:sz w:val="24"/>
                <w:szCs w:val="24"/>
                <w:highlight w:val="none"/>
                <w:lang w:val="zh-CN"/>
              </w:rPr>
            </w:pPr>
          </w:p>
        </w:tc>
        <w:tc>
          <w:tcPr>
            <w:tcW w:w="199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4546A0EB">
            <w:pPr>
              <w:spacing w:beforeLines="0" w:afterLines="0" w:line="360" w:lineRule="auto"/>
              <w:ind w:firstLine="480"/>
              <w:rPr>
                <w:rFonts w:hint="eastAsia" w:ascii="宋体" w:hAnsi="宋体" w:eastAsia="宋体" w:cs="宋体"/>
                <w:color w:val="auto"/>
                <w:sz w:val="24"/>
                <w:szCs w:val="24"/>
                <w:highlight w:val="none"/>
                <w:lang w:val="zh-CN"/>
              </w:rPr>
            </w:pPr>
          </w:p>
        </w:tc>
      </w:tr>
      <w:tr w14:paraId="06FB2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9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10557561">
            <w:pPr>
              <w:spacing w:beforeLines="0" w:afterLines="0"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 检测和试验设备</w:t>
            </w:r>
          </w:p>
        </w:tc>
        <w:tc>
          <w:tcPr>
            <w:tcW w:w="159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3729A9F9">
            <w:pPr>
              <w:spacing w:beforeLines="0" w:afterLines="0" w:line="360" w:lineRule="auto"/>
              <w:ind w:firstLine="480"/>
              <w:rPr>
                <w:rFonts w:hint="eastAsia" w:ascii="宋体" w:hAnsi="宋体" w:eastAsia="宋体" w:cs="宋体"/>
                <w:color w:val="auto"/>
                <w:sz w:val="24"/>
                <w:szCs w:val="24"/>
                <w:highlight w:val="none"/>
                <w:lang w:val="zh-CN"/>
              </w:rPr>
            </w:pPr>
          </w:p>
        </w:tc>
        <w:tc>
          <w:tcPr>
            <w:tcW w:w="168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25BCCCD5">
            <w:pPr>
              <w:spacing w:beforeLines="0" w:afterLines="0" w:line="360" w:lineRule="auto"/>
              <w:ind w:firstLine="480"/>
              <w:rPr>
                <w:rFonts w:hint="eastAsia" w:ascii="宋体" w:hAnsi="宋体" w:eastAsia="宋体" w:cs="宋体"/>
                <w:color w:val="auto"/>
                <w:sz w:val="24"/>
                <w:szCs w:val="24"/>
                <w:highlight w:val="none"/>
                <w:lang w:val="zh-CN"/>
              </w:rPr>
            </w:pPr>
          </w:p>
        </w:tc>
        <w:tc>
          <w:tcPr>
            <w:tcW w:w="199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233B6686">
            <w:pPr>
              <w:spacing w:beforeLines="0" w:afterLines="0" w:line="360" w:lineRule="auto"/>
              <w:ind w:firstLine="480"/>
              <w:rPr>
                <w:rFonts w:hint="eastAsia" w:ascii="宋体" w:hAnsi="宋体" w:eastAsia="宋体" w:cs="宋体"/>
                <w:color w:val="auto"/>
                <w:sz w:val="24"/>
                <w:szCs w:val="24"/>
                <w:highlight w:val="none"/>
                <w:lang w:val="zh-CN"/>
              </w:rPr>
            </w:pPr>
          </w:p>
        </w:tc>
      </w:tr>
      <w:tr w14:paraId="33ADC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29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3232D3A1">
            <w:pPr>
              <w:spacing w:beforeLines="0" w:afterLines="0" w:line="360" w:lineRule="auto"/>
              <w:ind w:firstLine="480"/>
              <w:rPr>
                <w:rFonts w:hint="eastAsia" w:ascii="宋体" w:hAnsi="宋体" w:eastAsia="宋体" w:cs="宋体"/>
                <w:color w:val="auto"/>
                <w:sz w:val="24"/>
                <w:szCs w:val="24"/>
                <w:highlight w:val="none"/>
                <w:lang w:val="zh-CN"/>
              </w:rPr>
            </w:pPr>
          </w:p>
        </w:tc>
        <w:tc>
          <w:tcPr>
            <w:tcW w:w="159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3BDBCD65">
            <w:pPr>
              <w:spacing w:beforeLines="0" w:afterLines="0" w:line="360" w:lineRule="auto"/>
              <w:ind w:firstLine="480"/>
              <w:rPr>
                <w:rFonts w:hint="eastAsia" w:ascii="宋体" w:hAnsi="宋体" w:eastAsia="宋体" w:cs="宋体"/>
                <w:color w:val="auto"/>
                <w:sz w:val="24"/>
                <w:szCs w:val="24"/>
                <w:highlight w:val="none"/>
                <w:lang w:val="zh-CN"/>
              </w:rPr>
            </w:pPr>
          </w:p>
        </w:tc>
        <w:tc>
          <w:tcPr>
            <w:tcW w:w="168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0ECBB4CC">
            <w:pPr>
              <w:spacing w:beforeLines="0" w:afterLines="0" w:line="360" w:lineRule="auto"/>
              <w:ind w:firstLine="480"/>
              <w:rPr>
                <w:rFonts w:hint="eastAsia" w:ascii="宋体" w:hAnsi="宋体" w:eastAsia="宋体" w:cs="宋体"/>
                <w:color w:val="auto"/>
                <w:sz w:val="24"/>
                <w:szCs w:val="24"/>
                <w:highlight w:val="none"/>
                <w:lang w:val="zh-CN"/>
              </w:rPr>
            </w:pPr>
          </w:p>
        </w:tc>
        <w:tc>
          <w:tcPr>
            <w:tcW w:w="199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top"/>
          </w:tcPr>
          <w:p w14:paraId="5556943F">
            <w:pPr>
              <w:spacing w:beforeLines="0" w:afterLines="0" w:line="360" w:lineRule="auto"/>
              <w:ind w:firstLine="480"/>
              <w:rPr>
                <w:rFonts w:hint="eastAsia" w:ascii="宋体" w:hAnsi="宋体" w:eastAsia="宋体" w:cs="宋体"/>
                <w:color w:val="auto"/>
                <w:sz w:val="24"/>
                <w:szCs w:val="24"/>
                <w:highlight w:val="none"/>
                <w:lang w:val="zh-CN"/>
              </w:rPr>
            </w:pPr>
          </w:p>
        </w:tc>
      </w:tr>
    </w:tbl>
    <w:p w14:paraId="0B9B8B62">
      <w:pPr>
        <w:spacing w:beforeLines="0" w:afterLines="0" w:line="360" w:lineRule="auto"/>
        <w:rPr>
          <w:rFonts w:hint="eastAsia" w:ascii="宋体" w:hAnsi="宋体" w:eastAsia="宋体" w:cs="宋体"/>
          <w:color w:val="auto"/>
          <w:sz w:val="24"/>
          <w:szCs w:val="24"/>
          <w:highlight w:val="none"/>
          <w:lang w:val="zh-CN"/>
        </w:rPr>
      </w:pPr>
    </w:p>
    <w:p w14:paraId="3BA0082D">
      <w:pPr>
        <w:pStyle w:val="2"/>
        <w:jc w:val="center"/>
        <w:outlineLvl w:val="9"/>
        <w:rPr>
          <w:rFonts w:hint="eastAsia" w:ascii="宋体" w:hAnsi="宋体" w:eastAsia="宋体" w:cs="宋体"/>
          <w:highlight w:val="none"/>
          <w:lang w:val="en-US" w:eastAsia="zh-CN"/>
        </w:rPr>
      </w:pPr>
    </w:p>
    <w:p w14:paraId="777F4543">
      <w:pPr>
        <w:rPr>
          <w:rFonts w:hint="eastAsia" w:ascii="宋体" w:hAnsi="宋体" w:eastAsia="宋体" w:cs="宋体"/>
          <w:highlight w:val="none"/>
          <w:lang w:val="en-US" w:eastAsia="zh-CN"/>
        </w:rPr>
      </w:pPr>
    </w:p>
    <w:p w14:paraId="37BFA7DE">
      <w:pPr>
        <w:pStyle w:val="9"/>
        <w:rPr>
          <w:rFonts w:hint="eastAsia" w:ascii="宋体" w:hAnsi="宋体" w:eastAsia="宋体" w:cs="宋体"/>
          <w:highlight w:val="none"/>
          <w:lang w:val="en-US" w:eastAsia="zh-CN"/>
        </w:rPr>
      </w:pPr>
    </w:p>
    <w:p w14:paraId="4C13408D">
      <w:pPr>
        <w:rPr>
          <w:rFonts w:hint="eastAsia" w:ascii="宋体" w:hAnsi="宋体" w:eastAsia="宋体" w:cs="宋体"/>
          <w:highlight w:val="none"/>
          <w:lang w:val="en-US" w:eastAsia="zh-CN"/>
        </w:rPr>
      </w:pPr>
    </w:p>
    <w:bookmarkEnd w:id="41"/>
    <w:bookmarkEnd w:id="42"/>
    <w:p w14:paraId="5EA198EC">
      <w:pPr>
        <w:pStyle w:val="47"/>
        <w:ind w:left="0" w:leftChars="0" w:firstLine="0" w:firstLineChars="0"/>
        <w:rPr>
          <w:rFonts w:hint="eastAsia"/>
          <w:highlight w:val="none"/>
        </w:rPr>
      </w:pPr>
    </w:p>
    <w:p w14:paraId="71564630">
      <w:pPr>
        <w:keepNext w:val="0"/>
        <w:keepLines w:val="0"/>
        <w:pageBreakBefore w:val="0"/>
        <w:widowControl w:val="0"/>
        <w:kinsoku/>
        <w:wordWrap/>
        <w:overflowPunct/>
        <w:topLinePunct w:val="0"/>
        <w:autoSpaceDE w:val="0"/>
        <w:autoSpaceDN w:val="0"/>
        <w:bidi w:val="0"/>
        <w:adjustRightInd/>
        <w:snapToGrid/>
        <w:spacing w:line="700" w:lineRule="exact"/>
        <w:jc w:val="center"/>
        <w:textAlignment w:val="auto"/>
        <w:outlineLvl w:val="0"/>
        <w:rPr>
          <w:rFonts w:ascii="宋体" w:hAnsi="宋体" w:cs="宋体"/>
          <w:b/>
          <w:color w:val="auto"/>
          <w:sz w:val="28"/>
          <w:szCs w:val="28"/>
          <w:highlight w:val="none"/>
        </w:rPr>
      </w:pPr>
      <w:r>
        <w:rPr>
          <w:rFonts w:hint="eastAsia" w:ascii="宋体" w:hAnsi="宋体" w:cs="宋体"/>
          <w:b/>
          <w:color w:val="auto"/>
          <w:sz w:val="28"/>
          <w:szCs w:val="28"/>
          <w:highlight w:val="none"/>
        </w:rPr>
        <w:t>第五部分  竞争性磋商响应文件格式</w:t>
      </w:r>
      <w:bookmarkEnd w:id="30"/>
    </w:p>
    <w:p w14:paraId="52700B70">
      <w:pPr>
        <w:spacing w:line="60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竞争性磋商响应文件编制说明</w:t>
      </w:r>
    </w:p>
    <w:p w14:paraId="6D80586D">
      <w:pPr>
        <w:numPr>
          <w:ilvl w:val="0"/>
          <w:numId w:val="6"/>
        </w:numPr>
        <w:spacing w:line="560" w:lineRule="exact"/>
        <w:ind w:firstLine="50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竞争性磋商文件提供的竞争性磋商响应文件格式，起到样式作用，编制竞争性磋商响应文件前，请详细阅读竞争性磋商文件，理解文件中的每一项要求。</w:t>
      </w:r>
    </w:p>
    <w:p w14:paraId="7DEBCA42">
      <w:pPr>
        <w:numPr>
          <w:ilvl w:val="0"/>
          <w:numId w:val="6"/>
        </w:numPr>
        <w:spacing w:line="560" w:lineRule="exact"/>
        <w:ind w:firstLine="50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竞争性磋商响应文件的编制应按照样本格式提供的内容，做出逐一明确的答复；供应商认为有必要，还可以做其它补充说明。</w:t>
      </w:r>
    </w:p>
    <w:p w14:paraId="1FAD4116">
      <w:pPr>
        <w:spacing w:line="480" w:lineRule="exact"/>
        <w:ind w:firstLine="500" w:firstLineChars="200"/>
        <w:rPr>
          <w:rFonts w:ascii="宋体" w:hAnsi="宋体" w:cs="宋体"/>
          <w:bCs/>
          <w:color w:val="auto"/>
          <w:sz w:val="24"/>
          <w:szCs w:val="24"/>
          <w:highlight w:val="none"/>
        </w:rPr>
      </w:pPr>
    </w:p>
    <w:p w14:paraId="15DDBA1D">
      <w:pPr>
        <w:pStyle w:val="25"/>
        <w:rPr>
          <w:sz w:val="24"/>
          <w:szCs w:val="24"/>
          <w:highlight w:val="none"/>
        </w:rPr>
      </w:pPr>
    </w:p>
    <w:p w14:paraId="6425BAC8">
      <w:pPr>
        <w:spacing w:line="480" w:lineRule="exact"/>
        <w:rPr>
          <w:rFonts w:ascii="宋体" w:hAnsi="宋体" w:cs="宋体"/>
          <w:bCs/>
          <w:color w:val="auto"/>
          <w:sz w:val="24"/>
          <w:szCs w:val="24"/>
          <w:highlight w:val="none"/>
        </w:rPr>
      </w:pPr>
    </w:p>
    <w:p w14:paraId="478C7A66">
      <w:pPr>
        <w:spacing w:line="480" w:lineRule="exact"/>
        <w:rPr>
          <w:rFonts w:ascii="宋体" w:hAnsi="宋体" w:cs="宋体"/>
          <w:bCs/>
          <w:color w:val="auto"/>
          <w:sz w:val="24"/>
          <w:szCs w:val="24"/>
          <w:highlight w:val="none"/>
        </w:rPr>
      </w:pPr>
    </w:p>
    <w:p w14:paraId="16B67684">
      <w:pPr>
        <w:spacing w:line="480" w:lineRule="exact"/>
        <w:rPr>
          <w:rFonts w:ascii="宋体" w:hAnsi="宋体" w:cs="宋体"/>
          <w:bCs/>
          <w:color w:val="auto"/>
          <w:sz w:val="24"/>
          <w:szCs w:val="24"/>
          <w:highlight w:val="none"/>
        </w:rPr>
      </w:pPr>
    </w:p>
    <w:p w14:paraId="0BF48F0A">
      <w:pPr>
        <w:spacing w:line="480" w:lineRule="exact"/>
        <w:rPr>
          <w:rFonts w:ascii="宋体" w:hAnsi="宋体" w:cs="宋体"/>
          <w:bCs/>
          <w:color w:val="auto"/>
          <w:sz w:val="24"/>
          <w:szCs w:val="24"/>
          <w:highlight w:val="none"/>
        </w:rPr>
      </w:pPr>
    </w:p>
    <w:p w14:paraId="45AFE8F8">
      <w:pPr>
        <w:spacing w:line="480" w:lineRule="exact"/>
        <w:rPr>
          <w:rFonts w:ascii="宋体" w:hAnsi="宋体" w:cs="宋体"/>
          <w:bCs/>
          <w:color w:val="auto"/>
          <w:sz w:val="24"/>
          <w:szCs w:val="24"/>
          <w:highlight w:val="none"/>
        </w:rPr>
      </w:pPr>
    </w:p>
    <w:p w14:paraId="498AA8A3">
      <w:pPr>
        <w:spacing w:line="480" w:lineRule="exact"/>
        <w:rPr>
          <w:rFonts w:ascii="宋体" w:hAnsi="宋体" w:cs="宋体"/>
          <w:bCs/>
          <w:color w:val="auto"/>
          <w:sz w:val="24"/>
          <w:szCs w:val="24"/>
          <w:highlight w:val="none"/>
        </w:rPr>
      </w:pPr>
    </w:p>
    <w:p w14:paraId="7FAAD15B">
      <w:pPr>
        <w:spacing w:line="480" w:lineRule="exact"/>
        <w:rPr>
          <w:rFonts w:ascii="宋体" w:hAnsi="宋体" w:cs="宋体"/>
          <w:bCs/>
          <w:color w:val="auto"/>
          <w:sz w:val="24"/>
          <w:szCs w:val="24"/>
          <w:highlight w:val="none"/>
        </w:rPr>
      </w:pPr>
    </w:p>
    <w:p w14:paraId="1AA9E8A4">
      <w:pPr>
        <w:spacing w:line="480" w:lineRule="exact"/>
        <w:rPr>
          <w:rFonts w:ascii="宋体" w:hAnsi="宋体" w:cs="宋体"/>
          <w:bCs/>
          <w:color w:val="auto"/>
          <w:sz w:val="24"/>
          <w:szCs w:val="24"/>
          <w:highlight w:val="none"/>
        </w:rPr>
      </w:pPr>
    </w:p>
    <w:p w14:paraId="09B8393C">
      <w:pPr>
        <w:spacing w:line="480" w:lineRule="exact"/>
        <w:rPr>
          <w:rFonts w:ascii="宋体" w:hAnsi="宋体" w:cs="宋体"/>
          <w:bCs/>
          <w:color w:val="auto"/>
          <w:sz w:val="24"/>
          <w:szCs w:val="24"/>
          <w:highlight w:val="none"/>
        </w:rPr>
      </w:pPr>
    </w:p>
    <w:p w14:paraId="38D20CC9">
      <w:pPr>
        <w:spacing w:line="480" w:lineRule="exact"/>
        <w:rPr>
          <w:rFonts w:ascii="宋体" w:hAnsi="宋体" w:cs="宋体"/>
          <w:bCs/>
          <w:color w:val="auto"/>
          <w:sz w:val="24"/>
          <w:szCs w:val="24"/>
          <w:highlight w:val="none"/>
        </w:rPr>
      </w:pPr>
    </w:p>
    <w:p w14:paraId="73EDAFD0">
      <w:pPr>
        <w:spacing w:line="480" w:lineRule="exact"/>
        <w:rPr>
          <w:rFonts w:ascii="宋体" w:hAnsi="宋体" w:cs="宋体"/>
          <w:bCs/>
          <w:color w:val="auto"/>
          <w:sz w:val="24"/>
          <w:szCs w:val="24"/>
          <w:highlight w:val="none"/>
        </w:rPr>
      </w:pPr>
    </w:p>
    <w:p w14:paraId="324180AF">
      <w:pPr>
        <w:spacing w:line="480" w:lineRule="exact"/>
        <w:rPr>
          <w:rFonts w:ascii="宋体" w:hAnsi="宋体" w:cs="宋体"/>
          <w:bCs/>
          <w:color w:val="auto"/>
          <w:sz w:val="24"/>
          <w:szCs w:val="24"/>
          <w:highlight w:val="none"/>
        </w:rPr>
      </w:pPr>
    </w:p>
    <w:p w14:paraId="0241E9F1">
      <w:pPr>
        <w:spacing w:line="480" w:lineRule="exact"/>
        <w:rPr>
          <w:rFonts w:ascii="宋体" w:hAnsi="宋体" w:cs="宋体"/>
          <w:bCs/>
          <w:color w:val="auto"/>
          <w:sz w:val="24"/>
          <w:szCs w:val="24"/>
          <w:highlight w:val="none"/>
        </w:rPr>
      </w:pPr>
    </w:p>
    <w:p w14:paraId="30115829">
      <w:pPr>
        <w:pStyle w:val="5"/>
        <w:rPr>
          <w:sz w:val="24"/>
          <w:szCs w:val="24"/>
          <w:highlight w:val="none"/>
        </w:rPr>
      </w:pPr>
    </w:p>
    <w:p w14:paraId="34174D24">
      <w:pPr>
        <w:spacing w:line="480" w:lineRule="exact"/>
        <w:rPr>
          <w:rFonts w:ascii="宋体" w:hAnsi="宋体" w:cs="宋体"/>
          <w:bCs/>
          <w:color w:val="auto"/>
          <w:sz w:val="24"/>
          <w:szCs w:val="24"/>
          <w:highlight w:val="none"/>
        </w:rPr>
      </w:pPr>
    </w:p>
    <w:p w14:paraId="20648113">
      <w:pPr>
        <w:pStyle w:val="5"/>
        <w:rPr>
          <w:rFonts w:ascii="宋体" w:hAnsi="宋体" w:cs="宋体"/>
          <w:bCs/>
          <w:color w:val="auto"/>
          <w:sz w:val="24"/>
          <w:szCs w:val="24"/>
          <w:highlight w:val="none"/>
        </w:rPr>
      </w:pPr>
    </w:p>
    <w:p w14:paraId="23691071">
      <w:pPr>
        <w:spacing w:line="480" w:lineRule="exact"/>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rPr>
        <w:t>项目编号</w:t>
      </w:r>
      <w:r>
        <w:rPr>
          <w:rFonts w:hint="eastAsia" w:ascii="宋体" w:hAnsi="宋体" w:cs="宋体"/>
          <w:b/>
          <w:color w:val="auto"/>
          <w:sz w:val="24"/>
          <w:szCs w:val="24"/>
          <w:highlight w:val="none"/>
          <w:lang w:eastAsia="zh-CN"/>
        </w:rPr>
        <w:t>：SXHXBJ-2026-03-001.3B1</w:t>
      </w:r>
    </w:p>
    <w:p w14:paraId="52CBDD66">
      <w:pPr>
        <w:spacing w:line="480" w:lineRule="exact"/>
        <w:rPr>
          <w:rFonts w:ascii="宋体" w:hAnsi="宋体" w:cs="宋体"/>
          <w:b/>
          <w:color w:val="auto"/>
          <w:sz w:val="24"/>
          <w:szCs w:val="24"/>
          <w:highlight w:val="none"/>
        </w:rPr>
      </w:pPr>
    </w:p>
    <w:p w14:paraId="7D6FC680">
      <w:pPr>
        <w:pStyle w:val="5"/>
        <w:rPr>
          <w:sz w:val="24"/>
          <w:szCs w:val="24"/>
          <w:highlight w:val="none"/>
        </w:rPr>
      </w:pPr>
    </w:p>
    <w:p w14:paraId="1D6E39E1">
      <w:pPr>
        <w:pStyle w:val="6"/>
        <w:rPr>
          <w:highlight w:val="none"/>
        </w:rPr>
      </w:pPr>
    </w:p>
    <w:p w14:paraId="41D69CAA">
      <w:pPr>
        <w:pStyle w:val="5"/>
        <w:rPr>
          <w:sz w:val="24"/>
          <w:szCs w:val="24"/>
          <w:highlight w:val="none"/>
        </w:rPr>
      </w:pPr>
    </w:p>
    <w:p w14:paraId="2B1BB551">
      <w:pPr>
        <w:jc w:val="both"/>
        <w:rPr>
          <w:rFonts w:hint="eastAsia" w:ascii="宋体" w:hAnsi="宋体" w:cs="宋体"/>
          <w:b/>
          <w:color w:val="auto"/>
          <w:sz w:val="32"/>
          <w:szCs w:val="32"/>
          <w:highlight w:val="none"/>
          <w:lang w:eastAsia="zh-CN"/>
        </w:rPr>
      </w:pPr>
      <w:r>
        <w:rPr>
          <w:rFonts w:hint="eastAsia" w:ascii="宋体" w:hAnsi="宋体" w:cs="宋体"/>
          <w:b/>
          <w:color w:val="auto"/>
          <w:sz w:val="32"/>
          <w:szCs w:val="32"/>
          <w:highlight w:val="none"/>
          <w:lang w:eastAsia="zh-CN"/>
        </w:rPr>
        <w:t>秦雍城遗址秦公一号大墓祭祀坑保护展示工程监理（三次）</w:t>
      </w:r>
    </w:p>
    <w:p w14:paraId="370543F5">
      <w:pPr>
        <w:jc w:val="center"/>
        <w:rPr>
          <w:rFonts w:hint="eastAsia" w:ascii="宋体" w:hAnsi="宋体" w:cs="宋体"/>
          <w:b/>
          <w:color w:val="auto"/>
          <w:sz w:val="24"/>
          <w:szCs w:val="24"/>
          <w:highlight w:val="none"/>
          <w:lang w:eastAsia="zh-CN"/>
        </w:rPr>
      </w:pPr>
    </w:p>
    <w:p w14:paraId="204F426E">
      <w:pPr>
        <w:jc w:val="center"/>
        <w:rPr>
          <w:rFonts w:hint="eastAsia" w:ascii="宋体" w:hAnsi="宋体" w:cs="宋体"/>
          <w:b/>
          <w:color w:val="auto"/>
          <w:sz w:val="24"/>
          <w:szCs w:val="24"/>
          <w:highlight w:val="none"/>
          <w:lang w:eastAsia="zh-CN"/>
        </w:rPr>
      </w:pPr>
    </w:p>
    <w:p w14:paraId="6D7668ED">
      <w:pPr>
        <w:jc w:val="center"/>
        <w:rPr>
          <w:rFonts w:hint="eastAsia" w:ascii="宋体" w:hAnsi="宋体" w:cs="宋体"/>
          <w:b/>
          <w:color w:val="auto"/>
          <w:sz w:val="24"/>
          <w:szCs w:val="24"/>
          <w:highlight w:val="none"/>
          <w:lang w:eastAsia="zh-CN"/>
        </w:rPr>
      </w:pPr>
    </w:p>
    <w:p w14:paraId="5D42D629">
      <w:pPr>
        <w:jc w:val="both"/>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 </w:t>
      </w:r>
    </w:p>
    <w:p w14:paraId="6D6320E1">
      <w:pPr>
        <w:jc w:val="center"/>
        <w:rPr>
          <w:rFonts w:ascii="宋体" w:hAnsi="宋体" w:cs="宋体"/>
          <w:b/>
          <w:color w:val="auto"/>
          <w:sz w:val="32"/>
          <w:szCs w:val="32"/>
          <w:highlight w:val="none"/>
        </w:rPr>
      </w:pPr>
      <w:r>
        <w:rPr>
          <w:rFonts w:hint="eastAsia" w:ascii="宋体" w:hAnsi="宋体" w:cs="宋体"/>
          <w:b/>
          <w:color w:val="auto"/>
          <w:sz w:val="32"/>
          <w:szCs w:val="32"/>
          <w:highlight w:val="none"/>
        </w:rPr>
        <w:t xml:space="preserve"> 竞争性磋商响应文件</w:t>
      </w:r>
    </w:p>
    <w:p w14:paraId="3E2592C2">
      <w:pPr>
        <w:spacing w:line="480" w:lineRule="exact"/>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      </w:t>
      </w:r>
    </w:p>
    <w:p w14:paraId="6556E2CD">
      <w:pPr>
        <w:pStyle w:val="48"/>
        <w:rPr>
          <w:sz w:val="24"/>
          <w:szCs w:val="24"/>
          <w:highlight w:val="none"/>
        </w:rPr>
      </w:pPr>
    </w:p>
    <w:p w14:paraId="3677A134">
      <w:pPr>
        <w:pStyle w:val="48"/>
        <w:rPr>
          <w:sz w:val="24"/>
          <w:szCs w:val="24"/>
          <w:highlight w:val="none"/>
        </w:rPr>
      </w:pPr>
    </w:p>
    <w:p w14:paraId="3B7112EB">
      <w:pPr>
        <w:pStyle w:val="48"/>
        <w:ind w:left="0" w:leftChars="0" w:firstLine="0" w:firstLineChars="0"/>
        <w:rPr>
          <w:sz w:val="24"/>
          <w:szCs w:val="24"/>
          <w:highlight w:val="none"/>
        </w:rPr>
      </w:pPr>
    </w:p>
    <w:p w14:paraId="722C4717">
      <w:pPr>
        <w:pStyle w:val="14"/>
        <w:spacing w:line="720" w:lineRule="auto"/>
        <w:ind w:left="629" w:firstLine="500" w:firstLineChars="200"/>
        <w:jc w:val="left"/>
        <w:rPr>
          <w:rFonts w:hAnsi="宋体" w:cs="宋体"/>
          <w:color w:val="auto"/>
          <w:sz w:val="24"/>
          <w:szCs w:val="24"/>
          <w:highlight w:val="none"/>
        </w:rPr>
      </w:pPr>
      <w:r>
        <w:rPr>
          <w:rFonts w:hint="eastAsia" w:hAnsi="宋体" w:cs="宋体"/>
          <w:color w:val="auto"/>
          <w:sz w:val="24"/>
          <w:szCs w:val="24"/>
          <w:highlight w:val="none"/>
        </w:rPr>
        <w:t>供应商名称：</w:t>
      </w:r>
      <w:r>
        <w:rPr>
          <w:rFonts w:hint="eastAsia" w:hAnsi="宋体" w:cs="宋体"/>
          <w:color w:val="auto"/>
          <w:sz w:val="24"/>
          <w:szCs w:val="24"/>
          <w:highlight w:val="none"/>
          <w:u w:val="single"/>
        </w:rPr>
        <w:t xml:space="preserve">                    （公    章）</w:t>
      </w:r>
    </w:p>
    <w:p w14:paraId="3FB777FE">
      <w:pPr>
        <w:pStyle w:val="14"/>
        <w:spacing w:line="720" w:lineRule="auto"/>
        <w:ind w:left="629" w:firstLine="500" w:firstLineChars="200"/>
        <w:rPr>
          <w:rFonts w:hAnsi="宋体" w:cs="宋体"/>
          <w:color w:val="auto"/>
          <w:sz w:val="24"/>
          <w:szCs w:val="24"/>
          <w:highlight w:val="none"/>
        </w:rPr>
      </w:pPr>
      <w:r>
        <w:rPr>
          <w:rFonts w:hint="eastAsia" w:hAnsi="宋体" w:cs="宋体"/>
          <w:color w:val="auto"/>
          <w:sz w:val="24"/>
          <w:szCs w:val="24"/>
          <w:highlight w:val="none"/>
        </w:rPr>
        <w:t>法定代表人或其委托代理人：</w:t>
      </w:r>
      <w:r>
        <w:rPr>
          <w:rFonts w:hint="eastAsia" w:hAnsi="宋体" w:cs="宋体"/>
          <w:color w:val="auto"/>
          <w:sz w:val="24"/>
          <w:szCs w:val="24"/>
          <w:highlight w:val="none"/>
          <w:u w:val="single"/>
        </w:rPr>
        <w:t xml:space="preserve">     （签字或盖章）</w:t>
      </w:r>
    </w:p>
    <w:p w14:paraId="6B992C27">
      <w:pPr>
        <w:pStyle w:val="14"/>
        <w:spacing w:line="720" w:lineRule="auto"/>
        <w:ind w:left="629" w:firstLine="500" w:firstLineChars="200"/>
        <w:rPr>
          <w:rFonts w:hAnsi="宋体" w:cs="宋体"/>
          <w:color w:val="auto"/>
          <w:sz w:val="24"/>
          <w:szCs w:val="24"/>
          <w:highlight w:val="none"/>
        </w:rPr>
      </w:pPr>
      <w:r>
        <w:rPr>
          <w:rFonts w:hint="eastAsia" w:hAnsi="宋体" w:cs="宋体"/>
          <w:color w:val="auto"/>
          <w:sz w:val="24"/>
          <w:szCs w:val="24"/>
          <w:highlight w:val="none"/>
        </w:rPr>
        <w:t xml:space="preserve">日    期：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年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月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日</w:t>
      </w:r>
    </w:p>
    <w:p w14:paraId="39705104">
      <w:pPr>
        <w:pStyle w:val="5"/>
        <w:rPr>
          <w:sz w:val="24"/>
          <w:szCs w:val="24"/>
          <w:highlight w:val="none"/>
        </w:rPr>
      </w:pPr>
    </w:p>
    <w:p w14:paraId="25AB310B">
      <w:pPr>
        <w:pStyle w:val="5"/>
        <w:rPr>
          <w:sz w:val="24"/>
          <w:szCs w:val="24"/>
          <w:highlight w:val="none"/>
        </w:rPr>
      </w:pPr>
    </w:p>
    <w:p w14:paraId="59F90205">
      <w:pPr>
        <w:pStyle w:val="5"/>
        <w:rPr>
          <w:sz w:val="24"/>
          <w:szCs w:val="24"/>
          <w:highlight w:val="none"/>
        </w:rPr>
      </w:pPr>
    </w:p>
    <w:p w14:paraId="6DA8E5D3">
      <w:pPr>
        <w:pStyle w:val="6"/>
        <w:rPr>
          <w:sz w:val="24"/>
          <w:szCs w:val="24"/>
          <w:highlight w:val="none"/>
        </w:rPr>
      </w:pPr>
    </w:p>
    <w:p w14:paraId="23259D84">
      <w:pPr>
        <w:rPr>
          <w:sz w:val="24"/>
          <w:szCs w:val="24"/>
          <w:highlight w:val="none"/>
        </w:rPr>
      </w:pPr>
    </w:p>
    <w:p w14:paraId="1A54C6F3">
      <w:pPr>
        <w:rPr>
          <w:sz w:val="24"/>
          <w:szCs w:val="24"/>
          <w:highlight w:val="none"/>
        </w:rPr>
      </w:pPr>
    </w:p>
    <w:p w14:paraId="64E2CB61">
      <w:pPr>
        <w:rPr>
          <w:sz w:val="24"/>
          <w:szCs w:val="24"/>
          <w:highlight w:val="none"/>
        </w:rPr>
      </w:pPr>
    </w:p>
    <w:p w14:paraId="386B15EC">
      <w:pPr>
        <w:pStyle w:val="5"/>
        <w:ind w:left="0" w:leftChars="0" w:firstLine="0" w:firstLineChars="0"/>
        <w:rPr>
          <w:sz w:val="24"/>
          <w:szCs w:val="24"/>
          <w:highlight w:val="none"/>
        </w:rPr>
      </w:pPr>
    </w:p>
    <w:p w14:paraId="4C489F51">
      <w:pPr>
        <w:widowControl/>
        <w:spacing w:line="48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目  录</w:t>
      </w:r>
    </w:p>
    <w:p w14:paraId="5C2DEFDC">
      <w:pPr>
        <w:pStyle w:val="9"/>
        <w:ind w:firstLine="1500" w:firstLineChars="600"/>
        <w:rPr>
          <w:rFonts w:hint="eastAsia"/>
          <w:color w:val="auto"/>
          <w:sz w:val="24"/>
          <w:szCs w:val="24"/>
          <w:highlight w:val="none"/>
        </w:rPr>
      </w:pPr>
      <w:r>
        <w:rPr>
          <w:rFonts w:hint="eastAsia"/>
          <w:color w:val="auto"/>
          <w:sz w:val="24"/>
          <w:szCs w:val="24"/>
          <w:highlight w:val="none"/>
          <w:lang w:eastAsia="zh-CN"/>
        </w:rPr>
        <w:t>一、磋商响应函</w:t>
      </w:r>
    </w:p>
    <w:p w14:paraId="23D7528B">
      <w:pPr>
        <w:pStyle w:val="9"/>
        <w:ind w:firstLine="1500" w:firstLineChars="600"/>
        <w:rPr>
          <w:rFonts w:hint="default"/>
          <w:color w:val="auto"/>
          <w:sz w:val="24"/>
          <w:szCs w:val="24"/>
          <w:highlight w:val="none"/>
          <w:lang w:val="en-US"/>
        </w:rPr>
      </w:pPr>
      <w:r>
        <w:rPr>
          <w:rFonts w:hint="eastAsia"/>
          <w:color w:val="auto"/>
          <w:sz w:val="24"/>
          <w:szCs w:val="24"/>
          <w:highlight w:val="none"/>
          <w:lang w:eastAsia="zh-CN"/>
        </w:rPr>
        <w:t>二、法定代表人身份证明或法人授权委托书</w:t>
      </w:r>
    </w:p>
    <w:p w14:paraId="482D073A">
      <w:pPr>
        <w:pStyle w:val="9"/>
        <w:ind w:firstLine="1500" w:firstLineChars="600"/>
        <w:rPr>
          <w:rFonts w:hint="eastAsia"/>
          <w:color w:val="auto"/>
          <w:sz w:val="24"/>
          <w:szCs w:val="24"/>
          <w:highlight w:val="none"/>
          <w:lang w:eastAsia="zh-CN"/>
        </w:rPr>
      </w:pPr>
      <w:r>
        <w:rPr>
          <w:rFonts w:hint="eastAsia"/>
          <w:color w:val="auto"/>
          <w:sz w:val="24"/>
          <w:szCs w:val="24"/>
          <w:highlight w:val="none"/>
          <w:lang w:eastAsia="zh-CN"/>
        </w:rPr>
        <w:t>三、商务条款响应偏离表</w:t>
      </w:r>
    </w:p>
    <w:p w14:paraId="5DD30DE0">
      <w:pPr>
        <w:pStyle w:val="9"/>
        <w:ind w:firstLine="1500" w:firstLineChars="600"/>
        <w:rPr>
          <w:rFonts w:hint="eastAsia"/>
          <w:color w:val="auto"/>
          <w:sz w:val="24"/>
          <w:szCs w:val="24"/>
          <w:highlight w:val="none"/>
          <w:lang w:eastAsia="zh-CN"/>
        </w:rPr>
      </w:pPr>
      <w:r>
        <w:rPr>
          <w:rFonts w:hint="eastAsia"/>
          <w:color w:val="auto"/>
          <w:sz w:val="24"/>
          <w:szCs w:val="24"/>
          <w:highlight w:val="none"/>
          <w:lang w:eastAsia="zh-CN"/>
        </w:rPr>
        <w:t>四、磋商保证金</w:t>
      </w:r>
    </w:p>
    <w:p w14:paraId="1019104C">
      <w:pPr>
        <w:pStyle w:val="9"/>
        <w:ind w:firstLine="1500" w:firstLineChars="600"/>
        <w:rPr>
          <w:rFonts w:hint="eastAsia"/>
          <w:color w:val="auto"/>
          <w:sz w:val="24"/>
          <w:szCs w:val="24"/>
          <w:highlight w:val="none"/>
        </w:rPr>
      </w:pPr>
      <w:r>
        <w:rPr>
          <w:rFonts w:hint="eastAsia"/>
          <w:color w:val="auto"/>
          <w:sz w:val="24"/>
          <w:szCs w:val="24"/>
          <w:highlight w:val="none"/>
          <w:lang w:eastAsia="zh-CN"/>
        </w:rPr>
        <w:t>五、</w:t>
      </w:r>
      <w:r>
        <w:rPr>
          <w:rFonts w:hint="eastAsia"/>
          <w:color w:val="auto"/>
          <w:sz w:val="24"/>
          <w:szCs w:val="24"/>
          <w:highlight w:val="none"/>
          <w:lang w:val="en-US" w:eastAsia="zh-CN"/>
        </w:rPr>
        <w:t>磋商报价表</w:t>
      </w:r>
    </w:p>
    <w:p w14:paraId="07879F94">
      <w:pPr>
        <w:pStyle w:val="9"/>
        <w:ind w:firstLine="1500" w:firstLineChars="600"/>
        <w:rPr>
          <w:rFonts w:hint="eastAsia"/>
          <w:color w:val="auto"/>
          <w:sz w:val="24"/>
          <w:szCs w:val="24"/>
          <w:highlight w:val="none"/>
        </w:rPr>
      </w:pPr>
      <w:r>
        <w:rPr>
          <w:rFonts w:hint="eastAsia"/>
          <w:color w:val="auto"/>
          <w:sz w:val="24"/>
          <w:szCs w:val="24"/>
          <w:highlight w:val="none"/>
          <w:lang w:eastAsia="zh-CN"/>
        </w:rPr>
        <w:t>六、</w:t>
      </w:r>
      <w:r>
        <w:rPr>
          <w:rFonts w:hint="eastAsia"/>
          <w:color w:val="auto"/>
          <w:sz w:val="24"/>
          <w:szCs w:val="24"/>
          <w:highlight w:val="none"/>
        </w:rPr>
        <w:t>相关资格证明</w:t>
      </w:r>
      <w:r>
        <w:rPr>
          <w:rFonts w:hint="eastAsia"/>
          <w:color w:val="auto"/>
          <w:sz w:val="24"/>
          <w:szCs w:val="24"/>
          <w:highlight w:val="none"/>
          <w:lang w:eastAsia="zh-CN"/>
        </w:rPr>
        <w:t>文件</w:t>
      </w:r>
    </w:p>
    <w:p w14:paraId="53388DB1">
      <w:pPr>
        <w:pStyle w:val="9"/>
        <w:ind w:firstLine="1500" w:firstLineChars="600"/>
        <w:rPr>
          <w:rFonts w:hint="eastAsia"/>
          <w:color w:val="auto"/>
          <w:sz w:val="24"/>
          <w:szCs w:val="24"/>
          <w:highlight w:val="none"/>
          <w:lang w:eastAsia="zh-CN"/>
        </w:rPr>
      </w:pPr>
      <w:r>
        <w:rPr>
          <w:rFonts w:hint="eastAsia"/>
          <w:color w:val="auto"/>
          <w:sz w:val="24"/>
          <w:szCs w:val="24"/>
          <w:highlight w:val="none"/>
          <w:lang w:eastAsia="zh-CN"/>
        </w:rPr>
        <w:t>七、近三年完成业绩表</w:t>
      </w:r>
    </w:p>
    <w:p w14:paraId="6B4A3124">
      <w:pPr>
        <w:pStyle w:val="9"/>
        <w:ind w:firstLine="1500" w:firstLineChars="600"/>
        <w:rPr>
          <w:rFonts w:hint="eastAsia"/>
          <w:color w:val="auto"/>
          <w:sz w:val="24"/>
          <w:szCs w:val="24"/>
          <w:highlight w:val="none"/>
          <w:lang w:eastAsia="zh-CN"/>
        </w:rPr>
      </w:pPr>
      <w:r>
        <w:rPr>
          <w:rFonts w:hint="eastAsia"/>
          <w:color w:val="auto"/>
          <w:sz w:val="24"/>
          <w:szCs w:val="24"/>
          <w:highlight w:val="none"/>
          <w:lang w:eastAsia="zh-CN"/>
        </w:rPr>
        <w:t>八、监理大纲</w:t>
      </w:r>
    </w:p>
    <w:p w14:paraId="4F90C30D">
      <w:pPr>
        <w:pStyle w:val="9"/>
        <w:ind w:firstLine="1500" w:firstLineChars="600"/>
        <w:rPr>
          <w:rFonts w:hint="eastAsia"/>
          <w:color w:val="auto"/>
          <w:sz w:val="24"/>
          <w:szCs w:val="24"/>
          <w:highlight w:val="none"/>
          <w:lang w:eastAsia="zh-CN"/>
        </w:rPr>
      </w:pPr>
      <w:r>
        <w:rPr>
          <w:rFonts w:hint="eastAsia"/>
          <w:color w:val="auto"/>
          <w:sz w:val="24"/>
          <w:szCs w:val="24"/>
          <w:highlight w:val="none"/>
          <w:lang w:val="en-US" w:eastAsia="zh-CN"/>
        </w:rPr>
        <w:t>九、</w:t>
      </w:r>
      <w:r>
        <w:rPr>
          <w:rFonts w:hint="eastAsia"/>
          <w:color w:val="auto"/>
          <w:sz w:val="24"/>
          <w:szCs w:val="24"/>
          <w:highlight w:val="none"/>
          <w:lang w:eastAsia="zh-CN"/>
        </w:rPr>
        <w:t>宝鸡市政府采购供应商诚信承诺书</w:t>
      </w:r>
    </w:p>
    <w:p w14:paraId="6EC6E4AD">
      <w:pPr>
        <w:pStyle w:val="9"/>
        <w:ind w:firstLine="1500" w:firstLineChars="600"/>
        <w:rPr>
          <w:rFonts w:hint="eastAsia"/>
          <w:color w:val="auto"/>
          <w:sz w:val="24"/>
          <w:szCs w:val="24"/>
          <w:highlight w:val="none"/>
          <w:lang w:eastAsia="zh-CN"/>
        </w:rPr>
      </w:pPr>
      <w:r>
        <w:rPr>
          <w:rFonts w:hint="eastAsia"/>
          <w:color w:val="auto"/>
          <w:sz w:val="24"/>
          <w:szCs w:val="24"/>
          <w:highlight w:val="none"/>
          <w:lang w:eastAsia="zh-CN"/>
        </w:rPr>
        <w:t>十、拒绝政府采购领域商业贿赂承诺书</w:t>
      </w:r>
    </w:p>
    <w:p w14:paraId="58621A3D">
      <w:pPr>
        <w:pStyle w:val="9"/>
        <w:ind w:firstLine="1500" w:firstLineChars="600"/>
        <w:rPr>
          <w:rFonts w:hint="eastAsia"/>
          <w:color w:val="auto"/>
          <w:sz w:val="24"/>
          <w:szCs w:val="24"/>
          <w:highlight w:val="none"/>
          <w:lang w:eastAsia="zh-CN"/>
        </w:rPr>
      </w:pPr>
      <w:r>
        <w:rPr>
          <w:rFonts w:hint="eastAsia"/>
          <w:color w:val="auto"/>
          <w:sz w:val="24"/>
          <w:szCs w:val="24"/>
          <w:highlight w:val="none"/>
          <w:lang w:eastAsia="zh-CN"/>
        </w:rPr>
        <w:t>十一、其他资料</w:t>
      </w:r>
    </w:p>
    <w:p w14:paraId="7FD17209">
      <w:pPr>
        <w:rPr>
          <w:rFonts w:hint="eastAsia"/>
          <w:color w:val="auto"/>
          <w:sz w:val="24"/>
          <w:szCs w:val="24"/>
          <w:highlight w:val="none"/>
          <w:lang w:eastAsia="zh-CN"/>
        </w:rPr>
      </w:pPr>
    </w:p>
    <w:p w14:paraId="4DA69581">
      <w:pPr>
        <w:pStyle w:val="5"/>
        <w:rPr>
          <w:rFonts w:hint="eastAsia"/>
          <w:color w:val="auto"/>
          <w:sz w:val="24"/>
          <w:szCs w:val="24"/>
          <w:highlight w:val="none"/>
          <w:lang w:eastAsia="zh-CN"/>
        </w:rPr>
      </w:pPr>
    </w:p>
    <w:p w14:paraId="4072BAD6">
      <w:pPr>
        <w:pStyle w:val="5"/>
        <w:rPr>
          <w:rFonts w:hint="eastAsia"/>
          <w:color w:val="auto"/>
          <w:sz w:val="24"/>
          <w:szCs w:val="24"/>
          <w:highlight w:val="none"/>
          <w:lang w:eastAsia="zh-CN"/>
        </w:rPr>
      </w:pPr>
    </w:p>
    <w:p w14:paraId="4A10467A">
      <w:pPr>
        <w:pStyle w:val="5"/>
        <w:rPr>
          <w:rFonts w:hint="eastAsia"/>
          <w:color w:val="auto"/>
          <w:sz w:val="24"/>
          <w:szCs w:val="24"/>
          <w:highlight w:val="none"/>
          <w:lang w:eastAsia="zh-CN"/>
        </w:rPr>
      </w:pPr>
    </w:p>
    <w:p w14:paraId="03B34B53">
      <w:pPr>
        <w:pStyle w:val="5"/>
        <w:rPr>
          <w:rFonts w:hint="eastAsia"/>
          <w:color w:val="auto"/>
          <w:sz w:val="24"/>
          <w:szCs w:val="24"/>
          <w:highlight w:val="none"/>
          <w:lang w:eastAsia="zh-CN"/>
        </w:rPr>
      </w:pPr>
    </w:p>
    <w:p w14:paraId="631A4E1C">
      <w:pPr>
        <w:pStyle w:val="5"/>
        <w:rPr>
          <w:rFonts w:hint="eastAsia"/>
          <w:color w:val="auto"/>
          <w:sz w:val="24"/>
          <w:szCs w:val="24"/>
          <w:highlight w:val="none"/>
          <w:lang w:eastAsia="zh-CN"/>
        </w:rPr>
      </w:pPr>
    </w:p>
    <w:p w14:paraId="40DEB9FA">
      <w:pPr>
        <w:pStyle w:val="6"/>
        <w:rPr>
          <w:rFonts w:hint="eastAsia"/>
          <w:highlight w:val="none"/>
          <w:lang w:eastAsia="zh-CN"/>
        </w:rPr>
      </w:pPr>
    </w:p>
    <w:p w14:paraId="2F0E4987">
      <w:pPr>
        <w:pStyle w:val="6"/>
        <w:rPr>
          <w:rFonts w:hint="eastAsia"/>
          <w:highlight w:val="none"/>
          <w:lang w:eastAsia="zh-CN"/>
        </w:rPr>
      </w:pPr>
    </w:p>
    <w:p w14:paraId="416D07C4">
      <w:pPr>
        <w:rPr>
          <w:rFonts w:hint="eastAsia"/>
          <w:highlight w:val="none"/>
          <w:lang w:eastAsia="zh-CN"/>
        </w:rPr>
      </w:pPr>
    </w:p>
    <w:p w14:paraId="4907D85C">
      <w:pPr>
        <w:rPr>
          <w:rFonts w:hint="eastAsia"/>
          <w:highlight w:val="none"/>
          <w:lang w:eastAsia="zh-CN"/>
        </w:rPr>
      </w:pPr>
    </w:p>
    <w:p w14:paraId="2C457301">
      <w:pPr>
        <w:pStyle w:val="6"/>
        <w:rPr>
          <w:rFonts w:hint="eastAsia"/>
          <w:sz w:val="24"/>
          <w:szCs w:val="24"/>
          <w:highlight w:val="none"/>
          <w:lang w:eastAsia="zh-CN"/>
        </w:rPr>
      </w:pPr>
    </w:p>
    <w:p w14:paraId="08D4F165">
      <w:pPr>
        <w:pStyle w:val="5"/>
        <w:ind w:left="0" w:leftChars="0" w:firstLine="0" w:firstLineChars="0"/>
        <w:rPr>
          <w:rFonts w:hint="eastAsia"/>
          <w:color w:val="auto"/>
          <w:sz w:val="24"/>
          <w:szCs w:val="24"/>
          <w:highlight w:val="none"/>
          <w:lang w:eastAsia="zh-CN"/>
        </w:rPr>
      </w:pPr>
    </w:p>
    <w:p w14:paraId="627038D4">
      <w:pPr>
        <w:keepNext w:val="0"/>
        <w:keepLines w:val="0"/>
        <w:pageBreakBefore w:val="0"/>
        <w:widowControl w:val="0"/>
        <w:kinsoku/>
        <w:wordWrap/>
        <w:overflowPunct/>
        <w:topLinePunct w:val="0"/>
        <w:autoSpaceDE/>
        <w:autoSpaceDN/>
        <w:bidi w:val="0"/>
        <w:adjustRightInd/>
        <w:snapToGrid/>
        <w:spacing w:before="196" w:beforeLines="50" w:after="196" w:afterLines="50" w:line="480" w:lineRule="exact"/>
        <w:ind w:left="220" w:leftChars="100" w:right="0" w:rightChars="0" w:firstLine="0" w:firstLineChars="0"/>
        <w:jc w:val="center"/>
        <w:textAlignment w:val="auto"/>
        <w:outlineLvl w:val="1"/>
        <w:rPr>
          <w:rFonts w:hint="eastAsia" w:ascii="宋体" w:hAnsi="宋体" w:eastAsia="宋体" w:cs="宋体"/>
          <w:bCs/>
          <w:color w:val="auto"/>
          <w:sz w:val="28"/>
          <w:szCs w:val="28"/>
          <w:highlight w:val="none"/>
        </w:rPr>
      </w:pPr>
      <w:bookmarkStart w:id="59" w:name="_Toc209"/>
      <w:r>
        <w:rPr>
          <w:rFonts w:hint="eastAsia" w:ascii="宋体" w:hAnsi="宋体" w:eastAsia="宋体" w:cs="宋体"/>
          <w:b/>
          <w:bCs/>
          <w:color w:val="auto"/>
          <w:sz w:val="28"/>
          <w:szCs w:val="28"/>
          <w:highlight w:val="none"/>
          <w:lang w:eastAsia="zh-CN"/>
        </w:rPr>
        <w:t>一</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磋商响应</w:t>
      </w:r>
      <w:r>
        <w:rPr>
          <w:rFonts w:hint="eastAsia" w:ascii="宋体" w:hAnsi="宋体" w:eastAsia="宋体" w:cs="宋体"/>
          <w:b/>
          <w:bCs/>
          <w:color w:val="auto"/>
          <w:sz w:val="28"/>
          <w:szCs w:val="28"/>
          <w:highlight w:val="none"/>
        </w:rPr>
        <w:t>函</w:t>
      </w:r>
      <w:bookmarkEnd w:id="59"/>
    </w:p>
    <w:p w14:paraId="6581404D">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名称）</w:t>
      </w:r>
    </w:p>
    <w:p w14:paraId="0E5658BC">
      <w:pPr>
        <w:keepNext w:val="0"/>
        <w:keepLines w:val="0"/>
        <w:pageBreakBefore w:val="0"/>
        <w:widowControl w:val="0"/>
        <w:kinsoku/>
        <w:wordWrap/>
        <w:overflowPunct/>
        <w:topLinePunct w:val="0"/>
        <w:autoSpaceDE/>
        <w:autoSpaceDN/>
        <w:bidi w:val="0"/>
        <w:adjustRightInd/>
        <w:snapToGrid/>
        <w:spacing w:line="560" w:lineRule="exact"/>
        <w:ind w:right="0" w:rightChars="0" w:firstLine="50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我方</w:t>
      </w:r>
      <w:r>
        <w:rPr>
          <w:rFonts w:hint="eastAsia" w:ascii="宋体" w:hAnsi="宋体" w:eastAsia="宋体" w:cs="宋体"/>
          <w:color w:val="auto"/>
          <w:sz w:val="24"/>
          <w:szCs w:val="24"/>
          <w:highlight w:val="none"/>
        </w:rPr>
        <w:t>在考察现场并充分研究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项目</w:t>
      </w:r>
      <w:r>
        <w:rPr>
          <w:rFonts w:hint="eastAsia" w:ascii="宋体" w:hAnsi="宋体" w:eastAsia="宋体" w:cs="宋体"/>
          <w:color w:val="auto"/>
          <w:sz w:val="24"/>
          <w:szCs w:val="24"/>
          <w:highlight w:val="none"/>
        </w:rPr>
        <w:t>名称）（以下简称“本</w:t>
      </w:r>
      <w:r>
        <w:rPr>
          <w:rFonts w:hint="eastAsia" w:ascii="宋体" w:hAnsi="宋体" w:cs="宋体"/>
          <w:color w:val="auto"/>
          <w:sz w:val="24"/>
          <w:szCs w:val="24"/>
          <w:highlight w:val="none"/>
          <w:lang w:eastAsia="zh-CN"/>
        </w:rPr>
        <w:t>项目</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文件的全部内容后，</w:t>
      </w:r>
      <w:r>
        <w:rPr>
          <w:rFonts w:hint="eastAsia" w:ascii="宋体" w:hAnsi="宋体" w:eastAsia="宋体" w:cs="宋体"/>
          <w:bCs/>
          <w:color w:val="auto"/>
          <w:sz w:val="24"/>
          <w:szCs w:val="24"/>
          <w:highlight w:val="none"/>
        </w:rPr>
        <w:t>我方决定参加该项目磋商活动。为此，我方郑重声明以下诸点，并负法律责任。</w:t>
      </w:r>
    </w:p>
    <w:p w14:paraId="76719C96">
      <w:pPr>
        <w:pStyle w:val="65"/>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92"/>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一、我方已详细阅读了磋商文件，完全理解并同意磋商文件的所有事项及内容。</w:t>
      </w:r>
    </w:p>
    <w:p w14:paraId="4C4B956F">
      <w:pPr>
        <w:pStyle w:val="65"/>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92"/>
        <w:jc w:val="both"/>
        <w:textAlignment w:val="auto"/>
        <w:outlineLvl w:val="9"/>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二、同意向贵单位提供与本次磋商有关的任何证明材料，并保证所提交的证明材料真实、合法、有效。我方理解最低价不是成交的唯一条件，并尊重磋商小组的</w:t>
      </w:r>
      <w:r>
        <w:rPr>
          <w:rFonts w:hint="eastAsia" w:ascii="宋体" w:hAnsi="宋体" w:eastAsia="宋体" w:cs="宋体"/>
          <w:bCs/>
          <w:color w:val="auto"/>
          <w:sz w:val="24"/>
          <w:szCs w:val="24"/>
          <w:highlight w:val="none"/>
        </w:rPr>
        <w:t>评审结果。</w:t>
      </w:r>
    </w:p>
    <w:p w14:paraId="737C173B">
      <w:pPr>
        <w:pStyle w:val="65"/>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92"/>
        <w:jc w:val="both"/>
        <w:textAlignment w:val="auto"/>
        <w:outlineLvl w:val="9"/>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rPr>
        <w:t>我方</w:t>
      </w:r>
      <w:r>
        <w:rPr>
          <w:rFonts w:hint="eastAsia" w:ascii="宋体" w:hAnsi="宋体" w:cs="宋体"/>
          <w:color w:val="auto"/>
          <w:sz w:val="24"/>
          <w:szCs w:val="24"/>
          <w:highlight w:val="none"/>
          <w:lang w:eastAsia="zh-CN"/>
        </w:rPr>
        <w:t>拟派</w:t>
      </w:r>
      <w:r>
        <w:rPr>
          <w:rFonts w:hint="eastAsia" w:ascii="宋体" w:hAnsi="宋体" w:cs="宋体"/>
          <w:color w:val="auto"/>
          <w:sz w:val="24"/>
          <w:szCs w:val="24"/>
          <w:highlight w:val="none"/>
          <w:lang w:val="en-US" w:eastAsia="zh-CN"/>
        </w:rPr>
        <w:t>项目责任监理师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（姓名），证书编号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36BFB244">
      <w:pPr>
        <w:pStyle w:val="65"/>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92"/>
        <w:jc w:val="both"/>
        <w:textAlignment w:val="auto"/>
        <w:outlineLvl w:val="9"/>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lang w:eastAsia="zh-CN"/>
        </w:rPr>
        <w:t>四、</w:t>
      </w:r>
      <w:r>
        <w:rPr>
          <w:rFonts w:hint="eastAsia" w:ascii="宋体" w:hAnsi="宋体" w:eastAsia="宋体" w:cs="宋体"/>
          <w:bCs/>
          <w:color w:val="auto"/>
          <w:sz w:val="24"/>
          <w:szCs w:val="24"/>
          <w:highlight w:val="none"/>
        </w:rPr>
        <w:t>愿意按照磋商文件中的一切要求，完成本项目的合同责任和义务。</w:t>
      </w:r>
    </w:p>
    <w:p w14:paraId="2A9BD3DD">
      <w:pPr>
        <w:pStyle w:val="65"/>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92"/>
        <w:jc w:val="both"/>
        <w:textAlignment w:val="auto"/>
        <w:outlineLvl w:val="9"/>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五</w:t>
      </w:r>
      <w:r>
        <w:rPr>
          <w:rFonts w:hint="eastAsia" w:ascii="宋体" w:hAnsi="宋体" w:eastAsia="宋体" w:cs="宋体"/>
          <w:bCs/>
          <w:color w:val="auto"/>
          <w:sz w:val="24"/>
          <w:szCs w:val="24"/>
          <w:highlight w:val="none"/>
        </w:rPr>
        <w:t>、愿意按照磋商文件的规定，完成本项目采购内容并验收合格。</w:t>
      </w:r>
    </w:p>
    <w:p w14:paraId="381FED87">
      <w:pPr>
        <w:pStyle w:val="65"/>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92"/>
        <w:jc w:val="both"/>
        <w:textAlignment w:val="auto"/>
        <w:outlineLvl w:val="9"/>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六</w:t>
      </w:r>
      <w:r>
        <w:rPr>
          <w:rFonts w:hint="eastAsia" w:ascii="宋体" w:hAnsi="宋体" w:eastAsia="宋体" w:cs="宋体"/>
          <w:bCs/>
          <w:color w:val="auto"/>
          <w:sz w:val="24"/>
          <w:szCs w:val="24"/>
          <w:highlight w:val="none"/>
        </w:rPr>
        <w:t>、我方</w:t>
      </w:r>
      <w:r>
        <w:rPr>
          <w:rFonts w:hint="eastAsia" w:ascii="宋体" w:hAnsi="宋体" w:cs="宋体"/>
          <w:bCs/>
          <w:color w:val="auto"/>
          <w:sz w:val="24"/>
          <w:szCs w:val="24"/>
          <w:highlight w:val="none"/>
          <w:lang w:eastAsia="zh-CN"/>
        </w:rPr>
        <w:t>承诺成交后</w:t>
      </w:r>
      <w:r>
        <w:rPr>
          <w:rFonts w:hint="eastAsia" w:ascii="宋体" w:hAnsi="宋体" w:eastAsia="宋体" w:cs="宋体"/>
          <w:bCs/>
          <w:color w:val="auto"/>
          <w:sz w:val="24"/>
          <w:szCs w:val="24"/>
          <w:highlight w:val="none"/>
        </w:rPr>
        <w:t>提交</w:t>
      </w:r>
      <w:r>
        <w:rPr>
          <w:rFonts w:hint="eastAsia" w:ascii="宋体" w:hAnsi="宋体" w:cs="宋体"/>
          <w:bCs/>
          <w:color w:val="auto"/>
          <w:sz w:val="24"/>
          <w:szCs w:val="24"/>
          <w:highlight w:val="none"/>
          <w:lang w:eastAsia="zh-CN"/>
        </w:rPr>
        <w:t>纸质</w:t>
      </w:r>
      <w:r>
        <w:rPr>
          <w:rFonts w:hint="eastAsia" w:ascii="宋体" w:hAnsi="宋体" w:eastAsia="宋体" w:cs="宋体"/>
          <w:bCs/>
          <w:color w:val="auto"/>
          <w:sz w:val="24"/>
          <w:szCs w:val="24"/>
          <w:highlight w:val="none"/>
        </w:rPr>
        <w:t>响应文件正本</w:t>
      </w:r>
      <w:r>
        <w:rPr>
          <w:rFonts w:hint="eastAsia" w:ascii="宋体" w:hAnsi="宋体" w:eastAsia="宋体" w:cs="宋体"/>
          <w:bCs/>
          <w:color w:val="auto"/>
          <w:sz w:val="24"/>
          <w:szCs w:val="24"/>
          <w:highlight w:val="none"/>
          <w:lang w:eastAsia="zh-CN"/>
        </w:rPr>
        <w:t>壹份</w:t>
      </w:r>
      <w:r>
        <w:rPr>
          <w:rFonts w:hint="eastAsia" w:ascii="宋体" w:hAnsi="宋体" w:eastAsia="宋体" w:cs="宋体"/>
          <w:bCs/>
          <w:color w:val="auto"/>
          <w:sz w:val="24"/>
          <w:szCs w:val="24"/>
          <w:highlight w:val="none"/>
        </w:rPr>
        <w:t>、副本</w:t>
      </w:r>
      <w:r>
        <w:rPr>
          <w:rFonts w:hint="eastAsia" w:ascii="宋体" w:hAnsi="宋体" w:cs="宋体"/>
          <w:bCs/>
          <w:color w:val="auto"/>
          <w:sz w:val="24"/>
          <w:szCs w:val="24"/>
          <w:highlight w:val="none"/>
          <w:lang w:eastAsia="zh-CN"/>
        </w:rPr>
        <w:t>贰</w:t>
      </w:r>
      <w:r>
        <w:rPr>
          <w:rFonts w:hint="eastAsia" w:ascii="宋体" w:hAnsi="宋体" w:eastAsia="宋体" w:cs="宋体"/>
          <w:bCs/>
          <w:color w:val="auto"/>
          <w:sz w:val="24"/>
          <w:szCs w:val="24"/>
          <w:highlight w:val="none"/>
          <w:lang w:eastAsia="zh-CN"/>
        </w:rPr>
        <w:t>份</w:t>
      </w:r>
      <w:r>
        <w:rPr>
          <w:rFonts w:hint="eastAsia" w:ascii="宋体" w:hAnsi="宋体" w:cs="宋体"/>
          <w:bCs/>
          <w:color w:val="auto"/>
          <w:sz w:val="24"/>
          <w:szCs w:val="24"/>
          <w:highlight w:val="none"/>
          <w:lang w:eastAsia="zh-CN"/>
        </w:rPr>
        <w:t>，电子文件壹份（</w:t>
      </w:r>
      <w:r>
        <w:rPr>
          <w:rFonts w:hint="eastAsia" w:ascii="宋体" w:hAnsi="宋体" w:cs="宋体"/>
          <w:bCs/>
          <w:color w:val="auto"/>
          <w:sz w:val="24"/>
          <w:szCs w:val="24"/>
          <w:highlight w:val="none"/>
          <w:lang w:val="en-US" w:eastAsia="zh-CN"/>
        </w:rPr>
        <w:t>U盘</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w:t>
      </w:r>
    </w:p>
    <w:p w14:paraId="389877AF">
      <w:pPr>
        <w:pStyle w:val="65"/>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92"/>
        <w:jc w:val="both"/>
        <w:textAlignment w:val="auto"/>
        <w:outlineLvl w:val="9"/>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七</w:t>
      </w:r>
      <w:r>
        <w:rPr>
          <w:rFonts w:hint="eastAsia" w:ascii="宋体" w:hAnsi="宋体" w:eastAsia="宋体" w:cs="宋体"/>
          <w:bCs/>
          <w:color w:val="auto"/>
          <w:sz w:val="24"/>
          <w:szCs w:val="24"/>
          <w:highlight w:val="none"/>
        </w:rPr>
        <w:t>、我方同意按</w:t>
      </w:r>
      <w:r>
        <w:rPr>
          <w:rFonts w:hint="eastAsia" w:ascii="宋体" w:hAnsi="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规定，遵守贵方有关采购的各项规定。</w:t>
      </w:r>
    </w:p>
    <w:p w14:paraId="41F4DDCE">
      <w:pPr>
        <w:pStyle w:val="65"/>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92"/>
        <w:jc w:val="both"/>
        <w:textAlignment w:val="auto"/>
        <w:outlineLvl w:val="9"/>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八</w:t>
      </w:r>
      <w:r>
        <w:rPr>
          <w:rFonts w:hint="eastAsia" w:ascii="宋体" w:hAnsi="宋体" w:eastAsia="宋体" w:cs="宋体"/>
          <w:bCs/>
          <w:color w:val="auto"/>
          <w:sz w:val="24"/>
          <w:szCs w:val="24"/>
          <w:highlight w:val="none"/>
        </w:rPr>
        <w:t>、我方的响应文件在磋商之日起90个日历天内有效，如成交，延长至合同执行完毕时止</w:t>
      </w:r>
      <w:r>
        <w:rPr>
          <w:rFonts w:hint="eastAsia" w:ascii="宋体" w:hAnsi="宋体" w:cs="宋体"/>
          <w:bCs/>
          <w:color w:val="auto"/>
          <w:sz w:val="24"/>
          <w:szCs w:val="24"/>
          <w:highlight w:val="none"/>
          <w:u w:val="none"/>
          <w:lang w:val="en-US" w:eastAsia="zh-CN"/>
        </w:rPr>
        <w:t>。</w:t>
      </w:r>
    </w:p>
    <w:p w14:paraId="2D9F3DC6">
      <w:pPr>
        <w:pStyle w:val="65"/>
        <w:spacing w:line="336" w:lineRule="auto"/>
        <w:ind w:firstLine="502"/>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九</w:t>
      </w:r>
      <w:r>
        <w:rPr>
          <w:rFonts w:hint="eastAsia" w:ascii="宋体" w:hAnsi="宋体" w:eastAsia="宋体" w:cs="宋体"/>
          <w:bCs/>
          <w:color w:val="auto"/>
          <w:sz w:val="24"/>
          <w:szCs w:val="24"/>
          <w:highlight w:val="none"/>
        </w:rPr>
        <w:t>、所有关于此次磋商活动的函电，请按下列地址联系：</w:t>
      </w:r>
    </w:p>
    <w:p w14:paraId="6E95E007">
      <w:pPr>
        <w:pStyle w:val="65"/>
        <w:spacing w:line="336" w:lineRule="auto"/>
        <w:ind w:firstLine="2500" w:firstLineChars="10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名称</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（公章）</w:t>
      </w:r>
    </w:p>
    <w:p w14:paraId="0B430B9C">
      <w:pPr>
        <w:pStyle w:val="65"/>
        <w:spacing w:line="336" w:lineRule="auto"/>
        <w:ind w:firstLine="2500" w:firstLineChars="10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地址： </w:t>
      </w:r>
      <w:r>
        <w:rPr>
          <w:rFonts w:hint="eastAsia" w:ascii="宋体" w:hAnsi="宋体" w:eastAsia="宋体" w:cs="宋体"/>
          <w:bCs/>
          <w:color w:val="auto"/>
          <w:sz w:val="24"/>
          <w:szCs w:val="24"/>
          <w:highlight w:val="none"/>
          <w:u w:val="single"/>
        </w:rPr>
        <w:t xml:space="preserve">                         </w:t>
      </w:r>
    </w:p>
    <w:p w14:paraId="39D343F4">
      <w:pPr>
        <w:pStyle w:val="65"/>
        <w:spacing w:line="336" w:lineRule="auto"/>
        <w:ind w:firstLine="2500" w:firstLineChars="10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电话： </w:t>
      </w:r>
      <w:r>
        <w:rPr>
          <w:rFonts w:hint="eastAsia" w:ascii="宋体" w:hAnsi="宋体" w:eastAsia="宋体" w:cs="宋体"/>
          <w:bCs/>
          <w:color w:val="auto"/>
          <w:sz w:val="24"/>
          <w:szCs w:val="24"/>
          <w:highlight w:val="none"/>
          <w:u w:val="single"/>
        </w:rPr>
        <w:t xml:space="preserve">                         </w:t>
      </w:r>
    </w:p>
    <w:p w14:paraId="31B0F12F">
      <w:pPr>
        <w:pStyle w:val="65"/>
        <w:spacing w:line="336" w:lineRule="auto"/>
        <w:ind w:firstLine="2500" w:firstLineChars="10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法定代表人或委托代理人：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（签字或盖章）</w:t>
      </w:r>
    </w:p>
    <w:p w14:paraId="04BCC0A9">
      <w:pPr>
        <w:pStyle w:val="65"/>
        <w:spacing w:line="336" w:lineRule="auto"/>
        <w:ind w:firstLine="2500" w:firstLineChars="1000"/>
        <w:rPr>
          <w:rFonts w:hint="eastAsia" w:ascii="宋体" w:hAnsi="宋体" w:eastAsia="宋体" w:cs="宋体"/>
          <w:bCs/>
          <w:color w:val="auto"/>
          <w:sz w:val="24"/>
          <w:szCs w:val="24"/>
          <w:highlight w:val="none"/>
        </w:rPr>
        <w:sectPr>
          <w:headerReference r:id="rId3" w:type="default"/>
          <w:footerReference r:id="rId4" w:type="default"/>
          <w:pgSz w:w="11906" w:h="16838"/>
          <w:pgMar w:top="1440" w:right="1587" w:bottom="1361" w:left="1701" w:header="1020" w:footer="1191" w:gutter="0"/>
          <w:pgBorders>
            <w:top w:val="none" w:sz="0" w:space="0"/>
            <w:left w:val="none" w:sz="0" w:space="0"/>
            <w:bottom w:val="none" w:sz="0" w:space="0"/>
            <w:right w:val="none" w:sz="0" w:space="0"/>
          </w:pgBorders>
          <w:pgNumType w:fmt="decimal" w:start="1"/>
          <w:cols w:space="0" w:num="1"/>
          <w:rtlGutter w:val="0"/>
          <w:docGrid w:type="linesAndChars" w:linePitch="390" w:charSpace="2048"/>
        </w:sectPr>
      </w:pPr>
      <w:r>
        <w:rPr>
          <w:rFonts w:hint="eastAsia" w:ascii="宋体" w:hAnsi="宋体" w:eastAsia="宋体" w:cs="宋体"/>
          <w:bCs/>
          <w:color w:val="auto"/>
          <w:sz w:val="24"/>
          <w:szCs w:val="24"/>
          <w:highlight w:val="none"/>
        </w:rPr>
        <w:t xml:space="preserve">日期：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年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月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3131112D">
      <w:pPr>
        <w:keepNext w:val="0"/>
        <w:keepLines w:val="0"/>
        <w:pageBreakBefore w:val="0"/>
        <w:widowControl w:val="0"/>
        <w:numPr>
          <w:ilvl w:val="0"/>
          <w:numId w:val="7"/>
        </w:numPr>
        <w:kinsoku/>
        <w:wordWrap/>
        <w:overflowPunct/>
        <w:topLinePunct w:val="0"/>
        <w:autoSpaceDE/>
        <w:autoSpaceDN/>
        <w:bidi w:val="0"/>
        <w:adjustRightInd/>
        <w:snapToGrid/>
        <w:spacing w:after="196" w:afterLines="50" w:line="240" w:lineRule="auto"/>
        <w:ind w:left="0" w:leftChars="0" w:right="0" w:rightChars="0" w:firstLine="0" w:firstLineChars="0"/>
        <w:jc w:val="center"/>
        <w:textAlignment w:val="auto"/>
        <w:outlineLvl w:val="1"/>
        <w:rPr>
          <w:rFonts w:hint="eastAsia" w:ascii="宋体" w:hAnsi="宋体" w:eastAsia="宋体" w:cs="宋体"/>
          <w:b/>
          <w:color w:val="auto"/>
          <w:sz w:val="28"/>
          <w:szCs w:val="28"/>
          <w:highlight w:val="none"/>
          <w:lang w:val="en-US" w:eastAsia="zh-CN"/>
        </w:rPr>
      </w:pPr>
      <w:bookmarkStart w:id="60" w:name="_Toc29048"/>
      <w:r>
        <w:rPr>
          <w:rFonts w:hint="eastAsia" w:ascii="宋体" w:hAnsi="宋体" w:eastAsia="宋体" w:cs="宋体"/>
          <w:b/>
          <w:color w:val="auto"/>
          <w:sz w:val="28"/>
          <w:szCs w:val="28"/>
          <w:highlight w:val="none"/>
        </w:rPr>
        <w:t>法定代表人身份证明</w:t>
      </w:r>
      <w:bookmarkEnd w:id="60"/>
      <w:r>
        <w:rPr>
          <w:rFonts w:hint="eastAsia" w:ascii="宋体" w:hAnsi="宋体" w:cs="宋体"/>
          <w:b/>
          <w:color w:val="auto"/>
          <w:sz w:val="28"/>
          <w:szCs w:val="28"/>
          <w:highlight w:val="none"/>
          <w:lang w:eastAsia="zh-CN"/>
        </w:rPr>
        <w:t>或</w:t>
      </w:r>
      <w:r>
        <w:rPr>
          <w:rFonts w:hint="eastAsia" w:ascii="宋体" w:hAnsi="宋体" w:eastAsia="宋体" w:cs="宋体"/>
          <w:b/>
          <w:color w:val="auto"/>
          <w:sz w:val="28"/>
          <w:szCs w:val="28"/>
          <w:highlight w:val="none"/>
          <w:lang w:eastAsia="zh-CN"/>
        </w:rPr>
        <w:t>法人授权委托书</w:t>
      </w:r>
    </w:p>
    <w:p w14:paraId="67163728">
      <w:pPr>
        <w:keepNext w:val="0"/>
        <w:keepLines w:val="0"/>
        <w:pageBreakBefore w:val="0"/>
        <w:widowControl w:val="0"/>
        <w:numPr>
          <w:ilvl w:val="0"/>
          <w:numId w:val="0"/>
        </w:numPr>
        <w:kinsoku/>
        <w:wordWrap/>
        <w:overflowPunct/>
        <w:topLinePunct w:val="0"/>
        <w:autoSpaceDE/>
        <w:autoSpaceDN/>
        <w:bidi w:val="0"/>
        <w:adjustRightInd/>
        <w:snapToGrid/>
        <w:spacing w:after="196" w:afterLines="50" w:line="240" w:lineRule="auto"/>
        <w:ind w:leftChars="0" w:right="0" w:rightChars="0"/>
        <w:jc w:val="center"/>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法定代表人身份证明</w:t>
      </w:r>
    </w:p>
    <w:p w14:paraId="6F62562A">
      <w:pPr>
        <w:spacing w:before="120" w:after="120" w:line="360" w:lineRule="auto"/>
        <w:ind w:firstLine="75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p>
    <w:p w14:paraId="17F6A85C">
      <w:pPr>
        <w:spacing w:before="120" w:after="120" w:line="360" w:lineRule="auto"/>
        <w:ind w:firstLine="75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14:paraId="75C38C2E">
      <w:pPr>
        <w:spacing w:before="120" w:after="120" w:line="360" w:lineRule="auto"/>
        <w:ind w:firstLine="75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4274AB7C">
      <w:pPr>
        <w:spacing w:before="120" w:after="120" w:line="360" w:lineRule="auto"/>
        <w:ind w:firstLine="75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FD0838A">
      <w:pPr>
        <w:spacing w:before="120" w:after="120" w:line="360" w:lineRule="auto"/>
        <w:ind w:firstLine="75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58BD2B34">
      <w:pPr>
        <w:spacing w:before="120" w:after="120" w:line="360" w:lineRule="auto"/>
        <w:ind w:firstLine="75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14:paraId="63E5675F">
      <w:pPr>
        <w:spacing w:before="120" w:after="120" w:line="360" w:lineRule="auto"/>
        <w:ind w:firstLine="25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w:t>
      </w:r>
    </w:p>
    <w:p w14:paraId="4D75C8CC">
      <w:pPr>
        <w:spacing w:before="120" w:after="120" w:line="400" w:lineRule="exact"/>
        <w:ind w:firstLine="75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4282BE63">
      <w:pPr>
        <w:pStyle w:val="48"/>
        <w:rPr>
          <w:rFonts w:hint="eastAsia" w:ascii="宋体" w:hAnsi="宋体" w:eastAsia="宋体" w:cs="宋体"/>
          <w:color w:val="auto"/>
          <w:kern w:val="2"/>
          <w:sz w:val="24"/>
          <w:szCs w:val="24"/>
          <w:highlight w:val="none"/>
          <w:lang w:val="en-US" w:eastAsia="zh-CN" w:bidi="ar-SA"/>
        </w:rPr>
      </w:pPr>
    </w:p>
    <w:p w14:paraId="1DFBB89F">
      <w:pPr>
        <w:pStyle w:val="48"/>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后附：法定代表人身份证复印件</w:t>
      </w:r>
    </w:p>
    <w:p w14:paraId="5E444F4A">
      <w:pPr>
        <w:spacing w:before="120" w:after="120" w:line="400" w:lineRule="exact"/>
        <w:ind w:left="6" w:firstLine="42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p>
    <w:p w14:paraId="08730B9E">
      <w:pPr>
        <w:spacing w:before="120" w:after="120" w:line="400" w:lineRule="exact"/>
        <w:ind w:left="6" w:firstLine="420"/>
        <w:rPr>
          <w:rFonts w:hint="eastAsia" w:ascii="宋体" w:hAnsi="宋体" w:eastAsia="宋体" w:cs="宋体"/>
          <w:color w:val="auto"/>
          <w:sz w:val="24"/>
          <w:szCs w:val="24"/>
          <w:highlight w:val="none"/>
        </w:rPr>
      </w:pPr>
    </w:p>
    <w:p w14:paraId="149F7E2E">
      <w:pPr>
        <w:spacing w:before="120" w:after="120" w:line="400" w:lineRule="exact"/>
        <w:ind w:left="6" w:firstLine="420"/>
        <w:rPr>
          <w:rFonts w:hint="eastAsia" w:ascii="宋体" w:hAnsi="宋体" w:eastAsia="宋体" w:cs="宋体"/>
          <w:color w:val="auto"/>
          <w:sz w:val="24"/>
          <w:szCs w:val="24"/>
          <w:highlight w:val="none"/>
        </w:rPr>
      </w:pPr>
    </w:p>
    <w:p w14:paraId="74E46DE7">
      <w:pPr>
        <w:spacing w:before="120" w:after="120" w:line="400" w:lineRule="exact"/>
        <w:ind w:left="6"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 章）</w:t>
      </w:r>
    </w:p>
    <w:p w14:paraId="73F6F9A6">
      <w:pPr>
        <w:spacing w:before="120" w:after="120" w:line="400" w:lineRule="exact"/>
        <w:ind w:left="6"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31B951F">
      <w:pPr>
        <w:spacing w:before="120" w:after="120" w:line="400" w:lineRule="exact"/>
        <w:ind w:firstLine="4250" w:firstLineChars="17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F6AA454">
      <w:pPr>
        <w:keepNext w:val="0"/>
        <w:keepLines w:val="0"/>
        <w:pageBreakBefore w:val="0"/>
        <w:widowControl w:val="0"/>
        <w:tabs>
          <w:tab w:val="left" w:pos="720"/>
          <w:tab w:val="left" w:pos="900"/>
        </w:tabs>
        <w:kinsoku/>
        <w:wordWrap/>
        <w:overflowPunct/>
        <w:topLinePunct w:val="0"/>
        <w:autoSpaceDE/>
        <w:autoSpaceDN/>
        <w:bidi w:val="0"/>
        <w:adjustRightInd w:val="0"/>
        <w:snapToGrid/>
        <w:spacing w:line="600" w:lineRule="exact"/>
        <w:ind w:right="0" w:rightChars="0" w:firstLine="3500" w:firstLineChars="1400"/>
        <w:textAlignment w:val="auto"/>
        <w:outlineLvl w:val="9"/>
        <w:rPr>
          <w:rFonts w:hint="eastAsia" w:ascii="宋体" w:hAnsi="宋体" w:eastAsia="宋体" w:cs="宋体"/>
          <w:color w:val="auto"/>
          <w:sz w:val="24"/>
          <w:szCs w:val="24"/>
          <w:highlight w:val="none"/>
        </w:rPr>
      </w:pPr>
    </w:p>
    <w:p w14:paraId="32169EE1">
      <w:pPr>
        <w:keepNext w:val="0"/>
        <w:keepLines w:val="0"/>
        <w:pageBreakBefore w:val="0"/>
        <w:widowControl w:val="0"/>
        <w:kinsoku/>
        <w:wordWrap/>
        <w:overflowPunct/>
        <w:topLinePunct w:val="0"/>
        <w:autoSpaceDE/>
        <w:autoSpaceDN/>
        <w:bidi w:val="0"/>
        <w:snapToGrid/>
        <w:spacing w:line="348" w:lineRule="auto"/>
        <w:ind w:left="1" w:right="0" w:rightChars="0"/>
        <w:jc w:val="center"/>
        <w:textAlignment w:val="auto"/>
        <w:outlineLvl w:val="9"/>
        <w:rPr>
          <w:rFonts w:hint="eastAsia" w:ascii="宋体" w:hAnsi="宋体" w:eastAsia="宋体" w:cs="宋体"/>
          <w:b/>
          <w:color w:val="auto"/>
          <w:sz w:val="24"/>
          <w:szCs w:val="24"/>
          <w:highlight w:val="none"/>
        </w:rPr>
      </w:pPr>
    </w:p>
    <w:p w14:paraId="407EEA8A">
      <w:pPr>
        <w:keepNext w:val="0"/>
        <w:keepLines w:val="0"/>
        <w:pageBreakBefore w:val="0"/>
        <w:widowControl w:val="0"/>
        <w:kinsoku/>
        <w:wordWrap/>
        <w:overflowPunct/>
        <w:topLinePunct w:val="0"/>
        <w:autoSpaceDE/>
        <w:autoSpaceDN/>
        <w:bidi w:val="0"/>
        <w:snapToGrid/>
        <w:spacing w:line="348" w:lineRule="auto"/>
        <w:ind w:left="1" w:right="0" w:rightChars="0"/>
        <w:jc w:val="center"/>
        <w:textAlignment w:val="auto"/>
        <w:outlineLvl w:val="9"/>
        <w:rPr>
          <w:rFonts w:hint="eastAsia" w:ascii="宋体" w:hAnsi="宋体" w:eastAsia="宋体" w:cs="宋体"/>
          <w:b/>
          <w:color w:val="auto"/>
          <w:sz w:val="24"/>
          <w:szCs w:val="24"/>
          <w:highlight w:val="none"/>
        </w:rPr>
      </w:pPr>
    </w:p>
    <w:p w14:paraId="2C274099">
      <w:pPr>
        <w:keepNext w:val="0"/>
        <w:keepLines w:val="0"/>
        <w:pageBreakBefore w:val="0"/>
        <w:widowControl w:val="0"/>
        <w:kinsoku/>
        <w:wordWrap/>
        <w:overflowPunct/>
        <w:topLinePunct w:val="0"/>
        <w:autoSpaceDE/>
        <w:autoSpaceDN/>
        <w:bidi w:val="0"/>
        <w:snapToGrid/>
        <w:spacing w:line="348" w:lineRule="auto"/>
        <w:ind w:left="1" w:right="0" w:rightChars="0"/>
        <w:jc w:val="center"/>
        <w:textAlignment w:val="auto"/>
        <w:outlineLvl w:val="9"/>
        <w:rPr>
          <w:rFonts w:hint="eastAsia" w:ascii="宋体" w:hAnsi="宋体" w:eastAsia="宋体" w:cs="宋体"/>
          <w:b/>
          <w:color w:val="auto"/>
          <w:sz w:val="24"/>
          <w:szCs w:val="24"/>
          <w:highlight w:val="none"/>
        </w:rPr>
      </w:pPr>
    </w:p>
    <w:p w14:paraId="3706C6ED">
      <w:pPr>
        <w:keepNext w:val="0"/>
        <w:keepLines w:val="0"/>
        <w:pageBreakBefore w:val="0"/>
        <w:widowControl w:val="0"/>
        <w:kinsoku/>
        <w:wordWrap/>
        <w:overflowPunct/>
        <w:topLinePunct w:val="0"/>
        <w:autoSpaceDE/>
        <w:autoSpaceDN/>
        <w:bidi w:val="0"/>
        <w:snapToGrid/>
        <w:spacing w:line="348" w:lineRule="auto"/>
        <w:ind w:left="1" w:right="0" w:rightChars="0"/>
        <w:jc w:val="center"/>
        <w:textAlignment w:val="auto"/>
        <w:outlineLvl w:val="9"/>
        <w:rPr>
          <w:rFonts w:hint="eastAsia" w:ascii="宋体" w:hAnsi="宋体" w:eastAsia="宋体" w:cs="宋体"/>
          <w:b/>
          <w:color w:val="auto"/>
          <w:sz w:val="24"/>
          <w:szCs w:val="24"/>
          <w:highlight w:val="none"/>
        </w:rPr>
      </w:pPr>
    </w:p>
    <w:p w14:paraId="093FD6C0">
      <w:pPr>
        <w:keepNext w:val="0"/>
        <w:keepLines w:val="0"/>
        <w:pageBreakBefore w:val="0"/>
        <w:widowControl w:val="0"/>
        <w:kinsoku/>
        <w:wordWrap/>
        <w:overflowPunct/>
        <w:topLinePunct w:val="0"/>
        <w:autoSpaceDE/>
        <w:autoSpaceDN/>
        <w:bidi w:val="0"/>
        <w:adjustRightInd/>
        <w:snapToGrid/>
        <w:spacing w:after="196" w:afterLines="50" w:line="360" w:lineRule="auto"/>
        <w:ind w:left="0" w:leftChars="0" w:right="0" w:rightChars="0" w:firstLine="0" w:firstLineChars="0"/>
        <w:jc w:val="center"/>
        <w:textAlignment w:val="auto"/>
        <w:outlineLvl w:val="1"/>
        <w:rPr>
          <w:rFonts w:hint="eastAsia" w:ascii="宋体" w:hAnsi="宋体" w:eastAsia="宋体" w:cs="宋体"/>
          <w:b/>
          <w:color w:val="auto"/>
          <w:sz w:val="24"/>
          <w:szCs w:val="24"/>
          <w:highlight w:val="none"/>
        </w:rPr>
      </w:pPr>
      <w:bookmarkStart w:id="61" w:name="_Toc5761"/>
      <w:r>
        <w:rPr>
          <w:rFonts w:hint="eastAsia" w:ascii="宋体" w:hAnsi="宋体" w:cs="宋体"/>
          <w:b/>
          <w:color w:val="auto"/>
          <w:sz w:val="24"/>
          <w:szCs w:val="24"/>
          <w:highlight w:val="none"/>
          <w:lang w:eastAsia="zh-CN"/>
        </w:rPr>
        <w:t>（二）</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法人授权委托书</w:t>
      </w:r>
      <w:bookmarkEnd w:id="61"/>
    </w:p>
    <w:p w14:paraId="7EF41434">
      <w:pPr>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rPr>
        <w:t xml:space="preserve">               （采购人名称）</w:t>
      </w:r>
    </w:p>
    <w:p w14:paraId="0B9742A9">
      <w:pPr>
        <w:spacing w:line="360" w:lineRule="auto"/>
        <w:ind w:firstLine="50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注册于</w:t>
      </w:r>
      <w:r>
        <w:rPr>
          <w:rFonts w:hint="eastAsia" w:ascii="宋体" w:hAnsi="宋体" w:eastAsia="宋体" w:cs="宋体"/>
          <w:color w:val="auto"/>
          <w:sz w:val="24"/>
          <w:szCs w:val="24"/>
          <w:highlight w:val="none"/>
          <w:u w:val="single"/>
        </w:rPr>
        <w:t xml:space="preserve">         （工商行政管理局名称）之       （供应商全称）       的      （法定代表人姓名）</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（委托代理人姓名）为本公司全权代表，参加贵单位的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（采购项目名称）竞争性磋商活动，代表本公司全权处理磋商活动中的一切事宜</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本公司对委托代理人的签名负全部法律责任。</w:t>
      </w:r>
    </w:p>
    <w:tbl>
      <w:tblPr>
        <w:tblStyle w:val="29"/>
        <w:tblW w:w="86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14"/>
        <w:gridCol w:w="4314"/>
      </w:tblGrid>
      <w:tr w14:paraId="42F17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4314" w:type="dxa"/>
            <w:vAlign w:val="center"/>
          </w:tcPr>
          <w:p w14:paraId="74485898">
            <w:pPr>
              <w:pStyle w:val="66"/>
              <w:autoSpaceDE w:val="0"/>
              <w:autoSpaceDN w:val="0"/>
              <w:ind w:left="22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法人代表签字或盖章：</w:t>
            </w:r>
          </w:p>
        </w:tc>
        <w:tc>
          <w:tcPr>
            <w:tcW w:w="4314" w:type="dxa"/>
            <w:vAlign w:val="center"/>
          </w:tcPr>
          <w:p w14:paraId="3C19705F">
            <w:pPr>
              <w:pStyle w:val="66"/>
              <w:autoSpaceDE w:val="0"/>
              <w:autoSpaceDN w:val="0"/>
              <w:ind w:left="22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w:t>
            </w:r>
          </w:p>
        </w:tc>
      </w:tr>
      <w:tr w14:paraId="5D925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4314" w:type="dxa"/>
            <w:vAlign w:val="center"/>
          </w:tcPr>
          <w:p w14:paraId="6412D563">
            <w:pPr>
              <w:pStyle w:val="66"/>
              <w:autoSpaceDE w:val="0"/>
              <w:autoSpaceDN w:val="0"/>
              <w:ind w:left="22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4314" w:type="dxa"/>
            <w:vAlign w:val="center"/>
          </w:tcPr>
          <w:p w14:paraId="54C13EAF">
            <w:pPr>
              <w:pStyle w:val="66"/>
              <w:autoSpaceDE w:val="0"/>
              <w:autoSpaceDN w:val="0"/>
              <w:ind w:left="22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r>
      <w:tr w14:paraId="496A5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7" w:hRule="atLeast"/>
        </w:trPr>
        <w:tc>
          <w:tcPr>
            <w:tcW w:w="4314" w:type="dxa"/>
            <w:vAlign w:val="center"/>
          </w:tcPr>
          <w:p w14:paraId="005A05F2">
            <w:pPr>
              <w:pStyle w:val="66"/>
              <w:autoSpaceDE w:val="0"/>
              <w:autoSpaceDN w:val="0"/>
              <w:ind w:firstLine="50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法定代表人身份证复印件粘贴处：（正</w:t>
            </w:r>
            <w:r>
              <w:rPr>
                <w:rFonts w:hint="eastAsia" w:ascii="宋体" w:hAnsi="宋体" w:eastAsia="宋体" w:cs="宋体"/>
                <w:color w:val="auto"/>
                <w:sz w:val="24"/>
                <w:szCs w:val="24"/>
                <w:highlight w:val="none"/>
                <w:lang w:eastAsia="zh-CN"/>
              </w:rPr>
              <w:t>、反</w:t>
            </w:r>
            <w:r>
              <w:rPr>
                <w:rFonts w:hint="eastAsia" w:ascii="宋体" w:hAnsi="宋体" w:eastAsia="宋体" w:cs="宋体"/>
                <w:color w:val="auto"/>
                <w:sz w:val="24"/>
                <w:szCs w:val="24"/>
                <w:highlight w:val="none"/>
              </w:rPr>
              <w:t>面）</w:t>
            </w:r>
          </w:p>
        </w:tc>
        <w:tc>
          <w:tcPr>
            <w:tcW w:w="4314" w:type="dxa"/>
            <w:vAlign w:val="center"/>
          </w:tcPr>
          <w:p w14:paraId="62532C47">
            <w:pPr>
              <w:pStyle w:val="66"/>
              <w:autoSpaceDE w:val="0"/>
              <w:autoSpaceDN w:val="0"/>
              <w:ind w:firstLine="50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委托代理人身份证复印件粘贴处：</w:t>
            </w:r>
          </w:p>
          <w:p w14:paraId="0051B9EE">
            <w:pPr>
              <w:pStyle w:val="66"/>
              <w:autoSpaceDE w:val="0"/>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w:t>
            </w:r>
            <w:r>
              <w:rPr>
                <w:rFonts w:hint="eastAsia" w:ascii="宋体" w:hAnsi="宋体" w:eastAsia="宋体" w:cs="宋体"/>
                <w:color w:val="auto"/>
                <w:sz w:val="24"/>
                <w:szCs w:val="24"/>
                <w:highlight w:val="none"/>
                <w:lang w:eastAsia="zh-CN"/>
              </w:rPr>
              <w:t>、反</w:t>
            </w:r>
            <w:r>
              <w:rPr>
                <w:rFonts w:hint="eastAsia" w:ascii="宋体" w:hAnsi="宋体" w:eastAsia="宋体" w:cs="宋体"/>
                <w:color w:val="auto"/>
                <w:sz w:val="24"/>
                <w:szCs w:val="24"/>
                <w:highlight w:val="none"/>
              </w:rPr>
              <w:t>面）</w:t>
            </w:r>
          </w:p>
        </w:tc>
      </w:tr>
    </w:tbl>
    <w:p w14:paraId="0DD4530D">
      <w:pPr>
        <w:spacing w:before="195" w:beforeLine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（本授权的有效期为</w:t>
      </w:r>
      <w:r>
        <w:rPr>
          <w:rFonts w:hint="eastAsia" w:ascii="宋体" w:hAnsi="宋体" w:cs="宋体"/>
          <w:color w:val="auto"/>
          <w:sz w:val="24"/>
          <w:szCs w:val="24"/>
          <w:highlight w:val="none"/>
          <w:u w:val="single"/>
          <w:lang w:val="en-US" w:eastAsia="zh-CN"/>
        </w:rPr>
        <w:t xml:space="preserve"> 90 </w:t>
      </w:r>
      <w:r>
        <w:rPr>
          <w:rFonts w:hint="eastAsia" w:ascii="宋体" w:hAnsi="宋体" w:eastAsia="宋体" w:cs="宋体"/>
          <w:color w:val="auto"/>
          <w:sz w:val="24"/>
          <w:szCs w:val="24"/>
          <w:highlight w:val="none"/>
        </w:rPr>
        <w:t>日历天）</w:t>
      </w:r>
    </w:p>
    <w:p w14:paraId="5BA0FDBE">
      <w:pPr>
        <w:spacing w:line="480" w:lineRule="auto"/>
        <w:jc w:val="right"/>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（公章） </w:t>
      </w:r>
      <w:r>
        <w:rPr>
          <w:rFonts w:hint="eastAsia" w:ascii="宋体" w:hAnsi="宋体" w:cs="宋体"/>
          <w:color w:val="auto"/>
          <w:sz w:val="24"/>
          <w:szCs w:val="24"/>
          <w:highlight w:val="none"/>
          <w:lang w:val="en-US" w:eastAsia="zh-CN"/>
        </w:rPr>
        <w:t xml:space="preserve">                             </w:t>
      </w:r>
    </w:p>
    <w:p w14:paraId="593D4AFD">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996E0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1"/>
        <w:rPr>
          <w:rFonts w:hint="eastAsia" w:ascii="宋体" w:hAnsi="宋体" w:eastAsia="宋体" w:cs="宋体"/>
          <w:b/>
          <w:bCs w:val="0"/>
          <w:color w:val="auto"/>
          <w:sz w:val="24"/>
          <w:szCs w:val="24"/>
          <w:highlight w:val="none"/>
          <w:lang w:eastAsia="zh-CN"/>
        </w:rPr>
      </w:pPr>
    </w:p>
    <w:p w14:paraId="37BB16FB">
      <w:pPr>
        <w:spacing w:line="480" w:lineRule="exact"/>
        <w:jc w:val="center"/>
        <w:outlineLvl w:val="1"/>
        <w:rPr>
          <w:rFonts w:ascii="宋体" w:hAnsi="宋体" w:cs="宋体"/>
          <w:b/>
          <w:color w:val="auto"/>
          <w:sz w:val="28"/>
          <w:szCs w:val="28"/>
          <w:highlight w:val="none"/>
        </w:rPr>
      </w:pPr>
      <w:bookmarkStart w:id="62" w:name="_Toc3609"/>
      <w:r>
        <w:rPr>
          <w:rFonts w:hint="eastAsia" w:ascii="宋体" w:hAnsi="宋体" w:cs="宋体"/>
          <w:b/>
          <w:bCs w:val="0"/>
          <w:color w:val="auto"/>
          <w:sz w:val="28"/>
          <w:szCs w:val="28"/>
          <w:highlight w:val="none"/>
          <w:lang w:eastAsia="zh-CN"/>
        </w:rPr>
        <w:t>三</w:t>
      </w:r>
      <w:r>
        <w:rPr>
          <w:rFonts w:hint="eastAsia" w:ascii="宋体" w:hAnsi="宋体" w:eastAsia="宋体" w:cs="宋体"/>
          <w:b/>
          <w:bCs w:val="0"/>
          <w:color w:val="auto"/>
          <w:sz w:val="28"/>
          <w:szCs w:val="28"/>
          <w:highlight w:val="none"/>
          <w:lang w:eastAsia="zh-CN"/>
        </w:rPr>
        <w:t>、</w:t>
      </w:r>
      <w:r>
        <w:rPr>
          <w:rFonts w:hint="eastAsia" w:ascii="宋体" w:hAnsi="宋体" w:cs="宋体"/>
          <w:b/>
          <w:color w:val="auto"/>
          <w:sz w:val="28"/>
          <w:szCs w:val="28"/>
          <w:highlight w:val="none"/>
        </w:rPr>
        <w:t>商务条款响应偏离表</w:t>
      </w:r>
    </w:p>
    <w:p w14:paraId="1D16B17F">
      <w:pPr>
        <w:tabs>
          <w:tab w:val="left" w:pos="2795"/>
        </w:tabs>
        <w:spacing w:line="440" w:lineRule="exact"/>
        <w:jc w:val="left"/>
        <w:rPr>
          <w:rFonts w:ascii="宋体" w:hAnsi="宋体" w:cs="宋体"/>
          <w:color w:val="auto"/>
          <w:sz w:val="24"/>
          <w:szCs w:val="24"/>
          <w:highlight w:val="none"/>
        </w:rPr>
      </w:pPr>
    </w:p>
    <w:tbl>
      <w:tblPr>
        <w:tblStyle w:val="29"/>
        <w:tblW w:w="87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523"/>
        <w:gridCol w:w="2544"/>
        <w:gridCol w:w="1554"/>
        <w:gridCol w:w="1355"/>
      </w:tblGrid>
      <w:tr w14:paraId="146A2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8" w:type="dxa"/>
            <w:tcBorders>
              <w:tl2br w:val="nil"/>
              <w:tr2bl w:val="nil"/>
            </w:tcBorders>
            <w:tcMar>
              <w:top w:w="57" w:type="dxa"/>
              <w:left w:w="28" w:type="dxa"/>
              <w:bottom w:w="57" w:type="dxa"/>
              <w:right w:w="28" w:type="dxa"/>
            </w:tcMar>
            <w:vAlign w:val="center"/>
          </w:tcPr>
          <w:p w14:paraId="07A3D389">
            <w:pPr>
              <w:spacing w:line="44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2523" w:type="dxa"/>
            <w:tcBorders>
              <w:tl2br w:val="nil"/>
              <w:tr2bl w:val="nil"/>
            </w:tcBorders>
            <w:tcMar>
              <w:top w:w="57" w:type="dxa"/>
              <w:left w:w="28" w:type="dxa"/>
              <w:bottom w:w="57" w:type="dxa"/>
              <w:right w:w="28" w:type="dxa"/>
            </w:tcMar>
            <w:vAlign w:val="center"/>
          </w:tcPr>
          <w:p w14:paraId="25626EDC">
            <w:pPr>
              <w:spacing w:line="44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rPr>
              <w:t>竞争性磋商文件</w:t>
            </w:r>
          </w:p>
          <w:p w14:paraId="1FDCACBC">
            <w:pPr>
              <w:spacing w:line="44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rPr>
              <w:t>商务条款要求</w:t>
            </w:r>
          </w:p>
        </w:tc>
        <w:tc>
          <w:tcPr>
            <w:tcW w:w="2544" w:type="dxa"/>
            <w:tcBorders>
              <w:tl2br w:val="nil"/>
              <w:tr2bl w:val="nil"/>
            </w:tcBorders>
            <w:tcMar>
              <w:top w:w="57" w:type="dxa"/>
              <w:left w:w="28" w:type="dxa"/>
              <w:bottom w:w="57" w:type="dxa"/>
              <w:right w:w="28" w:type="dxa"/>
            </w:tcMar>
            <w:vAlign w:val="center"/>
          </w:tcPr>
          <w:p w14:paraId="0D44201C">
            <w:pPr>
              <w:spacing w:line="44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rPr>
              <w:t>竞争性磋商响应文件</w:t>
            </w:r>
          </w:p>
          <w:p w14:paraId="2E4F6D05">
            <w:pPr>
              <w:spacing w:line="44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rPr>
              <w:t>商务条款响应</w:t>
            </w:r>
          </w:p>
        </w:tc>
        <w:tc>
          <w:tcPr>
            <w:tcW w:w="1554" w:type="dxa"/>
            <w:tcBorders>
              <w:tl2br w:val="nil"/>
              <w:tr2bl w:val="nil"/>
            </w:tcBorders>
            <w:tcMar>
              <w:top w:w="57" w:type="dxa"/>
              <w:left w:w="28" w:type="dxa"/>
              <w:bottom w:w="57" w:type="dxa"/>
              <w:right w:w="28" w:type="dxa"/>
            </w:tcMar>
            <w:vAlign w:val="center"/>
          </w:tcPr>
          <w:p w14:paraId="5DD7A83D">
            <w:pPr>
              <w:spacing w:line="44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rPr>
              <w:t>偏离情况</w:t>
            </w:r>
          </w:p>
        </w:tc>
        <w:tc>
          <w:tcPr>
            <w:tcW w:w="1355" w:type="dxa"/>
            <w:tcBorders>
              <w:tl2br w:val="nil"/>
              <w:tr2bl w:val="nil"/>
            </w:tcBorders>
            <w:vAlign w:val="center"/>
          </w:tcPr>
          <w:p w14:paraId="33AE101B">
            <w:pPr>
              <w:spacing w:line="44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rPr>
              <w:t>说明</w:t>
            </w:r>
          </w:p>
        </w:tc>
      </w:tr>
      <w:tr w14:paraId="612108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78" w:type="dxa"/>
            <w:tcBorders>
              <w:tl2br w:val="nil"/>
              <w:tr2bl w:val="nil"/>
            </w:tcBorders>
            <w:tcMar>
              <w:top w:w="57" w:type="dxa"/>
              <w:left w:w="28" w:type="dxa"/>
              <w:bottom w:w="57" w:type="dxa"/>
              <w:right w:w="28" w:type="dxa"/>
            </w:tcMar>
            <w:vAlign w:val="center"/>
          </w:tcPr>
          <w:p w14:paraId="5D04B0D9">
            <w:pPr>
              <w:spacing w:line="440" w:lineRule="exact"/>
              <w:ind w:firstLine="500" w:firstLineChars="200"/>
              <w:jc w:val="center"/>
              <w:rPr>
                <w:rFonts w:ascii="宋体" w:hAnsi="宋体" w:cs="宋体"/>
                <w:b/>
                <w:bCs/>
                <w:color w:val="auto"/>
                <w:sz w:val="24"/>
                <w:szCs w:val="24"/>
                <w:highlight w:val="none"/>
              </w:rPr>
            </w:pPr>
          </w:p>
        </w:tc>
        <w:tc>
          <w:tcPr>
            <w:tcW w:w="2523" w:type="dxa"/>
            <w:tcBorders>
              <w:tl2br w:val="nil"/>
              <w:tr2bl w:val="nil"/>
            </w:tcBorders>
            <w:tcMar>
              <w:top w:w="57" w:type="dxa"/>
              <w:left w:w="28" w:type="dxa"/>
              <w:bottom w:w="57" w:type="dxa"/>
              <w:right w:w="28" w:type="dxa"/>
            </w:tcMar>
            <w:vAlign w:val="center"/>
          </w:tcPr>
          <w:p w14:paraId="2793E8A0">
            <w:pPr>
              <w:spacing w:line="440" w:lineRule="exact"/>
              <w:ind w:firstLine="500" w:firstLineChars="200"/>
              <w:jc w:val="center"/>
              <w:rPr>
                <w:rFonts w:ascii="宋体" w:hAnsi="宋体" w:cs="宋体"/>
                <w:b/>
                <w:bCs/>
                <w:color w:val="auto"/>
                <w:sz w:val="24"/>
                <w:szCs w:val="24"/>
                <w:highlight w:val="none"/>
              </w:rPr>
            </w:pPr>
          </w:p>
        </w:tc>
        <w:tc>
          <w:tcPr>
            <w:tcW w:w="2544" w:type="dxa"/>
            <w:tcBorders>
              <w:tl2br w:val="nil"/>
              <w:tr2bl w:val="nil"/>
            </w:tcBorders>
            <w:tcMar>
              <w:top w:w="57" w:type="dxa"/>
              <w:left w:w="28" w:type="dxa"/>
              <w:bottom w:w="57" w:type="dxa"/>
              <w:right w:w="28" w:type="dxa"/>
            </w:tcMar>
            <w:vAlign w:val="center"/>
          </w:tcPr>
          <w:p w14:paraId="29083BC2">
            <w:pPr>
              <w:spacing w:line="440" w:lineRule="exact"/>
              <w:ind w:firstLine="500" w:firstLineChars="200"/>
              <w:jc w:val="center"/>
              <w:rPr>
                <w:rFonts w:ascii="宋体" w:hAnsi="宋体" w:cs="宋体"/>
                <w:b/>
                <w:bCs/>
                <w:color w:val="auto"/>
                <w:sz w:val="24"/>
                <w:szCs w:val="24"/>
                <w:highlight w:val="none"/>
              </w:rPr>
            </w:pPr>
          </w:p>
        </w:tc>
        <w:tc>
          <w:tcPr>
            <w:tcW w:w="1554" w:type="dxa"/>
            <w:tcBorders>
              <w:tl2br w:val="nil"/>
              <w:tr2bl w:val="nil"/>
            </w:tcBorders>
            <w:tcMar>
              <w:top w:w="57" w:type="dxa"/>
              <w:left w:w="28" w:type="dxa"/>
              <w:bottom w:w="57" w:type="dxa"/>
              <w:right w:w="28" w:type="dxa"/>
            </w:tcMar>
            <w:vAlign w:val="center"/>
          </w:tcPr>
          <w:p w14:paraId="6B908F30">
            <w:pPr>
              <w:spacing w:line="440" w:lineRule="exact"/>
              <w:ind w:firstLine="500" w:firstLineChars="200"/>
              <w:jc w:val="center"/>
              <w:rPr>
                <w:rFonts w:ascii="宋体" w:hAnsi="宋体" w:cs="宋体"/>
                <w:b/>
                <w:bCs/>
                <w:color w:val="auto"/>
                <w:sz w:val="24"/>
                <w:szCs w:val="24"/>
                <w:highlight w:val="none"/>
              </w:rPr>
            </w:pPr>
          </w:p>
        </w:tc>
        <w:tc>
          <w:tcPr>
            <w:tcW w:w="1355" w:type="dxa"/>
            <w:tcBorders>
              <w:tl2br w:val="nil"/>
              <w:tr2bl w:val="nil"/>
            </w:tcBorders>
            <w:vAlign w:val="center"/>
          </w:tcPr>
          <w:p w14:paraId="0A68FEEA">
            <w:pPr>
              <w:spacing w:line="440" w:lineRule="exact"/>
              <w:ind w:firstLine="500" w:firstLineChars="200"/>
              <w:jc w:val="center"/>
              <w:rPr>
                <w:rFonts w:ascii="宋体" w:hAnsi="宋体" w:cs="宋体"/>
                <w:b/>
                <w:bCs/>
                <w:color w:val="auto"/>
                <w:sz w:val="24"/>
                <w:szCs w:val="24"/>
                <w:highlight w:val="none"/>
              </w:rPr>
            </w:pPr>
          </w:p>
        </w:tc>
      </w:tr>
      <w:tr w14:paraId="05F093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78" w:type="dxa"/>
            <w:tcBorders>
              <w:tl2br w:val="nil"/>
              <w:tr2bl w:val="nil"/>
            </w:tcBorders>
            <w:tcMar>
              <w:top w:w="57" w:type="dxa"/>
              <w:left w:w="28" w:type="dxa"/>
              <w:bottom w:w="57" w:type="dxa"/>
              <w:right w:w="28" w:type="dxa"/>
            </w:tcMar>
            <w:vAlign w:val="center"/>
          </w:tcPr>
          <w:p w14:paraId="03C3F2F5">
            <w:pPr>
              <w:spacing w:line="440" w:lineRule="exact"/>
              <w:ind w:firstLine="500" w:firstLineChars="200"/>
              <w:jc w:val="center"/>
              <w:rPr>
                <w:rFonts w:ascii="宋体" w:hAnsi="宋体" w:cs="宋体"/>
                <w:b/>
                <w:bCs/>
                <w:color w:val="auto"/>
                <w:sz w:val="24"/>
                <w:szCs w:val="24"/>
                <w:highlight w:val="none"/>
              </w:rPr>
            </w:pPr>
          </w:p>
        </w:tc>
        <w:tc>
          <w:tcPr>
            <w:tcW w:w="2523" w:type="dxa"/>
            <w:tcBorders>
              <w:tl2br w:val="nil"/>
              <w:tr2bl w:val="nil"/>
            </w:tcBorders>
            <w:tcMar>
              <w:top w:w="57" w:type="dxa"/>
              <w:left w:w="28" w:type="dxa"/>
              <w:bottom w:w="57" w:type="dxa"/>
              <w:right w:w="28" w:type="dxa"/>
            </w:tcMar>
            <w:vAlign w:val="center"/>
          </w:tcPr>
          <w:p w14:paraId="187D9047">
            <w:pPr>
              <w:spacing w:line="440" w:lineRule="exact"/>
              <w:ind w:firstLine="500" w:firstLineChars="200"/>
              <w:jc w:val="center"/>
              <w:rPr>
                <w:rFonts w:ascii="宋体" w:hAnsi="宋体" w:cs="宋体"/>
                <w:b/>
                <w:bCs/>
                <w:color w:val="auto"/>
                <w:sz w:val="24"/>
                <w:szCs w:val="24"/>
                <w:highlight w:val="none"/>
              </w:rPr>
            </w:pPr>
          </w:p>
        </w:tc>
        <w:tc>
          <w:tcPr>
            <w:tcW w:w="2544" w:type="dxa"/>
            <w:tcBorders>
              <w:tl2br w:val="nil"/>
              <w:tr2bl w:val="nil"/>
            </w:tcBorders>
            <w:tcMar>
              <w:top w:w="57" w:type="dxa"/>
              <w:left w:w="28" w:type="dxa"/>
              <w:bottom w:w="57" w:type="dxa"/>
              <w:right w:w="28" w:type="dxa"/>
            </w:tcMar>
            <w:vAlign w:val="center"/>
          </w:tcPr>
          <w:p w14:paraId="5B2DB242">
            <w:pPr>
              <w:spacing w:line="440" w:lineRule="exact"/>
              <w:ind w:firstLine="500" w:firstLineChars="200"/>
              <w:jc w:val="center"/>
              <w:rPr>
                <w:rFonts w:ascii="宋体" w:hAnsi="宋体" w:cs="宋体"/>
                <w:b/>
                <w:bCs/>
                <w:color w:val="auto"/>
                <w:sz w:val="24"/>
                <w:szCs w:val="24"/>
                <w:highlight w:val="none"/>
              </w:rPr>
            </w:pPr>
          </w:p>
        </w:tc>
        <w:tc>
          <w:tcPr>
            <w:tcW w:w="1554" w:type="dxa"/>
            <w:tcBorders>
              <w:tl2br w:val="nil"/>
              <w:tr2bl w:val="nil"/>
            </w:tcBorders>
            <w:tcMar>
              <w:top w:w="57" w:type="dxa"/>
              <w:left w:w="28" w:type="dxa"/>
              <w:bottom w:w="57" w:type="dxa"/>
              <w:right w:w="28" w:type="dxa"/>
            </w:tcMar>
            <w:vAlign w:val="center"/>
          </w:tcPr>
          <w:p w14:paraId="4D4C6681">
            <w:pPr>
              <w:spacing w:line="440" w:lineRule="exact"/>
              <w:ind w:firstLine="500" w:firstLineChars="200"/>
              <w:jc w:val="center"/>
              <w:rPr>
                <w:rFonts w:ascii="宋体" w:hAnsi="宋体" w:cs="宋体"/>
                <w:b/>
                <w:bCs/>
                <w:color w:val="auto"/>
                <w:sz w:val="24"/>
                <w:szCs w:val="24"/>
                <w:highlight w:val="none"/>
              </w:rPr>
            </w:pPr>
          </w:p>
        </w:tc>
        <w:tc>
          <w:tcPr>
            <w:tcW w:w="1355" w:type="dxa"/>
            <w:tcBorders>
              <w:tl2br w:val="nil"/>
              <w:tr2bl w:val="nil"/>
            </w:tcBorders>
            <w:vAlign w:val="center"/>
          </w:tcPr>
          <w:p w14:paraId="17EDABE4">
            <w:pPr>
              <w:spacing w:line="440" w:lineRule="exact"/>
              <w:ind w:firstLine="500" w:firstLineChars="200"/>
              <w:jc w:val="center"/>
              <w:rPr>
                <w:rFonts w:ascii="宋体" w:hAnsi="宋体" w:cs="宋体"/>
                <w:b/>
                <w:bCs/>
                <w:color w:val="auto"/>
                <w:sz w:val="24"/>
                <w:szCs w:val="24"/>
                <w:highlight w:val="none"/>
              </w:rPr>
            </w:pPr>
          </w:p>
        </w:tc>
      </w:tr>
      <w:tr w14:paraId="04392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l2br w:val="nil"/>
              <w:tr2bl w:val="nil"/>
            </w:tcBorders>
            <w:tcMar>
              <w:top w:w="57" w:type="dxa"/>
              <w:left w:w="28" w:type="dxa"/>
              <w:bottom w:w="57" w:type="dxa"/>
              <w:right w:w="28" w:type="dxa"/>
            </w:tcMar>
            <w:vAlign w:val="center"/>
          </w:tcPr>
          <w:p w14:paraId="765490BB">
            <w:pPr>
              <w:spacing w:line="440" w:lineRule="exact"/>
              <w:ind w:firstLine="500" w:firstLineChars="200"/>
              <w:jc w:val="center"/>
              <w:rPr>
                <w:rFonts w:ascii="宋体" w:hAnsi="宋体" w:cs="宋体"/>
                <w:b/>
                <w:bCs/>
                <w:color w:val="auto"/>
                <w:sz w:val="24"/>
                <w:szCs w:val="24"/>
                <w:highlight w:val="none"/>
              </w:rPr>
            </w:pPr>
          </w:p>
        </w:tc>
        <w:tc>
          <w:tcPr>
            <w:tcW w:w="2523" w:type="dxa"/>
            <w:tcBorders>
              <w:tl2br w:val="nil"/>
              <w:tr2bl w:val="nil"/>
            </w:tcBorders>
            <w:tcMar>
              <w:top w:w="57" w:type="dxa"/>
              <w:left w:w="28" w:type="dxa"/>
              <w:bottom w:w="57" w:type="dxa"/>
              <w:right w:w="28" w:type="dxa"/>
            </w:tcMar>
            <w:vAlign w:val="center"/>
          </w:tcPr>
          <w:p w14:paraId="46C05ACA">
            <w:pPr>
              <w:spacing w:line="440" w:lineRule="exact"/>
              <w:ind w:firstLine="500" w:firstLineChars="200"/>
              <w:jc w:val="center"/>
              <w:rPr>
                <w:rFonts w:ascii="宋体" w:hAnsi="宋体" w:cs="宋体"/>
                <w:b/>
                <w:bCs/>
                <w:color w:val="auto"/>
                <w:sz w:val="24"/>
                <w:szCs w:val="24"/>
                <w:highlight w:val="none"/>
              </w:rPr>
            </w:pPr>
          </w:p>
        </w:tc>
        <w:tc>
          <w:tcPr>
            <w:tcW w:w="2544" w:type="dxa"/>
            <w:tcBorders>
              <w:tl2br w:val="nil"/>
              <w:tr2bl w:val="nil"/>
            </w:tcBorders>
            <w:tcMar>
              <w:top w:w="57" w:type="dxa"/>
              <w:left w:w="28" w:type="dxa"/>
              <w:bottom w:w="57" w:type="dxa"/>
              <w:right w:w="28" w:type="dxa"/>
            </w:tcMar>
            <w:vAlign w:val="center"/>
          </w:tcPr>
          <w:p w14:paraId="025E27BB">
            <w:pPr>
              <w:spacing w:line="440" w:lineRule="exact"/>
              <w:ind w:firstLine="500" w:firstLineChars="200"/>
              <w:jc w:val="center"/>
              <w:rPr>
                <w:rFonts w:ascii="宋体" w:hAnsi="宋体" w:cs="宋体"/>
                <w:b/>
                <w:bCs/>
                <w:color w:val="auto"/>
                <w:sz w:val="24"/>
                <w:szCs w:val="24"/>
                <w:highlight w:val="none"/>
              </w:rPr>
            </w:pPr>
          </w:p>
        </w:tc>
        <w:tc>
          <w:tcPr>
            <w:tcW w:w="1554" w:type="dxa"/>
            <w:tcBorders>
              <w:tl2br w:val="nil"/>
              <w:tr2bl w:val="nil"/>
            </w:tcBorders>
            <w:tcMar>
              <w:top w:w="57" w:type="dxa"/>
              <w:left w:w="28" w:type="dxa"/>
              <w:bottom w:w="57" w:type="dxa"/>
              <w:right w:w="28" w:type="dxa"/>
            </w:tcMar>
            <w:vAlign w:val="center"/>
          </w:tcPr>
          <w:p w14:paraId="797E7529">
            <w:pPr>
              <w:spacing w:line="440" w:lineRule="exact"/>
              <w:ind w:firstLine="500" w:firstLineChars="200"/>
              <w:jc w:val="center"/>
              <w:rPr>
                <w:rFonts w:ascii="宋体" w:hAnsi="宋体" w:cs="宋体"/>
                <w:b/>
                <w:bCs/>
                <w:color w:val="auto"/>
                <w:sz w:val="24"/>
                <w:szCs w:val="24"/>
                <w:highlight w:val="none"/>
              </w:rPr>
            </w:pPr>
          </w:p>
        </w:tc>
        <w:tc>
          <w:tcPr>
            <w:tcW w:w="1355" w:type="dxa"/>
            <w:tcBorders>
              <w:tl2br w:val="nil"/>
              <w:tr2bl w:val="nil"/>
            </w:tcBorders>
            <w:vAlign w:val="center"/>
          </w:tcPr>
          <w:p w14:paraId="148D1039">
            <w:pPr>
              <w:spacing w:line="440" w:lineRule="exact"/>
              <w:ind w:firstLine="500" w:firstLineChars="200"/>
              <w:jc w:val="center"/>
              <w:rPr>
                <w:rFonts w:ascii="宋体" w:hAnsi="宋体" w:cs="宋体"/>
                <w:b/>
                <w:bCs/>
                <w:color w:val="auto"/>
                <w:sz w:val="24"/>
                <w:szCs w:val="24"/>
                <w:highlight w:val="none"/>
              </w:rPr>
            </w:pPr>
          </w:p>
        </w:tc>
      </w:tr>
      <w:tr w14:paraId="76804A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l2br w:val="nil"/>
              <w:tr2bl w:val="nil"/>
            </w:tcBorders>
            <w:tcMar>
              <w:top w:w="57" w:type="dxa"/>
              <w:left w:w="28" w:type="dxa"/>
              <w:bottom w:w="57" w:type="dxa"/>
              <w:right w:w="28" w:type="dxa"/>
            </w:tcMar>
            <w:vAlign w:val="center"/>
          </w:tcPr>
          <w:p w14:paraId="3CBA2899">
            <w:pPr>
              <w:spacing w:line="440" w:lineRule="exact"/>
              <w:ind w:firstLine="500" w:firstLineChars="200"/>
              <w:jc w:val="center"/>
              <w:rPr>
                <w:rFonts w:ascii="宋体" w:hAnsi="宋体" w:cs="宋体"/>
                <w:b/>
                <w:bCs/>
                <w:color w:val="auto"/>
                <w:sz w:val="24"/>
                <w:szCs w:val="24"/>
                <w:highlight w:val="none"/>
              </w:rPr>
            </w:pPr>
          </w:p>
        </w:tc>
        <w:tc>
          <w:tcPr>
            <w:tcW w:w="2523" w:type="dxa"/>
            <w:tcBorders>
              <w:tl2br w:val="nil"/>
              <w:tr2bl w:val="nil"/>
            </w:tcBorders>
            <w:tcMar>
              <w:top w:w="57" w:type="dxa"/>
              <w:left w:w="28" w:type="dxa"/>
              <w:bottom w:w="57" w:type="dxa"/>
              <w:right w:w="28" w:type="dxa"/>
            </w:tcMar>
            <w:vAlign w:val="center"/>
          </w:tcPr>
          <w:p w14:paraId="51396E34">
            <w:pPr>
              <w:spacing w:line="440" w:lineRule="exact"/>
              <w:ind w:firstLine="500" w:firstLineChars="200"/>
              <w:jc w:val="center"/>
              <w:rPr>
                <w:rFonts w:ascii="宋体" w:hAnsi="宋体" w:cs="宋体"/>
                <w:b/>
                <w:bCs/>
                <w:color w:val="auto"/>
                <w:sz w:val="24"/>
                <w:szCs w:val="24"/>
                <w:highlight w:val="none"/>
              </w:rPr>
            </w:pPr>
          </w:p>
        </w:tc>
        <w:tc>
          <w:tcPr>
            <w:tcW w:w="2544" w:type="dxa"/>
            <w:tcBorders>
              <w:tl2br w:val="nil"/>
              <w:tr2bl w:val="nil"/>
            </w:tcBorders>
            <w:tcMar>
              <w:top w:w="57" w:type="dxa"/>
              <w:left w:w="28" w:type="dxa"/>
              <w:bottom w:w="57" w:type="dxa"/>
              <w:right w:w="28" w:type="dxa"/>
            </w:tcMar>
            <w:vAlign w:val="center"/>
          </w:tcPr>
          <w:p w14:paraId="65A4667A">
            <w:pPr>
              <w:spacing w:line="440" w:lineRule="exact"/>
              <w:ind w:firstLine="500" w:firstLineChars="200"/>
              <w:jc w:val="center"/>
              <w:rPr>
                <w:rFonts w:ascii="宋体" w:hAnsi="宋体" w:cs="宋体"/>
                <w:b/>
                <w:bCs/>
                <w:color w:val="auto"/>
                <w:sz w:val="24"/>
                <w:szCs w:val="24"/>
                <w:highlight w:val="none"/>
              </w:rPr>
            </w:pPr>
          </w:p>
        </w:tc>
        <w:tc>
          <w:tcPr>
            <w:tcW w:w="1554" w:type="dxa"/>
            <w:tcBorders>
              <w:tl2br w:val="nil"/>
              <w:tr2bl w:val="nil"/>
            </w:tcBorders>
            <w:tcMar>
              <w:top w:w="57" w:type="dxa"/>
              <w:left w:w="28" w:type="dxa"/>
              <w:bottom w:w="57" w:type="dxa"/>
              <w:right w:w="28" w:type="dxa"/>
            </w:tcMar>
            <w:vAlign w:val="center"/>
          </w:tcPr>
          <w:p w14:paraId="545F93FB">
            <w:pPr>
              <w:spacing w:line="440" w:lineRule="exact"/>
              <w:ind w:firstLine="500" w:firstLineChars="200"/>
              <w:jc w:val="center"/>
              <w:rPr>
                <w:rFonts w:ascii="宋体" w:hAnsi="宋体" w:cs="宋体"/>
                <w:b/>
                <w:bCs/>
                <w:color w:val="auto"/>
                <w:sz w:val="24"/>
                <w:szCs w:val="24"/>
                <w:highlight w:val="none"/>
              </w:rPr>
            </w:pPr>
          </w:p>
        </w:tc>
        <w:tc>
          <w:tcPr>
            <w:tcW w:w="1355" w:type="dxa"/>
            <w:tcBorders>
              <w:tl2br w:val="nil"/>
              <w:tr2bl w:val="nil"/>
            </w:tcBorders>
            <w:vAlign w:val="center"/>
          </w:tcPr>
          <w:p w14:paraId="2A8D8214">
            <w:pPr>
              <w:spacing w:line="440" w:lineRule="exact"/>
              <w:ind w:firstLine="500" w:firstLineChars="200"/>
              <w:jc w:val="center"/>
              <w:rPr>
                <w:rFonts w:ascii="宋体" w:hAnsi="宋体" w:cs="宋体"/>
                <w:b/>
                <w:bCs/>
                <w:color w:val="auto"/>
                <w:sz w:val="24"/>
                <w:szCs w:val="24"/>
                <w:highlight w:val="none"/>
              </w:rPr>
            </w:pPr>
          </w:p>
        </w:tc>
      </w:tr>
      <w:tr w14:paraId="3C15D3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l2br w:val="nil"/>
              <w:tr2bl w:val="nil"/>
            </w:tcBorders>
            <w:tcMar>
              <w:top w:w="57" w:type="dxa"/>
              <w:left w:w="28" w:type="dxa"/>
              <w:bottom w:w="57" w:type="dxa"/>
              <w:right w:w="28" w:type="dxa"/>
            </w:tcMar>
            <w:vAlign w:val="center"/>
          </w:tcPr>
          <w:p w14:paraId="48E6C9A9">
            <w:pPr>
              <w:spacing w:line="440" w:lineRule="exact"/>
              <w:ind w:firstLine="500" w:firstLineChars="200"/>
              <w:jc w:val="center"/>
              <w:rPr>
                <w:rFonts w:ascii="宋体" w:hAnsi="宋体" w:cs="宋体"/>
                <w:b/>
                <w:bCs/>
                <w:color w:val="auto"/>
                <w:sz w:val="24"/>
                <w:szCs w:val="24"/>
                <w:highlight w:val="none"/>
              </w:rPr>
            </w:pPr>
          </w:p>
        </w:tc>
        <w:tc>
          <w:tcPr>
            <w:tcW w:w="2523" w:type="dxa"/>
            <w:tcBorders>
              <w:tl2br w:val="nil"/>
              <w:tr2bl w:val="nil"/>
            </w:tcBorders>
            <w:tcMar>
              <w:top w:w="57" w:type="dxa"/>
              <w:left w:w="28" w:type="dxa"/>
              <w:bottom w:w="57" w:type="dxa"/>
              <w:right w:w="28" w:type="dxa"/>
            </w:tcMar>
            <w:vAlign w:val="center"/>
          </w:tcPr>
          <w:p w14:paraId="735C05C2">
            <w:pPr>
              <w:spacing w:line="440" w:lineRule="exact"/>
              <w:ind w:firstLine="500" w:firstLineChars="200"/>
              <w:jc w:val="center"/>
              <w:rPr>
                <w:rFonts w:ascii="宋体" w:hAnsi="宋体" w:cs="宋体"/>
                <w:b/>
                <w:bCs/>
                <w:color w:val="auto"/>
                <w:sz w:val="24"/>
                <w:szCs w:val="24"/>
                <w:highlight w:val="none"/>
              </w:rPr>
            </w:pPr>
          </w:p>
        </w:tc>
        <w:tc>
          <w:tcPr>
            <w:tcW w:w="2544" w:type="dxa"/>
            <w:tcBorders>
              <w:tl2br w:val="nil"/>
              <w:tr2bl w:val="nil"/>
            </w:tcBorders>
            <w:tcMar>
              <w:top w:w="57" w:type="dxa"/>
              <w:left w:w="28" w:type="dxa"/>
              <w:bottom w:w="57" w:type="dxa"/>
              <w:right w:w="28" w:type="dxa"/>
            </w:tcMar>
            <w:vAlign w:val="center"/>
          </w:tcPr>
          <w:p w14:paraId="7C13B04C">
            <w:pPr>
              <w:spacing w:line="440" w:lineRule="exact"/>
              <w:ind w:firstLine="500" w:firstLineChars="200"/>
              <w:jc w:val="center"/>
              <w:rPr>
                <w:rFonts w:ascii="宋体" w:hAnsi="宋体" w:cs="宋体"/>
                <w:b/>
                <w:bCs/>
                <w:color w:val="auto"/>
                <w:sz w:val="24"/>
                <w:szCs w:val="24"/>
                <w:highlight w:val="none"/>
              </w:rPr>
            </w:pPr>
          </w:p>
        </w:tc>
        <w:tc>
          <w:tcPr>
            <w:tcW w:w="1554" w:type="dxa"/>
            <w:tcBorders>
              <w:tl2br w:val="nil"/>
              <w:tr2bl w:val="nil"/>
            </w:tcBorders>
            <w:tcMar>
              <w:top w:w="57" w:type="dxa"/>
              <w:left w:w="28" w:type="dxa"/>
              <w:bottom w:w="57" w:type="dxa"/>
              <w:right w:w="28" w:type="dxa"/>
            </w:tcMar>
            <w:vAlign w:val="center"/>
          </w:tcPr>
          <w:p w14:paraId="178F7A14">
            <w:pPr>
              <w:spacing w:line="440" w:lineRule="exact"/>
              <w:ind w:firstLine="500" w:firstLineChars="200"/>
              <w:jc w:val="center"/>
              <w:rPr>
                <w:rFonts w:ascii="宋体" w:hAnsi="宋体" w:cs="宋体"/>
                <w:b/>
                <w:bCs/>
                <w:color w:val="auto"/>
                <w:sz w:val="24"/>
                <w:szCs w:val="24"/>
                <w:highlight w:val="none"/>
              </w:rPr>
            </w:pPr>
          </w:p>
        </w:tc>
        <w:tc>
          <w:tcPr>
            <w:tcW w:w="1355" w:type="dxa"/>
            <w:tcBorders>
              <w:tl2br w:val="nil"/>
              <w:tr2bl w:val="nil"/>
            </w:tcBorders>
            <w:vAlign w:val="center"/>
          </w:tcPr>
          <w:p w14:paraId="2630AB5C">
            <w:pPr>
              <w:spacing w:line="440" w:lineRule="exact"/>
              <w:ind w:firstLine="500" w:firstLineChars="200"/>
              <w:jc w:val="center"/>
              <w:rPr>
                <w:rFonts w:ascii="宋体" w:hAnsi="宋体" w:cs="宋体"/>
                <w:b/>
                <w:bCs/>
                <w:color w:val="auto"/>
                <w:sz w:val="24"/>
                <w:szCs w:val="24"/>
                <w:highlight w:val="none"/>
              </w:rPr>
            </w:pPr>
          </w:p>
        </w:tc>
      </w:tr>
      <w:tr w14:paraId="1F93AE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l2br w:val="nil"/>
              <w:tr2bl w:val="nil"/>
            </w:tcBorders>
            <w:tcMar>
              <w:top w:w="57" w:type="dxa"/>
              <w:left w:w="28" w:type="dxa"/>
              <w:bottom w:w="57" w:type="dxa"/>
              <w:right w:w="28" w:type="dxa"/>
            </w:tcMar>
            <w:vAlign w:val="center"/>
          </w:tcPr>
          <w:p w14:paraId="61F22DF2">
            <w:pPr>
              <w:spacing w:line="440" w:lineRule="exact"/>
              <w:ind w:firstLine="500" w:firstLineChars="200"/>
              <w:jc w:val="center"/>
              <w:rPr>
                <w:rFonts w:ascii="宋体" w:hAnsi="宋体" w:cs="宋体"/>
                <w:b/>
                <w:bCs/>
                <w:color w:val="auto"/>
                <w:sz w:val="24"/>
                <w:szCs w:val="24"/>
                <w:highlight w:val="none"/>
              </w:rPr>
            </w:pPr>
          </w:p>
        </w:tc>
        <w:tc>
          <w:tcPr>
            <w:tcW w:w="2523" w:type="dxa"/>
            <w:tcBorders>
              <w:tl2br w:val="nil"/>
              <w:tr2bl w:val="nil"/>
            </w:tcBorders>
            <w:tcMar>
              <w:top w:w="57" w:type="dxa"/>
              <w:left w:w="28" w:type="dxa"/>
              <w:bottom w:w="57" w:type="dxa"/>
              <w:right w:w="28" w:type="dxa"/>
            </w:tcMar>
            <w:vAlign w:val="center"/>
          </w:tcPr>
          <w:p w14:paraId="35B1990C">
            <w:pPr>
              <w:spacing w:line="440" w:lineRule="exact"/>
              <w:ind w:firstLine="500" w:firstLineChars="200"/>
              <w:jc w:val="center"/>
              <w:rPr>
                <w:rFonts w:ascii="宋体" w:hAnsi="宋体" w:cs="宋体"/>
                <w:b/>
                <w:bCs/>
                <w:color w:val="auto"/>
                <w:sz w:val="24"/>
                <w:szCs w:val="24"/>
                <w:highlight w:val="none"/>
              </w:rPr>
            </w:pPr>
          </w:p>
        </w:tc>
        <w:tc>
          <w:tcPr>
            <w:tcW w:w="2544" w:type="dxa"/>
            <w:tcBorders>
              <w:tl2br w:val="nil"/>
              <w:tr2bl w:val="nil"/>
            </w:tcBorders>
            <w:tcMar>
              <w:top w:w="57" w:type="dxa"/>
              <w:left w:w="28" w:type="dxa"/>
              <w:bottom w:w="57" w:type="dxa"/>
              <w:right w:w="28" w:type="dxa"/>
            </w:tcMar>
            <w:vAlign w:val="center"/>
          </w:tcPr>
          <w:p w14:paraId="6BE4522A">
            <w:pPr>
              <w:spacing w:line="440" w:lineRule="exact"/>
              <w:ind w:firstLine="500" w:firstLineChars="200"/>
              <w:jc w:val="center"/>
              <w:rPr>
                <w:rFonts w:ascii="宋体" w:hAnsi="宋体" w:cs="宋体"/>
                <w:b/>
                <w:bCs/>
                <w:color w:val="auto"/>
                <w:sz w:val="24"/>
                <w:szCs w:val="24"/>
                <w:highlight w:val="none"/>
              </w:rPr>
            </w:pPr>
          </w:p>
        </w:tc>
        <w:tc>
          <w:tcPr>
            <w:tcW w:w="1554" w:type="dxa"/>
            <w:tcBorders>
              <w:tl2br w:val="nil"/>
              <w:tr2bl w:val="nil"/>
            </w:tcBorders>
            <w:tcMar>
              <w:top w:w="57" w:type="dxa"/>
              <w:left w:w="28" w:type="dxa"/>
              <w:bottom w:w="57" w:type="dxa"/>
              <w:right w:w="28" w:type="dxa"/>
            </w:tcMar>
            <w:vAlign w:val="center"/>
          </w:tcPr>
          <w:p w14:paraId="49E24C53">
            <w:pPr>
              <w:spacing w:line="440" w:lineRule="exact"/>
              <w:ind w:firstLine="500" w:firstLineChars="200"/>
              <w:jc w:val="center"/>
              <w:rPr>
                <w:rFonts w:ascii="宋体" w:hAnsi="宋体" w:cs="宋体"/>
                <w:b/>
                <w:bCs/>
                <w:color w:val="auto"/>
                <w:sz w:val="24"/>
                <w:szCs w:val="24"/>
                <w:highlight w:val="none"/>
              </w:rPr>
            </w:pPr>
          </w:p>
        </w:tc>
        <w:tc>
          <w:tcPr>
            <w:tcW w:w="1355" w:type="dxa"/>
            <w:tcBorders>
              <w:tl2br w:val="nil"/>
              <w:tr2bl w:val="nil"/>
            </w:tcBorders>
            <w:vAlign w:val="center"/>
          </w:tcPr>
          <w:p w14:paraId="04B540E2">
            <w:pPr>
              <w:spacing w:line="440" w:lineRule="exact"/>
              <w:ind w:firstLine="500" w:firstLineChars="200"/>
              <w:jc w:val="center"/>
              <w:rPr>
                <w:rFonts w:ascii="宋体" w:hAnsi="宋体" w:cs="宋体"/>
                <w:b/>
                <w:bCs/>
                <w:color w:val="auto"/>
                <w:sz w:val="24"/>
                <w:szCs w:val="24"/>
                <w:highlight w:val="none"/>
              </w:rPr>
            </w:pPr>
          </w:p>
        </w:tc>
      </w:tr>
      <w:tr w14:paraId="6B99AA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l2br w:val="nil"/>
              <w:tr2bl w:val="nil"/>
            </w:tcBorders>
            <w:tcMar>
              <w:top w:w="57" w:type="dxa"/>
              <w:left w:w="28" w:type="dxa"/>
              <w:bottom w:w="57" w:type="dxa"/>
              <w:right w:w="28" w:type="dxa"/>
            </w:tcMar>
            <w:vAlign w:val="center"/>
          </w:tcPr>
          <w:p w14:paraId="4F190053">
            <w:pPr>
              <w:spacing w:line="440" w:lineRule="exact"/>
              <w:ind w:firstLine="500" w:firstLineChars="200"/>
              <w:jc w:val="center"/>
              <w:rPr>
                <w:rFonts w:ascii="宋体" w:hAnsi="宋体" w:cs="宋体"/>
                <w:color w:val="auto"/>
                <w:sz w:val="24"/>
                <w:szCs w:val="24"/>
                <w:highlight w:val="none"/>
              </w:rPr>
            </w:pPr>
          </w:p>
        </w:tc>
        <w:tc>
          <w:tcPr>
            <w:tcW w:w="2523" w:type="dxa"/>
            <w:tcBorders>
              <w:tl2br w:val="nil"/>
              <w:tr2bl w:val="nil"/>
            </w:tcBorders>
            <w:tcMar>
              <w:top w:w="57" w:type="dxa"/>
              <w:left w:w="28" w:type="dxa"/>
              <w:bottom w:w="57" w:type="dxa"/>
              <w:right w:w="28" w:type="dxa"/>
            </w:tcMar>
            <w:vAlign w:val="center"/>
          </w:tcPr>
          <w:p w14:paraId="47324A0E">
            <w:pPr>
              <w:spacing w:line="440" w:lineRule="exact"/>
              <w:ind w:firstLine="500" w:firstLineChars="200"/>
              <w:jc w:val="center"/>
              <w:rPr>
                <w:rFonts w:ascii="宋体" w:hAnsi="宋体" w:cs="宋体"/>
                <w:color w:val="auto"/>
                <w:sz w:val="24"/>
                <w:szCs w:val="24"/>
                <w:highlight w:val="none"/>
              </w:rPr>
            </w:pPr>
          </w:p>
        </w:tc>
        <w:tc>
          <w:tcPr>
            <w:tcW w:w="2544" w:type="dxa"/>
            <w:tcBorders>
              <w:tl2br w:val="nil"/>
              <w:tr2bl w:val="nil"/>
            </w:tcBorders>
            <w:tcMar>
              <w:top w:w="57" w:type="dxa"/>
              <w:left w:w="28" w:type="dxa"/>
              <w:bottom w:w="57" w:type="dxa"/>
              <w:right w:w="28" w:type="dxa"/>
            </w:tcMar>
            <w:vAlign w:val="center"/>
          </w:tcPr>
          <w:p w14:paraId="43BC08F0">
            <w:pPr>
              <w:spacing w:line="440" w:lineRule="exact"/>
              <w:ind w:firstLine="500" w:firstLineChars="200"/>
              <w:jc w:val="center"/>
              <w:rPr>
                <w:rFonts w:ascii="宋体" w:hAnsi="宋体" w:cs="宋体"/>
                <w:color w:val="auto"/>
                <w:sz w:val="24"/>
                <w:szCs w:val="24"/>
                <w:highlight w:val="none"/>
              </w:rPr>
            </w:pPr>
          </w:p>
        </w:tc>
        <w:tc>
          <w:tcPr>
            <w:tcW w:w="1554" w:type="dxa"/>
            <w:tcBorders>
              <w:tl2br w:val="nil"/>
              <w:tr2bl w:val="nil"/>
            </w:tcBorders>
            <w:tcMar>
              <w:top w:w="57" w:type="dxa"/>
              <w:left w:w="28" w:type="dxa"/>
              <w:bottom w:w="57" w:type="dxa"/>
              <w:right w:w="28" w:type="dxa"/>
            </w:tcMar>
            <w:vAlign w:val="center"/>
          </w:tcPr>
          <w:p w14:paraId="0AA4F0A9">
            <w:pPr>
              <w:spacing w:line="440" w:lineRule="exact"/>
              <w:ind w:firstLine="500" w:firstLineChars="200"/>
              <w:jc w:val="center"/>
              <w:rPr>
                <w:rFonts w:ascii="宋体" w:hAnsi="宋体" w:cs="宋体"/>
                <w:color w:val="auto"/>
                <w:sz w:val="24"/>
                <w:szCs w:val="24"/>
                <w:highlight w:val="none"/>
              </w:rPr>
            </w:pPr>
          </w:p>
        </w:tc>
        <w:tc>
          <w:tcPr>
            <w:tcW w:w="1355" w:type="dxa"/>
            <w:tcBorders>
              <w:tl2br w:val="nil"/>
              <w:tr2bl w:val="nil"/>
            </w:tcBorders>
            <w:vAlign w:val="center"/>
          </w:tcPr>
          <w:p w14:paraId="5E0036B6">
            <w:pPr>
              <w:spacing w:line="440" w:lineRule="exact"/>
              <w:ind w:firstLine="500" w:firstLineChars="200"/>
              <w:jc w:val="center"/>
              <w:rPr>
                <w:rFonts w:ascii="宋体" w:hAnsi="宋体" w:cs="宋体"/>
                <w:color w:val="auto"/>
                <w:sz w:val="24"/>
                <w:szCs w:val="24"/>
                <w:highlight w:val="none"/>
              </w:rPr>
            </w:pPr>
          </w:p>
        </w:tc>
      </w:tr>
      <w:tr w14:paraId="10032B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l2br w:val="nil"/>
              <w:tr2bl w:val="nil"/>
            </w:tcBorders>
            <w:tcMar>
              <w:top w:w="57" w:type="dxa"/>
              <w:left w:w="28" w:type="dxa"/>
              <w:bottom w:w="57" w:type="dxa"/>
              <w:right w:w="28" w:type="dxa"/>
            </w:tcMar>
            <w:vAlign w:val="center"/>
          </w:tcPr>
          <w:p w14:paraId="2DBDEFEE">
            <w:pPr>
              <w:spacing w:line="440" w:lineRule="exact"/>
              <w:ind w:firstLine="500" w:firstLineChars="200"/>
              <w:jc w:val="center"/>
              <w:rPr>
                <w:rFonts w:ascii="宋体" w:hAnsi="宋体" w:cs="宋体"/>
                <w:color w:val="auto"/>
                <w:sz w:val="24"/>
                <w:szCs w:val="24"/>
                <w:highlight w:val="none"/>
              </w:rPr>
            </w:pPr>
          </w:p>
        </w:tc>
        <w:tc>
          <w:tcPr>
            <w:tcW w:w="2523" w:type="dxa"/>
            <w:tcBorders>
              <w:tl2br w:val="nil"/>
              <w:tr2bl w:val="nil"/>
            </w:tcBorders>
            <w:tcMar>
              <w:top w:w="57" w:type="dxa"/>
              <w:left w:w="28" w:type="dxa"/>
              <w:bottom w:w="57" w:type="dxa"/>
              <w:right w:w="28" w:type="dxa"/>
            </w:tcMar>
            <w:vAlign w:val="center"/>
          </w:tcPr>
          <w:p w14:paraId="11312B82">
            <w:pPr>
              <w:spacing w:line="440" w:lineRule="exact"/>
              <w:ind w:firstLine="500" w:firstLineChars="200"/>
              <w:jc w:val="center"/>
              <w:rPr>
                <w:rFonts w:ascii="宋体" w:hAnsi="宋体" w:cs="宋体"/>
                <w:color w:val="auto"/>
                <w:sz w:val="24"/>
                <w:szCs w:val="24"/>
                <w:highlight w:val="none"/>
              </w:rPr>
            </w:pPr>
          </w:p>
        </w:tc>
        <w:tc>
          <w:tcPr>
            <w:tcW w:w="2544" w:type="dxa"/>
            <w:tcBorders>
              <w:tl2br w:val="nil"/>
              <w:tr2bl w:val="nil"/>
            </w:tcBorders>
            <w:tcMar>
              <w:top w:w="57" w:type="dxa"/>
              <w:left w:w="28" w:type="dxa"/>
              <w:bottom w:w="57" w:type="dxa"/>
              <w:right w:w="28" w:type="dxa"/>
            </w:tcMar>
            <w:vAlign w:val="center"/>
          </w:tcPr>
          <w:p w14:paraId="430C2382">
            <w:pPr>
              <w:spacing w:line="440" w:lineRule="exact"/>
              <w:ind w:firstLine="500" w:firstLineChars="200"/>
              <w:jc w:val="center"/>
              <w:rPr>
                <w:rFonts w:ascii="宋体" w:hAnsi="宋体" w:cs="宋体"/>
                <w:color w:val="auto"/>
                <w:sz w:val="24"/>
                <w:szCs w:val="24"/>
                <w:highlight w:val="none"/>
              </w:rPr>
            </w:pPr>
          </w:p>
        </w:tc>
        <w:tc>
          <w:tcPr>
            <w:tcW w:w="1554" w:type="dxa"/>
            <w:tcBorders>
              <w:tl2br w:val="nil"/>
              <w:tr2bl w:val="nil"/>
            </w:tcBorders>
            <w:tcMar>
              <w:top w:w="57" w:type="dxa"/>
              <w:left w:w="28" w:type="dxa"/>
              <w:bottom w:w="57" w:type="dxa"/>
              <w:right w:w="28" w:type="dxa"/>
            </w:tcMar>
            <w:vAlign w:val="center"/>
          </w:tcPr>
          <w:p w14:paraId="1B0FD8C4">
            <w:pPr>
              <w:spacing w:line="440" w:lineRule="exact"/>
              <w:ind w:firstLine="500" w:firstLineChars="200"/>
              <w:jc w:val="center"/>
              <w:rPr>
                <w:rFonts w:ascii="宋体" w:hAnsi="宋体" w:cs="宋体"/>
                <w:color w:val="auto"/>
                <w:sz w:val="24"/>
                <w:szCs w:val="24"/>
                <w:highlight w:val="none"/>
              </w:rPr>
            </w:pPr>
          </w:p>
        </w:tc>
        <w:tc>
          <w:tcPr>
            <w:tcW w:w="1355" w:type="dxa"/>
            <w:tcBorders>
              <w:tl2br w:val="nil"/>
              <w:tr2bl w:val="nil"/>
            </w:tcBorders>
            <w:vAlign w:val="center"/>
          </w:tcPr>
          <w:p w14:paraId="3212342E">
            <w:pPr>
              <w:spacing w:line="440" w:lineRule="exact"/>
              <w:ind w:firstLine="500" w:firstLineChars="200"/>
              <w:jc w:val="center"/>
              <w:rPr>
                <w:rFonts w:ascii="宋体" w:hAnsi="宋体" w:cs="宋体"/>
                <w:color w:val="auto"/>
                <w:sz w:val="24"/>
                <w:szCs w:val="24"/>
                <w:highlight w:val="none"/>
              </w:rPr>
            </w:pPr>
          </w:p>
        </w:tc>
      </w:tr>
      <w:tr w14:paraId="09F578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l2br w:val="nil"/>
              <w:tr2bl w:val="nil"/>
            </w:tcBorders>
            <w:tcMar>
              <w:top w:w="57" w:type="dxa"/>
              <w:left w:w="28" w:type="dxa"/>
              <w:bottom w:w="57" w:type="dxa"/>
              <w:right w:w="28" w:type="dxa"/>
            </w:tcMar>
            <w:vAlign w:val="center"/>
          </w:tcPr>
          <w:p w14:paraId="43954667">
            <w:pPr>
              <w:spacing w:line="440" w:lineRule="exact"/>
              <w:ind w:firstLine="500" w:firstLineChars="200"/>
              <w:jc w:val="center"/>
              <w:rPr>
                <w:rFonts w:ascii="宋体" w:hAnsi="宋体" w:cs="宋体"/>
                <w:color w:val="auto"/>
                <w:sz w:val="24"/>
                <w:szCs w:val="24"/>
                <w:highlight w:val="none"/>
              </w:rPr>
            </w:pPr>
          </w:p>
        </w:tc>
        <w:tc>
          <w:tcPr>
            <w:tcW w:w="2523" w:type="dxa"/>
            <w:tcBorders>
              <w:tl2br w:val="nil"/>
              <w:tr2bl w:val="nil"/>
            </w:tcBorders>
            <w:tcMar>
              <w:top w:w="57" w:type="dxa"/>
              <w:left w:w="28" w:type="dxa"/>
              <w:bottom w:w="57" w:type="dxa"/>
              <w:right w:w="28" w:type="dxa"/>
            </w:tcMar>
            <w:vAlign w:val="center"/>
          </w:tcPr>
          <w:p w14:paraId="5E73855A">
            <w:pPr>
              <w:spacing w:line="440" w:lineRule="exact"/>
              <w:ind w:firstLine="500" w:firstLineChars="200"/>
              <w:jc w:val="center"/>
              <w:rPr>
                <w:rFonts w:ascii="宋体" w:hAnsi="宋体" w:cs="宋体"/>
                <w:color w:val="auto"/>
                <w:sz w:val="24"/>
                <w:szCs w:val="24"/>
                <w:highlight w:val="none"/>
              </w:rPr>
            </w:pPr>
          </w:p>
        </w:tc>
        <w:tc>
          <w:tcPr>
            <w:tcW w:w="2544" w:type="dxa"/>
            <w:tcBorders>
              <w:tl2br w:val="nil"/>
              <w:tr2bl w:val="nil"/>
            </w:tcBorders>
            <w:tcMar>
              <w:top w:w="57" w:type="dxa"/>
              <w:left w:w="28" w:type="dxa"/>
              <w:bottom w:w="57" w:type="dxa"/>
              <w:right w:w="28" w:type="dxa"/>
            </w:tcMar>
            <w:vAlign w:val="center"/>
          </w:tcPr>
          <w:p w14:paraId="7C26A520">
            <w:pPr>
              <w:spacing w:line="440" w:lineRule="exact"/>
              <w:ind w:firstLine="500" w:firstLineChars="200"/>
              <w:jc w:val="center"/>
              <w:rPr>
                <w:rFonts w:ascii="宋体" w:hAnsi="宋体" w:cs="宋体"/>
                <w:color w:val="auto"/>
                <w:sz w:val="24"/>
                <w:szCs w:val="24"/>
                <w:highlight w:val="none"/>
              </w:rPr>
            </w:pPr>
          </w:p>
        </w:tc>
        <w:tc>
          <w:tcPr>
            <w:tcW w:w="1554" w:type="dxa"/>
            <w:tcBorders>
              <w:tl2br w:val="nil"/>
              <w:tr2bl w:val="nil"/>
            </w:tcBorders>
            <w:tcMar>
              <w:top w:w="57" w:type="dxa"/>
              <w:left w:w="28" w:type="dxa"/>
              <w:bottom w:w="57" w:type="dxa"/>
              <w:right w:w="28" w:type="dxa"/>
            </w:tcMar>
            <w:vAlign w:val="center"/>
          </w:tcPr>
          <w:p w14:paraId="0882B2DD">
            <w:pPr>
              <w:spacing w:line="440" w:lineRule="exact"/>
              <w:ind w:firstLine="500" w:firstLineChars="200"/>
              <w:jc w:val="center"/>
              <w:rPr>
                <w:rFonts w:ascii="宋体" w:hAnsi="宋体" w:cs="宋体"/>
                <w:color w:val="auto"/>
                <w:sz w:val="24"/>
                <w:szCs w:val="24"/>
                <w:highlight w:val="none"/>
              </w:rPr>
            </w:pPr>
          </w:p>
        </w:tc>
        <w:tc>
          <w:tcPr>
            <w:tcW w:w="1355" w:type="dxa"/>
            <w:tcBorders>
              <w:tl2br w:val="nil"/>
              <w:tr2bl w:val="nil"/>
            </w:tcBorders>
            <w:vAlign w:val="center"/>
          </w:tcPr>
          <w:p w14:paraId="0F5E7A69">
            <w:pPr>
              <w:spacing w:line="440" w:lineRule="exact"/>
              <w:ind w:firstLine="500" w:firstLineChars="200"/>
              <w:jc w:val="center"/>
              <w:rPr>
                <w:rFonts w:ascii="宋体" w:hAnsi="宋体" w:cs="宋体"/>
                <w:color w:val="auto"/>
                <w:sz w:val="24"/>
                <w:szCs w:val="24"/>
                <w:highlight w:val="none"/>
              </w:rPr>
            </w:pPr>
          </w:p>
        </w:tc>
      </w:tr>
      <w:tr w14:paraId="363025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l2br w:val="nil"/>
              <w:tr2bl w:val="nil"/>
            </w:tcBorders>
            <w:tcMar>
              <w:top w:w="57" w:type="dxa"/>
              <w:left w:w="28" w:type="dxa"/>
              <w:bottom w:w="57" w:type="dxa"/>
              <w:right w:w="28" w:type="dxa"/>
            </w:tcMar>
            <w:vAlign w:val="center"/>
          </w:tcPr>
          <w:p w14:paraId="2122E2E3">
            <w:pPr>
              <w:spacing w:line="440" w:lineRule="exact"/>
              <w:ind w:firstLine="500" w:firstLineChars="200"/>
              <w:jc w:val="center"/>
              <w:rPr>
                <w:rFonts w:ascii="宋体" w:hAnsi="宋体" w:cs="宋体"/>
                <w:color w:val="auto"/>
                <w:sz w:val="24"/>
                <w:szCs w:val="24"/>
                <w:highlight w:val="none"/>
              </w:rPr>
            </w:pPr>
          </w:p>
        </w:tc>
        <w:tc>
          <w:tcPr>
            <w:tcW w:w="2523" w:type="dxa"/>
            <w:tcBorders>
              <w:tl2br w:val="nil"/>
              <w:tr2bl w:val="nil"/>
            </w:tcBorders>
            <w:tcMar>
              <w:top w:w="57" w:type="dxa"/>
              <w:left w:w="28" w:type="dxa"/>
              <w:bottom w:w="57" w:type="dxa"/>
              <w:right w:w="28" w:type="dxa"/>
            </w:tcMar>
            <w:vAlign w:val="center"/>
          </w:tcPr>
          <w:p w14:paraId="34B8F373">
            <w:pPr>
              <w:spacing w:line="440" w:lineRule="exact"/>
              <w:ind w:firstLine="500" w:firstLineChars="200"/>
              <w:jc w:val="center"/>
              <w:rPr>
                <w:rFonts w:ascii="宋体" w:hAnsi="宋体" w:cs="宋体"/>
                <w:color w:val="auto"/>
                <w:sz w:val="24"/>
                <w:szCs w:val="24"/>
                <w:highlight w:val="none"/>
              </w:rPr>
            </w:pPr>
          </w:p>
        </w:tc>
        <w:tc>
          <w:tcPr>
            <w:tcW w:w="2544" w:type="dxa"/>
            <w:tcBorders>
              <w:tl2br w:val="nil"/>
              <w:tr2bl w:val="nil"/>
            </w:tcBorders>
            <w:tcMar>
              <w:top w:w="57" w:type="dxa"/>
              <w:left w:w="28" w:type="dxa"/>
              <w:bottom w:w="57" w:type="dxa"/>
              <w:right w:w="28" w:type="dxa"/>
            </w:tcMar>
            <w:vAlign w:val="center"/>
          </w:tcPr>
          <w:p w14:paraId="433D7EEC">
            <w:pPr>
              <w:spacing w:line="440" w:lineRule="exact"/>
              <w:ind w:firstLine="500" w:firstLineChars="200"/>
              <w:jc w:val="center"/>
              <w:rPr>
                <w:rFonts w:ascii="宋体" w:hAnsi="宋体" w:cs="宋体"/>
                <w:color w:val="auto"/>
                <w:sz w:val="24"/>
                <w:szCs w:val="24"/>
                <w:highlight w:val="none"/>
              </w:rPr>
            </w:pPr>
          </w:p>
        </w:tc>
        <w:tc>
          <w:tcPr>
            <w:tcW w:w="1554" w:type="dxa"/>
            <w:tcBorders>
              <w:tl2br w:val="nil"/>
              <w:tr2bl w:val="nil"/>
            </w:tcBorders>
            <w:tcMar>
              <w:top w:w="57" w:type="dxa"/>
              <w:left w:w="28" w:type="dxa"/>
              <w:bottom w:w="57" w:type="dxa"/>
              <w:right w:w="28" w:type="dxa"/>
            </w:tcMar>
            <w:vAlign w:val="center"/>
          </w:tcPr>
          <w:p w14:paraId="09E1DDEE">
            <w:pPr>
              <w:spacing w:line="440" w:lineRule="exact"/>
              <w:ind w:firstLine="500" w:firstLineChars="200"/>
              <w:jc w:val="center"/>
              <w:rPr>
                <w:rFonts w:ascii="宋体" w:hAnsi="宋体" w:cs="宋体"/>
                <w:color w:val="auto"/>
                <w:sz w:val="24"/>
                <w:szCs w:val="24"/>
                <w:highlight w:val="none"/>
              </w:rPr>
            </w:pPr>
          </w:p>
        </w:tc>
        <w:tc>
          <w:tcPr>
            <w:tcW w:w="1355" w:type="dxa"/>
            <w:tcBorders>
              <w:tl2br w:val="nil"/>
              <w:tr2bl w:val="nil"/>
            </w:tcBorders>
            <w:vAlign w:val="center"/>
          </w:tcPr>
          <w:p w14:paraId="6F71F1A2">
            <w:pPr>
              <w:spacing w:line="440" w:lineRule="exact"/>
              <w:ind w:firstLine="500" w:firstLineChars="200"/>
              <w:jc w:val="center"/>
              <w:rPr>
                <w:rFonts w:ascii="宋体" w:hAnsi="宋体" w:cs="宋体"/>
                <w:color w:val="auto"/>
                <w:sz w:val="24"/>
                <w:szCs w:val="24"/>
                <w:highlight w:val="none"/>
              </w:rPr>
            </w:pPr>
          </w:p>
        </w:tc>
      </w:tr>
    </w:tbl>
    <w:p w14:paraId="4D85B7C8">
      <w:pPr>
        <w:spacing w:line="400" w:lineRule="exac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注：</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本表只填写有偏离的情况。</w:t>
      </w:r>
    </w:p>
    <w:p w14:paraId="09865FA9">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500" w:firstLineChars="200"/>
        <w:jc w:val="left"/>
        <w:textAlignment w:val="auto"/>
        <w:rPr>
          <w:rFonts w:hint="eastAsia" w:ascii="宋体" w:hAnsi="宋体" w:cs="宋体"/>
          <w:b/>
          <w:bCs/>
          <w:sz w:val="24"/>
          <w:szCs w:val="24"/>
          <w:highlight w:val="none"/>
        </w:rPr>
      </w:pPr>
      <w:r>
        <w:rPr>
          <w:rFonts w:hint="eastAsia" w:ascii="宋体" w:hAnsi="宋体" w:cs="宋体"/>
          <w:b/>
          <w:bCs/>
          <w:color w:val="auto"/>
          <w:sz w:val="24"/>
          <w:szCs w:val="24"/>
          <w:highlight w:val="none"/>
          <w:lang w:val="en-US" w:eastAsia="zh-CN"/>
        </w:rPr>
        <w:t>2.对应磋商文件“第三部分采购内容及要求”中“商务要求”的所有要求，除本表所列出偏离外，均视为供应商响应其余全部商务要求；如供应商响应招标文件所有商务要求的，可提交空白表，但盖章签字需齐全。</w:t>
      </w:r>
    </w:p>
    <w:p w14:paraId="4072A982">
      <w:pPr>
        <w:spacing w:line="440" w:lineRule="exact"/>
        <w:rPr>
          <w:rFonts w:ascii="宋体" w:hAnsi="宋体" w:cs="宋体"/>
          <w:color w:val="auto"/>
          <w:sz w:val="24"/>
          <w:szCs w:val="24"/>
          <w:highlight w:val="none"/>
        </w:rPr>
      </w:pPr>
    </w:p>
    <w:p w14:paraId="349BEED6">
      <w:pPr>
        <w:spacing w:line="440" w:lineRule="exact"/>
        <w:ind w:firstLine="3750" w:firstLineChars="1500"/>
        <w:rPr>
          <w:rFonts w:ascii="宋体" w:hAnsi="宋体" w:cs="宋体"/>
          <w:color w:val="auto"/>
          <w:sz w:val="24"/>
          <w:szCs w:val="24"/>
          <w:highlight w:val="none"/>
        </w:rPr>
      </w:pPr>
      <w:r>
        <w:rPr>
          <w:rFonts w:hint="eastAsia" w:ascii="宋体" w:hAnsi="宋体" w:cs="宋体"/>
          <w:color w:val="auto"/>
          <w:sz w:val="24"/>
          <w:szCs w:val="24"/>
          <w:highlight w:val="none"/>
        </w:rPr>
        <w:t>供应商名称：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（公章） </w:t>
      </w:r>
    </w:p>
    <w:p w14:paraId="40AFEA5C">
      <w:pPr>
        <w:spacing w:line="440" w:lineRule="exact"/>
        <w:ind w:firstLine="4500" w:firstLineChars="18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4923B21">
      <w:pPr>
        <w:spacing w:line="440" w:lineRule="exact"/>
        <w:ind w:firstLine="3750" w:firstLineChars="1500"/>
        <w:rPr>
          <w:rFonts w:ascii="宋体" w:hAnsi="宋体" w:cs="宋体"/>
          <w:color w:val="auto"/>
          <w:sz w:val="24"/>
          <w:szCs w:val="24"/>
          <w:highlight w:val="none"/>
        </w:rPr>
      </w:pPr>
      <w:r>
        <w:rPr>
          <w:rFonts w:hint="eastAsia" w:ascii="宋体" w:hAnsi="宋体" w:cs="宋体"/>
          <w:color w:val="auto"/>
          <w:sz w:val="24"/>
          <w:szCs w:val="24"/>
          <w:highlight w:val="none"/>
        </w:rPr>
        <w:t>法定代表人或</w:t>
      </w:r>
    </w:p>
    <w:p w14:paraId="1FCD134E">
      <w:pPr>
        <w:spacing w:line="440" w:lineRule="exact"/>
        <w:ind w:firstLine="3750" w:firstLineChars="1500"/>
        <w:rPr>
          <w:rFonts w:ascii="宋体" w:hAnsi="宋体" w:cs="宋体"/>
          <w:color w:val="auto"/>
          <w:sz w:val="24"/>
          <w:szCs w:val="24"/>
          <w:highlight w:val="none"/>
        </w:rPr>
      </w:pPr>
      <w:r>
        <w:rPr>
          <w:rFonts w:hint="eastAsia" w:ascii="宋体" w:hAnsi="宋体" w:cs="宋体"/>
          <w:color w:val="auto"/>
          <w:sz w:val="24"/>
          <w:szCs w:val="24"/>
          <w:highlight w:val="none"/>
        </w:rPr>
        <w:t>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52891D24">
      <w:pPr>
        <w:pStyle w:val="47"/>
        <w:ind w:firstLine="442"/>
        <w:rPr>
          <w:color w:val="auto"/>
          <w:sz w:val="24"/>
          <w:szCs w:val="24"/>
          <w:highlight w:val="none"/>
        </w:rPr>
      </w:pPr>
    </w:p>
    <w:p w14:paraId="2C326A9D">
      <w:pPr>
        <w:ind w:firstLine="3750" w:firstLineChars="1500"/>
        <w:rPr>
          <w:rFonts w:hint="eastAsia"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68090B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1"/>
        <w:rPr>
          <w:rFonts w:hint="eastAsia" w:ascii="宋体" w:hAnsi="宋体" w:eastAsia="宋体" w:cs="宋体"/>
          <w:b/>
          <w:color w:val="auto"/>
          <w:sz w:val="28"/>
          <w:szCs w:val="28"/>
          <w:highlight w:val="none"/>
        </w:rPr>
      </w:pPr>
      <w:r>
        <w:rPr>
          <w:rFonts w:hint="eastAsia" w:ascii="宋体" w:hAnsi="宋体" w:cs="宋体"/>
          <w:b/>
          <w:bCs w:val="0"/>
          <w:color w:val="auto"/>
          <w:sz w:val="28"/>
          <w:szCs w:val="28"/>
          <w:highlight w:val="none"/>
          <w:lang w:eastAsia="zh-CN"/>
        </w:rPr>
        <w:t>四、</w:t>
      </w:r>
      <w:r>
        <w:rPr>
          <w:rFonts w:hint="eastAsia" w:ascii="宋体" w:hAnsi="宋体" w:eastAsia="宋体" w:cs="宋体"/>
          <w:b/>
          <w:bCs w:val="0"/>
          <w:color w:val="auto"/>
          <w:sz w:val="28"/>
          <w:szCs w:val="28"/>
          <w:highlight w:val="none"/>
          <w:lang w:eastAsia="zh-CN"/>
        </w:rPr>
        <w:t>磋商保证</w:t>
      </w:r>
      <w:bookmarkEnd w:id="62"/>
      <w:r>
        <w:rPr>
          <w:rFonts w:hint="eastAsia" w:ascii="宋体" w:hAnsi="宋体" w:cs="宋体"/>
          <w:b/>
          <w:bCs w:val="0"/>
          <w:color w:val="auto"/>
          <w:sz w:val="28"/>
          <w:szCs w:val="28"/>
          <w:highlight w:val="none"/>
          <w:lang w:eastAsia="zh-CN"/>
        </w:rPr>
        <w:t>金</w:t>
      </w:r>
    </w:p>
    <w:p w14:paraId="48E684E9">
      <w:pPr>
        <w:numPr>
          <w:ilvl w:val="0"/>
          <w:numId w:val="0"/>
        </w:numPr>
        <w:spacing w:line="560" w:lineRule="exact"/>
        <w:jc w:val="both"/>
        <w:rPr>
          <w:rFonts w:hint="eastAsia" w:ascii="宋体" w:hAnsi="宋体" w:eastAsia="宋体" w:cs="宋体"/>
          <w:b/>
          <w:color w:val="auto"/>
          <w:sz w:val="24"/>
          <w:szCs w:val="24"/>
          <w:highlight w:val="none"/>
        </w:rPr>
      </w:pPr>
    </w:p>
    <w:p w14:paraId="033BC0A9">
      <w:pPr>
        <w:tabs>
          <w:tab w:val="left" w:pos="1620"/>
          <w:tab w:val="left" w:pos="1800"/>
        </w:tabs>
        <w:spacing w:line="360" w:lineRule="auto"/>
        <w:ind w:firstLine="516" w:firstLineChars="200"/>
        <w:jc w:val="left"/>
        <w:rPr>
          <w:rFonts w:hint="eastAsia" w:ascii="宋体" w:hAnsi="宋体" w:cs="宋体"/>
          <w:bCs/>
          <w:spacing w:val="4"/>
          <w:sz w:val="24"/>
          <w:szCs w:val="24"/>
          <w:highlight w:val="none"/>
        </w:rPr>
      </w:pPr>
      <w:r>
        <w:rPr>
          <w:rFonts w:hint="eastAsia" w:ascii="宋体" w:hAnsi="宋体" w:cs="宋体"/>
          <w:bCs/>
          <w:spacing w:val="4"/>
          <w:sz w:val="24"/>
          <w:szCs w:val="24"/>
          <w:highlight w:val="none"/>
        </w:rPr>
        <w:t>保证金转账凭证及</w:t>
      </w:r>
      <w:r>
        <w:rPr>
          <w:rStyle w:val="94"/>
          <w:rFonts w:hint="eastAsia" w:ascii="宋体" w:hAnsi="宋体" w:cs="宋体"/>
          <w:sz w:val="24"/>
          <w:szCs w:val="24"/>
          <w:highlight w:val="none"/>
        </w:rPr>
        <w:t>基本存款账户开户许可证（或基本存款账户信息）</w:t>
      </w:r>
      <w:r>
        <w:rPr>
          <w:rFonts w:hint="eastAsia" w:ascii="宋体" w:hAnsi="宋体" w:cs="宋体"/>
          <w:bCs/>
          <w:spacing w:val="4"/>
          <w:sz w:val="24"/>
          <w:szCs w:val="24"/>
          <w:highlight w:val="none"/>
        </w:rPr>
        <w:t>复印件</w:t>
      </w:r>
      <w:r>
        <w:rPr>
          <w:rFonts w:hint="eastAsia" w:ascii="宋体" w:hAnsi="宋体" w:cs="宋体"/>
          <w:bCs/>
          <w:spacing w:val="4"/>
          <w:sz w:val="24"/>
          <w:szCs w:val="24"/>
          <w:highlight w:val="none"/>
          <w:lang w:eastAsia="zh-CN"/>
        </w:rPr>
        <w:t>（</w:t>
      </w:r>
      <w:r>
        <w:rPr>
          <w:rFonts w:hint="eastAsia" w:ascii="宋体" w:hAnsi="宋体" w:cs="宋体"/>
          <w:bCs/>
          <w:spacing w:val="4"/>
          <w:sz w:val="24"/>
          <w:szCs w:val="24"/>
          <w:highlight w:val="none"/>
        </w:rPr>
        <w:t>加盖单位公章</w:t>
      </w:r>
      <w:r>
        <w:rPr>
          <w:rFonts w:hint="eastAsia" w:ascii="宋体" w:hAnsi="宋体" w:cs="宋体"/>
          <w:bCs/>
          <w:spacing w:val="4"/>
          <w:sz w:val="24"/>
          <w:szCs w:val="24"/>
          <w:highlight w:val="none"/>
          <w:lang w:eastAsia="zh-CN"/>
        </w:rPr>
        <w:t>）</w:t>
      </w:r>
      <w:r>
        <w:rPr>
          <w:rFonts w:hint="eastAsia" w:ascii="宋体" w:hAnsi="宋体" w:cs="宋体"/>
          <w:bCs/>
          <w:spacing w:val="4"/>
          <w:sz w:val="24"/>
          <w:szCs w:val="24"/>
          <w:highlight w:val="none"/>
        </w:rPr>
        <w:t>或担保机构出具的保函正本复印件</w:t>
      </w:r>
      <w:r>
        <w:rPr>
          <w:rFonts w:hint="eastAsia" w:ascii="宋体" w:hAnsi="宋体" w:cs="宋体"/>
          <w:bCs/>
          <w:spacing w:val="4"/>
          <w:sz w:val="24"/>
          <w:szCs w:val="24"/>
          <w:highlight w:val="none"/>
          <w:lang w:eastAsia="zh-CN"/>
        </w:rPr>
        <w:t>（</w:t>
      </w:r>
      <w:r>
        <w:rPr>
          <w:rFonts w:hint="eastAsia" w:ascii="宋体" w:hAnsi="宋体" w:cs="宋体"/>
          <w:bCs/>
          <w:spacing w:val="4"/>
          <w:sz w:val="24"/>
          <w:szCs w:val="24"/>
          <w:highlight w:val="none"/>
        </w:rPr>
        <w:t>加盖单位公章</w:t>
      </w:r>
      <w:r>
        <w:rPr>
          <w:rFonts w:hint="eastAsia" w:ascii="宋体" w:hAnsi="宋体" w:cs="宋体"/>
          <w:bCs/>
          <w:spacing w:val="4"/>
          <w:sz w:val="24"/>
          <w:szCs w:val="24"/>
          <w:highlight w:val="none"/>
          <w:lang w:eastAsia="zh-CN"/>
        </w:rPr>
        <w:t>）或银行</w:t>
      </w:r>
      <w:r>
        <w:rPr>
          <w:rFonts w:hint="eastAsia" w:ascii="宋体" w:hAnsi="宋体" w:cs="宋体"/>
          <w:bCs/>
          <w:spacing w:val="4"/>
          <w:sz w:val="24"/>
          <w:szCs w:val="24"/>
          <w:highlight w:val="none"/>
        </w:rPr>
        <w:t>保函正本复印件</w:t>
      </w:r>
      <w:r>
        <w:rPr>
          <w:rFonts w:hint="eastAsia" w:ascii="宋体" w:hAnsi="宋体" w:cs="宋体"/>
          <w:bCs/>
          <w:spacing w:val="4"/>
          <w:sz w:val="24"/>
          <w:szCs w:val="24"/>
          <w:highlight w:val="none"/>
          <w:lang w:eastAsia="zh-CN"/>
        </w:rPr>
        <w:t>（</w:t>
      </w:r>
      <w:r>
        <w:rPr>
          <w:rFonts w:hint="eastAsia" w:ascii="宋体" w:hAnsi="宋体" w:cs="宋体"/>
          <w:bCs/>
          <w:spacing w:val="4"/>
          <w:sz w:val="24"/>
          <w:szCs w:val="24"/>
          <w:highlight w:val="none"/>
        </w:rPr>
        <w:t>加盖单位公章</w:t>
      </w:r>
      <w:r>
        <w:rPr>
          <w:rFonts w:hint="eastAsia" w:ascii="宋体" w:hAnsi="宋体" w:cs="宋体"/>
          <w:bCs/>
          <w:spacing w:val="4"/>
          <w:sz w:val="24"/>
          <w:szCs w:val="24"/>
          <w:highlight w:val="none"/>
          <w:lang w:eastAsia="zh-CN"/>
        </w:rPr>
        <w:t>）或</w:t>
      </w:r>
      <w:r>
        <w:rPr>
          <w:rFonts w:hint="eastAsia" w:ascii="宋体" w:hAnsi="宋体" w:cs="宋体"/>
          <w:bCs/>
          <w:spacing w:val="4"/>
          <w:sz w:val="24"/>
          <w:szCs w:val="24"/>
          <w:highlight w:val="none"/>
          <w:lang w:val="en-US" w:eastAsia="zh-CN"/>
        </w:rPr>
        <w:t>交易保证金信用承诺书</w:t>
      </w:r>
    </w:p>
    <w:p w14:paraId="0B46B8E4">
      <w:pPr>
        <w:pStyle w:val="4"/>
        <w:spacing w:line="560" w:lineRule="exact"/>
        <w:jc w:val="left"/>
        <w:rPr>
          <w:rFonts w:hint="eastAsia" w:ascii="宋体" w:hAnsi="宋体" w:eastAsia="宋体" w:cs="宋体"/>
          <w:color w:val="auto"/>
          <w:sz w:val="24"/>
          <w:szCs w:val="24"/>
          <w:highlight w:val="none"/>
        </w:rPr>
      </w:pPr>
    </w:p>
    <w:p w14:paraId="69B70B6A">
      <w:pPr>
        <w:pStyle w:val="16"/>
        <w:spacing w:line="520" w:lineRule="exact"/>
        <w:rPr>
          <w:rFonts w:hint="eastAsia" w:ascii="宋体" w:hAnsi="宋体" w:eastAsia="宋体" w:cs="宋体"/>
          <w:color w:val="auto"/>
          <w:sz w:val="24"/>
          <w:szCs w:val="24"/>
          <w:highlight w:val="none"/>
        </w:rPr>
      </w:pPr>
    </w:p>
    <w:p w14:paraId="7DA96CF9">
      <w:pPr>
        <w:rPr>
          <w:rFonts w:hint="eastAsia" w:ascii="宋体" w:hAnsi="宋体" w:eastAsia="宋体" w:cs="宋体"/>
          <w:b/>
          <w:color w:val="auto"/>
          <w:sz w:val="24"/>
          <w:szCs w:val="24"/>
          <w:highlight w:val="none"/>
          <w:lang w:eastAsia="zh-CN"/>
        </w:rPr>
      </w:pPr>
    </w:p>
    <w:p w14:paraId="33D4D6DB">
      <w:pPr>
        <w:rPr>
          <w:rFonts w:hint="eastAsia" w:ascii="宋体" w:hAnsi="宋体" w:eastAsia="宋体" w:cs="宋体"/>
          <w:b/>
          <w:color w:val="auto"/>
          <w:sz w:val="24"/>
          <w:szCs w:val="24"/>
          <w:highlight w:val="none"/>
          <w:lang w:eastAsia="zh-CN"/>
        </w:rPr>
      </w:pPr>
    </w:p>
    <w:p w14:paraId="251C9D1E">
      <w:pPr>
        <w:rPr>
          <w:rFonts w:hint="eastAsia" w:ascii="宋体" w:hAnsi="宋体" w:eastAsia="宋体" w:cs="宋体"/>
          <w:b/>
          <w:color w:val="auto"/>
          <w:sz w:val="24"/>
          <w:szCs w:val="24"/>
          <w:highlight w:val="none"/>
          <w:lang w:eastAsia="zh-CN"/>
        </w:rPr>
      </w:pPr>
    </w:p>
    <w:p w14:paraId="605FB0F2">
      <w:pPr>
        <w:rPr>
          <w:rFonts w:hint="eastAsia" w:ascii="宋体" w:hAnsi="宋体" w:eastAsia="宋体" w:cs="宋体"/>
          <w:b/>
          <w:color w:val="auto"/>
          <w:sz w:val="24"/>
          <w:szCs w:val="24"/>
          <w:highlight w:val="none"/>
          <w:lang w:eastAsia="zh-CN"/>
        </w:rPr>
      </w:pPr>
    </w:p>
    <w:p w14:paraId="44B6C67C">
      <w:pPr>
        <w:rPr>
          <w:rFonts w:hint="eastAsia" w:ascii="宋体" w:hAnsi="宋体" w:eastAsia="宋体" w:cs="宋体"/>
          <w:b/>
          <w:color w:val="auto"/>
          <w:sz w:val="24"/>
          <w:szCs w:val="24"/>
          <w:highlight w:val="none"/>
          <w:lang w:eastAsia="zh-CN"/>
        </w:rPr>
      </w:pPr>
    </w:p>
    <w:p w14:paraId="3A855FD7">
      <w:pPr>
        <w:rPr>
          <w:rFonts w:hint="eastAsia" w:ascii="宋体" w:hAnsi="宋体" w:eastAsia="宋体" w:cs="宋体"/>
          <w:b/>
          <w:color w:val="auto"/>
          <w:sz w:val="24"/>
          <w:szCs w:val="24"/>
          <w:highlight w:val="none"/>
          <w:lang w:eastAsia="zh-CN"/>
        </w:rPr>
      </w:pPr>
    </w:p>
    <w:p w14:paraId="7CF04083">
      <w:pPr>
        <w:rPr>
          <w:rFonts w:hint="eastAsia" w:ascii="宋体" w:hAnsi="宋体" w:eastAsia="宋体" w:cs="宋体"/>
          <w:b/>
          <w:color w:val="auto"/>
          <w:sz w:val="24"/>
          <w:szCs w:val="24"/>
          <w:highlight w:val="none"/>
          <w:lang w:eastAsia="zh-CN"/>
        </w:rPr>
      </w:pPr>
    </w:p>
    <w:p w14:paraId="22A3552B">
      <w:pPr>
        <w:rPr>
          <w:rFonts w:hint="eastAsia" w:ascii="宋体" w:hAnsi="宋体" w:eastAsia="宋体" w:cs="宋体"/>
          <w:b/>
          <w:color w:val="auto"/>
          <w:sz w:val="24"/>
          <w:szCs w:val="24"/>
          <w:highlight w:val="none"/>
          <w:lang w:eastAsia="zh-CN"/>
        </w:rPr>
      </w:pPr>
    </w:p>
    <w:p w14:paraId="343F55FA">
      <w:pPr>
        <w:rPr>
          <w:rFonts w:hint="eastAsia" w:ascii="宋体" w:hAnsi="宋体" w:eastAsia="宋体" w:cs="宋体"/>
          <w:b/>
          <w:color w:val="auto"/>
          <w:sz w:val="24"/>
          <w:szCs w:val="24"/>
          <w:highlight w:val="none"/>
          <w:lang w:eastAsia="zh-CN"/>
        </w:rPr>
      </w:pPr>
    </w:p>
    <w:p w14:paraId="5F56F41B">
      <w:pPr>
        <w:rPr>
          <w:rFonts w:hint="eastAsia" w:ascii="宋体" w:hAnsi="宋体" w:eastAsia="宋体" w:cs="宋体"/>
          <w:b/>
          <w:color w:val="auto"/>
          <w:sz w:val="24"/>
          <w:szCs w:val="24"/>
          <w:highlight w:val="none"/>
          <w:lang w:eastAsia="zh-CN"/>
        </w:rPr>
      </w:pPr>
    </w:p>
    <w:p w14:paraId="30D2D281">
      <w:pPr>
        <w:rPr>
          <w:rFonts w:hint="eastAsia" w:ascii="宋体" w:hAnsi="宋体" w:eastAsia="宋体" w:cs="宋体"/>
          <w:b/>
          <w:color w:val="auto"/>
          <w:sz w:val="24"/>
          <w:szCs w:val="24"/>
          <w:highlight w:val="none"/>
          <w:lang w:eastAsia="zh-CN"/>
        </w:rPr>
      </w:pPr>
    </w:p>
    <w:p w14:paraId="23B07B16">
      <w:pPr>
        <w:rPr>
          <w:rFonts w:hint="eastAsia" w:ascii="宋体" w:hAnsi="宋体" w:eastAsia="宋体" w:cs="宋体"/>
          <w:b/>
          <w:color w:val="auto"/>
          <w:sz w:val="24"/>
          <w:szCs w:val="24"/>
          <w:highlight w:val="none"/>
          <w:lang w:eastAsia="zh-CN"/>
        </w:rPr>
      </w:pPr>
    </w:p>
    <w:p w14:paraId="6A0C71DA">
      <w:pPr>
        <w:rPr>
          <w:rFonts w:hint="eastAsia" w:ascii="宋体" w:hAnsi="宋体" w:eastAsia="宋体" w:cs="宋体"/>
          <w:b/>
          <w:color w:val="auto"/>
          <w:sz w:val="24"/>
          <w:szCs w:val="24"/>
          <w:highlight w:val="none"/>
          <w:lang w:eastAsia="zh-CN"/>
        </w:rPr>
      </w:pPr>
    </w:p>
    <w:p w14:paraId="0F83C1B2">
      <w:pPr>
        <w:rPr>
          <w:rFonts w:hint="eastAsia" w:ascii="宋体" w:hAnsi="宋体" w:eastAsia="宋体" w:cs="宋体"/>
          <w:b/>
          <w:color w:val="auto"/>
          <w:sz w:val="24"/>
          <w:szCs w:val="24"/>
          <w:highlight w:val="none"/>
          <w:lang w:eastAsia="zh-CN"/>
        </w:rPr>
      </w:pPr>
    </w:p>
    <w:p w14:paraId="5C064BA7">
      <w:pPr>
        <w:rPr>
          <w:rFonts w:hint="eastAsia" w:ascii="宋体" w:hAnsi="宋体" w:eastAsia="宋体" w:cs="宋体"/>
          <w:b/>
          <w:color w:val="auto"/>
          <w:sz w:val="24"/>
          <w:szCs w:val="24"/>
          <w:highlight w:val="none"/>
          <w:lang w:eastAsia="zh-CN"/>
        </w:rPr>
      </w:pPr>
    </w:p>
    <w:p w14:paraId="66BF24D9">
      <w:pPr>
        <w:rPr>
          <w:rFonts w:hint="eastAsia" w:ascii="宋体" w:hAnsi="宋体" w:eastAsia="宋体" w:cs="宋体"/>
          <w:b/>
          <w:color w:val="auto"/>
          <w:sz w:val="24"/>
          <w:szCs w:val="24"/>
          <w:highlight w:val="none"/>
          <w:lang w:eastAsia="zh-CN"/>
        </w:rPr>
      </w:pPr>
    </w:p>
    <w:p w14:paraId="0BB522E7">
      <w:pPr>
        <w:pStyle w:val="47"/>
        <w:rPr>
          <w:rFonts w:hint="eastAsia" w:ascii="宋体" w:hAnsi="宋体" w:eastAsia="宋体" w:cs="宋体"/>
          <w:b/>
          <w:color w:val="auto"/>
          <w:sz w:val="24"/>
          <w:szCs w:val="24"/>
          <w:highlight w:val="none"/>
          <w:lang w:eastAsia="zh-CN"/>
        </w:rPr>
      </w:pPr>
    </w:p>
    <w:p w14:paraId="7BB22B84">
      <w:pPr>
        <w:pStyle w:val="47"/>
        <w:rPr>
          <w:rFonts w:hint="eastAsia" w:ascii="宋体" w:hAnsi="宋体" w:eastAsia="宋体" w:cs="宋体"/>
          <w:b/>
          <w:color w:val="auto"/>
          <w:sz w:val="24"/>
          <w:szCs w:val="24"/>
          <w:highlight w:val="none"/>
          <w:lang w:eastAsia="zh-CN"/>
        </w:rPr>
      </w:pPr>
    </w:p>
    <w:p w14:paraId="643F61A9">
      <w:pPr>
        <w:rPr>
          <w:rFonts w:hint="eastAsia" w:ascii="宋体" w:hAnsi="宋体" w:eastAsia="宋体" w:cs="宋体"/>
          <w:b/>
          <w:color w:val="auto"/>
          <w:sz w:val="24"/>
          <w:szCs w:val="24"/>
          <w:highlight w:val="none"/>
          <w:lang w:eastAsia="zh-CN"/>
        </w:rPr>
      </w:pPr>
    </w:p>
    <w:p w14:paraId="3CA3B6E4">
      <w:pPr>
        <w:rPr>
          <w:rFonts w:hint="eastAsia" w:ascii="宋体" w:hAnsi="宋体" w:eastAsia="宋体" w:cs="宋体"/>
          <w:b/>
          <w:color w:val="auto"/>
          <w:sz w:val="24"/>
          <w:szCs w:val="24"/>
          <w:highlight w:val="none"/>
          <w:lang w:eastAsia="zh-CN"/>
        </w:rPr>
      </w:pPr>
    </w:p>
    <w:p w14:paraId="2D45073B">
      <w:pPr>
        <w:rPr>
          <w:rFonts w:hint="eastAsia" w:ascii="宋体" w:hAnsi="宋体" w:eastAsia="宋体" w:cs="宋体"/>
          <w:b/>
          <w:color w:val="auto"/>
          <w:sz w:val="24"/>
          <w:szCs w:val="24"/>
          <w:highlight w:val="none"/>
          <w:lang w:eastAsia="zh-CN"/>
        </w:rPr>
      </w:pPr>
    </w:p>
    <w:p w14:paraId="68691EFF">
      <w:pPr>
        <w:rPr>
          <w:rFonts w:hint="eastAsia" w:ascii="宋体" w:hAnsi="宋体" w:eastAsia="宋体" w:cs="宋体"/>
          <w:b/>
          <w:color w:val="auto"/>
          <w:sz w:val="24"/>
          <w:szCs w:val="24"/>
          <w:highlight w:val="none"/>
          <w:lang w:eastAsia="zh-CN"/>
        </w:rPr>
      </w:pPr>
    </w:p>
    <w:p w14:paraId="38DE2AA7">
      <w:pPr>
        <w:spacing w:line="360" w:lineRule="auto"/>
        <w:jc w:val="center"/>
        <w:outlineLvl w:val="1"/>
        <w:rPr>
          <w:rFonts w:hint="eastAsia" w:ascii="宋体" w:hAnsi="宋体" w:eastAsia="宋体" w:cs="宋体"/>
          <w:b/>
          <w:color w:val="auto"/>
          <w:sz w:val="28"/>
          <w:szCs w:val="28"/>
          <w:highlight w:val="none"/>
          <w:lang w:eastAsia="zh-CN"/>
        </w:rPr>
      </w:pPr>
      <w:bookmarkStart w:id="63" w:name="_Toc20521"/>
      <w:r>
        <w:rPr>
          <w:rFonts w:hint="eastAsia" w:ascii="宋体" w:hAnsi="宋体" w:cs="宋体"/>
          <w:b/>
          <w:bCs w:val="0"/>
          <w:color w:val="auto"/>
          <w:kern w:val="2"/>
          <w:sz w:val="32"/>
          <w:szCs w:val="32"/>
          <w:highlight w:val="none"/>
          <w:lang w:val="en-US" w:eastAsia="zh-CN" w:bidi="ar-SA"/>
        </w:rPr>
        <w:t>五</w:t>
      </w:r>
      <w:r>
        <w:rPr>
          <w:rFonts w:hint="eastAsia" w:ascii="宋体" w:hAnsi="宋体" w:eastAsia="宋体" w:cs="宋体"/>
          <w:b/>
          <w:bCs w:val="0"/>
          <w:color w:val="auto"/>
          <w:kern w:val="2"/>
          <w:sz w:val="32"/>
          <w:szCs w:val="32"/>
          <w:highlight w:val="none"/>
          <w:lang w:val="en-US" w:eastAsia="zh-CN" w:bidi="ar-SA"/>
        </w:rPr>
        <w:t>、</w:t>
      </w:r>
      <w:bookmarkEnd w:id="63"/>
      <w:bookmarkStart w:id="64" w:name="_Toc21045"/>
      <w:bookmarkStart w:id="65" w:name="_Toc27728"/>
      <w:bookmarkStart w:id="66" w:name="_Toc32155"/>
      <w:bookmarkStart w:id="67" w:name="_Toc28715"/>
      <w:r>
        <w:rPr>
          <w:rFonts w:hint="eastAsia" w:ascii="宋体" w:hAnsi="宋体" w:cs="宋体"/>
          <w:b/>
          <w:color w:val="auto"/>
          <w:sz w:val="28"/>
          <w:szCs w:val="28"/>
          <w:highlight w:val="none"/>
          <w:lang w:val="en-US" w:eastAsia="zh-CN"/>
        </w:rPr>
        <w:t>磋商</w:t>
      </w:r>
      <w:r>
        <w:rPr>
          <w:rFonts w:hint="eastAsia" w:ascii="宋体" w:hAnsi="宋体" w:eastAsia="宋体" w:cs="宋体"/>
          <w:b/>
          <w:color w:val="auto"/>
          <w:sz w:val="28"/>
          <w:szCs w:val="28"/>
          <w:highlight w:val="none"/>
          <w:lang w:val="en-US" w:eastAsia="zh-CN"/>
        </w:rPr>
        <w:t>报价表</w:t>
      </w:r>
    </w:p>
    <w:p w14:paraId="3B12699F">
      <w:pPr>
        <w:spacing w:line="360" w:lineRule="auto"/>
        <w:jc w:val="center"/>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（一）</w:t>
      </w:r>
      <w:bookmarkEnd w:id="64"/>
      <w:bookmarkEnd w:id="65"/>
      <w:bookmarkEnd w:id="66"/>
      <w:bookmarkEnd w:id="67"/>
      <w:r>
        <w:rPr>
          <w:rFonts w:hint="eastAsia" w:ascii="宋体" w:hAnsi="宋体" w:eastAsia="宋体" w:cs="宋体"/>
          <w:b/>
          <w:color w:val="auto"/>
          <w:sz w:val="24"/>
          <w:szCs w:val="24"/>
          <w:highlight w:val="none"/>
          <w:lang w:val="en-US" w:eastAsia="zh-CN"/>
        </w:rPr>
        <w:t>第一次磋商报价表</w:t>
      </w:r>
    </w:p>
    <w:tbl>
      <w:tblPr>
        <w:tblStyle w:val="29"/>
        <w:tblW w:w="8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6852"/>
      </w:tblGrid>
      <w:tr w14:paraId="76B9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4" w:type="dxa"/>
            <w:noWrap w:val="0"/>
            <w:vAlign w:val="center"/>
          </w:tcPr>
          <w:p w14:paraId="1A529E98">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p>
        </w:tc>
        <w:tc>
          <w:tcPr>
            <w:tcW w:w="6852" w:type="dxa"/>
            <w:noWrap w:val="0"/>
            <w:vAlign w:val="center"/>
          </w:tcPr>
          <w:p w14:paraId="35F21DAA">
            <w:pPr>
              <w:spacing w:line="360" w:lineRule="auto"/>
              <w:jc w:val="center"/>
              <w:rPr>
                <w:rFonts w:hint="eastAsia" w:ascii="宋体" w:hAnsi="宋体" w:eastAsia="宋体" w:cs="宋体"/>
                <w:color w:val="auto"/>
                <w:sz w:val="24"/>
                <w:szCs w:val="24"/>
                <w:highlight w:val="none"/>
              </w:rPr>
            </w:pPr>
          </w:p>
        </w:tc>
      </w:tr>
      <w:tr w14:paraId="0516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4" w:type="dxa"/>
            <w:noWrap w:val="0"/>
            <w:vAlign w:val="center"/>
          </w:tcPr>
          <w:p w14:paraId="4E6AA04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852" w:type="dxa"/>
            <w:noWrap w:val="0"/>
            <w:vAlign w:val="center"/>
          </w:tcPr>
          <w:p w14:paraId="58B77F1C">
            <w:pPr>
              <w:spacing w:line="360" w:lineRule="auto"/>
              <w:jc w:val="center"/>
              <w:rPr>
                <w:rFonts w:hint="eastAsia" w:ascii="宋体" w:hAnsi="宋体" w:eastAsia="宋体" w:cs="宋体"/>
                <w:color w:val="auto"/>
                <w:sz w:val="24"/>
                <w:szCs w:val="24"/>
                <w:highlight w:val="none"/>
              </w:rPr>
            </w:pPr>
          </w:p>
        </w:tc>
      </w:tr>
      <w:tr w14:paraId="314D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914" w:type="dxa"/>
            <w:noWrap w:val="0"/>
            <w:vAlign w:val="center"/>
          </w:tcPr>
          <w:p w14:paraId="2E92CEF0">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磋商报价</w:t>
            </w:r>
          </w:p>
        </w:tc>
        <w:tc>
          <w:tcPr>
            <w:tcW w:w="6852" w:type="dxa"/>
            <w:noWrap w:val="0"/>
            <w:vAlign w:val="center"/>
          </w:tcPr>
          <w:p w14:paraId="6A721006">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D1C2401">
            <w:pPr>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tc>
      </w:tr>
      <w:tr w14:paraId="26AB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14" w:type="dxa"/>
            <w:noWrap w:val="0"/>
            <w:vAlign w:val="center"/>
          </w:tcPr>
          <w:p w14:paraId="0DC6461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w:t>
            </w:r>
          </w:p>
        </w:tc>
        <w:tc>
          <w:tcPr>
            <w:tcW w:w="6852" w:type="dxa"/>
            <w:noWrap w:val="0"/>
            <w:vAlign w:val="center"/>
          </w:tcPr>
          <w:p w14:paraId="292B565E">
            <w:pPr>
              <w:spacing w:line="360" w:lineRule="auto"/>
              <w:jc w:val="center"/>
              <w:rPr>
                <w:rFonts w:hint="eastAsia" w:ascii="宋体" w:hAnsi="宋体" w:eastAsia="宋体" w:cs="宋体"/>
                <w:b/>
                <w:color w:val="auto"/>
                <w:sz w:val="24"/>
                <w:szCs w:val="24"/>
                <w:highlight w:val="none"/>
              </w:rPr>
            </w:pPr>
          </w:p>
        </w:tc>
      </w:tr>
      <w:tr w14:paraId="1A3D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1914" w:type="dxa"/>
            <w:noWrap w:val="0"/>
            <w:vAlign w:val="center"/>
          </w:tcPr>
          <w:p w14:paraId="690802C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质量</w:t>
            </w:r>
            <w:r>
              <w:rPr>
                <w:rFonts w:hint="eastAsia" w:ascii="宋体" w:hAnsi="宋体" w:cs="宋体"/>
                <w:color w:val="auto"/>
                <w:sz w:val="24"/>
                <w:szCs w:val="24"/>
                <w:highlight w:val="none"/>
                <w:lang w:eastAsia="zh-CN"/>
              </w:rPr>
              <w:t>要求</w:t>
            </w:r>
          </w:p>
        </w:tc>
        <w:tc>
          <w:tcPr>
            <w:tcW w:w="6852" w:type="dxa"/>
            <w:noWrap w:val="0"/>
            <w:vAlign w:val="center"/>
          </w:tcPr>
          <w:p w14:paraId="6DD497CA">
            <w:pPr>
              <w:spacing w:line="360" w:lineRule="auto"/>
              <w:jc w:val="center"/>
              <w:rPr>
                <w:rFonts w:hint="eastAsia" w:ascii="宋体" w:hAnsi="宋体" w:eastAsia="宋体" w:cs="宋体"/>
                <w:b/>
                <w:color w:val="auto"/>
                <w:sz w:val="24"/>
                <w:szCs w:val="24"/>
                <w:highlight w:val="none"/>
              </w:rPr>
            </w:pPr>
          </w:p>
        </w:tc>
      </w:tr>
      <w:tr w14:paraId="12AF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14" w:type="dxa"/>
            <w:noWrap w:val="0"/>
            <w:vAlign w:val="center"/>
          </w:tcPr>
          <w:p w14:paraId="1587410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852" w:type="dxa"/>
            <w:noWrap w:val="0"/>
            <w:vAlign w:val="center"/>
          </w:tcPr>
          <w:p w14:paraId="386A5D77">
            <w:pPr>
              <w:spacing w:line="360" w:lineRule="auto"/>
              <w:jc w:val="center"/>
              <w:rPr>
                <w:rFonts w:hint="eastAsia" w:ascii="宋体" w:hAnsi="宋体" w:eastAsia="宋体" w:cs="宋体"/>
                <w:color w:val="auto"/>
                <w:sz w:val="24"/>
                <w:szCs w:val="24"/>
                <w:highlight w:val="none"/>
              </w:rPr>
            </w:pPr>
          </w:p>
        </w:tc>
      </w:tr>
    </w:tbl>
    <w:p w14:paraId="4D66B814">
      <w:pPr>
        <w:keepNext w:val="0"/>
        <w:keepLines w:val="0"/>
        <w:pageBreakBefore w:val="0"/>
        <w:widowControl w:val="0"/>
        <w:kinsoku w:val="0"/>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3054F7B4">
      <w:pPr>
        <w:keepNext w:val="0"/>
        <w:keepLines w:val="0"/>
        <w:pageBreakBefore w:val="0"/>
        <w:widowControl w:val="0"/>
        <w:kinsoku w:val="0"/>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注：1</w:t>
      </w:r>
      <w:r>
        <w:rPr>
          <w:rFonts w:hint="eastAsia" w:ascii="宋体" w:hAnsi="宋体" w:eastAsia="宋体" w:cs="宋体"/>
          <w:color w:val="auto"/>
          <w:sz w:val="24"/>
          <w:szCs w:val="24"/>
          <w:highlight w:val="none"/>
        </w:rPr>
        <w:t>、本报价中没有填写的项目费用，视为已包括在报价之中。</w:t>
      </w:r>
    </w:p>
    <w:p w14:paraId="6E2BD6FA">
      <w:pPr>
        <w:keepNext w:val="0"/>
        <w:keepLines w:val="0"/>
        <w:pageBreakBefore w:val="0"/>
        <w:widowControl w:val="0"/>
        <w:kinsoku w:val="0"/>
        <w:wordWrap/>
        <w:overflowPunct/>
        <w:topLinePunct w:val="0"/>
        <w:autoSpaceDE/>
        <w:autoSpaceDN/>
        <w:bidi w:val="0"/>
        <w:adjustRightInd/>
        <w:snapToGrid/>
        <w:spacing w:line="360" w:lineRule="auto"/>
        <w:ind w:firstLine="75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2、本报价的币种为人民币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表内报价内容以元为单位（如有小数，保留小数点后2位）。大小写不一致时，以大写为准。</w:t>
      </w:r>
    </w:p>
    <w:p w14:paraId="3B9091C8">
      <w:pPr>
        <w:spacing w:after="480" w:line="200" w:lineRule="atLeast"/>
        <w:ind w:firstLine="3500" w:firstLineChars="1400"/>
        <w:jc w:val="left"/>
        <w:rPr>
          <w:rFonts w:hint="eastAsia" w:ascii="宋体" w:hAnsi="宋体" w:eastAsia="宋体" w:cs="宋体"/>
          <w:color w:val="auto"/>
          <w:sz w:val="24"/>
          <w:szCs w:val="24"/>
          <w:highlight w:val="none"/>
        </w:rPr>
      </w:pPr>
    </w:p>
    <w:p w14:paraId="494D0B6D">
      <w:pPr>
        <w:spacing w:after="480" w:line="20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（公章）</w:t>
      </w:r>
    </w:p>
    <w:p w14:paraId="05CFD5E2">
      <w:pPr>
        <w:spacing w:after="480" w:line="20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eastAsia="zh-CN"/>
        </w:rPr>
        <w:t>委托代理人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签字或盖章</w:t>
      </w:r>
      <w:r>
        <w:rPr>
          <w:rFonts w:hint="eastAsia" w:ascii="宋体" w:hAnsi="宋体" w:eastAsia="宋体" w:cs="宋体"/>
          <w:color w:val="auto"/>
          <w:kern w:val="0"/>
          <w:sz w:val="24"/>
          <w:szCs w:val="24"/>
          <w:highlight w:val="none"/>
        </w:rPr>
        <w:t>)</w:t>
      </w:r>
    </w:p>
    <w:p w14:paraId="3FF2E883">
      <w:pPr>
        <w:spacing w:before="480" w:line="20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17FD70B">
      <w:pPr>
        <w:pStyle w:val="5"/>
        <w:ind w:left="0" w:leftChars="0" w:firstLine="0" w:firstLineChars="0"/>
        <w:rPr>
          <w:rFonts w:hint="eastAsia" w:ascii="宋体" w:hAnsi="宋体" w:eastAsia="宋体" w:cs="宋体"/>
          <w:b/>
          <w:color w:val="auto"/>
          <w:sz w:val="24"/>
          <w:szCs w:val="24"/>
          <w:highlight w:val="none"/>
          <w:lang w:val="en-US" w:eastAsia="zh-CN"/>
        </w:rPr>
      </w:pPr>
    </w:p>
    <w:p w14:paraId="625F1B35">
      <w:pPr>
        <w:spacing w:before="480" w:line="200" w:lineRule="atLeas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（二）</w:t>
      </w:r>
      <w:r>
        <w:rPr>
          <w:rFonts w:hint="eastAsia" w:ascii="宋体" w:hAnsi="宋体" w:cs="宋体"/>
          <w:b/>
          <w:color w:val="auto"/>
          <w:sz w:val="24"/>
          <w:szCs w:val="24"/>
          <w:highlight w:val="none"/>
          <w:lang w:val="en-US" w:eastAsia="zh-CN"/>
        </w:rPr>
        <w:t>磋商</w:t>
      </w:r>
      <w:r>
        <w:rPr>
          <w:rFonts w:hint="eastAsia" w:ascii="宋体" w:hAnsi="宋体" w:eastAsia="宋体" w:cs="宋体"/>
          <w:b/>
          <w:color w:val="auto"/>
          <w:sz w:val="24"/>
          <w:szCs w:val="24"/>
          <w:highlight w:val="none"/>
          <w:lang w:val="en-US" w:eastAsia="zh-CN"/>
        </w:rPr>
        <w:t>报价计算书</w:t>
      </w:r>
    </w:p>
    <w:p w14:paraId="22B199F9">
      <w:pPr>
        <w:keepNext/>
        <w:keepLines/>
        <w:pageBreakBefore w:val="0"/>
        <w:widowControl w:val="0"/>
        <w:kinsoku/>
        <w:wordWrap/>
        <w:overflowPunct/>
        <w:topLinePunct w:val="0"/>
        <w:autoSpaceDE/>
        <w:autoSpaceDN/>
        <w:bidi w:val="0"/>
        <w:adjustRightInd/>
        <w:snapToGrid/>
        <w:spacing w:before="157" w:beforeLines="50" w:after="157" w:afterLines="50" w:line="480" w:lineRule="exact"/>
        <w:ind w:left="0" w:leftChars="0" w:right="0" w:rightChars="0" w:firstLine="0" w:firstLineChars="0"/>
        <w:jc w:val="both"/>
        <w:textAlignment w:val="auto"/>
        <w:outlineLvl w:val="9"/>
        <w:rPr>
          <w:rFonts w:hint="eastAsia" w:ascii="宋体" w:hAnsi="宋体" w:eastAsia="宋体" w:cs="宋体"/>
          <w:b w:val="0"/>
          <w:bCs w:val="0"/>
          <w:color w:val="auto"/>
          <w:sz w:val="24"/>
          <w:szCs w:val="24"/>
          <w:highlight w:val="none"/>
        </w:rPr>
      </w:pPr>
      <w:bookmarkStart w:id="68" w:name="_Toc358311863"/>
      <w:bookmarkStart w:id="69" w:name="_Toc358278301"/>
      <w:bookmarkStart w:id="70" w:name="_Toc374649504"/>
      <w:r>
        <w:rPr>
          <w:rFonts w:hint="eastAsia" w:ascii="宋体" w:hAnsi="宋体" w:eastAsia="宋体" w:cs="宋体"/>
          <w:b w:val="0"/>
          <w:bCs w:val="0"/>
          <w:color w:val="auto"/>
          <w:sz w:val="24"/>
          <w:szCs w:val="24"/>
          <w:highlight w:val="none"/>
        </w:rPr>
        <w:t>1、报价组成</w:t>
      </w:r>
      <w:bookmarkEnd w:id="68"/>
      <w:bookmarkEnd w:id="69"/>
      <w:bookmarkEnd w:id="70"/>
    </w:p>
    <w:p w14:paraId="4C887127">
      <w:pPr>
        <w:tabs>
          <w:tab w:val="left" w:pos="2177"/>
        </w:tabs>
        <w:spacing w:line="480" w:lineRule="exact"/>
        <w:ind w:firstLine="50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报价包括</w:t>
      </w:r>
      <w:r>
        <w:rPr>
          <w:rFonts w:hint="eastAsia" w:ascii="宋体" w:hAnsi="宋体" w:eastAsia="宋体" w:cs="宋体"/>
          <w:color w:val="auto"/>
          <w:sz w:val="24"/>
          <w:szCs w:val="24"/>
          <w:highlight w:val="none"/>
          <w:lang w:eastAsia="zh-CN"/>
        </w:rPr>
        <w:t>供应商成交</w:t>
      </w:r>
      <w:r>
        <w:rPr>
          <w:rFonts w:hint="eastAsia" w:ascii="宋体" w:hAnsi="宋体" w:eastAsia="宋体" w:cs="宋体"/>
          <w:color w:val="auto"/>
          <w:sz w:val="24"/>
          <w:szCs w:val="24"/>
          <w:highlight w:val="none"/>
        </w:rPr>
        <w:t>后按照合同约定提供本工程正常监理服务所需费用，包括监理人员费、设施设备购置和使用费、管理费、利润、税金。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应按上述五项分项计算列报，汇总计入投标报价。</w:t>
      </w:r>
      <w:bookmarkStart w:id="71" w:name="_Toc358278302"/>
      <w:bookmarkStart w:id="72" w:name="_Toc374649505"/>
      <w:bookmarkStart w:id="73" w:name="_Toc358311864"/>
    </w:p>
    <w:p w14:paraId="5C0F0D9F">
      <w:pPr>
        <w:tabs>
          <w:tab w:val="left" w:pos="2177"/>
        </w:tabs>
        <w:spacing w:line="48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报价汇总</w:t>
      </w:r>
      <w:bookmarkEnd w:id="71"/>
      <w:bookmarkEnd w:id="72"/>
      <w:bookmarkEnd w:id="73"/>
    </w:p>
    <w:p w14:paraId="1F6D21E7">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正常监理服务酬金投标报价汇总表</w:t>
      </w:r>
    </w:p>
    <w:p w14:paraId="6781DDE5">
      <w:pPr>
        <w:keepNext w:val="0"/>
        <w:keepLines w:val="0"/>
        <w:pageBreakBefore w:val="0"/>
        <w:widowControl w:val="0"/>
        <w:kinsoku/>
        <w:wordWrap/>
        <w:overflowPunct/>
        <w:topLinePunct w:val="0"/>
        <w:autoSpaceDE/>
        <w:autoSpaceDN/>
        <w:bidi w:val="0"/>
        <w:adjustRightInd/>
        <w:snapToGrid/>
        <w:spacing w:after="157" w:afterLines="50"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单位：元（人民币）</w:t>
      </w:r>
    </w:p>
    <w:tbl>
      <w:tblPr>
        <w:tblStyle w:val="2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3444"/>
        <w:gridCol w:w="4533"/>
      </w:tblGrid>
      <w:tr w14:paraId="6FCE22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97" w:type="dxa"/>
            <w:tcBorders>
              <w:tl2br w:val="nil"/>
              <w:tr2bl w:val="nil"/>
            </w:tcBorders>
            <w:noWrap w:val="0"/>
            <w:vAlign w:val="center"/>
          </w:tcPr>
          <w:p w14:paraId="193DA42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3444" w:type="dxa"/>
            <w:tcBorders>
              <w:tl2br w:val="nil"/>
              <w:tr2bl w:val="nil"/>
            </w:tcBorders>
            <w:noWrap w:val="0"/>
            <w:vAlign w:val="center"/>
          </w:tcPr>
          <w:p w14:paraId="70AF759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 目</w:t>
            </w:r>
          </w:p>
        </w:tc>
        <w:tc>
          <w:tcPr>
            <w:tcW w:w="4533" w:type="dxa"/>
            <w:tcBorders>
              <w:tl2br w:val="nil"/>
              <w:tr2bl w:val="nil"/>
            </w:tcBorders>
            <w:noWrap w:val="0"/>
            <w:vAlign w:val="center"/>
          </w:tcPr>
          <w:p w14:paraId="494C1D2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 价 金 额</w:t>
            </w:r>
          </w:p>
        </w:tc>
      </w:tr>
      <w:tr w14:paraId="73F125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97" w:type="dxa"/>
            <w:tcBorders>
              <w:tl2br w:val="nil"/>
              <w:tr2bl w:val="nil"/>
            </w:tcBorders>
            <w:noWrap w:val="0"/>
            <w:vAlign w:val="center"/>
          </w:tcPr>
          <w:p w14:paraId="71D240F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p>
        </w:tc>
        <w:tc>
          <w:tcPr>
            <w:tcW w:w="3444" w:type="dxa"/>
            <w:tcBorders>
              <w:tl2br w:val="nil"/>
              <w:tr2bl w:val="nil"/>
            </w:tcBorders>
            <w:noWrap w:val="0"/>
            <w:vAlign w:val="center"/>
          </w:tcPr>
          <w:p w14:paraId="6DA7C81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监理人员费</w:t>
            </w:r>
          </w:p>
        </w:tc>
        <w:tc>
          <w:tcPr>
            <w:tcW w:w="4533" w:type="dxa"/>
            <w:tcBorders>
              <w:tl2br w:val="nil"/>
              <w:tr2bl w:val="nil"/>
            </w:tcBorders>
            <w:noWrap w:val="0"/>
            <w:vAlign w:val="center"/>
          </w:tcPr>
          <w:p w14:paraId="6D11C8B8">
            <w:pPr>
              <w:jc w:val="center"/>
              <w:rPr>
                <w:rFonts w:hint="eastAsia" w:ascii="宋体" w:hAnsi="宋体" w:eastAsia="宋体" w:cs="宋体"/>
                <w:color w:val="auto"/>
                <w:sz w:val="24"/>
                <w:szCs w:val="24"/>
                <w:highlight w:val="none"/>
              </w:rPr>
            </w:pPr>
          </w:p>
        </w:tc>
      </w:tr>
      <w:tr w14:paraId="5D6CA6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97" w:type="dxa"/>
            <w:tcBorders>
              <w:tl2br w:val="nil"/>
              <w:tr2bl w:val="nil"/>
            </w:tcBorders>
            <w:noWrap w:val="0"/>
            <w:vAlign w:val="center"/>
          </w:tcPr>
          <w:p w14:paraId="1EE7D0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p>
        </w:tc>
        <w:tc>
          <w:tcPr>
            <w:tcW w:w="3444" w:type="dxa"/>
            <w:tcBorders>
              <w:tl2br w:val="nil"/>
              <w:tr2bl w:val="nil"/>
            </w:tcBorders>
            <w:noWrap w:val="0"/>
            <w:vAlign w:val="center"/>
          </w:tcPr>
          <w:p w14:paraId="078D407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设施设备购置和使用费</w:t>
            </w:r>
          </w:p>
        </w:tc>
        <w:tc>
          <w:tcPr>
            <w:tcW w:w="4533" w:type="dxa"/>
            <w:tcBorders>
              <w:tl2br w:val="nil"/>
              <w:tr2bl w:val="nil"/>
            </w:tcBorders>
            <w:noWrap w:val="0"/>
            <w:vAlign w:val="center"/>
          </w:tcPr>
          <w:p w14:paraId="4AD11EF3">
            <w:pPr>
              <w:jc w:val="center"/>
              <w:rPr>
                <w:rFonts w:hint="eastAsia" w:ascii="宋体" w:hAnsi="宋体" w:eastAsia="宋体" w:cs="宋体"/>
                <w:color w:val="auto"/>
                <w:sz w:val="24"/>
                <w:szCs w:val="24"/>
                <w:highlight w:val="none"/>
              </w:rPr>
            </w:pPr>
          </w:p>
        </w:tc>
      </w:tr>
      <w:tr w14:paraId="53CCD7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97" w:type="dxa"/>
            <w:tcBorders>
              <w:tl2br w:val="nil"/>
              <w:tr2bl w:val="nil"/>
            </w:tcBorders>
            <w:noWrap w:val="0"/>
            <w:vAlign w:val="center"/>
          </w:tcPr>
          <w:p w14:paraId="76093A8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w:t>
            </w:r>
          </w:p>
        </w:tc>
        <w:tc>
          <w:tcPr>
            <w:tcW w:w="3444" w:type="dxa"/>
            <w:tcBorders>
              <w:tl2br w:val="nil"/>
              <w:tr2bl w:val="nil"/>
            </w:tcBorders>
            <w:noWrap w:val="0"/>
            <w:vAlign w:val="center"/>
          </w:tcPr>
          <w:p w14:paraId="09DC09D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管理费</w:t>
            </w:r>
          </w:p>
        </w:tc>
        <w:tc>
          <w:tcPr>
            <w:tcW w:w="4533" w:type="dxa"/>
            <w:tcBorders>
              <w:tl2br w:val="nil"/>
              <w:tr2bl w:val="nil"/>
            </w:tcBorders>
            <w:noWrap w:val="0"/>
            <w:vAlign w:val="center"/>
          </w:tcPr>
          <w:p w14:paraId="32AEBEFF">
            <w:pPr>
              <w:jc w:val="center"/>
              <w:rPr>
                <w:rFonts w:hint="eastAsia" w:ascii="宋体" w:hAnsi="宋体" w:eastAsia="宋体" w:cs="宋体"/>
                <w:color w:val="auto"/>
                <w:sz w:val="24"/>
                <w:szCs w:val="24"/>
                <w:highlight w:val="none"/>
              </w:rPr>
            </w:pPr>
          </w:p>
        </w:tc>
      </w:tr>
      <w:tr w14:paraId="7C9CD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97" w:type="dxa"/>
            <w:tcBorders>
              <w:tl2br w:val="nil"/>
              <w:tr2bl w:val="nil"/>
            </w:tcBorders>
            <w:noWrap w:val="0"/>
            <w:vAlign w:val="center"/>
          </w:tcPr>
          <w:p w14:paraId="302FFC2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w:t>
            </w:r>
          </w:p>
        </w:tc>
        <w:tc>
          <w:tcPr>
            <w:tcW w:w="3444" w:type="dxa"/>
            <w:tcBorders>
              <w:tl2br w:val="nil"/>
              <w:tr2bl w:val="nil"/>
            </w:tcBorders>
            <w:noWrap w:val="0"/>
            <w:vAlign w:val="center"/>
          </w:tcPr>
          <w:p w14:paraId="39A79AF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利润</w:t>
            </w:r>
          </w:p>
        </w:tc>
        <w:tc>
          <w:tcPr>
            <w:tcW w:w="4533" w:type="dxa"/>
            <w:tcBorders>
              <w:tl2br w:val="nil"/>
              <w:tr2bl w:val="nil"/>
            </w:tcBorders>
            <w:noWrap w:val="0"/>
            <w:vAlign w:val="center"/>
          </w:tcPr>
          <w:p w14:paraId="42EBC9D0">
            <w:pPr>
              <w:jc w:val="center"/>
              <w:rPr>
                <w:rFonts w:hint="eastAsia" w:ascii="宋体" w:hAnsi="宋体" w:eastAsia="宋体" w:cs="宋体"/>
                <w:color w:val="auto"/>
                <w:sz w:val="24"/>
                <w:szCs w:val="24"/>
                <w:highlight w:val="none"/>
              </w:rPr>
            </w:pPr>
          </w:p>
        </w:tc>
      </w:tr>
      <w:tr w14:paraId="594BB3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97" w:type="dxa"/>
            <w:tcBorders>
              <w:tl2br w:val="nil"/>
              <w:tr2bl w:val="nil"/>
            </w:tcBorders>
            <w:noWrap w:val="0"/>
            <w:vAlign w:val="center"/>
          </w:tcPr>
          <w:p w14:paraId="5595F94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w:t>
            </w:r>
          </w:p>
        </w:tc>
        <w:tc>
          <w:tcPr>
            <w:tcW w:w="3444" w:type="dxa"/>
            <w:tcBorders>
              <w:tl2br w:val="nil"/>
              <w:tr2bl w:val="nil"/>
            </w:tcBorders>
            <w:noWrap w:val="0"/>
            <w:vAlign w:val="center"/>
          </w:tcPr>
          <w:p w14:paraId="2D14D5B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税金</w:t>
            </w:r>
          </w:p>
        </w:tc>
        <w:tc>
          <w:tcPr>
            <w:tcW w:w="4533" w:type="dxa"/>
            <w:tcBorders>
              <w:tl2br w:val="nil"/>
              <w:tr2bl w:val="nil"/>
            </w:tcBorders>
            <w:noWrap w:val="0"/>
            <w:vAlign w:val="center"/>
          </w:tcPr>
          <w:p w14:paraId="4FE9AE9A">
            <w:pPr>
              <w:jc w:val="center"/>
              <w:rPr>
                <w:rFonts w:hint="eastAsia" w:ascii="宋体" w:hAnsi="宋体" w:eastAsia="宋体" w:cs="宋体"/>
                <w:color w:val="auto"/>
                <w:sz w:val="24"/>
                <w:szCs w:val="24"/>
                <w:highlight w:val="none"/>
              </w:rPr>
            </w:pPr>
          </w:p>
        </w:tc>
      </w:tr>
      <w:tr w14:paraId="2729FD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641" w:type="dxa"/>
            <w:gridSpan w:val="2"/>
            <w:tcBorders>
              <w:tl2br w:val="nil"/>
              <w:tr2bl w:val="nil"/>
            </w:tcBorders>
            <w:noWrap w:val="0"/>
            <w:vAlign w:val="center"/>
          </w:tcPr>
          <w:p w14:paraId="6CEC37B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报价</w:t>
            </w:r>
          </w:p>
        </w:tc>
        <w:tc>
          <w:tcPr>
            <w:tcW w:w="4533" w:type="dxa"/>
            <w:tcBorders>
              <w:tl2br w:val="nil"/>
              <w:tr2bl w:val="nil"/>
            </w:tcBorders>
            <w:noWrap w:val="0"/>
            <w:vAlign w:val="center"/>
          </w:tcPr>
          <w:p w14:paraId="276A51B0">
            <w:pPr>
              <w:jc w:val="center"/>
              <w:rPr>
                <w:rFonts w:hint="eastAsia" w:ascii="宋体" w:hAnsi="宋体" w:eastAsia="宋体" w:cs="宋体"/>
                <w:color w:val="auto"/>
                <w:sz w:val="24"/>
                <w:szCs w:val="24"/>
                <w:highlight w:val="none"/>
              </w:rPr>
            </w:pPr>
          </w:p>
        </w:tc>
      </w:tr>
    </w:tbl>
    <w:p w14:paraId="18C2ABDA">
      <w:pPr>
        <w:ind w:left="783" w:leftChars="356" w:firstLine="1500" w:firstLineChars="600"/>
        <w:jc w:val="left"/>
        <w:rPr>
          <w:rFonts w:hint="eastAsia" w:ascii="宋体" w:hAnsi="宋体" w:eastAsia="宋体" w:cs="宋体"/>
          <w:color w:val="auto"/>
          <w:sz w:val="24"/>
          <w:szCs w:val="24"/>
          <w:highlight w:val="none"/>
        </w:rPr>
      </w:pPr>
    </w:p>
    <w:p w14:paraId="763E0816">
      <w:pPr>
        <w:ind w:left="783" w:leftChars="356" w:firstLine="1500" w:firstLineChars="600"/>
        <w:jc w:val="left"/>
        <w:rPr>
          <w:rFonts w:hint="eastAsia" w:ascii="宋体" w:hAnsi="宋体" w:eastAsia="宋体" w:cs="宋体"/>
          <w:color w:val="auto"/>
          <w:sz w:val="24"/>
          <w:szCs w:val="24"/>
          <w:highlight w:val="none"/>
        </w:rPr>
      </w:pPr>
    </w:p>
    <w:p w14:paraId="01723175">
      <w:pPr>
        <w:spacing w:after="480" w:line="200" w:lineRule="atLeast"/>
        <w:jc w:val="both"/>
        <w:rPr>
          <w:rFonts w:hint="eastAsia" w:ascii="宋体" w:hAnsi="宋体" w:eastAsia="宋体" w:cs="宋体"/>
          <w:color w:val="auto"/>
          <w:sz w:val="24"/>
          <w:szCs w:val="24"/>
          <w:highlight w:val="none"/>
        </w:rPr>
      </w:pPr>
      <w:bookmarkStart w:id="74" w:name="_Toc358278303"/>
      <w:bookmarkStart w:id="75" w:name="_Toc358311865"/>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（公章）</w:t>
      </w:r>
    </w:p>
    <w:p w14:paraId="5C661ED5">
      <w:pPr>
        <w:spacing w:after="480" w:line="200" w:lineRule="atLeas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eastAsia="zh-CN"/>
        </w:rPr>
        <w:t>委托代理人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签字或盖章</w:t>
      </w:r>
      <w:r>
        <w:rPr>
          <w:rFonts w:hint="eastAsia" w:ascii="宋体" w:hAnsi="宋体" w:eastAsia="宋体" w:cs="宋体"/>
          <w:color w:val="auto"/>
          <w:kern w:val="0"/>
          <w:sz w:val="24"/>
          <w:szCs w:val="24"/>
          <w:highlight w:val="none"/>
        </w:rPr>
        <w:t>)</w:t>
      </w:r>
    </w:p>
    <w:p w14:paraId="6D51EA7C">
      <w:pPr>
        <w:spacing w:before="480" w:line="200" w:lineRule="atLeas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4F74EBD">
      <w:pPr>
        <w:jc w:val="both"/>
        <w:rPr>
          <w:rFonts w:hint="eastAsia" w:ascii="宋体" w:hAnsi="宋体" w:eastAsia="宋体" w:cs="宋体"/>
          <w:color w:val="auto"/>
          <w:sz w:val="24"/>
          <w:szCs w:val="24"/>
          <w:highlight w:val="none"/>
        </w:rPr>
      </w:pPr>
    </w:p>
    <w:p w14:paraId="75856809">
      <w:pPr>
        <w:spacing w:line="360" w:lineRule="auto"/>
        <w:rPr>
          <w:rFonts w:hint="eastAsia" w:ascii="宋体" w:hAnsi="宋体" w:eastAsia="宋体" w:cs="宋体"/>
          <w:color w:val="auto"/>
          <w:sz w:val="24"/>
          <w:szCs w:val="24"/>
          <w:highlight w:val="none"/>
        </w:rPr>
      </w:pPr>
    </w:p>
    <w:p w14:paraId="485FF038">
      <w:pPr>
        <w:spacing w:line="360" w:lineRule="auto"/>
        <w:rPr>
          <w:rFonts w:hint="eastAsia" w:ascii="宋体" w:hAnsi="宋体" w:eastAsia="宋体" w:cs="宋体"/>
          <w:color w:val="auto"/>
          <w:sz w:val="24"/>
          <w:szCs w:val="24"/>
          <w:highlight w:val="none"/>
        </w:rPr>
      </w:pPr>
    </w:p>
    <w:p w14:paraId="7CC9AC9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3、报价组成计算</w:t>
      </w:r>
      <w:bookmarkEnd w:id="74"/>
      <w:bookmarkEnd w:id="75"/>
    </w:p>
    <w:p w14:paraId="75C905A2">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监理人员费计算表</w:t>
      </w:r>
    </w:p>
    <w:p w14:paraId="31DCBEDD">
      <w:pPr>
        <w:keepNext w:val="0"/>
        <w:keepLines w:val="0"/>
        <w:pageBreakBefore w:val="0"/>
        <w:widowControl w:val="0"/>
        <w:kinsoku/>
        <w:wordWrap/>
        <w:overflowPunct/>
        <w:topLinePunct w:val="0"/>
        <w:autoSpaceDE/>
        <w:autoSpaceDN/>
        <w:bidi w:val="0"/>
        <w:adjustRightInd/>
        <w:snapToGrid/>
        <w:spacing w:after="157" w:afterLines="50" w:line="240" w:lineRule="auto"/>
        <w:ind w:left="0" w:leftChars="0" w:right="482" w:rightChars="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单位：元（人民币）</w:t>
      </w:r>
    </w:p>
    <w:tbl>
      <w:tblPr>
        <w:tblStyle w:val="29"/>
        <w:tblW w:w="917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395"/>
        <w:gridCol w:w="1994"/>
        <w:gridCol w:w="1632"/>
        <w:gridCol w:w="2357"/>
      </w:tblGrid>
      <w:tr w14:paraId="58E13B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96" w:type="dxa"/>
            <w:tcBorders>
              <w:tl2br w:val="nil"/>
              <w:tr2bl w:val="nil"/>
            </w:tcBorders>
            <w:noWrap w:val="0"/>
            <w:vAlign w:val="center"/>
          </w:tcPr>
          <w:p w14:paraId="749304A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395" w:type="dxa"/>
            <w:tcBorders>
              <w:tl2br w:val="nil"/>
              <w:tr2bl w:val="nil"/>
            </w:tcBorders>
            <w:noWrap w:val="0"/>
            <w:vAlign w:val="center"/>
          </w:tcPr>
          <w:p w14:paraId="61C68F0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岗位设置</w:t>
            </w:r>
          </w:p>
        </w:tc>
        <w:tc>
          <w:tcPr>
            <w:tcW w:w="1994" w:type="dxa"/>
            <w:tcBorders>
              <w:tl2br w:val="nil"/>
              <w:tr2bl w:val="nil"/>
            </w:tcBorders>
            <w:noWrap w:val="0"/>
            <w:vAlign w:val="center"/>
          </w:tcPr>
          <w:p w14:paraId="502F17E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人月数</w:t>
            </w:r>
          </w:p>
        </w:tc>
        <w:tc>
          <w:tcPr>
            <w:tcW w:w="1632" w:type="dxa"/>
            <w:tcBorders>
              <w:tl2br w:val="nil"/>
              <w:tr2bl w:val="nil"/>
            </w:tcBorders>
            <w:noWrap w:val="0"/>
            <w:vAlign w:val="center"/>
          </w:tcPr>
          <w:p w14:paraId="6D146BC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w:t>
            </w:r>
          </w:p>
          <w:p w14:paraId="63C9DCC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（元/人月）</w:t>
            </w:r>
          </w:p>
        </w:tc>
        <w:tc>
          <w:tcPr>
            <w:tcW w:w="2357" w:type="dxa"/>
            <w:tcBorders>
              <w:tl2br w:val="nil"/>
              <w:tr2bl w:val="nil"/>
            </w:tcBorders>
            <w:noWrap w:val="0"/>
            <w:vAlign w:val="center"/>
          </w:tcPr>
          <w:p w14:paraId="5CE71B0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 额</w:t>
            </w:r>
          </w:p>
        </w:tc>
      </w:tr>
      <w:tr w14:paraId="1AA84A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96" w:type="dxa"/>
            <w:tcBorders>
              <w:tl2br w:val="nil"/>
              <w:tr2bl w:val="nil"/>
            </w:tcBorders>
            <w:noWrap w:val="0"/>
            <w:vAlign w:val="center"/>
          </w:tcPr>
          <w:p w14:paraId="186B6F9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95" w:type="dxa"/>
            <w:tcBorders>
              <w:tl2br w:val="nil"/>
              <w:tr2bl w:val="nil"/>
            </w:tcBorders>
            <w:noWrap w:val="0"/>
            <w:vAlign w:val="center"/>
          </w:tcPr>
          <w:p w14:paraId="2500721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责任监理师</w:t>
            </w:r>
          </w:p>
        </w:tc>
        <w:tc>
          <w:tcPr>
            <w:tcW w:w="1994" w:type="dxa"/>
            <w:tcBorders>
              <w:tl2br w:val="nil"/>
              <w:tr2bl w:val="nil"/>
            </w:tcBorders>
            <w:noWrap w:val="0"/>
            <w:vAlign w:val="center"/>
          </w:tcPr>
          <w:p w14:paraId="3820DE59">
            <w:pPr>
              <w:jc w:val="center"/>
              <w:rPr>
                <w:rFonts w:hint="eastAsia" w:ascii="宋体" w:hAnsi="宋体" w:eastAsia="宋体" w:cs="宋体"/>
                <w:color w:val="auto"/>
                <w:sz w:val="24"/>
                <w:szCs w:val="24"/>
                <w:highlight w:val="none"/>
              </w:rPr>
            </w:pPr>
          </w:p>
        </w:tc>
        <w:tc>
          <w:tcPr>
            <w:tcW w:w="1632" w:type="dxa"/>
            <w:tcBorders>
              <w:tl2br w:val="nil"/>
              <w:tr2bl w:val="nil"/>
            </w:tcBorders>
            <w:noWrap w:val="0"/>
            <w:vAlign w:val="center"/>
          </w:tcPr>
          <w:p w14:paraId="07D9DB7A">
            <w:pPr>
              <w:jc w:val="center"/>
              <w:rPr>
                <w:rFonts w:hint="eastAsia" w:ascii="宋体" w:hAnsi="宋体" w:eastAsia="宋体" w:cs="宋体"/>
                <w:color w:val="auto"/>
                <w:sz w:val="24"/>
                <w:szCs w:val="24"/>
                <w:highlight w:val="none"/>
              </w:rPr>
            </w:pPr>
          </w:p>
        </w:tc>
        <w:tc>
          <w:tcPr>
            <w:tcW w:w="2357" w:type="dxa"/>
            <w:tcBorders>
              <w:tl2br w:val="nil"/>
              <w:tr2bl w:val="nil"/>
            </w:tcBorders>
            <w:noWrap w:val="0"/>
            <w:vAlign w:val="center"/>
          </w:tcPr>
          <w:p w14:paraId="3A87ADBA">
            <w:pPr>
              <w:jc w:val="center"/>
              <w:rPr>
                <w:rFonts w:hint="eastAsia" w:ascii="宋体" w:hAnsi="宋体" w:eastAsia="宋体" w:cs="宋体"/>
                <w:color w:val="auto"/>
                <w:sz w:val="24"/>
                <w:szCs w:val="24"/>
                <w:highlight w:val="none"/>
              </w:rPr>
            </w:pPr>
          </w:p>
        </w:tc>
      </w:tr>
      <w:tr w14:paraId="65B7FB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96" w:type="dxa"/>
            <w:tcBorders>
              <w:tl2br w:val="nil"/>
              <w:tr2bl w:val="nil"/>
            </w:tcBorders>
            <w:noWrap w:val="0"/>
            <w:vAlign w:val="center"/>
          </w:tcPr>
          <w:p w14:paraId="681A204E">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2395" w:type="dxa"/>
            <w:tcBorders>
              <w:tl2br w:val="nil"/>
              <w:tr2bl w:val="nil"/>
            </w:tcBorders>
            <w:noWrap w:val="0"/>
            <w:vAlign w:val="center"/>
          </w:tcPr>
          <w:p w14:paraId="64C25C3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监理员</w:t>
            </w:r>
          </w:p>
        </w:tc>
        <w:tc>
          <w:tcPr>
            <w:tcW w:w="1994" w:type="dxa"/>
            <w:tcBorders>
              <w:tl2br w:val="nil"/>
              <w:tr2bl w:val="nil"/>
            </w:tcBorders>
            <w:noWrap w:val="0"/>
            <w:vAlign w:val="center"/>
          </w:tcPr>
          <w:p w14:paraId="3343D729">
            <w:pPr>
              <w:jc w:val="center"/>
              <w:rPr>
                <w:rFonts w:hint="eastAsia" w:ascii="宋体" w:hAnsi="宋体" w:eastAsia="宋体" w:cs="宋体"/>
                <w:color w:val="auto"/>
                <w:sz w:val="24"/>
                <w:szCs w:val="24"/>
                <w:highlight w:val="none"/>
              </w:rPr>
            </w:pPr>
          </w:p>
        </w:tc>
        <w:tc>
          <w:tcPr>
            <w:tcW w:w="1632" w:type="dxa"/>
            <w:tcBorders>
              <w:tl2br w:val="nil"/>
              <w:tr2bl w:val="nil"/>
            </w:tcBorders>
            <w:noWrap w:val="0"/>
            <w:vAlign w:val="center"/>
          </w:tcPr>
          <w:p w14:paraId="285307BF">
            <w:pPr>
              <w:jc w:val="center"/>
              <w:rPr>
                <w:rFonts w:hint="eastAsia" w:ascii="宋体" w:hAnsi="宋体" w:eastAsia="宋体" w:cs="宋体"/>
                <w:color w:val="auto"/>
                <w:sz w:val="24"/>
                <w:szCs w:val="24"/>
                <w:highlight w:val="none"/>
              </w:rPr>
            </w:pPr>
          </w:p>
        </w:tc>
        <w:tc>
          <w:tcPr>
            <w:tcW w:w="2357" w:type="dxa"/>
            <w:tcBorders>
              <w:tl2br w:val="nil"/>
              <w:tr2bl w:val="nil"/>
            </w:tcBorders>
            <w:noWrap w:val="0"/>
            <w:vAlign w:val="center"/>
          </w:tcPr>
          <w:p w14:paraId="3F8E8F3A">
            <w:pPr>
              <w:jc w:val="center"/>
              <w:rPr>
                <w:rFonts w:hint="eastAsia" w:ascii="宋体" w:hAnsi="宋体" w:eastAsia="宋体" w:cs="宋体"/>
                <w:color w:val="auto"/>
                <w:sz w:val="24"/>
                <w:szCs w:val="24"/>
                <w:highlight w:val="none"/>
              </w:rPr>
            </w:pPr>
          </w:p>
        </w:tc>
      </w:tr>
      <w:tr w14:paraId="62DD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96" w:type="dxa"/>
            <w:tcBorders>
              <w:tl2br w:val="nil"/>
              <w:tr2bl w:val="nil"/>
            </w:tcBorders>
            <w:noWrap w:val="0"/>
            <w:vAlign w:val="center"/>
          </w:tcPr>
          <w:p w14:paraId="055DB847">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2395" w:type="dxa"/>
            <w:tcBorders>
              <w:tl2br w:val="nil"/>
              <w:tr2bl w:val="nil"/>
            </w:tcBorders>
            <w:noWrap w:val="0"/>
            <w:vAlign w:val="center"/>
          </w:tcPr>
          <w:p w14:paraId="4A2FF62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辅助人员</w:t>
            </w:r>
          </w:p>
        </w:tc>
        <w:tc>
          <w:tcPr>
            <w:tcW w:w="1994" w:type="dxa"/>
            <w:tcBorders>
              <w:tl2br w:val="nil"/>
              <w:tr2bl w:val="nil"/>
            </w:tcBorders>
            <w:noWrap w:val="0"/>
            <w:vAlign w:val="center"/>
          </w:tcPr>
          <w:p w14:paraId="56AA0952">
            <w:pPr>
              <w:jc w:val="center"/>
              <w:rPr>
                <w:rFonts w:hint="eastAsia" w:ascii="宋体" w:hAnsi="宋体" w:eastAsia="宋体" w:cs="宋体"/>
                <w:color w:val="auto"/>
                <w:sz w:val="24"/>
                <w:szCs w:val="24"/>
                <w:highlight w:val="none"/>
              </w:rPr>
            </w:pPr>
          </w:p>
        </w:tc>
        <w:tc>
          <w:tcPr>
            <w:tcW w:w="1632" w:type="dxa"/>
            <w:tcBorders>
              <w:tl2br w:val="nil"/>
              <w:tr2bl w:val="nil"/>
            </w:tcBorders>
            <w:noWrap w:val="0"/>
            <w:vAlign w:val="center"/>
          </w:tcPr>
          <w:p w14:paraId="066A3249">
            <w:pPr>
              <w:jc w:val="center"/>
              <w:rPr>
                <w:rFonts w:hint="eastAsia" w:ascii="宋体" w:hAnsi="宋体" w:eastAsia="宋体" w:cs="宋体"/>
                <w:color w:val="auto"/>
                <w:sz w:val="24"/>
                <w:szCs w:val="24"/>
                <w:highlight w:val="none"/>
              </w:rPr>
            </w:pPr>
          </w:p>
        </w:tc>
        <w:tc>
          <w:tcPr>
            <w:tcW w:w="2357" w:type="dxa"/>
            <w:tcBorders>
              <w:tl2br w:val="nil"/>
              <w:tr2bl w:val="nil"/>
            </w:tcBorders>
            <w:noWrap w:val="0"/>
            <w:vAlign w:val="center"/>
          </w:tcPr>
          <w:p w14:paraId="7BE46AFF">
            <w:pPr>
              <w:jc w:val="center"/>
              <w:rPr>
                <w:rFonts w:hint="eastAsia" w:ascii="宋体" w:hAnsi="宋体" w:eastAsia="宋体" w:cs="宋体"/>
                <w:color w:val="auto"/>
                <w:sz w:val="24"/>
                <w:szCs w:val="24"/>
                <w:highlight w:val="none"/>
              </w:rPr>
            </w:pPr>
          </w:p>
        </w:tc>
      </w:tr>
      <w:tr w14:paraId="10AE61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exact"/>
        </w:trPr>
        <w:tc>
          <w:tcPr>
            <w:tcW w:w="796" w:type="dxa"/>
            <w:tcBorders>
              <w:tl2br w:val="nil"/>
              <w:tr2bl w:val="nil"/>
            </w:tcBorders>
            <w:noWrap w:val="0"/>
            <w:vAlign w:val="center"/>
          </w:tcPr>
          <w:p w14:paraId="0603F6C8">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395" w:type="dxa"/>
            <w:tcBorders>
              <w:tl2br w:val="nil"/>
              <w:tr2bl w:val="nil"/>
            </w:tcBorders>
            <w:noWrap w:val="0"/>
            <w:vAlign w:val="center"/>
          </w:tcPr>
          <w:p w14:paraId="1F61D444">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994" w:type="dxa"/>
            <w:tcBorders>
              <w:tl2br w:val="nil"/>
              <w:tr2bl w:val="nil"/>
            </w:tcBorders>
            <w:noWrap w:val="0"/>
            <w:vAlign w:val="center"/>
          </w:tcPr>
          <w:p w14:paraId="6677709B">
            <w:pPr>
              <w:jc w:val="center"/>
              <w:rPr>
                <w:rFonts w:hint="eastAsia" w:ascii="宋体" w:hAnsi="宋体" w:eastAsia="宋体" w:cs="宋体"/>
                <w:color w:val="auto"/>
                <w:sz w:val="24"/>
                <w:szCs w:val="24"/>
                <w:highlight w:val="none"/>
              </w:rPr>
            </w:pPr>
          </w:p>
        </w:tc>
        <w:tc>
          <w:tcPr>
            <w:tcW w:w="1632" w:type="dxa"/>
            <w:tcBorders>
              <w:tl2br w:val="nil"/>
              <w:tr2bl w:val="nil"/>
            </w:tcBorders>
            <w:noWrap w:val="0"/>
            <w:vAlign w:val="center"/>
          </w:tcPr>
          <w:p w14:paraId="403A7477">
            <w:pPr>
              <w:jc w:val="center"/>
              <w:rPr>
                <w:rFonts w:hint="eastAsia" w:ascii="宋体" w:hAnsi="宋体" w:eastAsia="宋体" w:cs="宋体"/>
                <w:color w:val="auto"/>
                <w:sz w:val="24"/>
                <w:szCs w:val="24"/>
                <w:highlight w:val="none"/>
              </w:rPr>
            </w:pPr>
          </w:p>
        </w:tc>
        <w:tc>
          <w:tcPr>
            <w:tcW w:w="2357" w:type="dxa"/>
            <w:tcBorders>
              <w:tl2br w:val="nil"/>
              <w:tr2bl w:val="nil"/>
            </w:tcBorders>
            <w:noWrap w:val="0"/>
            <w:vAlign w:val="center"/>
          </w:tcPr>
          <w:p w14:paraId="7658521A">
            <w:pPr>
              <w:jc w:val="center"/>
              <w:rPr>
                <w:rFonts w:hint="eastAsia" w:ascii="宋体" w:hAnsi="宋体" w:eastAsia="宋体" w:cs="宋体"/>
                <w:color w:val="auto"/>
                <w:sz w:val="24"/>
                <w:szCs w:val="24"/>
                <w:highlight w:val="none"/>
              </w:rPr>
            </w:pPr>
          </w:p>
        </w:tc>
      </w:tr>
      <w:tr w14:paraId="4B5F71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exact"/>
        </w:trPr>
        <w:tc>
          <w:tcPr>
            <w:tcW w:w="796" w:type="dxa"/>
            <w:tcBorders>
              <w:tl2br w:val="nil"/>
              <w:tr2bl w:val="nil"/>
            </w:tcBorders>
            <w:noWrap w:val="0"/>
            <w:vAlign w:val="center"/>
          </w:tcPr>
          <w:p w14:paraId="1BFC09A8">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2395" w:type="dxa"/>
            <w:tcBorders>
              <w:tl2br w:val="nil"/>
              <w:tr2bl w:val="nil"/>
            </w:tcBorders>
            <w:noWrap w:val="0"/>
            <w:vAlign w:val="center"/>
          </w:tcPr>
          <w:p w14:paraId="315C2AA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1994" w:type="dxa"/>
            <w:tcBorders>
              <w:tl2br w:val="nil"/>
              <w:tr2bl w:val="nil"/>
            </w:tcBorders>
            <w:noWrap w:val="0"/>
            <w:vAlign w:val="center"/>
          </w:tcPr>
          <w:p w14:paraId="35AB7255">
            <w:pPr>
              <w:jc w:val="center"/>
              <w:rPr>
                <w:rFonts w:hint="eastAsia" w:ascii="宋体" w:hAnsi="宋体" w:eastAsia="宋体" w:cs="宋体"/>
                <w:color w:val="auto"/>
                <w:sz w:val="24"/>
                <w:szCs w:val="24"/>
                <w:highlight w:val="none"/>
              </w:rPr>
            </w:pPr>
          </w:p>
        </w:tc>
        <w:tc>
          <w:tcPr>
            <w:tcW w:w="1632" w:type="dxa"/>
            <w:tcBorders>
              <w:tl2br w:val="nil"/>
              <w:tr2bl w:val="nil"/>
            </w:tcBorders>
            <w:noWrap w:val="0"/>
            <w:vAlign w:val="center"/>
          </w:tcPr>
          <w:p w14:paraId="44935D46">
            <w:pPr>
              <w:jc w:val="center"/>
              <w:rPr>
                <w:rFonts w:hint="eastAsia" w:ascii="宋体" w:hAnsi="宋体" w:eastAsia="宋体" w:cs="宋体"/>
                <w:color w:val="auto"/>
                <w:sz w:val="24"/>
                <w:szCs w:val="24"/>
                <w:highlight w:val="none"/>
              </w:rPr>
            </w:pPr>
          </w:p>
        </w:tc>
        <w:tc>
          <w:tcPr>
            <w:tcW w:w="2357" w:type="dxa"/>
            <w:tcBorders>
              <w:tl2br w:val="nil"/>
              <w:tr2bl w:val="nil"/>
            </w:tcBorders>
            <w:noWrap w:val="0"/>
            <w:vAlign w:val="center"/>
          </w:tcPr>
          <w:p w14:paraId="27227312">
            <w:pPr>
              <w:jc w:val="center"/>
              <w:rPr>
                <w:rFonts w:hint="eastAsia" w:ascii="宋体" w:hAnsi="宋体" w:eastAsia="宋体" w:cs="宋体"/>
                <w:color w:val="auto"/>
                <w:sz w:val="24"/>
                <w:szCs w:val="24"/>
                <w:highlight w:val="none"/>
              </w:rPr>
            </w:pPr>
          </w:p>
        </w:tc>
      </w:tr>
    </w:tbl>
    <w:p w14:paraId="1F6287C8">
      <w:pPr>
        <w:spacing w:before="120" w:beforeLines="50"/>
        <w:rPr>
          <w:rFonts w:hint="eastAsia" w:ascii="宋体" w:hAnsi="宋体" w:eastAsia="宋体" w:cs="宋体"/>
          <w:b/>
          <w:color w:val="auto"/>
          <w:sz w:val="24"/>
          <w:szCs w:val="24"/>
          <w:highlight w:val="none"/>
        </w:rPr>
      </w:pPr>
    </w:p>
    <w:p w14:paraId="014269D1">
      <w:pPr>
        <w:ind w:left="783" w:leftChars="356" w:firstLine="1500" w:firstLineChars="600"/>
        <w:jc w:val="left"/>
        <w:rPr>
          <w:rFonts w:hint="eastAsia" w:ascii="宋体" w:hAnsi="宋体" w:eastAsia="宋体" w:cs="宋体"/>
          <w:color w:val="auto"/>
          <w:sz w:val="24"/>
          <w:szCs w:val="24"/>
          <w:highlight w:val="none"/>
        </w:rPr>
      </w:pPr>
    </w:p>
    <w:p w14:paraId="56C77004">
      <w:pPr>
        <w:spacing w:after="480" w:line="20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（公章）</w:t>
      </w:r>
    </w:p>
    <w:p w14:paraId="4FE065E8">
      <w:pPr>
        <w:spacing w:after="480" w:line="20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eastAsia="zh-CN"/>
        </w:rPr>
        <w:t>委托代理人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签字或盖章</w:t>
      </w:r>
      <w:r>
        <w:rPr>
          <w:rFonts w:hint="eastAsia" w:ascii="宋体" w:hAnsi="宋体" w:eastAsia="宋体" w:cs="宋体"/>
          <w:color w:val="auto"/>
          <w:kern w:val="0"/>
          <w:sz w:val="24"/>
          <w:szCs w:val="24"/>
          <w:highlight w:val="none"/>
        </w:rPr>
        <w:t>)</w:t>
      </w:r>
    </w:p>
    <w:p w14:paraId="6D1F21D2">
      <w:pPr>
        <w:spacing w:before="480" w:line="20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165F01B">
      <w:pPr>
        <w:jc w:val="center"/>
        <w:rPr>
          <w:rFonts w:hint="eastAsia" w:ascii="宋体" w:hAnsi="宋体" w:eastAsia="宋体" w:cs="宋体"/>
          <w:color w:val="auto"/>
          <w:sz w:val="24"/>
          <w:szCs w:val="24"/>
          <w:highlight w:val="none"/>
        </w:rPr>
      </w:pPr>
    </w:p>
    <w:p w14:paraId="76E600C7">
      <w:pPr>
        <w:jc w:val="center"/>
        <w:rPr>
          <w:rFonts w:hint="eastAsia" w:ascii="宋体" w:hAnsi="宋体" w:eastAsia="宋体" w:cs="宋体"/>
          <w:b/>
          <w:bCs/>
          <w:color w:val="auto"/>
          <w:sz w:val="24"/>
          <w:szCs w:val="24"/>
          <w:highlight w:val="none"/>
        </w:rPr>
      </w:pPr>
    </w:p>
    <w:p w14:paraId="0A3FBBD2">
      <w:pPr>
        <w:jc w:val="center"/>
        <w:rPr>
          <w:rFonts w:hint="eastAsia" w:ascii="宋体" w:hAnsi="宋体" w:eastAsia="宋体" w:cs="宋体"/>
          <w:b/>
          <w:bCs/>
          <w:color w:val="auto"/>
          <w:sz w:val="24"/>
          <w:szCs w:val="24"/>
          <w:highlight w:val="none"/>
        </w:rPr>
      </w:pPr>
    </w:p>
    <w:p w14:paraId="32EF8146">
      <w:pPr>
        <w:jc w:val="center"/>
        <w:rPr>
          <w:rFonts w:hint="eastAsia" w:ascii="宋体" w:hAnsi="宋体" w:eastAsia="宋体" w:cs="宋体"/>
          <w:b/>
          <w:bCs/>
          <w:color w:val="auto"/>
          <w:sz w:val="24"/>
          <w:szCs w:val="24"/>
          <w:highlight w:val="none"/>
        </w:rPr>
      </w:pPr>
    </w:p>
    <w:p w14:paraId="6BEBCAC8">
      <w:pPr>
        <w:jc w:val="center"/>
        <w:rPr>
          <w:rFonts w:hint="eastAsia" w:ascii="宋体" w:hAnsi="宋体" w:eastAsia="宋体" w:cs="宋体"/>
          <w:b/>
          <w:bCs/>
          <w:color w:val="auto"/>
          <w:sz w:val="24"/>
          <w:szCs w:val="24"/>
          <w:highlight w:val="none"/>
        </w:rPr>
      </w:pPr>
    </w:p>
    <w:p w14:paraId="67A2ED22">
      <w:pPr>
        <w:jc w:val="center"/>
        <w:rPr>
          <w:rFonts w:hint="eastAsia" w:ascii="宋体" w:hAnsi="宋体" w:eastAsia="宋体" w:cs="宋体"/>
          <w:b/>
          <w:bCs/>
          <w:color w:val="auto"/>
          <w:sz w:val="24"/>
          <w:szCs w:val="24"/>
          <w:highlight w:val="none"/>
        </w:rPr>
      </w:pPr>
    </w:p>
    <w:p w14:paraId="746E70CB">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color w:val="auto"/>
          <w:sz w:val="24"/>
          <w:szCs w:val="24"/>
          <w:highlight w:val="none"/>
        </w:rPr>
      </w:pPr>
    </w:p>
    <w:p w14:paraId="015D7344">
      <w:pPr>
        <w:pStyle w:val="47"/>
        <w:rPr>
          <w:rFonts w:hint="eastAsia"/>
          <w:highlight w:val="none"/>
        </w:rPr>
      </w:pPr>
    </w:p>
    <w:p w14:paraId="6B92C325">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设施设备购置和使用费计算表</w:t>
      </w:r>
    </w:p>
    <w:tbl>
      <w:tblPr>
        <w:tblStyle w:val="29"/>
        <w:tblpPr w:leftFromText="180" w:rightFromText="180" w:vertAnchor="text" w:horzAnchor="page" w:tblpX="1327" w:tblpY="810"/>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841"/>
        <w:gridCol w:w="837"/>
        <w:gridCol w:w="837"/>
        <w:gridCol w:w="1675"/>
        <w:gridCol w:w="1540"/>
        <w:gridCol w:w="1674"/>
      </w:tblGrid>
      <w:tr w14:paraId="466A93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770" w:type="dxa"/>
            <w:tcBorders>
              <w:tl2br w:val="nil"/>
              <w:tr2bl w:val="nil"/>
            </w:tcBorders>
            <w:noWrap w:val="0"/>
            <w:vAlign w:val="center"/>
          </w:tcPr>
          <w:p w14:paraId="3BE1B44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41" w:type="dxa"/>
            <w:tcBorders>
              <w:tl2br w:val="nil"/>
              <w:tr2bl w:val="nil"/>
            </w:tcBorders>
            <w:noWrap w:val="0"/>
            <w:vAlign w:val="center"/>
          </w:tcPr>
          <w:p w14:paraId="4C16D51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设施设备名称</w:t>
            </w:r>
          </w:p>
        </w:tc>
        <w:tc>
          <w:tcPr>
            <w:tcW w:w="837" w:type="dxa"/>
            <w:tcBorders>
              <w:tl2br w:val="nil"/>
              <w:tr2bl w:val="nil"/>
            </w:tcBorders>
            <w:noWrap w:val="0"/>
            <w:vAlign w:val="center"/>
          </w:tcPr>
          <w:p w14:paraId="620871B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tc>
        <w:tc>
          <w:tcPr>
            <w:tcW w:w="837" w:type="dxa"/>
            <w:tcBorders>
              <w:tl2br w:val="nil"/>
              <w:tr2bl w:val="nil"/>
            </w:tcBorders>
            <w:noWrap w:val="0"/>
            <w:vAlign w:val="center"/>
          </w:tcPr>
          <w:p w14:paraId="02DA9EE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675" w:type="dxa"/>
            <w:tcBorders>
              <w:tl2br w:val="nil"/>
              <w:tr2bl w:val="nil"/>
            </w:tcBorders>
            <w:noWrap w:val="0"/>
            <w:vAlign w:val="center"/>
          </w:tcPr>
          <w:p w14:paraId="663E5D9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购置费</w:t>
            </w:r>
          </w:p>
          <w:p w14:paraId="26334EF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（或折旧费）</w:t>
            </w:r>
          </w:p>
        </w:tc>
        <w:tc>
          <w:tcPr>
            <w:tcW w:w="1540" w:type="dxa"/>
            <w:tcBorders>
              <w:tl2br w:val="nil"/>
              <w:tr2bl w:val="nil"/>
            </w:tcBorders>
            <w:noWrap w:val="0"/>
            <w:vAlign w:val="center"/>
          </w:tcPr>
          <w:p w14:paraId="08A2756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运行费用</w:t>
            </w:r>
          </w:p>
        </w:tc>
        <w:tc>
          <w:tcPr>
            <w:tcW w:w="1674" w:type="dxa"/>
            <w:tcBorders>
              <w:tl2br w:val="nil"/>
              <w:tr2bl w:val="nil"/>
            </w:tcBorders>
            <w:noWrap w:val="0"/>
            <w:vAlign w:val="center"/>
          </w:tcPr>
          <w:p w14:paraId="021D5EB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金额（小计）</w:t>
            </w:r>
          </w:p>
        </w:tc>
      </w:tr>
      <w:tr w14:paraId="0219E9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770" w:type="dxa"/>
            <w:tcBorders>
              <w:tl2br w:val="nil"/>
              <w:tr2bl w:val="nil"/>
            </w:tcBorders>
            <w:noWrap w:val="0"/>
            <w:vAlign w:val="center"/>
          </w:tcPr>
          <w:p w14:paraId="6890346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1841" w:type="dxa"/>
            <w:tcBorders>
              <w:tl2br w:val="nil"/>
              <w:tr2bl w:val="nil"/>
            </w:tcBorders>
            <w:noWrap w:val="0"/>
            <w:vAlign w:val="center"/>
          </w:tcPr>
          <w:p w14:paraId="1B6CD7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办公生活设施</w:t>
            </w:r>
          </w:p>
        </w:tc>
        <w:tc>
          <w:tcPr>
            <w:tcW w:w="837" w:type="dxa"/>
            <w:tcBorders>
              <w:tl2br w:val="nil"/>
              <w:tr2bl w:val="nil"/>
            </w:tcBorders>
            <w:noWrap w:val="0"/>
            <w:vAlign w:val="center"/>
          </w:tcPr>
          <w:p w14:paraId="3EE4666E">
            <w:pPr>
              <w:jc w:val="center"/>
              <w:rPr>
                <w:rFonts w:hint="eastAsia" w:ascii="宋体" w:hAnsi="宋体" w:eastAsia="宋体" w:cs="宋体"/>
                <w:color w:val="auto"/>
                <w:sz w:val="24"/>
                <w:szCs w:val="24"/>
                <w:highlight w:val="none"/>
              </w:rPr>
            </w:pPr>
          </w:p>
        </w:tc>
        <w:tc>
          <w:tcPr>
            <w:tcW w:w="837" w:type="dxa"/>
            <w:tcBorders>
              <w:tl2br w:val="nil"/>
              <w:tr2bl w:val="nil"/>
            </w:tcBorders>
            <w:noWrap w:val="0"/>
            <w:vAlign w:val="center"/>
          </w:tcPr>
          <w:p w14:paraId="76E88B29">
            <w:pPr>
              <w:jc w:val="center"/>
              <w:rPr>
                <w:rFonts w:hint="eastAsia" w:ascii="宋体" w:hAnsi="宋体" w:eastAsia="宋体" w:cs="宋体"/>
                <w:color w:val="auto"/>
                <w:sz w:val="24"/>
                <w:szCs w:val="24"/>
                <w:highlight w:val="none"/>
              </w:rPr>
            </w:pPr>
          </w:p>
        </w:tc>
        <w:tc>
          <w:tcPr>
            <w:tcW w:w="1675" w:type="dxa"/>
            <w:tcBorders>
              <w:tl2br w:val="nil"/>
              <w:tr2bl w:val="nil"/>
            </w:tcBorders>
            <w:noWrap w:val="0"/>
            <w:vAlign w:val="center"/>
          </w:tcPr>
          <w:p w14:paraId="2544B589">
            <w:pPr>
              <w:jc w:val="center"/>
              <w:rPr>
                <w:rFonts w:hint="eastAsia" w:ascii="宋体" w:hAnsi="宋体" w:eastAsia="宋体" w:cs="宋体"/>
                <w:color w:val="auto"/>
                <w:sz w:val="24"/>
                <w:szCs w:val="24"/>
                <w:highlight w:val="none"/>
              </w:rPr>
            </w:pPr>
          </w:p>
        </w:tc>
        <w:tc>
          <w:tcPr>
            <w:tcW w:w="1540" w:type="dxa"/>
            <w:tcBorders>
              <w:tl2br w:val="nil"/>
              <w:tr2bl w:val="nil"/>
            </w:tcBorders>
            <w:noWrap w:val="0"/>
            <w:vAlign w:val="center"/>
          </w:tcPr>
          <w:p w14:paraId="55E1D4E4">
            <w:pPr>
              <w:jc w:val="center"/>
              <w:rPr>
                <w:rFonts w:hint="eastAsia" w:ascii="宋体" w:hAnsi="宋体" w:eastAsia="宋体" w:cs="宋体"/>
                <w:color w:val="auto"/>
                <w:sz w:val="24"/>
                <w:szCs w:val="24"/>
                <w:highlight w:val="none"/>
              </w:rPr>
            </w:pPr>
          </w:p>
        </w:tc>
        <w:tc>
          <w:tcPr>
            <w:tcW w:w="1674" w:type="dxa"/>
            <w:tcBorders>
              <w:tl2br w:val="nil"/>
              <w:tr2bl w:val="nil"/>
            </w:tcBorders>
            <w:noWrap w:val="0"/>
            <w:vAlign w:val="center"/>
          </w:tcPr>
          <w:p w14:paraId="27E5A276">
            <w:pPr>
              <w:jc w:val="center"/>
              <w:rPr>
                <w:rFonts w:hint="eastAsia" w:ascii="宋体" w:hAnsi="宋体" w:eastAsia="宋体" w:cs="宋体"/>
                <w:color w:val="auto"/>
                <w:sz w:val="24"/>
                <w:szCs w:val="24"/>
                <w:highlight w:val="none"/>
              </w:rPr>
            </w:pPr>
          </w:p>
        </w:tc>
      </w:tr>
      <w:tr w14:paraId="448D5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770" w:type="dxa"/>
            <w:tcBorders>
              <w:tl2br w:val="nil"/>
              <w:tr2bl w:val="nil"/>
            </w:tcBorders>
            <w:noWrap w:val="0"/>
            <w:vAlign w:val="center"/>
          </w:tcPr>
          <w:p w14:paraId="58A4015E">
            <w:pPr>
              <w:jc w:val="center"/>
              <w:rPr>
                <w:rFonts w:hint="eastAsia" w:ascii="宋体" w:hAnsi="宋体" w:eastAsia="宋体" w:cs="宋体"/>
                <w:color w:val="auto"/>
                <w:sz w:val="24"/>
                <w:szCs w:val="24"/>
                <w:highlight w:val="none"/>
              </w:rPr>
            </w:pPr>
          </w:p>
        </w:tc>
        <w:tc>
          <w:tcPr>
            <w:tcW w:w="1841" w:type="dxa"/>
            <w:tcBorders>
              <w:tl2br w:val="nil"/>
              <w:tr2bl w:val="nil"/>
            </w:tcBorders>
            <w:noWrap w:val="0"/>
            <w:vAlign w:val="center"/>
          </w:tcPr>
          <w:p w14:paraId="52C23F34">
            <w:pPr>
              <w:jc w:val="center"/>
              <w:rPr>
                <w:rFonts w:hint="eastAsia" w:ascii="宋体" w:hAnsi="宋体" w:eastAsia="宋体" w:cs="宋体"/>
                <w:color w:val="auto"/>
                <w:sz w:val="24"/>
                <w:szCs w:val="24"/>
                <w:highlight w:val="none"/>
              </w:rPr>
            </w:pPr>
          </w:p>
        </w:tc>
        <w:tc>
          <w:tcPr>
            <w:tcW w:w="837" w:type="dxa"/>
            <w:tcBorders>
              <w:tl2br w:val="nil"/>
              <w:tr2bl w:val="nil"/>
            </w:tcBorders>
            <w:noWrap w:val="0"/>
            <w:vAlign w:val="center"/>
          </w:tcPr>
          <w:p w14:paraId="72D59282">
            <w:pPr>
              <w:jc w:val="center"/>
              <w:rPr>
                <w:rFonts w:hint="eastAsia" w:ascii="宋体" w:hAnsi="宋体" w:eastAsia="宋体" w:cs="宋体"/>
                <w:color w:val="auto"/>
                <w:sz w:val="24"/>
                <w:szCs w:val="24"/>
                <w:highlight w:val="none"/>
              </w:rPr>
            </w:pPr>
          </w:p>
        </w:tc>
        <w:tc>
          <w:tcPr>
            <w:tcW w:w="837" w:type="dxa"/>
            <w:tcBorders>
              <w:tl2br w:val="nil"/>
              <w:tr2bl w:val="nil"/>
            </w:tcBorders>
            <w:noWrap w:val="0"/>
            <w:vAlign w:val="center"/>
          </w:tcPr>
          <w:p w14:paraId="471CC1A5">
            <w:pPr>
              <w:jc w:val="center"/>
              <w:rPr>
                <w:rFonts w:hint="eastAsia" w:ascii="宋体" w:hAnsi="宋体" w:eastAsia="宋体" w:cs="宋体"/>
                <w:color w:val="auto"/>
                <w:sz w:val="24"/>
                <w:szCs w:val="24"/>
                <w:highlight w:val="none"/>
              </w:rPr>
            </w:pPr>
          </w:p>
        </w:tc>
        <w:tc>
          <w:tcPr>
            <w:tcW w:w="1675" w:type="dxa"/>
            <w:tcBorders>
              <w:tl2br w:val="nil"/>
              <w:tr2bl w:val="nil"/>
            </w:tcBorders>
            <w:noWrap w:val="0"/>
            <w:vAlign w:val="center"/>
          </w:tcPr>
          <w:p w14:paraId="36732428">
            <w:pPr>
              <w:jc w:val="center"/>
              <w:rPr>
                <w:rFonts w:hint="eastAsia" w:ascii="宋体" w:hAnsi="宋体" w:eastAsia="宋体" w:cs="宋体"/>
                <w:color w:val="auto"/>
                <w:sz w:val="24"/>
                <w:szCs w:val="24"/>
                <w:highlight w:val="none"/>
              </w:rPr>
            </w:pPr>
          </w:p>
        </w:tc>
        <w:tc>
          <w:tcPr>
            <w:tcW w:w="1540" w:type="dxa"/>
            <w:tcBorders>
              <w:tl2br w:val="nil"/>
              <w:tr2bl w:val="nil"/>
            </w:tcBorders>
            <w:noWrap w:val="0"/>
            <w:vAlign w:val="center"/>
          </w:tcPr>
          <w:p w14:paraId="16024959">
            <w:pPr>
              <w:jc w:val="center"/>
              <w:rPr>
                <w:rFonts w:hint="eastAsia" w:ascii="宋体" w:hAnsi="宋体" w:eastAsia="宋体" w:cs="宋体"/>
                <w:color w:val="auto"/>
                <w:sz w:val="24"/>
                <w:szCs w:val="24"/>
                <w:highlight w:val="none"/>
              </w:rPr>
            </w:pPr>
          </w:p>
        </w:tc>
        <w:tc>
          <w:tcPr>
            <w:tcW w:w="1674" w:type="dxa"/>
            <w:tcBorders>
              <w:tl2br w:val="nil"/>
              <w:tr2bl w:val="nil"/>
            </w:tcBorders>
            <w:noWrap w:val="0"/>
            <w:vAlign w:val="center"/>
          </w:tcPr>
          <w:p w14:paraId="103F9D60">
            <w:pPr>
              <w:jc w:val="center"/>
              <w:rPr>
                <w:rFonts w:hint="eastAsia" w:ascii="宋体" w:hAnsi="宋体" w:eastAsia="宋体" w:cs="宋体"/>
                <w:color w:val="auto"/>
                <w:sz w:val="24"/>
                <w:szCs w:val="24"/>
                <w:highlight w:val="none"/>
              </w:rPr>
            </w:pPr>
          </w:p>
        </w:tc>
      </w:tr>
      <w:tr w14:paraId="6ABE7D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770" w:type="dxa"/>
            <w:tcBorders>
              <w:tl2br w:val="nil"/>
              <w:tr2bl w:val="nil"/>
            </w:tcBorders>
            <w:noWrap w:val="0"/>
            <w:vAlign w:val="center"/>
          </w:tcPr>
          <w:p w14:paraId="561E4D2A">
            <w:pPr>
              <w:jc w:val="center"/>
              <w:rPr>
                <w:rFonts w:hint="eastAsia" w:ascii="宋体" w:hAnsi="宋体" w:eastAsia="宋体" w:cs="宋体"/>
                <w:color w:val="auto"/>
                <w:sz w:val="24"/>
                <w:szCs w:val="24"/>
                <w:highlight w:val="none"/>
              </w:rPr>
            </w:pPr>
          </w:p>
        </w:tc>
        <w:tc>
          <w:tcPr>
            <w:tcW w:w="1841" w:type="dxa"/>
            <w:tcBorders>
              <w:tl2br w:val="nil"/>
              <w:tr2bl w:val="nil"/>
            </w:tcBorders>
            <w:noWrap w:val="0"/>
            <w:vAlign w:val="center"/>
          </w:tcPr>
          <w:p w14:paraId="617BA9B1">
            <w:pPr>
              <w:jc w:val="center"/>
              <w:rPr>
                <w:rFonts w:hint="eastAsia" w:ascii="宋体" w:hAnsi="宋体" w:eastAsia="宋体" w:cs="宋体"/>
                <w:color w:val="auto"/>
                <w:sz w:val="24"/>
                <w:szCs w:val="24"/>
                <w:highlight w:val="none"/>
              </w:rPr>
            </w:pPr>
          </w:p>
        </w:tc>
        <w:tc>
          <w:tcPr>
            <w:tcW w:w="837" w:type="dxa"/>
            <w:tcBorders>
              <w:tl2br w:val="nil"/>
              <w:tr2bl w:val="nil"/>
            </w:tcBorders>
            <w:noWrap w:val="0"/>
            <w:vAlign w:val="center"/>
          </w:tcPr>
          <w:p w14:paraId="7F16962E">
            <w:pPr>
              <w:jc w:val="center"/>
              <w:rPr>
                <w:rFonts w:hint="eastAsia" w:ascii="宋体" w:hAnsi="宋体" w:eastAsia="宋体" w:cs="宋体"/>
                <w:color w:val="auto"/>
                <w:sz w:val="24"/>
                <w:szCs w:val="24"/>
                <w:highlight w:val="none"/>
              </w:rPr>
            </w:pPr>
          </w:p>
        </w:tc>
        <w:tc>
          <w:tcPr>
            <w:tcW w:w="837" w:type="dxa"/>
            <w:tcBorders>
              <w:tl2br w:val="nil"/>
              <w:tr2bl w:val="nil"/>
            </w:tcBorders>
            <w:noWrap w:val="0"/>
            <w:vAlign w:val="center"/>
          </w:tcPr>
          <w:p w14:paraId="71E15FA0">
            <w:pPr>
              <w:jc w:val="center"/>
              <w:rPr>
                <w:rFonts w:hint="eastAsia" w:ascii="宋体" w:hAnsi="宋体" w:eastAsia="宋体" w:cs="宋体"/>
                <w:color w:val="auto"/>
                <w:sz w:val="24"/>
                <w:szCs w:val="24"/>
                <w:highlight w:val="none"/>
              </w:rPr>
            </w:pPr>
          </w:p>
        </w:tc>
        <w:tc>
          <w:tcPr>
            <w:tcW w:w="1675" w:type="dxa"/>
            <w:tcBorders>
              <w:tl2br w:val="nil"/>
              <w:tr2bl w:val="nil"/>
            </w:tcBorders>
            <w:noWrap w:val="0"/>
            <w:vAlign w:val="center"/>
          </w:tcPr>
          <w:p w14:paraId="5BFF4EFE">
            <w:pPr>
              <w:jc w:val="center"/>
              <w:rPr>
                <w:rFonts w:hint="eastAsia" w:ascii="宋体" w:hAnsi="宋体" w:eastAsia="宋体" w:cs="宋体"/>
                <w:color w:val="auto"/>
                <w:sz w:val="24"/>
                <w:szCs w:val="24"/>
                <w:highlight w:val="none"/>
              </w:rPr>
            </w:pPr>
          </w:p>
        </w:tc>
        <w:tc>
          <w:tcPr>
            <w:tcW w:w="1540" w:type="dxa"/>
            <w:tcBorders>
              <w:tl2br w:val="nil"/>
              <w:tr2bl w:val="nil"/>
            </w:tcBorders>
            <w:noWrap w:val="0"/>
            <w:vAlign w:val="center"/>
          </w:tcPr>
          <w:p w14:paraId="163E128A">
            <w:pPr>
              <w:jc w:val="center"/>
              <w:rPr>
                <w:rFonts w:hint="eastAsia" w:ascii="宋体" w:hAnsi="宋体" w:eastAsia="宋体" w:cs="宋体"/>
                <w:color w:val="auto"/>
                <w:sz w:val="24"/>
                <w:szCs w:val="24"/>
                <w:highlight w:val="none"/>
              </w:rPr>
            </w:pPr>
          </w:p>
        </w:tc>
        <w:tc>
          <w:tcPr>
            <w:tcW w:w="1674" w:type="dxa"/>
            <w:tcBorders>
              <w:tl2br w:val="nil"/>
              <w:tr2bl w:val="nil"/>
            </w:tcBorders>
            <w:noWrap w:val="0"/>
            <w:vAlign w:val="center"/>
          </w:tcPr>
          <w:p w14:paraId="2633A1F3">
            <w:pPr>
              <w:jc w:val="center"/>
              <w:rPr>
                <w:rFonts w:hint="eastAsia" w:ascii="宋体" w:hAnsi="宋体" w:eastAsia="宋体" w:cs="宋体"/>
                <w:color w:val="auto"/>
                <w:sz w:val="24"/>
                <w:szCs w:val="24"/>
                <w:highlight w:val="none"/>
              </w:rPr>
            </w:pPr>
          </w:p>
        </w:tc>
      </w:tr>
      <w:tr w14:paraId="25A8A4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770" w:type="dxa"/>
            <w:tcBorders>
              <w:tl2br w:val="nil"/>
              <w:tr2bl w:val="nil"/>
            </w:tcBorders>
            <w:noWrap w:val="0"/>
            <w:vAlign w:val="center"/>
          </w:tcPr>
          <w:p w14:paraId="26CCFF3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841" w:type="dxa"/>
            <w:tcBorders>
              <w:tl2br w:val="nil"/>
              <w:tr2bl w:val="nil"/>
            </w:tcBorders>
            <w:noWrap w:val="0"/>
            <w:vAlign w:val="center"/>
          </w:tcPr>
          <w:p w14:paraId="332B902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通信设施</w:t>
            </w:r>
          </w:p>
        </w:tc>
        <w:tc>
          <w:tcPr>
            <w:tcW w:w="837" w:type="dxa"/>
            <w:tcBorders>
              <w:tl2br w:val="nil"/>
              <w:tr2bl w:val="nil"/>
            </w:tcBorders>
            <w:noWrap w:val="0"/>
            <w:vAlign w:val="center"/>
          </w:tcPr>
          <w:p w14:paraId="28771E5D">
            <w:pPr>
              <w:jc w:val="center"/>
              <w:rPr>
                <w:rFonts w:hint="eastAsia" w:ascii="宋体" w:hAnsi="宋体" w:eastAsia="宋体" w:cs="宋体"/>
                <w:color w:val="auto"/>
                <w:sz w:val="24"/>
                <w:szCs w:val="24"/>
                <w:highlight w:val="none"/>
              </w:rPr>
            </w:pPr>
          </w:p>
        </w:tc>
        <w:tc>
          <w:tcPr>
            <w:tcW w:w="837" w:type="dxa"/>
            <w:tcBorders>
              <w:tl2br w:val="nil"/>
              <w:tr2bl w:val="nil"/>
            </w:tcBorders>
            <w:noWrap w:val="0"/>
            <w:vAlign w:val="center"/>
          </w:tcPr>
          <w:p w14:paraId="01A5488A">
            <w:pPr>
              <w:jc w:val="center"/>
              <w:rPr>
                <w:rFonts w:hint="eastAsia" w:ascii="宋体" w:hAnsi="宋体" w:eastAsia="宋体" w:cs="宋体"/>
                <w:color w:val="auto"/>
                <w:sz w:val="24"/>
                <w:szCs w:val="24"/>
                <w:highlight w:val="none"/>
              </w:rPr>
            </w:pPr>
          </w:p>
        </w:tc>
        <w:tc>
          <w:tcPr>
            <w:tcW w:w="1675" w:type="dxa"/>
            <w:tcBorders>
              <w:tl2br w:val="nil"/>
              <w:tr2bl w:val="nil"/>
            </w:tcBorders>
            <w:noWrap w:val="0"/>
            <w:vAlign w:val="center"/>
          </w:tcPr>
          <w:p w14:paraId="16E89712">
            <w:pPr>
              <w:jc w:val="center"/>
              <w:rPr>
                <w:rFonts w:hint="eastAsia" w:ascii="宋体" w:hAnsi="宋体" w:eastAsia="宋体" w:cs="宋体"/>
                <w:color w:val="auto"/>
                <w:sz w:val="24"/>
                <w:szCs w:val="24"/>
                <w:highlight w:val="none"/>
              </w:rPr>
            </w:pPr>
          </w:p>
        </w:tc>
        <w:tc>
          <w:tcPr>
            <w:tcW w:w="1540" w:type="dxa"/>
            <w:tcBorders>
              <w:tl2br w:val="nil"/>
              <w:tr2bl w:val="nil"/>
            </w:tcBorders>
            <w:noWrap w:val="0"/>
            <w:vAlign w:val="center"/>
          </w:tcPr>
          <w:p w14:paraId="01963AAB">
            <w:pPr>
              <w:jc w:val="center"/>
              <w:rPr>
                <w:rFonts w:hint="eastAsia" w:ascii="宋体" w:hAnsi="宋体" w:eastAsia="宋体" w:cs="宋体"/>
                <w:color w:val="auto"/>
                <w:sz w:val="24"/>
                <w:szCs w:val="24"/>
                <w:highlight w:val="none"/>
              </w:rPr>
            </w:pPr>
          </w:p>
        </w:tc>
        <w:tc>
          <w:tcPr>
            <w:tcW w:w="1674" w:type="dxa"/>
            <w:tcBorders>
              <w:tl2br w:val="nil"/>
              <w:tr2bl w:val="nil"/>
            </w:tcBorders>
            <w:noWrap w:val="0"/>
            <w:vAlign w:val="center"/>
          </w:tcPr>
          <w:p w14:paraId="45D76434">
            <w:pPr>
              <w:jc w:val="center"/>
              <w:rPr>
                <w:rFonts w:hint="eastAsia" w:ascii="宋体" w:hAnsi="宋体" w:eastAsia="宋体" w:cs="宋体"/>
                <w:color w:val="auto"/>
                <w:sz w:val="24"/>
                <w:szCs w:val="24"/>
                <w:highlight w:val="none"/>
              </w:rPr>
            </w:pPr>
          </w:p>
        </w:tc>
      </w:tr>
      <w:tr w14:paraId="2DF9F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770" w:type="dxa"/>
            <w:tcBorders>
              <w:tl2br w:val="nil"/>
              <w:tr2bl w:val="nil"/>
            </w:tcBorders>
            <w:noWrap w:val="0"/>
            <w:vAlign w:val="center"/>
          </w:tcPr>
          <w:p w14:paraId="51AE5287">
            <w:pPr>
              <w:jc w:val="center"/>
              <w:rPr>
                <w:rFonts w:hint="eastAsia" w:ascii="宋体" w:hAnsi="宋体" w:eastAsia="宋体" w:cs="宋体"/>
                <w:color w:val="auto"/>
                <w:sz w:val="24"/>
                <w:szCs w:val="24"/>
                <w:highlight w:val="none"/>
              </w:rPr>
            </w:pPr>
          </w:p>
        </w:tc>
        <w:tc>
          <w:tcPr>
            <w:tcW w:w="1841" w:type="dxa"/>
            <w:tcBorders>
              <w:tl2br w:val="nil"/>
              <w:tr2bl w:val="nil"/>
            </w:tcBorders>
            <w:noWrap w:val="0"/>
            <w:vAlign w:val="center"/>
          </w:tcPr>
          <w:p w14:paraId="3BA9FC28">
            <w:pPr>
              <w:jc w:val="center"/>
              <w:rPr>
                <w:rFonts w:hint="eastAsia" w:ascii="宋体" w:hAnsi="宋体" w:eastAsia="宋体" w:cs="宋体"/>
                <w:color w:val="auto"/>
                <w:sz w:val="24"/>
                <w:szCs w:val="24"/>
                <w:highlight w:val="none"/>
              </w:rPr>
            </w:pPr>
          </w:p>
        </w:tc>
        <w:tc>
          <w:tcPr>
            <w:tcW w:w="837" w:type="dxa"/>
            <w:tcBorders>
              <w:tl2br w:val="nil"/>
              <w:tr2bl w:val="nil"/>
            </w:tcBorders>
            <w:noWrap w:val="0"/>
            <w:vAlign w:val="center"/>
          </w:tcPr>
          <w:p w14:paraId="30F36623">
            <w:pPr>
              <w:jc w:val="center"/>
              <w:rPr>
                <w:rFonts w:hint="eastAsia" w:ascii="宋体" w:hAnsi="宋体" w:eastAsia="宋体" w:cs="宋体"/>
                <w:color w:val="auto"/>
                <w:sz w:val="24"/>
                <w:szCs w:val="24"/>
                <w:highlight w:val="none"/>
              </w:rPr>
            </w:pPr>
          </w:p>
        </w:tc>
        <w:tc>
          <w:tcPr>
            <w:tcW w:w="837" w:type="dxa"/>
            <w:tcBorders>
              <w:tl2br w:val="nil"/>
              <w:tr2bl w:val="nil"/>
            </w:tcBorders>
            <w:noWrap w:val="0"/>
            <w:vAlign w:val="center"/>
          </w:tcPr>
          <w:p w14:paraId="2D6C1D28">
            <w:pPr>
              <w:jc w:val="center"/>
              <w:rPr>
                <w:rFonts w:hint="eastAsia" w:ascii="宋体" w:hAnsi="宋体" w:eastAsia="宋体" w:cs="宋体"/>
                <w:color w:val="auto"/>
                <w:sz w:val="24"/>
                <w:szCs w:val="24"/>
                <w:highlight w:val="none"/>
              </w:rPr>
            </w:pPr>
          </w:p>
        </w:tc>
        <w:tc>
          <w:tcPr>
            <w:tcW w:w="1675" w:type="dxa"/>
            <w:tcBorders>
              <w:tl2br w:val="nil"/>
              <w:tr2bl w:val="nil"/>
            </w:tcBorders>
            <w:noWrap w:val="0"/>
            <w:vAlign w:val="center"/>
          </w:tcPr>
          <w:p w14:paraId="2FA78FCB">
            <w:pPr>
              <w:jc w:val="center"/>
              <w:rPr>
                <w:rFonts w:hint="eastAsia" w:ascii="宋体" w:hAnsi="宋体" w:eastAsia="宋体" w:cs="宋体"/>
                <w:color w:val="auto"/>
                <w:sz w:val="24"/>
                <w:szCs w:val="24"/>
                <w:highlight w:val="none"/>
              </w:rPr>
            </w:pPr>
          </w:p>
        </w:tc>
        <w:tc>
          <w:tcPr>
            <w:tcW w:w="1540" w:type="dxa"/>
            <w:tcBorders>
              <w:tl2br w:val="nil"/>
              <w:tr2bl w:val="nil"/>
            </w:tcBorders>
            <w:noWrap w:val="0"/>
            <w:vAlign w:val="center"/>
          </w:tcPr>
          <w:p w14:paraId="7F21D4B6">
            <w:pPr>
              <w:jc w:val="center"/>
              <w:rPr>
                <w:rFonts w:hint="eastAsia" w:ascii="宋体" w:hAnsi="宋体" w:eastAsia="宋体" w:cs="宋体"/>
                <w:color w:val="auto"/>
                <w:sz w:val="24"/>
                <w:szCs w:val="24"/>
                <w:highlight w:val="none"/>
              </w:rPr>
            </w:pPr>
          </w:p>
        </w:tc>
        <w:tc>
          <w:tcPr>
            <w:tcW w:w="1674" w:type="dxa"/>
            <w:tcBorders>
              <w:tl2br w:val="nil"/>
              <w:tr2bl w:val="nil"/>
            </w:tcBorders>
            <w:noWrap w:val="0"/>
            <w:vAlign w:val="center"/>
          </w:tcPr>
          <w:p w14:paraId="7D7106CB">
            <w:pPr>
              <w:jc w:val="center"/>
              <w:rPr>
                <w:rFonts w:hint="eastAsia" w:ascii="宋体" w:hAnsi="宋体" w:eastAsia="宋体" w:cs="宋体"/>
                <w:color w:val="auto"/>
                <w:sz w:val="24"/>
                <w:szCs w:val="24"/>
                <w:highlight w:val="none"/>
              </w:rPr>
            </w:pPr>
          </w:p>
        </w:tc>
      </w:tr>
      <w:tr w14:paraId="61675D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770" w:type="dxa"/>
            <w:tcBorders>
              <w:tl2br w:val="nil"/>
              <w:tr2bl w:val="nil"/>
            </w:tcBorders>
            <w:noWrap w:val="0"/>
            <w:vAlign w:val="center"/>
          </w:tcPr>
          <w:p w14:paraId="636670F2">
            <w:pPr>
              <w:jc w:val="center"/>
              <w:rPr>
                <w:rFonts w:hint="eastAsia" w:ascii="宋体" w:hAnsi="宋体" w:eastAsia="宋体" w:cs="宋体"/>
                <w:color w:val="auto"/>
                <w:sz w:val="24"/>
                <w:szCs w:val="24"/>
                <w:highlight w:val="none"/>
              </w:rPr>
            </w:pPr>
          </w:p>
        </w:tc>
        <w:tc>
          <w:tcPr>
            <w:tcW w:w="1841" w:type="dxa"/>
            <w:tcBorders>
              <w:tl2br w:val="nil"/>
              <w:tr2bl w:val="nil"/>
            </w:tcBorders>
            <w:noWrap w:val="0"/>
            <w:vAlign w:val="center"/>
          </w:tcPr>
          <w:p w14:paraId="05B2D589">
            <w:pPr>
              <w:jc w:val="center"/>
              <w:rPr>
                <w:rFonts w:hint="eastAsia" w:ascii="宋体" w:hAnsi="宋体" w:eastAsia="宋体" w:cs="宋体"/>
                <w:color w:val="auto"/>
                <w:sz w:val="24"/>
                <w:szCs w:val="24"/>
                <w:highlight w:val="none"/>
              </w:rPr>
            </w:pPr>
          </w:p>
        </w:tc>
        <w:tc>
          <w:tcPr>
            <w:tcW w:w="837" w:type="dxa"/>
            <w:tcBorders>
              <w:tl2br w:val="nil"/>
              <w:tr2bl w:val="nil"/>
            </w:tcBorders>
            <w:noWrap w:val="0"/>
            <w:vAlign w:val="center"/>
          </w:tcPr>
          <w:p w14:paraId="143B736E">
            <w:pPr>
              <w:jc w:val="center"/>
              <w:rPr>
                <w:rFonts w:hint="eastAsia" w:ascii="宋体" w:hAnsi="宋体" w:eastAsia="宋体" w:cs="宋体"/>
                <w:color w:val="auto"/>
                <w:sz w:val="24"/>
                <w:szCs w:val="24"/>
                <w:highlight w:val="none"/>
              </w:rPr>
            </w:pPr>
          </w:p>
        </w:tc>
        <w:tc>
          <w:tcPr>
            <w:tcW w:w="837" w:type="dxa"/>
            <w:tcBorders>
              <w:tl2br w:val="nil"/>
              <w:tr2bl w:val="nil"/>
            </w:tcBorders>
            <w:noWrap w:val="0"/>
            <w:vAlign w:val="center"/>
          </w:tcPr>
          <w:p w14:paraId="0CA3618C">
            <w:pPr>
              <w:jc w:val="center"/>
              <w:rPr>
                <w:rFonts w:hint="eastAsia" w:ascii="宋体" w:hAnsi="宋体" w:eastAsia="宋体" w:cs="宋体"/>
                <w:color w:val="auto"/>
                <w:sz w:val="24"/>
                <w:szCs w:val="24"/>
                <w:highlight w:val="none"/>
              </w:rPr>
            </w:pPr>
          </w:p>
        </w:tc>
        <w:tc>
          <w:tcPr>
            <w:tcW w:w="1675" w:type="dxa"/>
            <w:tcBorders>
              <w:tl2br w:val="nil"/>
              <w:tr2bl w:val="nil"/>
            </w:tcBorders>
            <w:noWrap w:val="0"/>
            <w:vAlign w:val="center"/>
          </w:tcPr>
          <w:p w14:paraId="171A9A20">
            <w:pPr>
              <w:jc w:val="center"/>
              <w:rPr>
                <w:rFonts w:hint="eastAsia" w:ascii="宋体" w:hAnsi="宋体" w:eastAsia="宋体" w:cs="宋体"/>
                <w:color w:val="auto"/>
                <w:sz w:val="24"/>
                <w:szCs w:val="24"/>
                <w:highlight w:val="none"/>
              </w:rPr>
            </w:pPr>
          </w:p>
        </w:tc>
        <w:tc>
          <w:tcPr>
            <w:tcW w:w="1540" w:type="dxa"/>
            <w:tcBorders>
              <w:tl2br w:val="nil"/>
              <w:tr2bl w:val="nil"/>
            </w:tcBorders>
            <w:noWrap w:val="0"/>
            <w:vAlign w:val="center"/>
          </w:tcPr>
          <w:p w14:paraId="2E94AFA1">
            <w:pPr>
              <w:jc w:val="center"/>
              <w:rPr>
                <w:rFonts w:hint="eastAsia" w:ascii="宋体" w:hAnsi="宋体" w:eastAsia="宋体" w:cs="宋体"/>
                <w:color w:val="auto"/>
                <w:sz w:val="24"/>
                <w:szCs w:val="24"/>
                <w:highlight w:val="none"/>
              </w:rPr>
            </w:pPr>
          </w:p>
        </w:tc>
        <w:tc>
          <w:tcPr>
            <w:tcW w:w="1674" w:type="dxa"/>
            <w:tcBorders>
              <w:tl2br w:val="nil"/>
              <w:tr2bl w:val="nil"/>
            </w:tcBorders>
            <w:noWrap w:val="0"/>
            <w:vAlign w:val="center"/>
          </w:tcPr>
          <w:p w14:paraId="4738DFF1">
            <w:pPr>
              <w:jc w:val="center"/>
              <w:rPr>
                <w:rFonts w:hint="eastAsia" w:ascii="宋体" w:hAnsi="宋体" w:eastAsia="宋体" w:cs="宋体"/>
                <w:color w:val="auto"/>
                <w:sz w:val="24"/>
                <w:szCs w:val="24"/>
                <w:highlight w:val="none"/>
              </w:rPr>
            </w:pPr>
          </w:p>
        </w:tc>
      </w:tr>
      <w:tr w14:paraId="5C3AE6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770" w:type="dxa"/>
            <w:tcBorders>
              <w:tl2br w:val="nil"/>
              <w:tr2bl w:val="nil"/>
            </w:tcBorders>
            <w:noWrap w:val="0"/>
            <w:vAlign w:val="center"/>
          </w:tcPr>
          <w:p w14:paraId="5A9CA64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p>
        </w:tc>
        <w:tc>
          <w:tcPr>
            <w:tcW w:w="1841" w:type="dxa"/>
            <w:tcBorders>
              <w:tl2br w:val="nil"/>
              <w:tr2bl w:val="nil"/>
            </w:tcBorders>
            <w:noWrap w:val="0"/>
            <w:vAlign w:val="center"/>
          </w:tcPr>
          <w:p w14:paraId="27E2FBD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交通工具</w:t>
            </w:r>
          </w:p>
        </w:tc>
        <w:tc>
          <w:tcPr>
            <w:tcW w:w="837" w:type="dxa"/>
            <w:tcBorders>
              <w:tl2br w:val="nil"/>
              <w:tr2bl w:val="nil"/>
            </w:tcBorders>
            <w:noWrap w:val="0"/>
            <w:vAlign w:val="center"/>
          </w:tcPr>
          <w:p w14:paraId="332E0D15">
            <w:pPr>
              <w:jc w:val="center"/>
              <w:rPr>
                <w:rFonts w:hint="eastAsia" w:ascii="宋体" w:hAnsi="宋体" w:eastAsia="宋体" w:cs="宋体"/>
                <w:color w:val="auto"/>
                <w:sz w:val="24"/>
                <w:szCs w:val="24"/>
                <w:highlight w:val="none"/>
              </w:rPr>
            </w:pPr>
          </w:p>
        </w:tc>
        <w:tc>
          <w:tcPr>
            <w:tcW w:w="837" w:type="dxa"/>
            <w:tcBorders>
              <w:tl2br w:val="nil"/>
              <w:tr2bl w:val="nil"/>
            </w:tcBorders>
            <w:noWrap w:val="0"/>
            <w:vAlign w:val="center"/>
          </w:tcPr>
          <w:p w14:paraId="4BA0A2FA">
            <w:pPr>
              <w:jc w:val="center"/>
              <w:rPr>
                <w:rFonts w:hint="eastAsia" w:ascii="宋体" w:hAnsi="宋体" w:eastAsia="宋体" w:cs="宋体"/>
                <w:color w:val="auto"/>
                <w:sz w:val="24"/>
                <w:szCs w:val="24"/>
                <w:highlight w:val="none"/>
              </w:rPr>
            </w:pPr>
          </w:p>
        </w:tc>
        <w:tc>
          <w:tcPr>
            <w:tcW w:w="1675" w:type="dxa"/>
            <w:tcBorders>
              <w:tl2br w:val="nil"/>
              <w:tr2bl w:val="nil"/>
            </w:tcBorders>
            <w:noWrap w:val="0"/>
            <w:vAlign w:val="center"/>
          </w:tcPr>
          <w:p w14:paraId="1AD36023">
            <w:pPr>
              <w:jc w:val="center"/>
              <w:rPr>
                <w:rFonts w:hint="eastAsia" w:ascii="宋体" w:hAnsi="宋体" w:eastAsia="宋体" w:cs="宋体"/>
                <w:color w:val="auto"/>
                <w:sz w:val="24"/>
                <w:szCs w:val="24"/>
                <w:highlight w:val="none"/>
              </w:rPr>
            </w:pPr>
          </w:p>
        </w:tc>
        <w:tc>
          <w:tcPr>
            <w:tcW w:w="1540" w:type="dxa"/>
            <w:tcBorders>
              <w:tl2br w:val="nil"/>
              <w:tr2bl w:val="nil"/>
            </w:tcBorders>
            <w:noWrap w:val="0"/>
            <w:vAlign w:val="center"/>
          </w:tcPr>
          <w:p w14:paraId="3ACBBA25">
            <w:pPr>
              <w:jc w:val="center"/>
              <w:rPr>
                <w:rFonts w:hint="eastAsia" w:ascii="宋体" w:hAnsi="宋体" w:eastAsia="宋体" w:cs="宋体"/>
                <w:color w:val="auto"/>
                <w:sz w:val="24"/>
                <w:szCs w:val="24"/>
                <w:highlight w:val="none"/>
              </w:rPr>
            </w:pPr>
          </w:p>
        </w:tc>
        <w:tc>
          <w:tcPr>
            <w:tcW w:w="1674" w:type="dxa"/>
            <w:tcBorders>
              <w:tl2br w:val="nil"/>
              <w:tr2bl w:val="nil"/>
            </w:tcBorders>
            <w:noWrap w:val="0"/>
            <w:vAlign w:val="center"/>
          </w:tcPr>
          <w:p w14:paraId="2C52BF8C">
            <w:pPr>
              <w:jc w:val="center"/>
              <w:rPr>
                <w:rFonts w:hint="eastAsia" w:ascii="宋体" w:hAnsi="宋体" w:eastAsia="宋体" w:cs="宋体"/>
                <w:color w:val="auto"/>
                <w:sz w:val="24"/>
                <w:szCs w:val="24"/>
                <w:highlight w:val="none"/>
              </w:rPr>
            </w:pPr>
          </w:p>
        </w:tc>
      </w:tr>
      <w:tr w14:paraId="788AEF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770" w:type="dxa"/>
            <w:tcBorders>
              <w:tl2br w:val="nil"/>
              <w:tr2bl w:val="nil"/>
            </w:tcBorders>
            <w:noWrap w:val="0"/>
            <w:vAlign w:val="center"/>
          </w:tcPr>
          <w:p w14:paraId="059BDBC4">
            <w:pPr>
              <w:jc w:val="center"/>
              <w:rPr>
                <w:rFonts w:hint="eastAsia" w:ascii="宋体" w:hAnsi="宋体" w:eastAsia="宋体" w:cs="宋体"/>
                <w:color w:val="auto"/>
                <w:sz w:val="24"/>
                <w:szCs w:val="24"/>
                <w:highlight w:val="none"/>
              </w:rPr>
            </w:pPr>
          </w:p>
        </w:tc>
        <w:tc>
          <w:tcPr>
            <w:tcW w:w="1841" w:type="dxa"/>
            <w:tcBorders>
              <w:tl2br w:val="nil"/>
              <w:tr2bl w:val="nil"/>
            </w:tcBorders>
            <w:noWrap w:val="0"/>
            <w:vAlign w:val="center"/>
          </w:tcPr>
          <w:p w14:paraId="596A2DEB">
            <w:pPr>
              <w:jc w:val="center"/>
              <w:rPr>
                <w:rFonts w:hint="eastAsia" w:ascii="宋体" w:hAnsi="宋体" w:eastAsia="宋体" w:cs="宋体"/>
                <w:color w:val="auto"/>
                <w:sz w:val="24"/>
                <w:szCs w:val="24"/>
                <w:highlight w:val="none"/>
              </w:rPr>
            </w:pPr>
          </w:p>
        </w:tc>
        <w:tc>
          <w:tcPr>
            <w:tcW w:w="837" w:type="dxa"/>
            <w:tcBorders>
              <w:tl2br w:val="nil"/>
              <w:tr2bl w:val="nil"/>
            </w:tcBorders>
            <w:noWrap w:val="0"/>
            <w:vAlign w:val="center"/>
          </w:tcPr>
          <w:p w14:paraId="6D8E75C2">
            <w:pPr>
              <w:jc w:val="center"/>
              <w:rPr>
                <w:rFonts w:hint="eastAsia" w:ascii="宋体" w:hAnsi="宋体" w:eastAsia="宋体" w:cs="宋体"/>
                <w:color w:val="auto"/>
                <w:sz w:val="24"/>
                <w:szCs w:val="24"/>
                <w:highlight w:val="none"/>
              </w:rPr>
            </w:pPr>
          </w:p>
        </w:tc>
        <w:tc>
          <w:tcPr>
            <w:tcW w:w="837" w:type="dxa"/>
            <w:tcBorders>
              <w:tl2br w:val="nil"/>
              <w:tr2bl w:val="nil"/>
            </w:tcBorders>
            <w:noWrap w:val="0"/>
            <w:vAlign w:val="center"/>
          </w:tcPr>
          <w:p w14:paraId="1DD38A43">
            <w:pPr>
              <w:jc w:val="center"/>
              <w:rPr>
                <w:rFonts w:hint="eastAsia" w:ascii="宋体" w:hAnsi="宋体" w:eastAsia="宋体" w:cs="宋体"/>
                <w:color w:val="auto"/>
                <w:sz w:val="24"/>
                <w:szCs w:val="24"/>
                <w:highlight w:val="none"/>
              </w:rPr>
            </w:pPr>
          </w:p>
        </w:tc>
        <w:tc>
          <w:tcPr>
            <w:tcW w:w="1675" w:type="dxa"/>
            <w:tcBorders>
              <w:tl2br w:val="nil"/>
              <w:tr2bl w:val="nil"/>
            </w:tcBorders>
            <w:noWrap w:val="0"/>
            <w:vAlign w:val="center"/>
          </w:tcPr>
          <w:p w14:paraId="7565CC6D">
            <w:pPr>
              <w:jc w:val="center"/>
              <w:rPr>
                <w:rFonts w:hint="eastAsia" w:ascii="宋体" w:hAnsi="宋体" w:eastAsia="宋体" w:cs="宋体"/>
                <w:color w:val="auto"/>
                <w:sz w:val="24"/>
                <w:szCs w:val="24"/>
                <w:highlight w:val="none"/>
              </w:rPr>
            </w:pPr>
          </w:p>
        </w:tc>
        <w:tc>
          <w:tcPr>
            <w:tcW w:w="1540" w:type="dxa"/>
            <w:tcBorders>
              <w:tl2br w:val="nil"/>
              <w:tr2bl w:val="nil"/>
            </w:tcBorders>
            <w:noWrap w:val="0"/>
            <w:vAlign w:val="center"/>
          </w:tcPr>
          <w:p w14:paraId="40652546">
            <w:pPr>
              <w:jc w:val="center"/>
              <w:rPr>
                <w:rFonts w:hint="eastAsia" w:ascii="宋体" w:hAnsi="宋体" w:eastAsia="宋体" w:cs="宋体"/>
                <w:color w:val="auto"/>
                <w:sz w:val="24"/>
                <w:szCs w:val="24"/>
                <w:highlight w:val="none"/>
              </w:rPr>
            </w:pPr>
          </w:p>
        </w:tc>
        <w:tc>
          <w:tcPr>
            <w:tcW w:w="1674" w:type="dxa"/>
            <w:tcBorders>
              <w:tl2br w:val="nil"/>
              <w:tr2bl w:val="nil"/>
            </w:tcBorders>
            <w:noWrap w:val="0"/>
            <w:vAlign w:val="center"/>
          </w:tcPr>
          <w:p w14:paraId="335B033E">
            <w:pPr>
              <w:jc w:val="center"/>
              <w:rPr>
                <w:rFonts w:hint="eastAsia" w:ascii="宋体" w:hAnsi="宋体" w:eastAsia="宋体" w:cs="宋体"/>
                <w:color w:val="auto"/>
                <w:sz w:val="24"/>
                <w:szCs w:val="24"/>
                <w:highlight w:val="none"/>
              </w:rPr>
            </w:pPr>
          </w:p>
        </w:tc>
      </w:tr>
      <w:tr w14:paraId="13CE20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770" w:type="dxa"/>
            <w:tcBorders>
              <w:tl2br w:val="nil"/>
              <w:tr2bl w:val="nil"/>
            </w:tcBorders>
            <w:noWrap w:val="0"/>
            <w:vAlign w:val="center"/>
          </w:tcPr>
          <w:p w14:paraId="67AEF86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p>
        </w:tc>
        <w:tc>
          <w:tcPr>
            <w:tcW w:w="1841" w:type="dxa"/>
            <w:tcBorders>
              <w:tl2br w:val="nil"/>
              <w:tr2bl w:val="nil"/>
            </w:tcBorders>
            <w:noWrap w:val="0"/>
            <w:vAlign w:val="center"/>
          </w:tcPr>
          <w:p w14:paraId="3276334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837" w:type="dxa"/>
            <w:tcBorders>
              <w:tl2br w:val="nil"/>
              <w:tr2bl w:val="nil"/>
            </w:tcBorders>
            <w:noWrap w:val="0"/>
            <w:vAlign w:val="center"/>
          </w:tcPr>
          <w:p w14:paraId="09FC1885">
            <w:pPr>
              <w:jc w:val="center"/>
              <w:rPr>
                <w:rFonts w:hint="eastAsia" w:ascii="宋体" w:hAnsi="宋体" w:eastAsia="宋体" w:cs="宋体"/>
                <w:color w:val="auto"/>
                <w:sz w:val="24"/>
                <w:szCs w:val="24"/>
                <w:highlight w:val="none"/>
              </w:rPr>
            </w:pPr>
          </w:p>
        </w:tc>
        <w:tc>
          <w:tcPr>
            <w:tcW w:w="837" w:type="dxa"/>
            <w:tcBorders>
              <w:tl2br w:val="nil"/>
              <w:tr2bl w:val="nil"/>
            </w:tcBorders>
            <w:noWrap w:val="0"/>
            <w:vAlign w:val="center"/>
          </w:tcPr>
          <w:p w14:paraId="5A73BB8B">
            <w:pPr>
              <w:jc w:val="center"/>
              <w:rPr>
                <w:rFonts w:hint="eastAsia" w:ascii="宋体" w:hAnsi="宋体" w:eastAsia="宋体" w:cs="宋体"/>
                <w:color w:val="auto"/>
                <w:sz w:val="24"/>
                <w:szCs w:val="24"/>
                <w:highlight w:val="none"/>
              </w:rPr>
            </w:pPr>
          </w:p>
        </w:tc>
        <w:tc>
          <w:tcPr>
            <w:tcW w:w="1675" w:type="dxa"/>
            <w:tcBorders>
              <w:tl2br w:val="nil"/>
              <w:tr2bl w:val="nil"/>
            </w:tcBorders>
            <w:noWrap w:val="0"/>
            <w:vAlign w:val="center"/>
          </w:tcPr>
          <w:p w14:paraId="1634276D">
            <w:pPr>
              <w:jc w:val="center"/>
              <w:rPr>
                <w:rFonts w:hint="eastAsia" w:ascii="宋体" w:hAnsi="宋体" w:eastAsia="宋体" w:cs="宋体"/>
                <w:color w:val="auto"/>
                <w:sz w:val="24"/>
                <w:szCs w:val="24"/>
                <w:highlight w:val="none"/>
              </w:rPr>
            </w:pPr>
          </w:p>
        </w:tc>
        <w:tc>
          <w:tcPr>
            <w:tcW w:w="1540" w:type="dxa"/>
            <w:tcBorders>
              <w:tl2br w:val="nil"/>
              <w:tr2bl w:val="nil"/>
            </w:tcBorders>
            <w:noWrap w:val="0"/>
            <w:vAlign w:val="center"/>
          </w:tcPr>
          <w:p w14:paraId="0AC1E09D">
            <w:pPr>
              <w:jc w:val="center"/>
              <w:rPr>
                <w:rFonts w:hint="eastAsia" w:ascii="宋体" w:hAnsi="宋体" w:eastAsia="宋体" w:cs="宋体"/>
                <w:color w:val="auto"/>
                <w:sz w:val="24"/>
                <w:szCs w:val="24"/>
                <w:highlight w:val="none"/>
              </w:rPr>
            </w:pPr>
          </w:p>
        </w:tc>
        <w:tc>
          <w:tcPr>
            <w:tcW w:w="1674" w:type="dxa"/>
            <w:tcBorders>
              <w:tl2br w:val="nil"/>
              <w:tr2bl w:val="nil"/>
            </w:tcBorders>
            <w:noWrap w:val="0"/>
            <w:vAlign w:val="center"/>
          </w:tcPr>
          <w:p w14:paraId="620F578E">
            <w:pPr>
              <w:jc w:val="center"/>
              <w:rPr>
                <w:rFonts w:hint="eastAsia" w:ascii="宋体" w:hAnsi="宋体" w:eastAsia="宋体" w:cs="宋体"/>
                <w:color w:val="auto"/>
                <w:sz w:val="24"/>
                <w:szCs w:val="24"/>
                <w:highlight w:val="none"/>
              </w:rPr>
            </w:pPr>
          </w:p>
        </w:tc>
      </w:tr>
      <w:tr w14:paraId="607032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8" w:hRule="exact"/>
        </w:trPr>
        <w:tc>
          <w:tcPr>
            <w:tcW w:w="770" w:type="dxa"/>
            <w:tcBorders>
              <w:tl2br w:val="nil"/>
              <w:tr2bl w:val="nil"/>
            </w:tcBorders>
            <w:noWrap w:val="0"/>
            <w:vAlign w:val="center"/>
          </w:tcPr>
          <w:p w14:paraId="57E93D78">
            <w:pPr>
              <w:jc w:val="center"/>
              <w:rPr>
                <w:rFonts w:hint="eastAsia" w:ascii="宋体" w:hAnsi="宋体" w:eastAsia="宋体" w:cs="宋体"/>
                <w:color w:val="auto"/>
                <w:sz w:val="24"/>
                <w:szCs w:val="24"/>
                <w:highlight w:val="none"/>
              </w:rPr>
            </w:pPr>
          </w:p>
        </w:tc>
        <w:tc>
          <w:tcPr>
            <w:tcW w:w="1841" w:type="dxa"/>
            <w:tcBorders>
              <w:tl2br w:val="nil"/>
              <w:tr2bl w:val="nil"/>
            </w:tcBorders>
            <w:noWrap w:val="0"/>
            <w:vAlign w:val="center"/>
          </w:tcPr>
          <w:p w14:paraId="7B75ED6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837" w:type="dxa"/>
            <w:tcBorders>
              <w:tl2br w:val="nil"/>
              <w:tr2bl w:val="nil"/>
            </w:tcBorders>
            <w:noWrap w:val="0"/>
            <w:vAlign w:val="center"/>
          </w:tcPr>
          <w:p w14:paraId="677BA926">
            <w:pPr>
              <w:jc w:val="center"/>
              <w:rPr>
                <w:rFonts w:hint="eastAsia" w:ascii="宋体" w:hAnsi="宋体" w:eastAsia="宋体" w:cs="宋体"/>
                <w:color w:val="auto"/>
                <w:sz w:val="24"/>
                <w:szCs w:val="24"/>
                <w:highlight w:val="none"/>
              </w:rPr>
            </w:pPr>
          </w:p>
        </w:tc>
        <w:tc>
          <w:tcPr>
            <w:tcW w:w="837" w:type="dxa"/>
            <w:tcBorders>
              <w:tl2br w:val="nil"/>
              <w:tr2bl w:val="nil"/>
            </w:tcBorders>
            <w:noWrap w:val="0"/>
            <w:vAlign w:val="center"/>
          </w:tcPr>
          <w:p w14:paraId="2E7CD157">
            <w:pPr>
              <w:jc w:val="center"/>
              <w:rPr>
                <w:rFonts w:hint="eastAsia" w:ascii="宋体" w:hAnsi="宋体" w:eastAsia="宋体" w:cs="宋体"/>
                <w:color w:val="auto"/>
                <w:sz w:val="24"/>
                <w:szCs w:val="24"/>
                <w:highlight w:val="none"/>
              </w:rPr>
            </w:pPr>
          </w:p>
        </w:tc>
        <w:tc>
          <w:tcPr>
            <w:tcW w:w="1675" w:type="dxa"/>
            <w:tcBorders>
              <w:tl2br w:val="nil"/>
              <w:tr2bl w:val="nil"/>
            </w:tcBorders>
            <w:noWrap w:val="0"/>
            <w:vAlign w:val="center"/>
          </w:tcPr>
          <w:p w14:paraId="486D19A6">
            <w:pPr>
              <w:jc w:val="center"/>
              <w:rPr>
                <w:rFonts w:hint="eastAsia" w:ascii="宋体" w:hAnsi="宋体" w:eastAsia="宋体" w:cs="宋体"/>
                <w:color w:val="auto"/>
                <w:sz w:val="24"/>
                <w:szCs w:val="24"/>
                <w:highlight w:val="none"/>
              </w:rPr>
            </w:pPr>
          </w:p>
        </w:tc>
        <w:tc>
          <w:tcPr>
            <w:tcW w:w="1540" w:type="dxa"/>
            <w:tcBorders>
              <w:tl2br w:val="nil"/>
              <w:tr2bl w:val="nil"/>
            </w:tcBorders>
            <w:noWrap w:val="0"/>
            <w:vAlign w:val="center"/>
          </w:tcPr>
          <w:p w14:paraId="2D93F230">
            <w:pPr>
              <w:jc w:val="center"/>
              <w:rPr>
                <w:rFonts w:hint="eastAsia" w:ascii="宋体" w:hAnsi="宋体" w:eastAsia="宋体" w:cs="宋体"/>
                <w:color w:val="auto"/>
                <w:sz w:val="24"/>
                <w:szCs w:val="24"/>
                <w:highlight w:val="none"/>
              </w:rPr>
            </w:pPr>
          </w:p>
        </w:tc>
        <w:tc>
          <w:tcPr>
            <w:tcW w:w="1674" w:type="dxa"/>
            <w:tcBorders>
              <w:tl2br w:val="nil"/>
              <w:tr2bl w:val="nil"/>
            </w:tcBorders>
            <w:noWrap w:val="0"/>
            <w:vAlign w:val="center"/>
          </w:tcPr>
          <w:p w14:paraId="5F74DEB0">
            <w:pPr>
              <w:jc w:val="center"/>
              <w:rPr>
                <w:rFonts w:hint="eastAsia" w:ascii="宋体" w:hAnsi="宋体" w:eastAsia="宋体" w:cs="宋体"/>
                <w:color w:val="auto"/>
                <w:sz w:val="24"/>
                <w:szCs w:val="24"/>
                <w:highlight w:val="none"/>
              </w:rPr>
            </w:pPr>
          </w:p>
        </w:tc>
      </w:tr>
    </w:tbl>
    <w:p w14:paraId="4069797D">
      <w:pPr>
        <w:ind w:right="480"/>
        <w:jc w:val="right"/>
        <w:rPr>
          <w:rFonts w:hint="eastAsia" w:ascii="宋体" w:hAnsi="宋体" w:eastAsia="宋体" w:cs="宋体"/>
          <w:color w:val="auto"/>
          <w:sz w:val="24"/>
          <w:szCs w:val="24"/>
          <w:highlight w:val="none"/>
        </w:rPr>
      </w:pPr>
    </w:p>
    <w:p w14:paraId="6BEE72F4">
      <w:pPr>
        <w:ind w:right="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单位：元（人民币）</w:t>
      </w:r>
    </w:p>
    <w:p w14:paraId="55A0A835">
      <w:pPr>
        <w:spacing w:line="240" w:lineRule="auto"/>
        <w:ind w:left="783" w:leftChars="356" w:firstLine="1500" w:firstLineChars="600"/>
        <w:jc w:val="left"/>
        <w:rPr>
          <w:rFonts w:hint="eastAsia" w:ascii="宋体" w:hAnsi="宋体" w:eastAsia="宋体" w:cs="宋体"/>
          <w:color w:val="auto"/>
          <w:sz w:val="24"/>
          <w:szCs w:val="24"/>
          <w:highlight w:val="none"/>
        </w:rPr>
      </w:pPr>
    </w:p>
    <w:p w14:paraId="36943388">
      <w:pPr>
        <w:spacing w:line="240" w:lineRule="auto"/>
        <w:ind w:left="783" w:leftChars="356" w:firstLine="1500" w:firstLineChars="600"/>
        <w:jc w:val="left"/>
        <w:rPr>
          <w:rFonts w:hint="eastAsia" w:ascii="宋体" w:hAnsi="宋体" w:eastAsia="宋体" w:cs="宋体"/>
          <w:color w:val="auto"/>
          <w:sz w:val="24"/>
          <w:szCs w:val="24"/>
          <w:highlight w:val="none"/>
        </w:rPr>
      </w:pPr>
    </w:p>
    <w:p w14:paraId="129677EF">
      <w:pPr>
        <w:spacing w:after="480" w:line="20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（公章）</w:t>
      </w:r>
    </w:p>
    <w:p w14:paraId="11857589">
      <w:pPr>
        <w:spacing w:after="480" w:line="20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eastAsia="zh-CN"/>
        </w:rPr>
        <w:t>委托代理人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签字或盖章</w:t>
      </w:r>
      <w:r>
        <w:rPr>
          <w:rFonts w:hint="eastAsia" w:ascii="宋体" w:hAnsi="宋体" w:eastAsia="宋体" w:cs="宋体"/>
          <w:color w:val="auto"/>
          <w:kern w:val="0"/>
          <w:sz w:val="24"/>
          <w:szCs w:val="24"/>
          <w:highlight w:val="none"/>
        </w:rPr>
        <w:t>)</w:t>
      </w:r>
    </w:p>
    <w:p w14:paraId="15EA079C">
      <w:pPr>
        <w:spacing w:before="480" w:line="20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EB80A68">
      <w:pPr>
        <w:rPr>
          <w:rFonts w:hint="eastAsia" w:ascii="宋体" w:hAnsi="宋体" w:eastAsia="宋体" w:cs="宋体"/>
          <w:color w:val="auto"/>
          <w:sz w:val="24"/>
          <w:szCs w:val="24"/>
          <w:highlight w:val="none"/>
        </w:rPr>
      </w:pPr>
    </w:p>
    <w:p w14:paraId="7D8F627F">
      <w:pPr>
        <w:keepNext w:val="0"/>
        <w:keepLines w:val="0"/>
        <w:pageBreakBefore w:val="0"/>
        <w:kinsoku/>
        <w:wordWrap/>
        <w:overflowPunct/>
        <w:topLinePunct w:val="0"/>
        <w:bidi w:val="0"/>
        <w:adjustRightInd/>
        <w:snapToGrid/>
        <w:ind w:right="0" w:rightChars="0"/>
        <w:jc w:val="center"/>
        <w:textAlignment w:val="auto"/>
        <w:outlineLvl w:val="9"/>
        <w:rPr>
          <w:rFonts w:hint="eastAsia" w:ascii="宋体" w:hAnsi="宋体" w:eastAsia="宋体" w:cs="宋体"/>
          <w:color w:val="auto"/>
          <w:sz w:val="24"/>
          <w:szCs w:val="24"/>
          <w:highlight w:val="none"/>
        </w:rPr>
      </w:pPr>
    </w:p>
    <w:p w14:paraId="12E5FB84">
      <w:pPr>
        <w:keepNext w:val="0"/>
        <w:keepLines w:val="0"/>
        <w:pageBreakBefore w:val="0"/>
        <w:kinsoku/>
        <w:wordWrap/>
        <w:overflowPunct/>
        <w:topLinePunct w:val="0"/>
        <w:bidi w:val="0"/>
        <w:adjustRightInd/>
        <w:snapToGrid/>
        <w:ind w:right="0" w:rightChars="0"/>
        <w:jc w:val="center"/>
        <w:textAlignment w:val="auto"/>
        <w:outlineLvl w:val="9"/>
        <w:rPr>
          <w:rFonts w:hint="eastAsia" w:ascii="宋体" w:hAnsi="宋体" w:eastAsia="宋体" w:cs="宋体"/>
          <w:color w:val="auto"/>
          <w:sz w:val="24"/>
          <w:szCs w:val="24"/>
          <w:highlight w:val="none"/>
          <w:lang w:eastAsia="zh-CN"/>
        </w:rPr>
      </w:pPr>
    </w:p>
    <w:p w14:paraId="10A59D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eastAsia" w:ascii="宋体" w:hAnsi="宋体" w:eastAsia="宋体" w:cs="宋体"/>
          <w:b/>
          <w:color w:val="auto"/>
          <w:sz w:val="28"/>
          <w:szCs w:val="28"/>
          <w:highlight w:val="none"/>
          <w:lang w:eastAsia="zh-CN"/>
        </w:rPr>
      </w:pPr>
      <w:bookmarkStart w:id="76" w:name="_Toc14497"/>
      <w:r>
        <w:rPr>
          <w:rFonts w:hint="eastAsia" w:ascii="宋体" w:hAnsi="宋体" w:cs="宋体"/>
          <w:b/>
          <w:color w:val="auto"/>
          <w:sz w:val="28"/>
          <w:szCs w:val="28"/>
          <w:highlight w:val="none"/>
          <w:lang w:eastAsia="zh-CN"/>
        </w:rPr>
        <w:t>六</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相关资格证明</w:t>
      </w:r>
      <w:r>
        <w:rPr>
          <w:rFonts w:hint="eastAsia" w:ascii="宋体" w:hAnsi="宋体" w:eastAsia="宋体" w:cs="宋体"/>
          <w:b/>
          <w:color w:val="auto"/>
          <w:sz w:val="28"/>
          <w:szCs w:val="28"/>
          <w:highlight w:val="none"/>
          <w:lang w:eastAsia="zh-CN"/>
        </w:rPr>
        <w:t>文件</w:t>
      </w:r>
      <w:bookmarkEnd w:id="76"/>
    </w:p>
    <w:p w14:paraId="0829399E">
      <w:pPr>
        <w:wordWrap w:val="0"/>
        <w:spacing w:line="42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1.满足《中华人民共和国政府采购法》第二十二条规定；</w:t>
      </w:r>
    </w:p>
    <w:p w14:paraId="6C429579">
      <w:pPr>
        <w:pStyle w:val="5"/>
        <w:keepNext w:val="0"/>
        <w:keepLines w:val="0"/>
        <w:pageBreakBefore w:val="0"/>
        <w:kinsoku/>
        <w:wordWrap/>
        <w:overflowPunct/>
        <w:topLinePunct w:val="0"/>
        <w:bidi w:val="0"/>
        <w:spacing w:line="540" w:lineRule="exact"/>
        <w:ind w:left="0" w:leftChars="0" w:right="0" w:rightChars="0" w:firstLine="502"/>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1.1 具有独立承担民事责任能力的法人、其他组织或自然人，并出具合法有效的营业执照或事业单位法人证书等国家规定的相关证明，自然人参与的提供其身份证明（复印件加盖供应商公章）</w:t>
      </w:r>
      <w:r>
        <w:rPr>
          <w:rFonts w:hint="eastAsia" w:asciiTheme="minorEastAsia" w:hAnsiTheme="minorEastAsia" w:eastAsiaTheme="minorEastAsia" w:cstheme="minorEastAsia"/>
          <w:color w:val="auto"/>
          <w:sz w:val="24"/>
          <w:szCs w:val="24"/>
          <w:highlight w:val="none"/>
          <w:lang w:eastAsia="zh-CN"/>
        </w:rPr>
        <w:t>；</w:t>
      </w:r>
    </w:p>
    <w:p w14:paraId="539D332D">
      <w:pPr>
        <w:pStyle w:val="5"/>
        <w:keepNext w:val="0"/>
        <w:keepLines w:val="0"/>
        <w:pageBreakBefore w:val="0"/>
        <w:kinsoku/>
        <w:wordWrap/>
        <w:overflowPunct/>
        <w:topLinePunct w:val="0"/>
        <w:bidi w:val="0"/>
        <w:spacing w:line="540" w:lineRule="exact"/>
        <w:ind w:left="0" w:leftChars="0" w:right="0" w:rightChars="0" w:firstLine="502"/>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1.2 提供2024或2025年度经审计的财务报告（至少包括资产负债表和利润表，成立时间至提交响应文件截止时间不足一年的可提供成立后任意时段的资产负债表），报告须真实有效并符合《关于加强审计报告查验工作的通知》（财会[2023]15号）文件的要求，报告须赋二维码；或其开标前三个月内基本存款账户开户银行出具的资信证明及基本存款账户开户许可证（或基本存款账户信息）；或信用担保机构出具的投标担保函。（以上三种形式的资料提供任何一种即可，</w:t>
      </w:r>
      <w:r>
        <w:rPr>
          <w:rFonts w:hint="eastAsia" w:asciiTheme="minorEastAsia" w:hAnsiTheme="minorEastAsia" w:eastAsiaTheme="minorEastAsia" w:cstheme="minorEastAsia"/>
          <w:color w:val="auto"/>
          <w:sz w:val="24"/>
          <w:szCs w:val="24"/>
          <w:highlight w:val="none"/>
          <w:lang w:eastAsia="zh-CN"/>
        </w:rPr>
        <w:t>复印件加盖供应商公章</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w:t>
      </w:r>
    </w:p>
    <w:p w14:paraId="14BEF44A">
      <w:pPr>
        <w:pStyle w:val="5"/>
        <w:keepNext w:val="0"/>
        <w:keepLines w:val="0"/>
        <w:pageBreakBefore w:val="0"/>
        <w:kinsoku/>
        <w:wordWrap/>
        <w:overflowPunct/>
        <w:topLinePunct w:val="0"/>
        <w:bidi w:val="0"/>
        <w:spacing w:line="540" w:lineRule="exact"/>
        <w:ind w:left="0" w:leftChars="0" w:right="0" w:rightChars="0" w:firstLine="502"/>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1.3 </w:t>
      </w:r>
      <w:r>
        <w:rPr>
          <w:rFonts w:hint="eastAsia" w:asciiTheme="minorEastAsia" w:hAnsiTheme="minorEastAsia" w:eastAsiaTheme="minorEastAsia" w:cstheme="minorEastAsia"/>
          <w:color w:val="auto"/>
          <w:sz w:val="24"/>
          <w:szCs w:val="24"/>
          <w:highlight w:val="none"/>
          <w:lang w:eastAsia="zh-CN"/>
        </w:rPr>
        <w:t>有依法缴纳社会保障资金的良好记录：提供</w:t>
      </w:r>
      <w:r>
        <w:rPr>
          <w:rFonts w:hint="eastAsia" w:asciiTheme="minorEastAsia" w:hAnsiTheme="minorEastAsia" w:eastAsiaTheme="minorEastAsia" w:cstheme="minorEastAsia"/>
          <w:color w:val="auto"/>
          <w:sz w:val="24"/>
          <w:szCs w:val="24"/>
          <w:highlight w:val="none"/>
          <w:lang w:val="en-US" w:eastAsia="zh-CN"/>
        </w:rPr>
        <w:t>2025年9月至今</w:t>
      </w:r>
      <w:r>
        <w:rPr>
          <w:rFonts w:hint="eastAsia" w:asciiTheme="minorEastAsia" w:hAnsiTheme="minorEastAsia" w:eastAsiaTheme="minorEastAsia" w:cstheme="minorEastAsia"/>
          <w:color w:val="auto"/>
          <w:sz w:val="24"/>
          <w:szCs w:val="24"/>
          <w:highlight w:val="none"/>
          <w:lang w:eastAsia="zh-CN"/>
        </w:rPr>
        <w:t>任意一个月</w:t>
      </w:r>
      <w:r>
        <w:rPr>
          <w:rFonts w:hint="eastAsia" w:asciiTheme="minorEastAsia" w:hAnsiTheme="minorEastAsia" w:eastAsiaTheme="minorEastAsia" w:cstheme="minorEastAsia"/>
          <w:color w:val="auto"/>
          <w:sz w:val="24"/>
          <w:szCs w:val="24"/>
          <w:highlight w:val="none"/>
          <w:lang w:val="en-US" w:eastAsia="zh-CN"/>
        </w:rPr>
        <w:t>已缴存</w:t>
      </w:r>
      <w:r>
        <w:rPr>
          <w:rFonts w:hint="eastAsia" w:asciiTheme="minorEastAsia" w:hAnsiTheme="minorEastAsia" w:eastAsiaTheme="minorEastAsia" w:cstheme="minorEastAsia"/>
          <w:color w:val="auto"/>
          <w:sz w:val="24"/>
          <w:szCs w:val="24"/>
          <w:highlight w:val="none"/>
          <w:lang w:eastAsia="zh-CN"/>
        </w:rPr>
        <w:t>的社会保障资金缴存单据或社保机构开具的社会保险参保缴费情况证明。依法不需要缴纳社会保障资金的供应商应提供相关文件证明（复印件加盖供应商公章）；</w:t>
      </w:r>
    </w:p>
    <w:p w14:paraId="1F46648A">
      <w:pPr>
        <w:pStyle w:val="5"/>
        <w:keepNext w:val="0"/>
        <w:keepLines w:val="0"/>
        <w:pageBreakBefore w:val="0"/>
        <w:kinsoku/>
        <w:wordWrap/>
        <w:overflowPunct/>
        <w:topLinePunct w:val="0"/>
        <w:bidi w:val="0"/>
        <w:spacing w:line="540" w:lineRule="exact"/>
        <w:ind w:left="0" w:leftChars="0" w:right="0" w:rightChars="0" w:firstLine="502"/>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1.4 </w:t>
      </w:r>
      <w:r>
        <w:rPr>
          <w:rFonts w:hint="eastAsia" w:asciiTheme="minorEastAsia" w:hAnsiTheme="minorEastAsia" w:eastAsiaTheme="minorEastAsia" w:cstheme="minorEastAsia"/>
          <w:color w:val="auto"/>
          <w:sz w:val="24"/>
          <w:szCs w:val="24"/>
          <w:highlight w:val="none"/>
          <w:lang w:eastAsia="zh-CN"/>
        </w:rPr>
        <w:t>有依法缴纳税收的良好记录：提供</w:t>
      </w:r>
      <w:r>
        <w:rPr>
          <w:rFonts w:hint="eastAsia" w:asciiTheme="minorEastAsia" w:hAnsiTheme="minorEastAsia" w:eastAsiaTheme="minorEastAsia" w:cstheme="minorEastAsia"/>
          <w:color w:val="auto"/>
          <w:sz w:val="24"/>
          <w:szCs w:val="24"/>
          <w:highlight w:val="none"/>
          <w:lang w:val="en-US" w:eastAsia="zh-CN"/>
        </w:rPr>
        <w:t>2025年9月至今</w:t>
      </w:r>
      <w:r>
        <w:rPr>
          <w:rFonts w:hint="eastAsia" w:asciiTheme="minorEastAsia" w:hAnsiTheme="minorEastAsia" w:eastAsiaTheme="minorEastAsia" w:cstheme="minorEastAsia"/>
          <w:color w:val="auto"/>
          <w:sz w:val="24"/>
          <w:szCs w:val="24"/>
          <w:highlight w:val="none"/>
          <w:lang w:eastAsia="zh-CN"/>
        </w:rPr>
        <w:t>任意一个月</w:t>
      </w:r>
      <w:r>
        <w:rPr>
          <w:rFonts w:hint="eastAsia" w:asciiTheme="minorEastAsia" w:hAnsiTheme="minorEastAsia" w:eastAsiaTheme="minorEastAsia" w:cstheme="minorEastAsia"/>
          <w:color w:val="auto"/>
          <w:sz w:val="24"/>
          <w:szCs w:val="24"/>
          <w:highlight w:val="none"/>
          <w:lang w:val="en-US" w:eastAsia="zh-CN"/>
        </w:rPr>
        <w:t>已缴纳</w:t>
      </w:r>
      <w:r>
        <w:rPr>
          <w:rFonts w:hint="eastAsia" w:asciiTheme="minorEastAsia" w:hAnsiTheme="minorEastAsia" w:eastAsiaTheme="minorEastAsia" w:cstheme="minorEastAsia"/>
          <w:color w:val="auto"/>
          <w:sz w:val="24"/>
          <w:szCs w:val="24"/>
          <w:highlight w:val="none"/>
          <w:lang w:eastAsia="zh-CN"/>
        </w:rPr>
        <w:t>的纳税证明或完税证明，依法免税的供应商应提供相关证明材料（复印件加盖供应商公章）；</w:t>
      </w:r>
    </w:p>
    <w:p w14:paraId="70CC7572">
      <w:pPr>
        <w:pStyle w:val="5"/>
        <w:keepNext w:val="0"/>
        <w:keepLines w:val="0"/>
        <w:pageBreakBefore w:val="0"/>
        <w:kinsoku/>
        <w:wordWrap/>
        <w:overflowPunct/>
        <w:topLinePunct w:val="0"/>
        <w:bidi w:val="0"/>
        <w:spacing w:line="540" w:lineRule="exact"/>
        <w:ind w:left="0" w:leftChars="0" w:right="0" w:rightChars="0" w:firstLine="502"/>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1.5 </w:t>
      </w:r>
      <w:r>
        <w:rPr>
          <w:rFonts w:hint="eastAsia" w:asciiTheme="minorEastAsia" w:hAnsiTheme="minorEastAsia" w:eastAsiaTheme="minorEastAsia" w:cstheme="minorEastAsia"/>
          <w:color w:val="auto"/>
          <w:sz w:val="24"/>
          <w:szCs w:val="24"/>
          <w:highlight w:val="none"/>
          <w:lang w:eastAsia="zh-CN"/>
        </w:rPr>
        <w:t>提供具有履行本合同所必需的设备和专业技术能力的</w:t>
      </w:r>
      <w:r>
        <w:rPr>
          <w:rFonts w:hint="eastAsia" w:asciiTheme="minorEastAsia" w:hAnsiTheme="minorEastAsia" w:eastAsiaTheme="minorEastAsia" w:cstheme="minorEastAsia"/>
          <w:color w:val="auto"/>
          <w:sz w:val="24"/>
          <w:szCs w:val="24"/>
          <w:highlight w:val="none"/>
          <w:lang w:val="en-US" w:eastAsia="zh-CN"/>
        </w:rPr>
        <w:t>承诺书</w:t>
      </w:r>
      <w:r>
        <w:rPr>
          <w:rFonts w:hint="eastAsia" w:asciiTheme="minorEastAsia" w:hAnsiTheme="minorEastAsia" w:eastAsiaTheme="minorEastAsia" w:cstheme="minorEastAsia"/>
          <w:color w:val="auto"/>
          <w:sz w:val="24"/>
          <w:szCs w:val="24"/>
          <w:highlight w:val="none"/>
          <w:lang w:eastAsia="zh-CN"/>
        </w:rPr>
        <w:t>；</w:t>
      </w:r>
      <w:r>
        <w:rPr>
          <w:rFonts w:hint="eastAsia" w:ascii="宋体" w:hAnsi="宋体" w:cs="宋体"/>
          <w:color w:val="auto"/>
          <w:sz w:val="24"/>
          <w:szCs w:val="24"/>
          <w:highlight w:val="none"/>
          <w:lang w:eastAsia="zh-CN"/>
        </w:rPr>
        <w:t>（格式见附件）</w:t>
      </w:r>
    </w:p>
    <w:p w14:paraId="30A083F5">
      <w:pPr>
        <w:pStyle w:val="5"/>
        <w:keepNext w:val="0"/>
        <w:keepLines w:val="0"/>
        <w:pageBreakBefore w:val="0"/>
        <w:kinsoku/>
        <w:wordWrap/>
        <w:overflowPunct/>
        <w:topLinePunct w:val="0"/>
        <w:bidi w:val="0"/>
        <w:spacing w:line="540" w:lineRule="exact"/>
        <w:ind w:left="0" w:leftChars="0" w:right="0" w:rightChars="0" w:firstLine="502"/>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1.6</w:t>
      </w:r>
      <w:r>
        <w:rPr>
          <w:rFonts w:hint="eastAsia" w:asciiTheme="minorEastAsia" w:hAnsiTheme="minorEastAsia" w:eastAsiaTheme="minorEastAsia" w:cstheme="minorEastAsia"/>
          <w:color w:val="auto"/>
          <w:sz w:val="24"/>
          <w:szCs w:val="24"/>
          <w:highlight w:val="none"/>
          <w:lang w:eastAsia="zh-CN"/>
        </w:rPr>
        <w:t xml:space="preserve"> 提供参加本次政府采购活动前三年内在经营活动中没有重大违法记录的书面声明；</w:t>
      </w:r>
      <w:r>
        <w:rPr>
          <w:rFonts w:hint="eastAsia" w:ascii="宋体" w:hAnsi="宋体" w:cs="宋体"/>
          <w:color w:val="auto"/>
          <w:sz w:val="24"/>
          <w:szCs w:val="24"/>
          <w:highlight w:val="none"/>
          <w:lang w:eastAsia="zh-CN"/>
        </w:rPr>
        <w:t>（格式见附件）</w:t>
      </w:r>
    </w:p>
    <w:p w14:paraId="4416F083">
      <w:pPr>
        <w:pStyle w:val="5"/>
        <w:keepNext w:val="0"/>
        <w:keepLines w:val="0"/>
        <w:pageBreakBefore w:val="0"/>
        <w:kinsoku/>
        <w:wordWrap/>
        <w:overflowPunct/>
        <w:topLinePunct w:val="0"/>
        <w:bidi w:val="0"/>
        <w:spacing w:line="540" w:lineRule="exact"/>
        <w:ind w:left="0" w:leftChars="0" w:right="0" w:rightChars="0" w:firstLine="0" w:firstLineChars="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2.本项目的特定资格要求：</w:t>
      </w:r>
    </w:p>
    <w:p w14:paraId="3B463540">
      <w:pPr>
        <w:pStyle w:val="5"/>
        <w:keepNext w:val="0"/>
        <w:keepLines w:val="0"/>
        <w:pageBreakBefore w:val="0"/>
        <w:kinsoku/>
        <w:wordWrap/>
        <w:overflowPunct/>
        <w:topLinePunct w:val="0"/>
        <w:bidi w:val="0"/>
        <w:spacing w:line="540" w:lineRule="exact"/>
        <w:ind w:left="0" w:leftChars="0" w:right="0" w:rightChars="0" w:firstLine="50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2.1 法定代表人直接参加磋商的，须提供法定代表人身份证明书（附法定代表人身份证复印件并加盖公章）；委托代理人参加磋商的，须提供法定代表人授权委托书（附法定代表人及委托代理人身份证复印件并加盖公章）</w:t>
      </w:r>
      <w:r>
        <w:rPr>
          <w:rFonts w:hint="eastAsia" w:asciiTheme="minorEastAsia" w:hAnsiTheme="minorEastAsia" w:eastAsiaTheme="minorEastAsia" w:cstheme="minorEastAsia"/>
          <w:color w:val="auto"/>
          <w:sz w:val="24"/>
          <w:szCs w:val="24"/>
          <w:highlight w:val="none"/>
        </w:rPr>
        <w:t>；</w:t>
      </w:r>
    </w:p>
    <w:p w14:paraId="68EE73B8">
      <w:pPr>
        <w:keepNext w:val="0"/>
        <w:keepLines w:val="0"/>
        <w:pageBreakBefore w:val="0"/>
        <w:widowControl w:val="0"/>
        <w:kinsoku/>
        <w:wordWrap w:val="0"/>
        <w:overflowPunct/>
        <w:topLinePunct w:val="0"/>
        <w:autoSpaceDE/>
        <w:autoSpaceDN/>
        <w:bidi w:val="0"/>
        <w:adjustRightInd/>
        <w:snapToGrid/>
        <w:spacing w:line="312" w:lineRule="auto"/>
        <w:ind w:firstLine="500" w:firstLineChars="200"/>
        <w:jc w:val="left"/>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 xml:space="preserve">2 </w:t>
      </w:r>
      <w:r>
        <w:rPr>
          <w:rFonts w:hint="eastAsia" w:ascii="宋体" w:hAnsi="宋体" w:eastAsia="宋体" w:cs="宋体"/>
          <w:color w:val="auto"/>
          <w:sz w:val="24"/>
          <w:szCs w:val="24"/>
          <w:highlight w:val="none"/>
          <w:lang w:eastAsia="zh-CN"/>
        </w:rPr>
        <w:t>供应商须具备国家文物局颁发的文物保护工程监理甲级企业资质（业务范围含古文化遗址古墓葬）；</w:t>
      </w:r>
    </w:p>
    <w:p w14:paraId="09ECEA0B">
      <w:pPr>
        <w:keepNext w:val="0"/>
        <w:keepLines w:val="0"/>
        <w:pageBreakBefore w:val="0"/>
        <w:widowControl w:val="0"/>
        <w:kinsoku/>
        <w:wordWrap w:val="0"/>
        <w:overflowPunct/>
        <w:topLinePunct w:val="0"/>
        <w:autoSpaceDE/>
        <w:autoSpaceDN/>
        <w:bidi w:val="0"/>
        <w:adjustRightInd/>
        <w:snapToGrid/>
        <w:spacing w:line="312" w:lineRule="auto"/>
        <w:ind w:firstLine="50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供应商拟派项目责任监理师应具有文物保护工程责任监理师证书，并提供2025年9月至今供应商为其缴纳的连续三个月养老保险证明且无在建项目（提供无在建承诺，承诺真实性的法律责任自负）</w:t>
      </w:r>
      <w:r>
        <w:rPr>
          <w:rFonts w:hint="eastAsia" w:asciiTheme="minorEastAsia" w:hAnsiTheme="minorEastAsia" w:eastAsiaTheme="minorEastAsia" w:cstheme="minorEastAsia"/>
          <w:color w:val="auto"/>
          <w:sz w:val="24"/>
          <w:szCs w:val="24"/>
          <w:highlight w:val="none"/>
          <w:lang w:val="en-US" w:eastAsia="zh-CN"/>
        </w:rPr>
        <w:t>；</w:t>
      </w:r>
      <w:r>
        <w:rPr>
          <w:rFonts w:hint="eastAsia" w:ascii="宋体" w:hAnsi="宋体" w:cs="宋体"/>
          <w:color w:val="auto"/>
          <w:sz w:val="24"/>
          <w:szCs w:val="24"/>
          <w:highlight w:val="none"/>
          <w:lang w:eastAsia="zh-CN"/>
        </w:rPr>
        <w:t>（格式见附件）</w:t>
      </w:r>
    </w:p>
    <w:p w14:paraId="21EB8D66">
      <w:pPr>
        <w:pStyle w:val="5"/>
        <w:keepNext w:val="0"/>
        <w:keepLines w:val="0"/>
        <w:pageBreakBefore w:val="0"/>
        <w:kinsoku/>
        <w:wordWrap/>
        <w:overflowPunct/>
        <w:topLinePunct w:val="0"/>
        <w:bidi w:val="0"/>
        <w:spacing w:line="540" w:lineRule="exact"/>
        <w:ind w:left="0" w:leftChars="0" w:right="0" w:rightChars="0" w:firstLine="502"/>
        <w:textAlignment w:val="auto"/>
        <w:rPr>
          <w:rFonts w:hint="eastAsia" w:ascii="宋体" w:hAnsi="宋体" w:cs="宋体"/>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 xml:space="preserve">4 </w:t>
      </w:r>
      <w:r>
        <w:rPr>
          <w:rFonts w:hint="eastAsia" w:ascii="宋体" w:hAnsi="宋体" w:cs="宋体"/>
          <w:color w:val="auto"/>
          <w:sz w:val="24"/>
          <w:szCs w:val="24"/>
          <w:highlight w:val="none"/>
          <w:lang w:val="en-US" w:eastAsia="zh-CN"/>
        </w:rPr>
        <w:t>供应商及法定代表人未被列入“中国执行信息公开网”（http://zxgk.court.gov.cn/shixin/）失信被执行人名单，供应商未被列入“信用中国”网站（www.creditchina.gov.cn）重大税收违法失信主体，供应商未被列入“中国政府采购网”（www.ccgp.gov.cn）政府采购严重违法失信行为记录名单；</w:t>
      </w:r>
    </w:p>
    <w:p w14:paraId="20F3B6BB">
      <w:pPr>
        <w:pStyle w:val="5"/>
        <w:keepNext w:val="0"/>
        <w:keepLines w:val="0"/>
        <w:pageBreakBefore w:val="0"/>
        <w:kinsoku/>
        <w:wordWrap/>
        <w:overflowPunct/>
        <w:topLinePunct w:val="0"/>
        <w:bidi w:val="0"/>
        <w:spacing w:line="540" w:lineRule="exact"/>
        <w:ind w:left="0" w:leftChars="0" w:right="0" w:rightChars="0" w:firstLine="502"/>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 xml:space="preserve">5 </w:t>
      </w:r>
      <w:r>
        <w:rPr>
          <w:rFonts w:hint="eastAsia" w:ascii="宋体" w:hAnsi="宋体" w:cs="宋体"/>
          <w:color w:val="auto"/>
          <w:sz w:val="24"/>
          <w:szCs w:val="24"/>
          <w:highlight w:val="none"/>
          <w:lang w:val="en-US" w:eastAsia="zh-CN"/>
        </w:rPr>
        <w:t>单位负责人为同一人或者存在控股、管理关系的不同单位，不得参加同一合同项下的政府采购活动；</w:t>
      </w:r>
      <w:r>
        <w:rPr>
          <w:rFonts w:hint="eastAsia" w:ascii="宋体" w:hAnsi="宋体" w:cs="宋体"/>
          <w:color w:val="auto"/>
          <w:sz w:val="24"/>
          <w:szCs w:val="24"/>
          <w:highlight w:val="none"/>
          <w:lang w:eastAsia="zh-CN"/>
        </w:rPr>
        <w:t>（格式见附件）</w:t>
      </w:r>
    </w:p>
    <w:p w14:paraId="588B84CA">
      <w:pPr>
        <w:pStyle w:val="5"/>
        <w:keepNext w:val="0"/>
        <w:keepLines w:val="0"/>
        <w:pageBreakBefore w:val="0"/>
        <w:kinsoku/>
        <w:wordWrap/>
        <w:overflowPunct/>
        <w:topLinePunct w:val="0"/>
        <w:bidi w:val="0"/>
        <w:spacing w:line="540" w:lineRule="exact"/>
        <w:ind w:left="0" w:leftChars="0" w:right="0" w:rightChars="0" w:firstLine="502"/>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 本项目不接受联合体磋商；</w:t>
      </w:r>
      <w:r>
        <w:rPr>
          <w:rFonts w:hint="eastAsia" w:ascii="宋体" w:hAnsi="宋体" w:cs="宋体"/>
          <w:color w:val="auto"/>
          <w:sz w:val="24"/>
          <w:szCs w:val="24"/>
          <w:highlight w:val="none"/>
          <w:lang w:eastAsia="zh-CN"/>
        </w:rPr>
        <w:t>（格式见附件）</w:t>
      </w:r>
    </w:p>
    <w:p w14:paraId="09325323">
      <w:pPr>
        <w:pStyle w:val="5"/>
        <w:keepNext w:val="0"/>
        <w:keepLines w:val="0"/>
        <w:pageBreakBefore w:val="0"/>
        <w:kinsoku/>
        <w:wordWrap/>
        <w:overflowPunct/>
        <w:topLinePunct w:val="0"/>
        <w:bidi w:val="0"/>
        <w:spacing w:line="540" w:lineRule="exact"/>
        <w:ind w:left="0" w:leftChars="0" w:right="0" w:rightChars="0" w:firstLine="502"/>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 本项目专门面向中小企业采购，供应商须提供中小企业声明函（如有虚假，将依法承担相应责任）。</w:t>
      </w:r>
      <w:r>
        <w:rPr>
          <w:rFonts w:hint="eastAsia" w:ascii="宋体" w:hAnsi="宋体" w:cs="宋体"/>
          <w:color w:val="auto"/>
          <w:sz w:val="24"/>
          <w:szCs w:val="24"/>
          <w:highlight w:val="none"/>
          <w:lang w:eastAsia="zh-CN"/>
        </w:rPr>
        <w:t>（格式见附件）</w:t>
      </w:r>
    </w:p>
    <w:p w14:paraId="5D236D5D">
      <w:pPr>
        <w:pStyle w:val="5"/>
        <w:keepNext w:val="0"/>
        <w:keepLines w:val="0"/>
        <w:pageBreakBefore w:val="0"/>
        <w:kinsoku/>
        <w:wordWrap/>
        <w:overflowPunct/>
        <w:topLinePunct w:val="0"/>
        <w:bidi w:val="0"/>
        <w:spacing w:line="540" w:lineRule="exact"/>
        <w:ind w:left="0" w:leftChars="0" w:right="0" w:rightChars="0" w:firstLine="502"/>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注：提供相关声明函的，由其承担相应的法律责任。</w:t>
      </w:r>
    </w:p>
    <w:p w14:paraId="6D616ABB">
      <w:pPr>
        <w:pStyle w:val="48"/>
        <w:rPr>
          <w:rFonts w:hint="eastAsia" w:asciiTheme="minorEastAsia" w:hAnsiTheme="minorEastAsia" w:eastAsiaTheme="minorEastAsia" w:cstheme="minorEastAsia"/>
          <w:color w:val="auto"/>
          <w:kern w:val="0"/>
          <w:sz w:val="24"/>
          <w:szCs w:val="24"/>
          <w:highlight w:val="none"/>
          <w:lang w:val="en-US" w:eastAsia="zh-CN"/>
        </w:rPr>
      </w:pPr>
    </w:p>
    <w:p w14:paraId="611C5218">
      <w:pPr>
        <w:pStyle w:val="48"/>
        <w:rPr>
          <w:rFonts w:hint="eastAsia"/>
          <w:color w:val="auto"/>
          <w:sz w:val="24"/>
          <w:szCs w:val="24"/>
          <w:highlight w:val="none"/>
        </w:rPr>
      </w:pPr>
    </w:p>
    <w:p w14:paraId="19DB917F">
      <w:pPr>
        <w:pStyle w:val="48"/>
        <w:rPr>
          <w:rFonts w:hint="eastAsia"/>
          <w:color w:val="auto"/>
          <w:sz w:val="24"/>
          <w:szCs w:val="24"/>
          <w:highlight w:val="none"/>
        </w:rPr>
      </w:pPr>
    </w:p>
    <w:p w14:paraId="0AAA0BD2">
      <w:pPr>
        <w:pStyle w:val="48"/>
        <w:rPr>
          <w:rFonts w:hint="eastAsia"/>
          <w:color w:val="auto"/>
          <w:sz w:val="24"/>
          <w:szCs w:val="24"/>
          <w:highlight w:val="none"/>
        </w:rPr>
      </w:pPr>
    </w:p>
    <w:p w14:paraId="3D184C31">
      <w:pPr>
        <w:pStyle w:val="48"/>
        <w:rPr>
          <w:rFonts w:hint="eastAsia"/>
          <w:color w:val="auto"/>
          <w:sz w:val="24"/>
          <w:szCs w:val="24"/>
          <w:highlight w:val="none"/>
        </w:rPr>
      </w:pPr>
    </w:p>
    <w:p w14:paraId="7ECD4EF3">
      <w:pPr>
        <w:pStyle w:val="48"/>
        <w:rPr>
          <w:rFonts w:hint="eastAsia"/>
          <w:color w:val="auto"/>
          <w:sz w:val="24"/>
          <w:szCs w:val="24"/>
          <w:highlight w:val="none"/>
        </w:rPr>
      </w:pPr>
    </w:p>
    <w:p w14:paraId="61717443">
      <w:pPr>
        <w:pStyle w:val="48"/>
        <w:rPr>
          <w:rFonts w:hint="eastAsia"/>
          <w:color w:val="auto"/>
          <w:sz w:val="24"/>
          <w:szCs w:val="24"/>
          <w:highlight w:val="none"/>
        </w:rPr>
      </w:pPr>
    </w:p>
    <w:p w14:paraId="586709E1">
      <w:pPr>
        <w:pStyle w:val="48"/>
        <w:rPr>
          <w:rFonts w:hint="eastAsia"/>
          <w:color w:val="auto"/>
          <w:sz w:val="24"/>
          <w:szCs w:val="24"/>
          <w:highlight w:val="none"/>
        </w:rPr>
      </w:pPr>
    </w:p>
    <w:p w14:paraId="1594AFE9">
      <w:pPr>
        <w:pStyle w:val="48"/>
        <w:ind w:left="0" w:leftChars="0" w:firstLine="0" w:firstLineChars="0"/>
        <w:rPr>
          <w:rFonts w:hint="eastAsia"/>
          <w:color w:val="auto"/>
          <w:sz w:val="24"/>
          <w:szCs w:val="24"/>
          <w:highlight w:val="none"/>
        </w:rPr>
      </w:pPr>
    </w:p>
    <w:p w14:paraId="0B16FD79">
      <w:pPr>
        <w:keepNext w:val="0"/>
        <w:keepLines w:val="0"/>
        <w:pageBreakBefore w:val="0"/>
        <w:widowControl w:val="0"/>
        <w:numPr>
          <w:ilvl w:val="0"/>
          <w:numId w:val="8"/>
        </w:numPr>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1"/>
        <w:rPr>
          <w:rFonts w:hint="eastAsia" w:ascii="宋体" w:hAnsi="宋体" w:eastAsia="宋体" w:cs="宋体"/>
          <w:b/>
          <w:bCs/>
          <w:color w:val="auto"/>
          <w:kern w:val="2"/>
          <w:sz w:val="28"/>
          <w:szCs w:val="28"/>
          <w:highlight w:val="none"/>
          <w:lang w:eastAsia="zh-CN"/>
        </w:rPr>
      </w:pPr>
      <w:bookmarkStart w:id="77" w:name="_Toc14261"/>
      <w:r>
        <w:rPr>
          <w:rFonts w:hint="eastAsia" w:ascii="宋体" w:hAnsi="宋体" w:eastAsia="宋体" w:cs="宋体"/>
          <w:b/>
          <w:bCs/>
          <w:color w:val="auto"/>
          <w:kern w:val="2"/>
          <w:sz w:val="28"/>
          <w:szCs w:val="28"/>
          <w:highlight w:val="none"/>
          <w:lang w:eastAsia="zh-CN"/>
        </w:rPr>
        <w:t>近</w:t>
      </w:r>
      <w:r>
        <w:rPr>
          <w:rFonts w:hint="eastAsia" w:eastAsia="宋体" w:cs="宋体"/>
          <w:b/>
          <w:bCs/>
          <w:color w:val="auto"/>
          <w:kern w:val="2"/>
          <w:sz w:val="28"/>
          <w:szCs w:val="28"/>
          <w:highlight w:val="none"/>
          <w:lang w:eastAsia="zh-CN"/>
        </w:rPr>
        <w:t>三</w:t>
      </w:r>
      <w:r>
        <w:rPr>
          <w:rFonts w:hint="eastAsia" w:ascii="宋体" w:hAnsi="宋体" w:eastAsia="宋体" w:cs="宋体"/>
          <w:b/>
          <w:bCs/>
          <w:color w:val="auto"/>
          <w:kern w:val="2"/>
          <w:sz w:val="28"/>
          <w:szCs w:val="28"/>
          <w:highlight w:val="none"/>
          <w:lang w:eastAsia="zh-CN"/>
        </w:rPr>
        <w:t>年完成项目业绩表</w:t>
      </w:r>
      <w:bookmarkEnd w:id="77"/>
    </w:p>
    <w:tbl>
      <w:tblPr>
        <w:tblStyle w:val="29"/>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3416"/>
        <w:gridCol w:w="2596"/>
        <w:gridCol w:w="1719"/>
      </w:tblGrid>
      <w:tr w14:paraId="48DC42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8" w:type="pct"/>
            <w:tcBorders>
              <w:top w:val="single" w:color="auto" w:sz="8" w:space="0"/>
            </w:tcBorders>
            <w:noWrap w:val="0"/>
            <w:vAlign w:val="center"/>
          </w:tcPr>
          <w:p w14:paraId="533ED330">
            <w:pPr>
              <w:jc w:val="center"/>
              <w:rPr>
                <w:rFonts w:ascii="宋体"/>
                <w:sz w:val="24"/>
                <w:highlight w:val="none"/>
              </w:rPr>
            </w:pPr>
            <w:r>
              <w:rPr>
                <w:rFonts w:hint="eastAsia" w:ascii="宋体" w:hAnsi="宋体"/>
                <w:sz w:val="24"/>
                <w:highlight w:val="none"/>
              </w:rPr>
              <w:t>序号</w:t>
            </w:r>
          </w:p>
        </w:tc>
        <w:tc>
          <w:tcPr>
            <w:tcW w:w="1909" w:type="pct"/>
            <w:tcBorders>
              <w:top w:val="single" w:color="auto" w:sz="8" w:space="0"/>
            </w:tcBorders>
            <w:noWrap w:val="0"/>
            <w:vAlign w:val="center"/>
          </w:tcPr>
          <w:p w14:paraId="7E3029FA">
            <w:pPr>
              <w:jc w:val="center"/>
              <w:rPr>
                <w:rFonts w:hint="default" w:ascii="宋体" w:eastAsia="宋体"/>
                <w:sz w:val="24"/>
                <w:highlight w:val="none"/>
                <w:lang w:val="en-US" w:eastAsia="zh-CN"/>
              </w:rPr>
            </w:pPr>
            <w:r>
              <w:rPr>
                <w:rFonts w:hint="eastAsia" w:ascii="宋体" w:hAnsi="宋体"/>
                <w:sz w:val="24"/>
                <w:highlight w:val="none"/>
                <w:lang w:val="en-US" w:eastAsia="zh-CN"/>
              </w:rPr>
              <w:t>项目名称</w:t>
            </w:r>
          </w:p>
        </w:tc>
        <w:tc>
          <w:tcPr>
            <w:tcW w:w="1451" w:type="pct"/>
            <w:tcBorders>
              <w:top w:val="single" w:color="auto" w:sz="8" w:space="0"/>
            </w:tcBorders>
            <w:noWrap w:val="0"/>
            <w:vAlign w:val="center"/>
          </w:tcPr>
          <w:p w14:paraId="5AD5B7CF">
            <w:pPr>
              <w:jc w:val="center"/>
              <w:rPr>
                <w:rFonts w:hint="default" w:ascii="宋体" w:eastAsia="宋体"/>
                <w:sz w:val="24"/>
                <w:highlight w:val="none"/>
                <w:lang w:val="en-US" w:eastAsia="zh-CN"/>
              </w:rPr>
            </w:pPr>
            <w:r>
              <w:rPr>
                <w:rFonts w:hint="eastAsia" w:ascii="宋体" w:hAnsi="宋体"/>
                <w:sz w:val="24"/>
                <w:highlight w:val="none"/>
                <w:lang w:val="en-US" w:eastAsia="zh-CN"/>
              </w:rPr>
              <w:t>合同签订时间</w:t>
            </w:r>
          </w:p>
        </w:tc>
        <w:tc>
          <w:tcPr>
            <w:tcW w:w="961" w:type="pct"/>
            <w:tcBorders>
              <w:top w:val="single" w:color="auto" w:sz="8" w:space="0"/>
            </w:tcBorders>
            <w:noWrap w:val="0"/>
            <w:vAlign w:val="center"/>
          </w:tcPr>
          <w:p w14:paraId="1A038CAA">
            <w:pPr>
              <w:jc w:val="center"/>
              <w:rPr>
                <w:rFonts w:hint="default" w:ascii="宋体" w:hAnsi="宋体"/>
                <w:sz w:val="24"/>
                <w:highlight w:val="none"/>
                <w:lang w:val="en-US" w:eastAsia="zh-CN"/>
              </w:rPr>
            </w:pPr>
            <w:r>
              <w:rPr>
                <w:rFonts w:hint="eastAsia" w:ascii="宋体" w:hAnsi="宋体"/>
                <w:sz w:val="24"/>
                <w:highlight w:val="none"/>
                <w:lang w:val="en-US" w:eastAsia="zh-CN"/>
              </w:rPr>
              <w:t>备注</w:t>
            </w:r>
          </w:p>
        </w:tc>
      </w:tr>
      <w:tr w14:paraId="5148AD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8" w:type="pct"/>
            <w:noWrap w:val="0"/>
            <w:vAlign w:val="center"/>
          </w:tcPr>
          <w:p w14:paraId="6F410BAB">
            <w:pPr>
              <w:jc w:val="center"/>
              <w:rPr>
                <w:rFonts w:hint="eastAsia" w:ascii="宋体" w:eastAsia="宋体"/>
                <w:sz w:val="24"/>
                <w:highlight w:val="none"/>
                <w:lang w:val="en-US" w:eastAsia="zh-CN"/>
              </w:rPr>
            </w:pPr>
            <w:r>
              <w:rPr>
                <w:rFonts w:hint="eastAsia" w:ascii="宋体"/>
                <w:sz w:val="24"/>
                <w:highlight w:val="none"/>
                <w:lang w:val="en-US" w:eastAsia="zh-CN"/>
              </w:rPr>
              <w:t>1</w:t>
            </w:r>
          </w:p>
        </w:tc>
        <w:tc>
          <w:tcPr>
            <w:tcW w:w="1909" w:type="pct"/>
            <w:noWrap w:val="0"/>
            <w:vAlign w:val="center"/>
          </w:tcPr>
          <w:p w14:paraId="21C7E469">
            <w:pPr>
              <w:jc w:val="center"/>
              <w:rPr>
                <w:rFonts w:ascii="宋体"/>
                <w:sz w:val="24"/>
                <w:highlight w:val="none"/>
              </w:rPr>
            </w:pPr>
          </w:p>
        </w:tc>
        <w:tc>
          <w:tcPr>
            <w:tcW w:w="1451" w:type="pct"/>
            <w:noWrap w:val="0"/>
            <w:vAlign w:val="center"/>
          </w:tcPr>
          <w:p w14:paraId="2CA8497F">
            <w:pPr>
              <w:jc w:val="center"/>
              <w:rPr>
                <w:rFonts w:ascii="宋体"/>
                <w:sz w:val="24"/>
                <w:highlight w:val="none"/>
              </w:rPr>
            </w:pPr>
          </w:p>
        </w:tc>
        <w:tc>
          <w:tcPr>
            <w:tcW w:w="961" w:type="pct"/>
            <w:noWrap w:val="0"/>
            <w:vAlign w:val="center"/>
          </w:tcPr>
          <w:p w14:paraId="048F322C">
            <w:pPr>
              <w:jc w:val="center"/>
              <w:rPr>
                <w:rFonts w:ascii="宋体"/>
                <w:sz w:val="24"/>
                <w:highlight w:val="none"/>
              </w:rPr>
            </w:pPr>
          </w:p>
        </w:tc>
      </w:tr>
      <w:tr w14:paraId="1C376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8" w:type="pct"/>
            <w:noWrap w:val="0"/>
            <w:vAlign w:val="center"/>
          </w:tcPr>
          <w:p w14:paraId="62E06B00">
            <w:pPr>
              <w:jc w:val="center"/>
              <w:rPr>
                <w:rFonts w:hint="eastAsia" w:ascii="宋体" w:eastAsia="宋体"/>
                <w:sz w:val="24"/>
                <w:highlight w:val="none"/>
                <w:lang w:val="en-US" w:eastAsia="zh-CN"/>
              </w:rPr>
            </w:pPr>
            <w:r>
              <w:rPr>
                <w:rFonts w:hint="eastAsia" w:ascii="宋体"/>
                <w:sz w:val="24"/>
                <w:highlight w:val="none"/>
                <w:lang w:val="en-US" w:eastAsia="zh-CN"/>
              </w:rPr>
              <w:t>2</w:t>
            </w:r>
          </w:p>
        </w:tc>
        <w:tc>
          <w:tcPr>
            <w:tcW w:w="1909" w:type="pct"/>
            <w:noWrap w:val="0"/>
            <w:vAlign w:val="center"/>
          </w:tcPr>
          <w:p w14:paraId="50AF8109">
            <w:pPr>
              <w:jc w:val="center"/>
              <w:rPr>
                <w:rFonts w:ascii="宋体"/>
                <w:sz w:val="24"/>
                <w:highlight w:val="none"/>
              </w:rPr>
            </w:pPr>
          </w:p>
        </w:tc>
        <w:tc>
          <w:tcPr>
            <w:tcW w:w="1451" w:type="pct"/>
            <w:noWrap w:val="0"/>
            <w:vAlign w:val="center"/>
          </w:tcPr>
          <w:p w14:paraId="0E86D8F6">
            <w:pPr>
              <w:jc w:val="center"/>
              <w:rPr>
                <w:rFonts w:ascii="宋体"/>
                <w:sz w:val="24"/>
                <w:highlight w:val="none"/>
              </w:rPr>
            </w:pPr>
          </w:p>
        </w:tc>
        <w:tc>
          <w:tcPr>
            <w:tcW w:w="961" w:type="pct"/>
            <w:noWrap w:val="0"/>
            <w:vAlign w:val="center"/>
          </w:tcPr>
          <w:p w14:paraId="2062AB58">
            <w:pPr>
              <w:jc w:val="center"/>
              <w:rPr>
                <w:rFonts w:ascii="宋体"/>
                <w:sz w:val="24"/>
                <w:highlight w:val="none"/>
              </w:rPr>
            </w:pPr>
          </w:p>
        </w:tc>
      </w:tr>
      <w:tr w14:paraId="292358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8" w:type="pct"/>
            <w:noWrap w:val="0"/>
            <w:vAlign w:val="center"/>
          </w:tcPr>
          <w:p w14:paraId="1134F7B5">
            <w:pPr>
              <w:jc w:val="center"/>
              <w:rPr>
                <w:rFonts w:hint="eastAsia" w:ascii="宋体" w:eastAsia="宋体"/>
                <w:sz w:val="24"/>
                <w:highlight w:val="none"/>
                <w:lang w:val="en-US" w:eastAsia="zh-CN"/>
              </w:rPr>
            </w:pPr>
            <w:r>
              <w:rPr>
                <w:rFonts w:hint="eastAsia" w:ascii="宋体"/>
                <w:sz w:val="24"/>
                <w:highlight w:val="none"/>
                <w:lang w:val="en-US" w:eastAsia="zh-CN"/>
              </w:rPr>
              <w:t>3</w:t>
            </w:r>
          </w:p>
        </w:tc>
        <w:tc>
          <w:tcPr>
            <w:tcW w:w="1909" w:type="pct"/>
            <w:noWrap w:val="0"/>
            <w:vAlign w:val="center"/>
          </w:tcPr>
          <w:p w14:paraId="14B8CEB7">
            <w:pPr>
              <w:jc w:val="center"/>
              <w:rPr>
                <w:rFonts w:ascii="宋体"/>
                <w:sz w:val="24"/>
                <w:highlight w:val="none"/>
              </w:rPr>
            </w:pPr>
          </w:p>
        </w:tc>
        <w:tc>
          <w:tcPr>
            <w:tcW w:w="1451" w:type="pct"/>
            <w:noWrap w:val="0"/>
            <w:vAlign w:val="center"/>
          </w:tcPr>
          <w:p w14:paraId="528AF116">
            <w:pPr>
              <w:jc w:val="center"/>
              <w:rPr>
                <w:rFonts w:ascii="宋体"/>
                <w:sz w:val="24"/>
                <w:highlight w:val="none"/>
              </w:rPr>
            </w:pPr>
          </w:p>
        </w:tc>
        <w:tc>
          <w:tcPr>
            <w:tcW w:w="961" w:type="pct"/>
            <w:noWrap w:val="0"/>
            <w:vAlign w:val="center"/>
          </w:tcPr>
          <w:p w14:paraId="61173D1F">
            <w:pPr>
              <w:jc w:val="center"/>
              <w:rPr>
                <w:rFonts w:ascii="宋体"/>
                <w:sz w:val="24"/>
                <w:highlight w:val="none"/>
              </w:rPr>
            </w:pPr>
          </w:p>
        </w:tc>
      </w:tr>
      <w:tr w14:paraId="12D9FA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8" w:type="pct"/>
            <w:noWrap w:val="0"/>
            <w:vAlign w:val="center"/>
          </w:tcPr>
          <w:p w14:paraId="2818ACCA">
            <w:pPr>
              <w:jc w:val="center"/>
              <w:rPr>
                <w:rFonts w:hint="eastAsia" w:ascii="宋体" w:eastAsia="宋体"/>
                <w:sz w:val="24"/>
                <w:highlight w:val="none"/>
                <w:lang w:val="en-US" w:eastAsia="zh-CN"/>
              </w:rPr>
            </w:pPr>
            <w:r>
              <w:rPr>
                <w:rFonts w:hint="eastAsia" w:ascii="宋体"/>
                <w:sz w:val="24"/>
                <w:highlight w:val="none"/>
                <w:lang w:val="en-US" w:eastAsia="zh-CN"/>
              </w:rPr>
              <w:t>4</w:t>
            </w:r>
          </w:p>
        </w:tc>
        <w:tc>
          <w:tcPr>
            <w:tcW w:w="1909" w:type="pct"/>
            <w:noWrap w:val="0"/>
            <w:vAlign w:val="center"/>
          </w:tcPr>
          <w:p w14:paraId="6AB8C4D0">
            <w:pPr>
              <w:jc w:val="center"/>
              <w:rPr>
                <w:rFonts w:ascii="宋体"/>
                <w:sz w:val="24"/>
                <w:highlight w:val="none"/>
              </w:rPr>
            </w:pPr>
          </w:p>
        </w:tc>
        <w:tc>
          <w:tcPr>
            <w:tcW w:w="1451" w:type="pct"/>
            <w:noWrap w:val="0"/>
            <w:vAlign w:val="center"/>
          </w:tcPr>
          <w:p w14:paraId="0B90594C">
            <w:pPr>
              <w:jc w:val="center"/>
              <w:rPr>
                <w:rFonts w:ascii="宋体"/>
                <w:sz w:val="24"/>
                <w:highlight w:val="none"/>
              </w:rPr>
            </w:pPr>
          </w:p>
        </w:tc>
        <w:tc>
          <w:tcPr>
            <w:tcW w:w="961" w:type="pct"/>
            <w:noWrap w:val="0"/>
            <w:vAlign w:val="center"/>
          </w:tcPr>
          <w:p w14:paraId="7DF2D318">
            <w:pPr>
              <w:jc w:val="center"/>
              <w:rPr>
                <w:rFonts w:ascii="宋体"/>
                <w:sz w:val="24"/>
                <w:highlight w:val="none"/>
              </w:rPr>
            </w:pPr>
          </w:p>
        </w:tc>
      </w:tr>
      <w:tr w14:paraId="1D04B2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8" w:type="pct"/>
            <w:tcBorders>
              <w:bottom w:val="single" w:color="auto" w:sz="8" w:space="0"/>
            </w:tcBorders>
            <w:noWrap w:val="0"/>
            <w:vAlign w:val="center"/>
          </w:tcPr>
          <w:p w14:paraId="504CF00A">
            <w:pPr>
              <w:jc w:val="center"/>
              <w:rPr>
                <w:rFonts w:hint="default" w:ascii="宋体" w:eastAsia="宋体"/>
                <w:sz w:val="24"/>
                <w:highlight w:val="none"/>
                <w:lang w:val="en-US" w:eastAsia="zh-CN"/>
              </w:rPr>
            </w:pPr>
            <w:r>
              <w:rPr>
                <w:rFonts w:hint="eastAsia" w:ascii="宋体"/>
                <w:sz w:val="24"/>
                <w:highlight w:val="none"/>
                <w:lang w:val="en-US" w:eastAsia="zh-CN"/>
              </w:rPr>
              <w:t>...</w:t>
            </w:r>
          </w:p>
        </w:tc>
        <w:tc>
          <w:tcPr>
            <w:tcW w:w="1909" w:type="pct"/>
            <w:tcBorders>
              <w:bottom w:val="single" w:color="auto" w:sz="8" w:space="0"/>
            </w:tcBorders>
            <w:noWrap w:val="0"/>
            <w:vAlign w:val="center"/>
          </w:tcPr>
          <w:p w14:paraId="66307007">
            <w:pPr>
              <w:jc w:val="center"/>
              <w:rPr>
                <w:rFonts w:hint="default" w:ascii="宋体" w:eastAsia="宋体"/>
                <w:sz w:val="24"/>
                <w:highlight w:val="none"/>
                <w:lang w:val="en-US" w:eastAsia="zh-CN"/>
              </w:rPr>
            </w:pPr>
            <w:r>
              <w:rPr>
                <w:rFonts w:hint="eastAsia" w:ascii="宋体"/>
                <w:sz w:val="24"/>
                <w:highlight w:val="none"/>
                <w:lang w:val="en-US" w:eastAsia="zh-CN"/>
              </w:rPr>
              <w:t>......</w:t>
            </w:r>
          </w:p>
        </w:tc>
        <w:tc>
          <w:tcPr>
            <w:tcW w:w="1451" w:type="pct"/>
            <w:tcBorders>
              <w:bottom w:val="single" w:color="auto" w:sz="8" w:space="0"/>
            </w:tcBorders>
            <w:noWrap w:val="0"/>
            <w:vAlign w:val="center"/>
          </w:tcPr>
          <w:p w14:paraId="7280941D">
            <w:pPr>
              <w:jc w:val="center"/>
              <w:rPr>
                <w:rFonts w:ascii="宋体"/>
                <w:sz w:val="24"/>
                <w:highlight w:val="none"/>
              </w:rPr>
            </w:pPr>
          </w:p>
        </w:tc>
        <w:tc>
          <w:tcPr>
            <w:tcW w:w="961" w:type="pct"/>
            <w:tcBorders>
              <w:bottom w:val="single" w:color="auto" w:sz="8" w:space="0"/>
            </w:tcBorders>
            <w:noWrap w:val="0"/>
            <w:vAlign w:val="center"/>
          </w:tcPr>
          <w:p w14:paraId="785AD1E2">
            <w:pPr>
              <w:jc w:val="center"/>
              <w:rPr>
                <w:rFonts w:ascii="宋体"/>
                <w:sz w:val="24"/>
                <w:highlight w:val="none"/>
              </w:rPr>
            </w:pPr>
          </w:p>
        </w:tc>
      </w:tr>
    </w:tbl>
    <w:p w14:paraId="7C57CDDC">
      <w:pPr>
        <w:pStyle w:val="18"/>
        <w:rPr>
          <w:rFonts w:hint="eastAsia" w:ascii="宋体" w:hAnsi="宋体" w:eastAsia="宋体" w:cs="宋体"/>
          <w:b/>
          <w:bCs/>
          <w:color w:val="auto"/>
          <w:kern w:val="2"/>
          <w:sz w:val="28"/>
          <w:szCs w:val="28"/>
          <w:highlight w:val="none"/>
          <w:lang w:eastAsia="zh-CN"/>
        </w:rPr>
      </w:pPr>
    </w:p>
    <w:p w14:paraId="3CC63BE0">
      <w:pPr>
        <w:spacing w:line="360" w:lineRule="auto"/>
        <w:jc w:val="both"/>
        <w:rPr>
          <w:rFonts w:hint="eastAsia" w:ascii="宋体" w:hAnsi="宋体" w:cs="宋体"/>
          <w:bCs/>
          <w:sz w:val="24"/>
          <w:szCs w:val="24"/>
          <w:highlight w:val="none"/>
        </w:rPr>
      </w:pPr>
      <w:r>
        <w:rPr>
          <w:rFonts w:ascii="宋体" w:hAnsi="宋体" w:eastAsia="宋体"/>
          <w:sz w:val="24"/>
          <w:szCs w:val="24"/>
          <w:highlight w:val="none"/>
        </w:rPr>
        <w:t>备注：</w:t>
      </w:r>
      <w:r>
        <w:rPr>
          <w:rFonts w:hint="eastAsia" w:ascii="宋体" w:hAnsi="宋体" w:eastAsia="宋体"/>
          <w:sz w:val="24"/>
          <w:szCs w:val="24"/>
          <w:highlight w:val="none"/>
          <w:lang w:val="en-US" w:eastAsia="zh-CN"/>
        </w:rPr>
        <w:t>供应商</w:t>
      </w:r>
      <w:r>
        <w:rPr>
          <w:rFonts w:ascii="宋体" w:hAnsi="宋体" w:eastAsia="宋体"/>
          <w:sz w:val="24"/>
          <w:szCs w:val="24"/>
          <w:highlight w:val="none"/>
        </w:rPr>
        <w:t>应根据</w:t>
      </w:r>
      <w:r>
        <w:rPr>
          <w:rFonts w:hint="eastAsia" w:ascii="宋体" w:hAnsi="宋体" w:eastAsia="宋体"/>
          <w:sz w:val="24"/>
          <w:szCs w:val="24"/>
          <w:highlight w:val="none"/>
          <w:lang w:val="en-US" w:eastAsia="zh-CN"/>
        </w:rPr>
        <w:t>磋商文件</w:t>
      </w:r>
      <w:r>
        <w:rPr>
          <w:rFonts w:ascii="宋体" w:hAnsi="宋体" w:eastAsia="宋体"/>
          <w:sz w:val="24"/>
          <w:szCs w:val="24"/>
          <w:highlight w:val="none"/>
        </w:rPr>
        <w:t>要求在本表后附相关证明材料。</w:t>
      </w:r>
    </w:p>
    <w:p w14:paraId="7E12FACB">
      <w:pPr>
        <w:spacing w:line="480" w:lineRule="auto"/>
        <w:jc w:val="left"/>
        <w:rPr>
          <w:rFonts w:hint="eastAsia" w:ascii="宋体" w:hAnsi="宋体" w:eastAsia="宋体" w:cs="宋体"/>
          <w:b/>
          <w:bCs/>
          <w:color w:val="auto"/>
          <w:sz w:val="24"/>
          <w:szCs w:val="24"/>
          <w:highlight w:val="none"/>
        </w:rPr>
      </w:pPr>
    </w:p>
    <w:p w14:paraId="495DA6B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right="0" w:rightChars="0"/>
        <w:jc w:val="both"/>
        <w:textAlignment w:val="auto"/>
        <w:outlineLvl w:val="1"/>
        <w:rPr>
          <w:rFonts w:hint="eastAsia" w:ascii="宋体" w:hAnsi="宋体" w:eastAsia="宋体" w:cs="宋体"/>
          <w:b/>
          <w:bCs/>
          <w:color w:val="auto"/>
          <w:kern w:val="2"/>
          <w:sz w:val="24"/>
          <w:szCs w:val="24"/>
          <w:highlight w:val="none"/>
          <w:lang w:eastAsia="zh-CN"/>
        </w:rPr>
      </w:pPr>
    </w:p>
    <w:p w14:paraId="11B41436">
      <w:pPr>
        <w:pStyle w:val="18"/>
        <w:rPr>
          <w:rFonts w:hint="eastAsia" w:ascii="宋体" w:hAnsi="宋体" w:eastAsia="宋体" w:cs="宋体"/>
          <w:b/>
          <w:bCs/>
          <w:color w:val="auto"/>
          <w:kern w:val="2"/>
          <w:sz w:val="24"/>
          <w:szCs w:val="24"/>
          <w:highlight w:val="none"/>
          <w:lang w:eastAsia="zh-CN"/>
        </w:rPr>
      </w:pPr>
    </w:p>
    <w:p w14:paraId="758C30DC">
      <w:pPr>
        <w:pStyle w:val="18"/>
        <w:rPr>
          <w:rFonts w:hint="eastAsia" w:ascii="宋体" w:hAnsi="宋体" w:eastAsia="宋体" w:cs="宋体"/>
          <w:b/>
          <w:bCs/>
          <w:color w:val="auto"/>
          <w:kern w:val="2"/>
          <w:sz w:val="24"/>
          <w:szCs w:val="24"/>
          <w:highlight w:val="none"/>
          <w:lang w:eastAsia="zh-CN"/>
        </w:rPr>
      </w:pPr>
    </w:p>
    <w:p w14:paraId="2767F3CA">
      <w:pPr>
        <w:pStyle w:val="18"/>
        <w:rPr>
          <w:rFonts w:hint="eastAsia" w:ascii="宋体" w:hAnsi="宋体" w:eastAsia="宋体" w:cs="宋体"/>
          <w:b/>
          <w:bCs/>
          <w:color w:val="auto"/>
          <w:kern w:val="2"/>
          <w:sz w:val="24"/>
          <w:szCs w:val="24"/>
          <w:highlight w:val="none"/>
          <w:lang w:eastAsia="zh-CN"/>
        </w:rPr>
      </w:pPr>
    </w:p>
    <w:p w14:paraId="4C1E89D6">
      <w:pPr>
        <w:pStyle w:val="18"/>
        <w:rPr>
          <w:rFonts w:hint="eastAsia" w:ascii="宋体" w:hAnsi="宋体" w:eastAsia="宋体" w:cs="宋体"/>
          <w:b/>
          <w:bCs/>
          <w:color w:val="auto"/>
          <w:kern w:val="2"/>
          <w:sz w:val="24"/>
          <w:szCs w:val="24"/>
          <w:highlight w:val="none"/>
          <w:lang w:eastAsia="zh-CN"/>
        </w:rPr>
      </w:pPr>
    </w:p>
    <w:p w14:paraId="14DEE20C">
      <w:pPr>
        <w:pStyle w:val="18"/>
        <w:rPr>
          <w:rFonts w:hint="eastAsia" w:ascii="宋体" w:hAnsi="宋体" w:eastAsia="宋体" w:cs="宋体"/>
          <w:b/>
          <w:bCs/>
          <w:color w:val="auto"/>
          <w:kern w:val="2"/>
          <w:sz w:val="24"/>
          <w:szCs w:val="24"/>
          <w:highlight w:val="none"/>
          <w:lang w:eastAsia="zh-CN"/>
        </w:rPr>
      </w:pPr>
    </w:p>
    <w:p w14:paraId="6C8A382D">
      <w:pPr>
        <w:pStyle w:val="18"/>
        <w:rPr>
          <w:rFonts w:hint="eastAsia" w:ascii="宋体" w:hAnsi="宋体" w:eastAsia="宋体" w:cs="宋体"/>
          <w:b/>
          <w:bCs/>
          <w:color w:val="auto"/>
          <w:kern w:val="2"/>
          <w:sz w:val="24"/>
          <w:szCs w:val="24"/>
          <w:highlight w:val="none"/>
          <w:lang w:eastAsia="zh-CN"/>
        </w:rPr>
      </w:pPr>
    </w:p>
    <w:p w14:paraId="382D7126">
      <w:pPr>
        <w:pStyle w:val="18"/>
        <w:rPr>
          <w:rFonts w:hint="eastAsia" w:ascii="宋体" w:hAnsi="宋体" w:eastAsia="宋体" w:cs="宋体"/>
          <w:b/>
          <w:bCs/>
          <w:color w:val="auto"/>
          <w:kern w:val="2"/>
          <w:sz w:val="24"/>
          <w:szCs w:val="24"/>
          <w:highlight w:val="none"/>
          <w:lang w:eastAsia="zh-CN"/>
        </w:rPr>
      </w:pPr>
    </w:p>
    <w:p w14:paraId="5FB39BF7">
      <w:pPr>
        <w:pStyle w:val="18"/>
        <w:rPr>
          <w:rFonts w:hint="eastAsia" w:ascii="宋体" w:hAnsi="宋体" w:eastAsia="宋体" w:cs="宋体"/>
          <w:b/>
          <w:bCs/>
          <w:color w:val="auto"/>
          <w:kern w:val="2"/>
          <w:sz w:val="24"/>
          <w:szCs w:val="24"/>
          <w:highlight w:val="none"/>
          <w:lang w:eastAsia="zh-CN"/>
        </w:rPr>
      </w:pPr>
    </w:p>
    <w:p w14:paraId="3855C702">
      <w:pPr>
        <w:pStyle w:val="18"/>
        <w:rPr>
          <w:rFonts w:hint="eastAsia" w:ascii="宋体" w:hAnsi="宋体" w:eastAsia="宋体" w:cs="宋体"/>
          <w:b/>
          <w:bCs/>
          <w:color w:val="auto"/>
          <w:kern w:val="2"/>
          <w:sz w:val="24"/>
          <w:szCs w:val="24"/>
          <w:highlight w:val="none"/>
          <w:lang w:eastAsia="zh-CN"/>
        </w:rPr>
      </w:pPr>
    </w:p>
    <w:p w14:paraId="15603B56">
      <w:pPr>
        <w:pStyle w:val="18"/>
        <w:rPr>
          <w:rFonts w:hint="eastAsia" w:ascii="宋体" w:hAnsi="宋体" w:eastAsia="宋体" w:cs="宋体"/>
          <w:b/>
          <w:bCs/>
          <w:color w:val="auto"/>
          <w:kern w:val="2"/>
          <w:sz w:val="24"/>
          <w:szCs w:val="24"/>
          <w:highlight w:val="none"/>
          <w:lang w:eastAsia="zh-CN"/>
        </w:rPr>
      </w:pPr>
    </w:p>
    <w:p w14:paraId="2C924982">
      <w:pPr>
        <w:pStyle w:val="18"/>
        <w:rPr>
          <w:rFonts w:hint="eastAsia" w:ascii="宋体" w:hAnsi="宋体" w:eastAsia="宋体" w:cs="宋体"/>
          <w:b/>
          <w:bCs/>
          <w:color w:val="auto"/>
          <w:kern w:val="2"/>
          <w:sz w:val="24"/>
          <w:szCs w:val="24"/>
          <w:highlight w:val="none"/>
          <w:lang w:eastAsia="zh-CN"/>
        </w:rPr>
      </w:pPr>
    </w:p>
    <w:p w14:paraId="5375D17B">
      <w:pPr>
        <w:pStyle w:val="18"/>
        <w:rPr>
          <w:rFonts w:hint="eastAsia" w:ascii="宋体" w:hAnsi="宋体" w:eastAsia="宋体" w:cs="宋体"/>
          <w:b/>
          <w:bCs/>
          <w:color w:val="auto"/>
          <w:kern w:val="2"/>
          <w:sz w:val="24"/>
          <w:szCs w:val="24"/>
          <w:highlight w:val="none"/>
          <w:lang w:eastAsia="zh-CN"/>
        </w:rPr>
      </w:pPr>
    </w:p>
    <w:p w14:paraId="07D091C8">
      <w:pPr>
        <w:pStyle w:val="18"/>
        <w:rPr>
          <w:rFonts w:hint="eastAsia" w:ascii="宋体" w:hAnsi="宋体" w:eastAsia="宋体" w:cs="宋体"/>
          <w:b/>
          <w:bCs/>
          <w:color w:val="auto"/>
          <w:kern w:val="2"/>
          <w:sz w:val="24"/>
          <w:szCs w:val="24"/>
          <w:highlight w:val="none"/>
          <w:lang w:eastAsia="zh-CN"/>
        </w:rPr>
      </w:pPr>
    </w:p>
    <w:p w14:paraId="6CCEE01F">
      <w:pPr>
        <w:pStyle w:val="18"/>
        <w:rPr>
          <w:rFonts w:hint="eastAsia" w:ascii="宋体" w:hAnsi="宋体" w:eastAsia="宋体" w:cs="宋体"/>
          <w:b/>
          <w:bCs/>
          <w:color w:val="auto"/>
          <w:kern w:val="2"/>
          <w:sz w:val="24"/>
          <w:szCs w:val="24"/>
          <w:highlight w:val="none"/>
          <w:lang w:eastAsia="zh-CN"/>
        </w:rPr>
      </w:pPr>
    </w:p>
    <w:p w14:paraId="18112A7C">
      <w:pPr>
        <w:pStyle w:val="18"/>
        <w:rPr>
          <w:rFonts w:hint="eastAsia" w:ascii="宋体" w:hAnsi="宋体" w:eastAsia="宋体" w:cs="宋体"/>
          <w:b/>
          <w:bCs/>
          <w:color w:val="auto"/>
          <w:kern w:val="2"/>
          <w:sz w:val="24"/>
          <w:szCs w:val="24"/>
          <w:highlight w:val="none"/>
          <w:lang w:eastAsia="zh-CN"/>
        </w:rPr>
      </w:pPr>
    </w:p>
    <w:p w14:paraId="685500C2">
      <w:pPr>
        <w:pStyle w:val="18"/>
        <w:rPr>
          <w:rFonts w:hint="eastAsia" w:ascii="宋体" w:hAnsi="宋体" w:eastAsia="宋体" w:cs="宋体"/>
          <w:b/>
          <w:bCs/>
          <w:color w:val="auto"/>
          <w:kern w:val="2"/>
          <w:sz w:val="24"/>
          <w:szCs w:val="24"/>
          <w:highlight w:val="none"/>
          <w:lang w:eastAsia="zh-CN"/>
        </w:rPr>
      </w:pPr>
    </w:p>
    <w:p w14:paraId="2E00A32C">
      <w:pPr>
        <w:pStyle w:val="18"/>
        <w:rPr>
          <w:rFonts w:hint="eastAsia" w:ascii="宋体" w:hAnsi="宋体" w:eastAsia="宋体" w:cs="宋体"/>
          <w:b/>
          <w:bCs/>
          <w:color w:val="auto"/>
          <w:kern w:val="2"/>
          <w:sz w:val="24"/>
          <w:szCs w:val="24"/>
          <w:highlight w:val="none"/>
          <w:lang w:eastAsia="zh-CN"/>
        </w:rPr>
      </w:pPr>
    </w:p>
    <w:p w14:paraId="11E30E6B">
      <w:pPr>
        <w:pStyle w:val="18"/>
        <w:rPr>
          <w:rFonts w:hint="eastAsia" w:ascii="宋体" w:hAnsi="宋体" w:eastAsia="宋体" w:cs="宋体"/>
          <w:b/>
          <w:bCs/>
          <w:color w:val="auto"/>
          <w:kern w:val="2"/>
          <w:sz w:val="24"/>
          <w:szCs w:val="24"/>
          <w:highlight w:val="none"/>
          <w:lang w:eastAsia="zh-CN"/>
        </w:rPr>
      </w:pPr>
    </w:p>
    <w:p w14:paraId="57F73613">
      <w:pPr>
        <w:pStyle w:val="18"/>
        <w:rPr>
          <w:rFonts w:hint="eastAsia" w:ascii="宋体" w:hAnsi="宋体" w:eastAsia="宋体" w:cs="宋体"/>
          <w:b/>
          <w:bCs/>
          <w:color w:val="auto"/>
          <w:kern w:val="2"/>
          <w:sz w:val="24"/>
          <w:szCs w:val="24"/>
          <w:highlight w:val="none"/>
          <w:lang w:eastAsia="zh-CN"/>
        </w:rPr>
      </w:pPr>
    </w:p>
    <w:p w14:paraId="75A43C40">
      <w:pPr>
        <w:keepNext w:val="0"/>
        <w:keepLines w:val="0"/>
        <w:pageBreakBefore w:val="0"/>
        <w:widowControl w:val="0"/>
        <w:kinsoku/>
        <w:wordWrap/>
        <w:overflowPunct/>
        <w:topLinePunct w:val="0"/>
        <w:autoSpaceDE/>
        <w:autoSpaceDN/>
        <w:bidi w:val="0"/>
        <w:adjustRightInd/>
        <w:snapToGrid/>
        <w:spacing w:before="196" w:beforeLines="50" w:line="240" w:lineRule="auto"/>
        <w:ind w:left="0" w:leftChars="0" w:right="0" w:rightChars="0" w:firstLine="0" w:firstLineChars="0"/>
        <w:jc w:val="center"/>
        <w:textAlignment w:val="auto"/>
        <w:outlineLvl w:val="1"/>
        <w:rPr>
          <w:rFonts w:hint="eastAsia" w:ascii="宋体" w:hAnsi="宋体" w:cs="宋体"/>
          <w:b/>
          <w:sz w:val="28"/>
          <w:szCs w:val="28"/>
          <w:highlight w:val="none"/>
        </w:rPr>
      </w:pPr>
      <w:bookmarkStart w:id="78" w:name="_Toc946"/>
      <w:r>
        <w:rPr>
          <w:rFonts w:hint="eastAsia" w:ascii="宋体" w:hAnsi="宋体" w:cs="宋体"/>
          <w:b/>
          <w:color w:val="auto"/>
          <w:sz w:val="28"/>
          <w:szCs w:val="28"/>
          <w:highlight w:val="none"/>
          <w:lang w:eastAsia="zh-CN"/>
        </w:rPr>
        <w:t>八</w:t>
      </w:r>
      <w:r>
        <w:rPr>
          <w:rFonts w:hint="eastAsia" w:ascii="宋体" w:hAnsi="宋体" w:eastAsia="宋体" w:cs="宋体"/>
          <w:b/>
          <w:color w:val="auto"/>
          <w:sz w:val="28"/>
          <w:szCs w:val="28"/>
          <w:highlight w:val="none"/>
        </w:rPr>
        <w:t>、</w:t>
      </w:r>
      <w:bookmarkEnd w:id="78"/>
      <w:r>
        <w:rPr>
          <w:rFonts w:hint="eastAsia" w:ascii="宋体" w:hAnsi="宋体" w:cs="宋体"/>
          <w:b/>
          <w:color w:val="auto"/>
          <w:sz w:val="28"/>
          <w:szCs w:val="28"/>
          <w:highlight w:val="none"/>
          <w:lang w:eastAsia="zh-CN"/>
        </w:rPr>
        <w:t>监理大纲</w:t>
      </w:r>
    </w:p>
    <w:p w14:paraId="2A96BD0F">
      <w:pPr>
        <w:keepNext w:val="0"/>
        <w:keepLines w:val="0"/>
        <w:pageBreakBefore w:val="0"/>
        <w:widowControl w:val="0"/>
        <w:kinsoku/>
        <w:wordWrap/>
        <w:overflowPunct/>
        <w:topLinePunct w:val="0"/>
        <w:autoSpaceDE/>
        <w:autoSpaceDN/>
        <w:bidi w:val="0"/>
        <w:adjustRightInd/>
        <w:snapToGrid/>
        <w:spacing w:line="480" w:lineRule="exact"/>
        <w:ind w:firstLine="573"/>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监理大纲应包括（但不限于）下列内容：</w:t>
      </w:r>
    </w:p>
    <w:p w14:paraId="7E198A3D">
      <w:pPr>
        <w:keepNext w:val="0"/>
        <w:keepLines w:val="0"/>
        <w:pageBreakBefore w:val="0"/>
        <w:widowControl w:val="0"/>
        <w:kinsoku/>
        <w:wordWrap/>
        <w:overflowPunct/>
        <w:topLinePunct w:val="0"/>
        <w:autoSpaceDE/>
        <w:autoSpaceDN/>
        <w:bidi w:val="0"/>
        <w:adjustRightInd/>
        <w:snapToGrid/>
        <w:spacing w:line="480" w:lineRule="exact"/>
        <w:ind w:firstLine="573"/>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val="en-US" w:eastAsia="zh-CN"/>
        </w:rPr>
        <w:t>项目整体理解、工程特点与重难点剖析</w:t>
      </w:r>
      <w:r>
        <w:rPr>
          <w:rFonts w:hint="eastAsia" w:ascii="宋体" w:hAnsi="宋体" w:eastAsia="宋体" w:cs="宋体"/>
          <w:color w:val="auto"/>
          <w:sz w:val="24"/>
          <w:highlight w:val="none"/>
        </w:rPr>
        <w:t>；</w:t>
      </w:r>
    </w:p>
    <w:p w14:paraId="43FF6739">
      <w:pPr>
        <w:keepNext w:val="0"/>
        <w:keepLines w:val="0"/>
        <w:pageBreakBefore w:val="0"/>
        <w:widowControl w:val="0"/>
        <w:kinsoku/>
        <w:wordWrap/>
        <w:overflowPunct/>
        <w:topLinePunct w:val="0"/>
        <w:autoSpaceDE/>
        <w:autoSpaceDN/>
        <w:bidi w:val="0"/>
        <w:adjustRightInd/>
        <w:snapToGrid/>
        <w:spacing w:line="480" w:lineRule="exact"/>
        <w:ind w:firstLine="573"/>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eastAsia="宋体" w:cs="宋体"/>
          <w:color w:val="auto"/>
          <w:sz w:val="24"/>
          <w:highlight w:val="none"/>
          <w:lang w:val="en-US" w:eastAsia="zh-CN"/>
        </w:rPr>
        <w:t>监理组织机构、人员配置、岗位职责</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驻场保障</w:t>
      </w:r>
      <w:r>
        <w:rPr>
          <w:rFonts w:hint="eastAsia" w:ascii="宋体" w:hAnsi="宋体" w:eastAsia="宋体" w:cs="宋体"/>
          <w:color w:val="auto"/>
          <w:sz w:val="24"/>
          <w:highlight w:val="none"/>
        </w:rPr>
        <w:t>；</w:t>
      </w:r>
    </w:p>
    <w:p w14:paraId="28736EC4">
      <w:pPr>
        <w:keepNext w:val="0"/>
        <w:keepLines w:val="0"/>
        <w:pageBreakBefore w:val="0"/>
        <w:widowControl w:val="0"/>
        <w:kinsoku/>
        <w:wordWrap/>
        <w:overflowPunct/>
        <w:topLinePunct w:val="0"/>
        <w:autoSpaceDE/>
        <w:autoSpaceDN/>
        <w:bidi w:val="0"/>
        <w:adjustRightInd/>
        <w:snapToGrid/>
        <w:spacing w:line="480" w:lineRule="exact"/>
        <w:ind w:firstLine="573"/>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r>
        <w:rPr>
          <w:rFonts w:hint="eastAsia" w:ascii="宋体" w:hAnsi="宋体" w:eastAsia="宋体" w:cs="宋体"/>
          <w:color w:val="auto"/>
          <w:sz w:val="24"/>
          <w:highlight w:val="none"/>
          <w:lang w:val="en-US" w:eastAsia="zh-CN"/>
        </w:rPr>
        <w:t>文物本体保护专项质量监理控制细则</w:t>
      </w:r>
      <w:r>
        <w:rPr>
          <w:rFonts w:hint="eastAsia" w:ascii="宋体" w:hAnsi="宋体" w:eastAsia="宋体" w:cs="宋体"/>
          <w:color w:val="auto"/>
          <w:sz w:val="24"/>
          <w:highlight w:val="none"/>
        </w:rPr>
        <w:t>；</w:t>
      </w:r>
    </w:p>
    <w:p w14:paraId="73A4DE5A">
      <w:pPr>
        <w:keepNext w:val="0"/>
        <w:keepLines w:val="0"/>
        <w:pageBreakBefore w:val="0"/>
        <w:widowControl w:val="0"/>
        <w:kinsoku/>
        <w:wordWrap/>
        <w:overflowPunct/>
        <w:topLinePunct w:val="0"/>
        <w:autoSpaceDE/>
        <w:autoSpaceDN/>
        <w:bidi w:val="0"/>
        <w:adjustRightInd/>
        <w:snapToGrid/>
        <w:spacing w:line="480" w:lineRule="exact"/>
        <w:ind w:firstLine="573"/>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四、</w:t>
      </w:r>
      <w:r>
        <w:rPr>
          <w:rFonts w:hint="eastAsia" w:ascii="宋体" w:hAnsi="宋体" w:eastAsia="宋体" w:cs="宋体"/>
          <w:color w:val="auto"/>
          <w:sz w:val="24"/>
          <w:highlight w:val="none"/>
          <w:lang w:val="en-US" w:eastAsia="zh-CN"/>
        </w:rPr>
        <w:t>进度、投资、合同管理及多方协调监理</w:t>
      </w:r>
      <w:r>
        <w:rPr>
          <w:rFonts w:hint="eastAsia" w:ascii="宋体" w:hAnsi="宋体" w:eastAsia="宋体" w:cs="宋体"/>
          <w:color w:val="auto"/>
          <w:sz w:val="24"/>
          <w:highlight w:val="none"/>
        </w:rPr>
        <w:t>；</w:t>
      </w:r>
    </w:p>
    <w:p w14:paraId="1606C79B">
      <w:pPr>
        <w:keepNext w:val="0"/>
        <w:keepLines w:val="0"/>
        <w:pageBreakBefore w:val="0"/>
        <w:widowControl w:val="0"/>
        <w:kinsoku/>
        <w:wordWrap/>
        <w:overflowPunct/>
        <w:topLinePunct w:val="0"/>
        <w:autoSpaceDE/>
        <w:autoSpaceDN/>
        <w:bidi w:val="0"/>
        <w:adjustRightInd/>
        <w:snapToGrid/>
        <w:spacing w:line="480" w:lineRule="exact"/>
        <w:ind w:firstLine="573"/>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五、</w:t>
      </w:r>
      <w:r>
        <w:rPr>
          <w:rFonts w:hint="eastAsia" w:ascii="宋体" w:hAnsi="宋体" w:eastAsia="宋体" w:cs="宋体"/>
          <w:color w:val="auto"/>
          <w:sz w:val="24"/>
          <w:szCs w:val="24"/>
          <w:highlight w:val="none"/>
          <w:lang w:val="en-US" w:eastAsia="zh-CN"/>
        </w:rPr>
        <w:t>安全生产、文明施工、遗址专项安全防护监理</w:t>
      </w:r>
      <w:r>
        <w:rPr>
          <w:rFonts w:hint="eastAsia" w:ascii="宋体" w:hAnsi="宋体" w:eastAsia="宋体" w:cs="宋体"/>
          <w:color w:val="auto"/>
          <w:sz w:val="24"/>
          <w:highlight w:val="none"/>
        </w:rPr>
        <w:t>；</w:t>
      </w:r>
    </w:p>
    <w:p w14:paraId="3F319BDC">
      <w:pPr>
        <w:keepNext w:val="0"/>
        <w:keepLines w:val="0"/>
        <w:pageBreakBefore w:val="0"/>
        <w:widowControl w:val="0"/>
        <w:kinsoku/>
        <w:wordWrap/>
        <w:overflowPunct/>
        <w:topLinePunct w:val="0"/>
        <w:autoSpaceDE/>
        <w:autoSpaceDN/>
        <w:bidi w:val="0"/>
        <w:adjustRightInd/>
        <w:snapToGrid/>
        <w:spacing w:line="480" w:lineRule="exact"/>
        <w:ind w:firstLine="573"/>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六、</w:t>
      </w:r>
      <w:r>
        <w:rPr>
          <w:rFonts w:hint="eastAsia" w:ascii="宋体" w:hAnsi="宋体" w:eastAsia="宋体" w:cs="宋体"/>
          <w:color w:val="auto"/>
          <w:sz w:val="24"/>
          <w:szCs w:val="24"/>
          <w:highlight w:val="none"/>
          <w:lang w:val="en-US" w:eastAsia="zh-CN"/>
        </w:rPr>
        <w:t>监测检测、资料归档、成品保护</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应急处置方案</w:t>
      </w:r>
      <w:r>
        <w:rPr>
          <w:rFonts w:hint="eastAsia" w:ascii="宋体" w:hAnsi="宋体" w:eastAsia="宋体" w:cs="宋体"/>
          <w:color w:val="auto"/>
          <w:sz w:val="24"/>
          <w:highlight w:val="none"/>
        </w:rPr>
        <w:t>；</w:t>
      </w:r>
    </w:p>
    <w:p w14:paraId="1A01C6F3">
      <w:pPr>
        <w:keepNext w:val="0"/>
        <w:keepLines w:val="0"/>
        <w:pageBreakBefore w:val="0"/>
        <w:widowControl w:val="0"/>
        <w:kinsoku/>
        <w:wordWrap/>
        <w:overflowPunct/>
        <w:topLinePunct w:val="0"/>
        <w:autoSpaceDE/>
        <w:autoSpaceDN/>
        <w:bidi w:val="0"/>
        <w:adjustRightInd/>
        <w:snapToGrid/>
        <w:spacing w:line="480" w:lineRule="exact"/>
        <w:ind w:firstLine="573"/>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eastAsia="zh-CN"/>
        </w:rPr>
        <w:t>七</w:t>
      </w:r>
      <w:r>
        <w:rPr>
          <w:rFonts w:hint="eastAsia" w:ascii="宋体" w:hAnsi="宋体" w:eastAsia="宋体" w:cs="宋体"/>
          <w:color w:val="auto"/>
          <w:sz w:val="24"/>
          <w:highlight w:val="none"/>
        </w:rPr>
        <w:t>、拟投入的监理设施、设备及配置计划。</w:t>
      </w:r>
    </w:p>
    <w:p w14:paraId="1F9F1906">
      <w:pPr>
        <w:widowControl w:val="0"/>
        <w:kinsoku/>
        <w:autoSpaceDE/>
        <w:autoSpaceDN/>
        <w:adjustRightInd/>
        <w:snapToGrid/>
        <w:spacing w:line="360" w:lineRule="auto"/>
        <w:jc w:val="both"/>
        <w:textAlignment w:val="auto"/>
        <w:rPr>
          <w:rFonts w:hint="eastAsia" w:ascii="宋体" w:hAnsi="宋体" w:eastAsia="宋体" w:cs="宋体"/>
          <w:snapToGrid/>
          <w:kern w:val="2"/>
          <w:sz w:val="24"/>
          <w:szCs w:val="24"/>
          <w:highlight w:val="none"/>
        </w:rPr>
      </w:pPr>
    </w:p>
    <w:p w14:paraId="7A0F4D70">
      <w:pPr>
        <w:pStyle w:val="5"/>
        <w:rPr>
          <w:rFonts w:hint="eastAsia" w:ascii="宋体" w:hAnsi="宋体" w:eastAsia="宋体" w:cs="宋体"/>
          <w:snapToGrid/>
          <w:kern w:val="2"/>
          <w:sz w:val="24"/>
          <w:szCs w:val="24"/>
          <w:highlight w:val="none"/>
        </w:rPr>
      </w:pPr>
    </w:p>
    <w:p w14:paraId="77CAA24A">
      <w:pPr>
        <w:pStyle w:val="6"/>
        <w:rPr>
          <w:rFonts w:hint="eastAsia" w:ascii="宋体" w:hAnsi="宋体" w:eastAsia="宋体" w:cs="宋体"/>
          <w:snapToGrid/>
          <w:kern w:val="2"/>
          <w:sz w:val="24"/>
          <w:szCs w:val="24"/>
          <w:highlight w:val="none"/>
        </w:rPr>
      </w:pPr>
    </w:p>
    <w:p w14:paraId="036AB8FB">
      <w:pPr>
        <w:rPr>
          <w:rFonts w:hint="eastAsia" w:ascii="宋体" w:hAnsi="宋体" w:eastAsia="宋体" w:cs="宋体"/>
          <w:snapToGrid/>
          <w:kern w:val="2"/>
          <w:sz w:val="24"/>
          <w:szCs w:val="24"/>
          <w:highlight w:val="none"/>
        </w:rPr>
      </w:pPr>
    </w:p>
    <w:p w14:paraId="1E3B1DA8">
      <w:pPr>
        <w:pStyle w:val="5"/>
        <w:rPr>
          <w:rFonts w:hint="eastAsia" w:ascii="宋体" w:hAnsi="宋体" w:eastAsia="宋体" w:cs="宋体"/>
          <w:snapToGrid/>
          <w:kern w:val="2"/>
          <w:sz w:val="24"/>
          <w:szCs w:val="24"/>
          <w:highlight w:val="none"/>
        </w:rPr>
      </w:pPr>
    </w:p>
    <w:p w14:paraId="56ECCA37">
      <w:pPr>
        <w:pStyle w:val="6"/>
        <w:rPr>
          <w:rFonts w:hint="eastAsia" w:ascii="宋体" w:hAnsi="宋体" w:eastAsia="宋体" w:cs="宋体"/>
          <w:snapToGrid/>
          <w:kern w:val="2"/>
          <w:sz w:val="24"/>
          <w:szCs w:val="24"/>
          <w:highlight w:val="none"/>
        </w:rPr>
      </w:pPr>
    </w:p>
    <w:p w14:paraId="28A9E80A">
      <w:pPr>
        <w:rPr>
          <w:rFonts w:hint="eastAsia" w:ascii="宋体" w:hAnsi="宋体" w:eastAsia="宋体" w:cs="宋体"/>
          <w:snapToGrid/>
          <w:kern w:val="2"/>
          <w:sz w:val="24"/>
          <w:szCs w:val="24"/>
          <w:highlight w:val="none"/>
        </w:rPr>
      </w:pPr>
    </w:p>
    <w:p w14:paraId="1045EA73">
      <w:pPr>
        <w:pStyle w:val="5"/>
        <w:rPr>
          <w:rFonts w:hint="eastAsia" w:ascii="宋体" w:hAnsi="宋体" w:eastAsia="宋体" w:cs="宋体"/>
          <w:snapToGrid/>
          <w:kern w:val="2"/>
          <w:sz w:val="24"/>
          <w:szCs w:val="24"/>
          <w:highlight w:val="none"/>
        </w:rPr>
      </w:pPr>
    </w:p>
    <w:p w14:paraId="28033AE2">
      <w:pPr>
        <w:pStyle w:val="6"/>
        <w:rPr>
          <w:rFonts w:hint="eastAsia" w:ascii="宋体" w:hAnsi="宋体" w:eastAsia="宋体" w:cs="宋体"/>
          <w:snapToGrid/>
          <w:kern w:val="2"/>
          <w:sz w:val="24"/>
          <w:szCs w:val="24"/>
          <w:highlight w:val="none"/>
        </w:rPr>
      </w:pPr>
    </w:p>
    <w:p w14:paraId="49121F3D">
      <w:pPr>
        <w:rPr>
          <w:rFonts w:hint="eastAsia" w:ascii="宋体" w:hAnsi="宋体" w:eastAsia="宋体" w:cs="宋体"/>
          <w:snapToGrid/>
          <w:kern w:val="2"/>
          <w:sz w:val="24"/>
          <w:szCs w:val="24"/>
          <w:highlight w:val="none"/>
        </w:rPr>
      </w:pPr>
    </w:p>
    <w:p w14:paraId="36CD8F33">
      <w:pPr>
        <w:pStyle w:val="5"/>
        <w:rPr>
          <w:rFonts w:hint="eastAsia" w:ascii="宋体" w:hAnsi="宋体" w:eastAsia="宋体" w:cs="宋体"/>
          <w:snapToGrid/>
          <w:kern w:val="2"/>
          <w:sz w:val="24"/>
          <w:szCs w:val="24"/>
          <w:highlight w:val="none"/>
        </w:rPr>
      </w:pPr>
    </w:p>
    <w:p w14:paraId="67CAA73A">
      <w:pPr>
        <w:pStyle w:val="6"/>
        <w:rPr>
          <w:rFonts w:hint="eastAsia" w:ascii="宋体" w:hAnsi="宋体" w:eastAsia="宋体" w:cs="宋体"/>
          <w:snapToGrid/>
          <w:kern w:val="2"/>
          <w:sz w:val="24"/>
          <w:szCs w:val="24"/>
          <w:highlight w:val="none"/>
        </w:rPr>
      </w:pPr>
    </w:p>
    <w:p w14:paraId="38C4D118">
      <w:pPr>
        <w:rPr>
          <w:rFonts w:hint="eastAsia" w:ascii="宋体" w:hAnsi="宋体" w:eastAsia="宋体" w:cs="宋体"/>
          <w:snapToGrid/>
          <w:kern w:val="2"/>
          <w:sz w:val="24"/>
          <w:szCs w:val="24"/>
          <w:highlight w:val="none"/>
        </w:rPr>
      </w:pPr>
    </w:p>
    <w:p w14:paraId="11BFFECC">
      <w:pPr>
        <w:pStyle w:val="5"/>
        <w:rPr>
          <w:rFonts w:hint="eastAsia" w:ascii="宋体" w:hAnsi="宋体" w:eastAsia="宋体" w:cs="宋体"/>
          <w:snapToGrid/>
          <w:kern w:val="2"/>
          <w:sz w:val="24"/>
          <w:szCs w:val="24"/>
          <w:highlight w:val="none"/>
        </w:rPr>
      </w:pPr>
    </w:p>
    <w:p w14:paraId="0D1A9A5B">
      <w:pPr>
        <w:pStyle w:val="6"/>
        <w:rPr>
          <w:rFonts w:hint="eastAsia" w:ascii="宋体" w:hAnsi="宋体" w:eastAsia="宋体" w:cs="宋体"/>
          <w:snapToGrid/>
          <w:kern w:val="2"/>
          <w:sz w:val="24"/>
          <w:szCs w:val="24"/>
          <w:highlight w:val="none"/>
        </w:rPr>
      </w:pPr>
    </w:p>
    <w:p w14:paraId="534FCDC3">
      <w:pPr>
        <w:rPr>
          <w:rFonts w:hint="eastAsia" w:ascii="宋体" w:hAnsi="宋体" w:eastAsia="宋体" w:cs="宋体"/>
          <w:snapToGrid/>
          <w:kern w:val="2"/>
          <w:sz w:val="24"/>
          <w:szCs w:val="24"/>
          <w:highlight w:val="none"/>
        </w:rPr>
      </w:pPr>
    </w:p>
    <w:p w14:paraId="0F77ED06">
      <w:pPr>
        <w:rPr>
          <w:rFonts w:hint="eastAsia" w:ascii="宋体" w:hAnsi="宋体" w:eastAsia="宋体" w:cs="宋体"/>
          <w:snapToGrid/>
          <w:kern w:val="2"/>
          <w:sz w:val="24"/>
          <w:szCs w:val="24"/>
          <w:highlight w:val="none"/>
        </w:rPr>
      </w:pPr>
    </w:p>
    <w:p w14:paraId="5CC83533">
      <w:pPr>
        <w:pStyle w:val="5"/>
        <w:rPr>
          <w:rFonts w:hint="eastAsia" w:ascii="宋体" w:hAnsi="宋体" w:eastAsia="宋体" w:cs="宋体"/>
          <w:snapToGrid/>
          <w:kern w:val="2"/>
          <w:sz w:val="24"/>
          <w:szCs w:val="24"/>
          <w:highlight w:val="none"/>
        </w:rPr>
      </w:pPr>
    </w:p>
    <w:p w14:paraId="0544DF1E">
      <w:pPr>
        <w:pStyle w:val="6"/>
        <w:rPr>
          <w:rFonts w:hint="eastAsia" w:ascii="宋体" w:hAnsi="宋体" w:eastAsia="宋体" w:cs="宋体"/>
          <w:snapToGrid/>
          <w:kern w:val="2"/>
          <w:sz w:val="24"/>
          <w:szCs w:val="24"/>
          <w:highlight w:val="none"/>
        </w:rPr>
      </w:pPr>
    </w:p>
    <w:p w14:paraId="70F58006">
      <w:pPr>
        <w:pStyle w:val="6"/>
        <w:ind w:left="0" w:leftChars="0" w:firstLine="0" w:firstLineChars="0"/>
        <w:rPr>
          <w:rFonts w:hint="eastAsia"/>
          <w:highlight w:val="none"/>
        </w:rPr>
      </w:pPr>
    </w:p>
    <w:p w14:paraId="3F7996A9">
      <w:pPr>
        <w:keepNext/>
        <w:keepLines/>
        <w:pageBreakBefore w:val="0"/>
        <w:widowControl/>
        <w:kinsoku/>
        <w:wordWrap/>
        <w:overflowPunct/>
        <w:topLinePunct w:val="0"/>
        <w:autoSpaceDE/>
        <w:autoSpaceDN/>
        <w:bidi w:val="0"/>
        <w:adjustRightInd/>
        <w:snapToGrid/>
        <w:spacing w:before="0" w:beforeLines="0" w:beforeAutospacing="0" w:after="0" w:afterLines="0" w:afterAutospacing="0" w:line="360" w:lineRule="auto"/>
        <w:jc w:val="left"/>
        <w:textAlignment w:val="auto"/>
        <w:outlineLvl w:val="9"/>
        <w:rPr>
          <w:rFonts w:hint="eastAsia" w:ascii="宋体" w:hAnsi="宋体" w:eastAsia="宋体" w:cs="宋体"/>
          <w:b/>
          <w:bCs w:val="0"/>
          <w:color w:val="000000"/>
          <w:kern w:val="0"/>
          <w:sz w:val="21"/>
          <w:szCs w:val="20"/>
          <w:highlight w:val="none"/>
          <w:lang w:val="en-US" w:eastAsia="zh-CN" w:bidi="ar-SA"/>
        </w:rPr>
      </w:pPr>
      <w:bookmarkStart w:id="79" w:name="OLE_LINK1"/>
      <w:r>
        <w:rPr>
          <w:rFonts w:hint="eastAsia" w:ascii="宋体" w:hAnsi="宋体" w:eastAsia="宋体" w:cs="宋体"/>
          <w:b/>
          <w:bCs w:val="0"/>
          <w:color w:val="000000"/>
          <w:kern w:val="0"/>
          <w:sz w:val="21"/>
          <w:szCs w:val="20"/>
          <w:highlight w:val="none"/>
          <w:lang w:val="en-US" w:eastAsia="zh-CN" w:bidi="ar-SA"/>
        </w:rPr>
        <w:t>附件1：</w:t>
      </w:r>
      <w:bookmarkEnd w:id="79"/>
      <w:r>
        <w:rPr>
          <w:rFonts w:hint="eastAsia" w:ascii="宋体" w:hAnsi="宋体" w:eastAsia="宋体" w:cs="宋体"/>
          <w:b/>
          <w:bCs w:val="0"/>
          <w:color w:val="000000"/>
          <w:kern w:val="0"/>
          <w:sz w:val="21"/>
          <w:szCs w:val="20"/>
          <w:highlight w:val="none"/>
          <w:lang w:val="en-US" w:eastAsia="zh-CN" w:bidi="ar-SA"/>
        </w:rPr>
        <w:t>拟投入本项目的管理人员</w:t>
      </w:r>
      <w:r>
        <w:rPr>
          <w:rFonts w:hint="eastAsia" w:ascii="宋体" w:hAnsi="宋体" w:eastAsia="宋体" w:cs="宋体"/>
          <w:b/>
          <w:bCs w:val="0"/>
          <w:color w:val="000000"/>
          <w:kern w:val="0"/>
          <w:sz w:val="21"/>
          <w:szCs w:val="20"/>
          <w:highlight w:val="none"/>
          <w:lang w:val="en-US" w:eastAsia="zh-CN" w:bidi="ar-SA"/>
        </w:rPr>
        <w:tab/>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1268"/>
        <w:gridCol w:w="1019"/>
        <w:gridCol w:w="1341"/>
        <w:gridCol w:w="1440"/>
        <w:gridCol w:w="1537"/>
        <w:gridCol w:w="1162"/>
      </w:tblGrid>
      <w:tr w14:paraId="2E76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051" w:type="dxa"/>
            <w:vMerge w:val="restart"/>
            <w:noWrap w:val="0"/>
            <w:vAlign w:val="center"/>
          </w:tcPr>
          <w:p w14:paraId="156D08B0">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职务</w:t>
            </w:r>
          </w:p>
        </w:tc>
        <w:tc>
          <w:tcPr>
            <w:tcW w:w="1268" w:type="dxa"/>
            <w:vMerge w:val="restart"/>
            <w:noWrap w:val="0"/>
            <w:vAlign w:val="center"/>
          </w:tcPr>
          <w:p w14:paraId="3A56F9D4">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姓名</w:t>
            </w:r>
          </w:p>
        </w:tc>
        <w:tc>
          <w:tcPr>
            <w:tcW w:w="1019" w:type="dxa"/>
            <w:vMerge w:val="restart"/>
            <w:noWrap w:val="0"/>
            <w:vAlign w:val="center"/>
          </w:tcPr>
          <w:p w14:paraId="2576EBC7">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职称</w:t>
            </w:r>
          </w:p>
        </w:tc>
        <w:tc>
          <w:tcPr>
            <w:tcW w:w="4318" w:type="dxa"/>
            <w:gridSpan w:val="3"/>
            <w:noWrap w:val="0"/>
            <w:vAlign w:val="center"/>
          </w:tcPr>
          <w:p w14:paraId="2241EFAE">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执业或职业资格证明</w:t>
            </w:r>
          </w:p>
        </w:tc>
        <w:tc>
          <w:tcPr>
            <w:tcW w:w="1162" w:type="dxa"/>
            <w:vMerge w:val="restart"/>
            <w:noWrap w:val="0"/>
            <w:vAlign w:val="center"/>
          </w:tcPr>
          <w:p w14:paraId="5C2FC2DB">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备注</w:t>
            </w:r>
          </w:p>
        </w:tc>
      </w:tr>
      <w:tr w14:paraId="0403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51" w:type="dxa"/>
            <w:vMerge w:val="continue"/>
            <w:noWrap w:val="0"/>
            <w:vAlign w:val="center"/>
          </w:tcPr>
          <w:p w14:paraId="75F1F3A2">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268" w:type="dxa"/>
            <w:vMerge w:val="continue"/>
            <w:noWrap w:val="0"/>
            <w:vAlign w:val="center"/>
          </w:tcPr>
          <w:p w14:paraId="54EB0C70">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019" w:type="dxa"/>
            <w:vMerge w:val="continue"/>
            <w:noWrap w:val="0"/>
            <w:vAlign w:val="center"/>
          </w:tcPr>
          <w:p w14:paraId="0AF3ACAA">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341" w:type="dxa"/>
            <w:noWrap w:val="0"/>
            <w:vAlign w:val="center"/>
          </w:tcPr>
          <w:p w14:paraId="0F701843">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证书名称</w:t>
            </w:r>
          </w:p>
        </w:tc>
        <w:tc>
          <w:tcPr>
            <w:tcW w:w="1440" w:type="dxa"/>
            <w:noWrap w:val="0"/>
            <w:vAlign w:val="center"/>
          </w:tcPr>
          <w:p w14:paraId="7AE03ABC">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级别</w:t>
            </w:r>
          </w:p>
        </w:tc>
        <w:tc>
          <w:tcPr>
            <w:tcW w:w="1537" w:type="dxa"/>
            <w:noWrap w:val="0"/>
            <w:vAlign w:val="center"/>
          </w:tcPr>
          <w:p w14:paraId="55C902EE">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专业</w:t>
            </w:r>
          </w:p>
        </w:tc>
        <w:tc>
          <w:tcPr>
            <w:tcW w:w="1162" w:type="dxa"/>
            <w:vMerge w:val="continue"/>
            <w:noWrap w:val="0"/>
            <w:vAlign w:val="center"/>
          </w:tcPr>
          <w:p w14:paraId="4604653A">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r>
      <w:tr w14:paraId="50C4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51" w:type="dxa"/>
            <w:noWrap w:val="0"/>
            <w:vAlign w:val="center"/>
          </w:tcPr>
          <w:p w14:paraId="735DA35A">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268" w:type="dxa"/>
            <w:noWrap w:val="0"/>
            <w:vAlign w:val="center"/>
          </w:tcPr>
          <w:p w14:paraId="72BF839C">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019" w:type="dxa"/>
            <w:noWrap w:val="0"/>
            <w:vAlign w:val="center"/>
          </w:tcPr>
          <w:p w14:paraId="76F24D2D">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341" w:type="dxa"/>
            <w:noWrap w:val="0"/>
            <w:vAlign w:val="center"/>
          </w:tcPr>
          <w:p w14:paraId="16E095D3">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440" w:type="dxa"/>
            <w:noWrap w:val="0"/>
            <w:vAlign w:val="center"/>
          </w:tcPr>
          <w:p w14:paraId="4AB174AB">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537" w:type="dxa"/>
            <w:noWrap w:val="0"/>
            <w:vAlign w:val="center"/>
          </w:tcPr>
          <w:p w14:paraId="64AC22D2">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162" w:type="dxa"/>
            <w:noWrap w:val="0"/>
            <w:vAlign w:val="center"/>
          </w:tcPr>
          <w:p w14:paraId="13AA4F79">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r>
      <w:tr w14:paraId="2792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51" w:type="dxa"/>
            <w:noWrap w:val="0"/>
            <w:vAlign w:val="center"/>
          </w:tcPr>
          <w:p w14:paraId="03395E53">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268" w:type="dxa"/>
            <w:noWrap w:val="0"/>
            <w:vAlign w:val="center"/>
          </w:tcPr>
          <w:p w14:paraId="01DAD524">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019" w:type="dxa"/>
            <w:noWrap w:val="0"/>
            <w:vAlign w:val="center"/>
          </w:tcPr>
          <w:p w14:paraId="38972BDF">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341" w:type="dxa"/>
            <w:noWrap w:val="0"/>
            <w:vAlign w:val="center"/>
          </w:tcPr>
          <w:p w14:paraId="34D041B6">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440" w:type="dxa"/>
            <w:noWrap w:val="0"/>
            <w:vAlign w:val="center"/>
          </w:tcPr>
          <w:p w14:paraId="4D81D96A">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537" w:type="dxa"/>
            <w:noWrap w:val="0"/>
            <w:vAlign w:val="center"/>
          </w:tcPr>
          <w:p w14:paraId="47FAC9AB">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162" w:type="dxa"/>
            <w:noWrap w:val="0"/>
            <w:vAlign w:val="center"/>
          </w:tcPr>
          <w:p w14:paraId="2143FC58">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r>
      <w:tr w14:paraId="1F25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51" w:type="dxa"/>
            <w:noWrap w:val="0"/>
            <w:vAlign w:val="center"/>
          </w:tcPr>
          <w:p w14:paraId="057D509D">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268" w:type="dxa"/>
            <w:noWrap w:val="0"/>
            <w:vAlign w:val="center"/>
          </w:tcPr>
          <w:p w14:paraId="3636343C">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019" w:type="dxa"/>
            <w:noWrap w:val="0"/>
            <w:vAlign w:val="center"/>
          </w:tcPr>
          <w:p w14:paraId="5FDD0F83">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341" w:type="dxa"/>
            <w:noWrap w:val="0"/>
            <w:vAlign w:val="center"/>
          </w:tcPr>
          <w:p w14:paraId="16292EB1">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440" w:type="dxa"/>
            <w:noWrap w:val="0"/>
            <w:vAlign w:val="center"/>
          </w:tcPr>
          <w:p w14:paraId="55C4136A">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537" w:type="dxa"/>
            <w:noWrap w:val="0"/>
            <w:vAlign w:val="center"/>
          </w:tcPr>
          <w:p w14:paraId="62F888BC">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162" w:type="dxa"/>
            <w:noWrap w:val="0"/>
            <w:vAlign w:val="center"/>
          </w:tcPr>
          <w:p w14:paraId="39D6A1F7">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r>
      <w:tr w14:paraId="01CB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51" w:type="dxa"/>
            <w:noWrap w:val="0"/>
            <w:vAlign w:val="center"/>
          </w:tcPr>
          <w:p w14:paraId="01C55104">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268" w:type="dxa"/>
            <w:noWrap w:val="0"/>
            <w:vAlign w:val="center"/>
          </w:tcPr>
          <w:p w14:paraId="56209B49">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019" w:type="dxa"/>
            <w:noWrap w:val="0"/>
            <w:vAlign w:val="center"/>
          </w:tcPr>
          <w:p w14:paraId="76434EC5">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341" w:type="dxa"/>
            <w:noWrap w:val="0"/>
            <w:vAlign w:val="center"/>
          </w:tcPr>
          <w:p w14:paraId="4DCB70B9">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440" w:type="dxa"/>
            <w:noWrap w:val="0"/>
            <w:vAlign w:val="center"/>
          </w:tcPr>
          <w:p w14:paraId="2E4CEDE0">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537" w:type="dxa"/>
            <w:noWrap w:val="0"/>
            <w:vAlign w:val="center"/>
          </w:tcPr>
          <w:p w14:paraId="49B58F0A">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162" w:type="dxa"/>
            <w:noWrap w:val="0"/>
            <w:vAlign w:val="center"/>
          </w:tcPr>
          <w:p w14:paraId="4CAEB634">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r>
      <w:tr w14:paraId="5D2B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51" w:type="dxa"/>
            <w:noWrap w:val="0"/>
            <w:vAlign w:val="center"/>
          </w:tcPr>
          <w:p w14:paraId="20EABFB3">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268" w:type="dxa"/>
            <w:noWrap w:val="0"/>
            <w:vAlign w:val="center"/>
          </w:tcPr>
          <w:p w14:paraId="189CC64F">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019" w:type="dxa"/>
            <w:noWrap w:val="0"/>
            <w:vAlign w:val="center"/>
          </w:tcPr>
          <w:p w14:paraId="4E1599D3">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341" w:type="dxa"/>
            <w:noWrap w:val="0"/>
            <w:vAlign w:val="center"/>
          </w:tcPr>
          <w:p w14:paraId="70F65990">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440" w:type="dxa"/>
            <w:noWrap w:val="0"/>
            <w:vAlign w:val="center"/>
          </w:tcPr>
          <w:p w14:paraId="7FF11F5A">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537" w:type="dxa"/>
            <w:noWrap w:val="0"/>
            <w:vAlign w:val="center"/>
          </w:tcPr>
          <w:p w14:paraId="34B1316A">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162" w:type="dxa"/>
            <w:noWrap w:val="0"/>
            <w:vAlign w:val="center"/>
          </w:tcPr>
          <w:p w14:paraId="0ABE6D5E">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r>
      <w:tr w14:paraId="420F3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51" w:type="dxa"/>
            <w:noWrap w:val="0"/>
            <w:vAlign w:val="center"/>
          </w:tcPr>
          <w:p w14:paraId="44839DB4">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268" w:type="dxa"/>
            <w:noWrap w:val="0"/>
            <w:vAlign w:val="center"/>
          </w:tcPr>
          <w:p w14:paraId="15DA8578">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019" w:type="dxa"/>
            <w:noWrap w:val="0"/>
            <w:vAlign w:val="center"/>
          </w:tcPr>
          <w:p w14:paraId="1049F585">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341" w:type="dxa"/>
            <w:noWrap w:val="0"/>
            <w:vAlign w:val="center"/>
          </w:tcPr>
          <w:p w14:paraId="0D33B8CF">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440" w:type="dxa"/>
            <w:noWrap w:val="0"/>
            <w:vAlign w:val="center"/>
          </w:tcPr>
          <w:p w14:paraId="6F522D0F">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537" w:type="dxa"/>
            <w:noWrap w:val="0"/>
            <w:vAlign w:val="center"/>
          </w:tcPr>
          <w:p w14:paraId="36D2550C">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162" w:type="dxa"/>
            <w:noWrap w:val="0"/>
            <w:vAlign w:val="center"/>
          </w:tcPr>
          <w:p w14:paraId="395216D6">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r>
      <w:tr w14:paraId="025F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51" w:type="dxa"/>
            <w:noWrap w:val="0"/>
            <w:vAlign w:val="center"/>
          </w:tcPr>
          <w:p w14:paraId="7E650D3B">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268" w:type="dxa"/>
            <w:noWrap w:val="0"/>
            <w:vAlign w:val="center"/>
          </w:tcPr>
          <w:p w14:paraId="5138D873">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019" w:type="dxa"/>
            <w:noWrap w:val="0"/>
            <w:vAlign w:val="center"/>
          </w:tcPr>
          <w:p w14:paraId="091D9AD4">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341" w:type="dxa"/>
            <w:noWrap w:val="0"/>
            <w:vAlign w:val="center"/>
          </w:tcPr>
          <w:p w14:paraId="016B0AC7">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440" w:type="dxa"/>
            <w:noWrap w:val="0"/>
            <w:vAlign w:val="center"/>
          </w:tcPr>
          <w:p w14:paraId="19101700">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537" w:type="dxa"/>
            <w:noWrap w:val="0"/>
            <w:vAlign w:val="center"/>
          </w:tcPr>
          <w:p w14:paraId="63B84A4E">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162" w:type="dxa"/>
            <w:noWrap w:val="0"/>
            <w:vAlign w:val="center"/>
          </w:tcPr>
          <w:p w14:paraId="06E0B5E5">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r>
      <w:tr w14:paraId="58A9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51" w:type="dxa"/>
            <w:noWrap w:val="0"/>
            <w:vAlign w:val="center"/>
          </w:tcPr>
          <w:p w14:paraId="0AB497F8">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268" w:type="dxa"/>
            <w:noWrap w:val="0"/>
            <w:vAlign w:val="center"/>
          </w:tcPr>
          <w:p w14:paraId="45129BBA">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019" w:type="dxa"/>
            <w:noWrap w:val="0"/>
            <w:vAlign w:val="center"/>
          </w:tcPr>
          <w:p w14:paraId="25955F0E">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341" w:type="dxa"/>
            <w:noWrap w:val="0"/>
            <w:vAlign w:val="center"/>
          </w:tcPr>
          <w:p w14:paraId="6D835776">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440" w:type="dxa"/>
            <w:noWrap w:val="0"/>
            <w:vAlign w:val="center"/>
          </w:tcPr>
          <w:p w14:paraId="75E96C97">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537" w:type="dxa"/>
            <w:noWrap w:val="0"/>
            <w:vAlign w:val="center"/>
          </w:tcPr>
          <w:p w14:paraId="2F474E1F">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162" w:type="dxa"/>
            <w:noWrap w:val="0"/>
            <w:vAlign w:val="center"/>
          </w:tcPr>
          <w:p w14:paraId="3E148CA7">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r>
      <w:tr w14:paraId="2583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51" w:type="dxa"/>
            <w:noWrap w:val="0"/>
            <w:vAlign w:val="center"/>
          </w:tcPr>
          <w:p w14:paraId="132847E9">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268" w:type="dxa"/>
            <w:noWrap w:val="0"/>
            <w:vAlign w:val="center"/>
          </w:tcPr>
          <w:p w14:paraId="2E7372F7">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019" w:type="dxa"/>
            <w:noWrap w:val="0"/>
            <w:vAlign w:val="center"/>
          </w:tcPr>
          <w:p w14:paraId="49E5FF43">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341" w:type="dxa"/>
            <w:noWrap w:val="0"/>
            <w:vAlign w:val="center"/>
          </w:tcPr>
          <w:p w14:paraId="12FDF718">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440" w:type="dxa"/>
            <w:noWrap w:val="0"/>
            <w:vAlign w:val="center"/>
          </w:tcPr>
          <w:p w14:paraId="4F690F63">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537" w:type="dxa"/>
            <w:noWrap w:val="0"/>
            <w:vAlign w:val="center"/>
          </w:tcPr>
          <w:p w14:paraId="4393D3A6">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162" w:type="dxa"/>
            <w:noWrap w:val="0"/>
            <w:vAlign w:val="center"/>
          </w:tcPr>
          <w:p w14:paraId="6C278A16">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r>
      <w:tr w14:paraId="7DF3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51" w:type="dxa"/>
            <w:noWrap w:val="0"/>
            <w:vAlign w:val="center"/>
          </w:tcPr>
          <w:p w14:paraId="3626FDA2">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268" w:type="dxa"/>
            <w:noWrap w:val="0"/>
            <w:vAlign w:val="center"/>
          </w:tcPr>
          <w:p w14:paraId="69EE3D6C">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019" w:type="dxa"/>
            <w:noWrap w:val="0"/>
            <w:vAlign w:val="center"/>
          </w:tcPr>
          <w:p w14:paraId="6330C251">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341" w:type="dxa"/>
            <w:noWrap w:val="0"/>
            <w:vAlign w:val="center"/>
          </w:tcPr>
          <w:p w14:paraId="154D80A8">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440" w:type="dxa"/>
            <w:noWrap w:val="0"/>
            <w:vAlign w:val="center"/>
          </w:tcPr>
          <w:p w14:paraId="352D2B2C">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537" w:type="dxa"/>
            <w:noWrap w:val="0"/>
            <w:vAlign w:val="center"/>
          </w:tcPr>
          <w:p w14:paraId="690ABEEC">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162" w:type="dxa"/>
            <w:noWrap w:val="0"/>
            <w:vAlign w:val="center"/>
          </w:tcPr>
          <w:p w14:paraId="538A548A">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r>
      <w:tr w14:paraId="6CF5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51" w:type="dxa"/>
            <w:noWrap w:val="0"/>
            <w:vAlign w:val="center"/>
          </w:tcPr>
          <w:p w14:paraId="24D08E76">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268" w:type="dxa"/>
            <w:noWrap w:val="0"/>
            <w:vAlign w:val="center"/>
          </w:tcPr>
          <w:p w14:paraId="005B9E96">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019" w:type="dxa"/>
            <w:noWrap w:val="0"/>
            <w:vAlign w:val="center"/>
          </w:tcPr>
          <w:p w14:paraId="0B687CB2">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341" w:type="dxa"/>
            <w:noWrap w:val="0"/>
            <w:vAlign w:val="center"/>
          </w:tcPr>
          <w:p w14:paraId="13C4D3DE">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440" w:type="dxa"/>
            <w:noWrap w:val="0"/>
            <w:vAlign w:val="center"/>
          </w:tcPr>
          <w:p w14:paraId="15AD90F2">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537" w:type="dxa"/>
            <w:noWrap w:val="0"/>
            <w:vAlign w:val="center"/>
          </w:tcPr>
          <w:p w14:paraId="383BF53F">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162" w:type="dxa"/>
            <w:noWrap w:val="0"/>
            <w:vAlign w:val="center"/>
          </w:tcPr>
          <w:p w14:paraId="47740930">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r>
      <w:tr w14:paraId="6A93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51" w:type="dxa"/>
            <w:noWrap w:val="0"/>
            <w:vAlign w:val="center"/>
          </w:tcPr>
          <w:p w14:paraId="0CE02561">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268" w:type="dxa"/>
            <w:noWrap w:val="0"/>
            <w:vAlign w:val="center"/>
          </w:tcPr>
          <w:p w14:paraId="5176E32E">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019" w:type="dxa"/>
            <w:noWrap w:val="0"/>
            <w:vAlign w:val="center"/>
          </w:tcPr>
          <w:p w14:paraId="24207525">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341" w:type="dxa"/>
            <w:noWrap w:val="0"/>
            <w:vAlign w:val="center"/>
          </w:tcPr>
          <w:p w14:paraId="2C353FC9">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440" w:type="dxa"/>
            <w:noWrap w:val="0"/>
            <w:vAlign w:val="center"/>
          </w:tcPr>
          <w:p w14:paraId="2A20F911">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537" w:type="dxa"/>
            <w:noWrap w:val="0"/>
            <w:vAlign w:val="center"/>
          </w:tcPr>
          <w:p w14:paraId="79B4E9BE">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162" w:type="dxa"/>
            <w:noWrap w:val="0"/>
            <w:vAlign w:val="center"/>
          </w:tcPr>
          <w:p w14:paraId="2E91A260">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r>
      <w:tr w14:paraId="29CE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51" w:type="dxa"/>
            <w:noWrap w:val="0"/>
            <w:vAlign w:val="center"/>
          </w:tcPr>
          <w:p w14:paraId="5E8DDA4E">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268" w:type="dxa"/>
            <w:noWrap w:val="0"/>
            <w:vAlign w:val="center"/>
          </w:tcPr>
          <w:p w14:paraId="3969D34C">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019" w:type="dxa"/>
            <w:noWrap w:val="0"/>
            <w:vAlign w:val="center"/>
          </w:tcPr>
          <w:p w14:paraId="5CC692DA">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341" w:type="dxa"/>
            <w:noWrap w:val="0"/>
            <w:vAlign w:val="center"/>
          </w:tcPr>
          <w:p w14:paraId="3B8009C5">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440" w:type="dxa"/>
            <w:noWrap w:val="0"/>
            <w:vAlign w:val="center"/>
          </w:tcPr>
          <w:p w14:paraId="041DA911">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537" w:type="dxa"/>
            <w:noWrap w:val="0"/>
            <w:vAlign w:val="center"/>
          </w:tcPr>
          <w:p w14:paraId="0AFF8D98">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c>
          <w:tcPr>
            <w:tcW w:w="1162" w:type="dxa"/>
            <w:noWrap w:val="0"/>
            <w:vAlign w:val="center"/>
          </w:tcPr>
          <w:p w14:paraId="19A6478A">
            <w:pPr>
              <w:widowControl w:val="0"/>
              <w:kinsoku/>
              <w:autoSpaceDE/>
              <w:autoSpaceDN/>
              <w:adjustRightInd/>
              <w:snapToGrid/>
              <w:jc w:val="center"/>
              <w:textAlignment w:val="auto"/>
              <w:rPr>
                <w:rFonts w:hint="eastAsia" w:ascii="宋体" w:hAnsi="宋体" w:eastAsia="宋体" w:cs="宋体"/>
                <w:snapToGrid/>
                <w:kern w:val="2"/>
                <w:sz w:val="24"/>
                <w:szCs w:val="24"/>
                <w:highlight w:val="none"/>
              </w:rPr>
            </w:pPr>
          </w:p>
        </w:tc>
      </w:tr>
    </w:tbl>
    <w:p w14:paraId="0440123C">
      <w:pPr>
        <w:widowControl w:val="0"/>
        <w:numPr>
          <w:ilvl w:val="0"/>
          <w:numId w:val="0"/>
        </w:numPr>
        <w:kinsoku/>
        <w:autoSpaceDE/>
        <w:autoSpaceDN/>
        <w:adjustRightInd/>
        <w:snapToGrid/>
        <w:spacing w:line="360" w:lineRule="auto"/>
        <w:ind w:firstLine="440" w:firstLineChars="200"/>
        <w:jc w:val="both"/>
        <w:textAlignment w:val="auto"/>
        <w:outlineLvl w:val="9"/>
        <w:rPr>
          <w:rFonts w:hint="eastAsia" w:ascii="宋体" w:hAnsi="宋体" w:eastAsia="宋体" w:cs="宋体"/>
          <w:snapToGrid/>
          <w:kern w:val="2"/>
          <w:sz w:val="21"/>
          <w:szCs w:val="21"/>
          <w:highlight w:val="none"/>
          <w:lang w:val="en-US" w:eastAsia="zh-CN"/>
        </w:rPr>
      </w:pPr>
      <w:r>
        <w:rPr>
          <w:rFonts w:hint="eastAsia" w:ascii="宋体" w:hAnsi="宋体" w:eastAsia="宋体" w:cs="宋体"/>
          <w:snapToGrid/>
          <w:kern w:val="2"/>
          <w:sz w:val="21"/>
          <w:szCs w:val="21"/>
          <w:highlight w:val="none"/>
          <w:lang w:val="en-US" w:eastAsia="zh-CN"/>
        </w:rPr>
        <w:t>注：后附人员相关身份证、资格证等证明文件复印件并加盖公章。</w:t>
      </w:r>
    </w:p>
    <w:p w14:paraId="120115CA">
      <w:pPr>
        <w:ind w:firstLine="0" w:firstLineChars="0"/>
        <w:rPr>
          <w:rFonts w:ascii="宋体" w:hAnsi="宋体"/>
          <w:b/>
          <w:bCs/>
          <w:sz w:val="32"/>
          <w:highlight w:val="none"/>
        </w:rPr>
      </w:pPr>
      <w:r>
        <w:rPr>
          <w:rFonts w:hint="eastAsia" w:ascii="宋体" w:hAnsi="宋体" w:cs="宋体"/>
          <w:b/>
          <w:color w:val="auto"/>
          <w:szCs w:val="24"/>
          <w:highlight w:val="none"/>
        </w:rPr>
        <w:br w:type="page"/>
      </w:r>
      <w:r>
        <w:rPr>
          <w:rFonts w:hint="eastAsia" w:ascii="宋体" w:hAnsi="宋体" w:cs="宋体"/>
          <w:b/>
          <w:color w:val="auto"/>
          <w:szCs w:val="24"/>
          <w:highlight w:val="none"/>
          <w:lang w:val="en-US" w:eastAsia="zh-CN"/>
        </w:rPr>
        <w:t>附件2：</w:t>
      </w:r>
      <w:r>
        <w:rPr>
          <w:rFonts w:hint="eastAsia" w:ascii="宋体" w:hAnsi="宋体" w:eastAsia="宋体" w:cs="宋体"/>
          <w:b/>
          <w:color w:val="auto"/>
          <w:szCs w:val="24"/>
          <w:highlight w:val="none"/>
          <w:lang w:val="en-US" w:eastAsia="zh-CN"/>
        </w:rPr>
        <w:t>拟在本项目使用的主要仪器、检测设备一览表</w:t>
      </w:r>
    </w:p>
    <w:p w14:paraId="446C7857">
      <w:pPr>
        <w:ind w:right="480" w:firstLine="0" w:firstLineChars="0"/>
        <w:jc w:val="right"/>
        <w:rPr>
          <w:rFonts w:ascii="宋体" w:hAnsi="宋体"/>
          <w:sz w:val="24"/>
          <w:szCs w:val="21"/>
          <w:highlight w:val="none"/>
        </w:rPr>
      </w:pPr>
    </w:p>
    <w:tbl>
      <w:tblPr>
        <w:tblStyle w:val="29"/>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413"/>
        <w:gridCol w:w="1820"/>
        <w:gridCol w:w="1118"/>
        <w:gridCol w:w="2853"/>
      </w:tblGrid>
      <w:tr w14:paraId="44BD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20" w:type="dxa"/>
            <w:noWrap w:val="0"/>
            <w:vAlign w:val="center"/>
          </w:tcPr>
          <w:p w14:paraId="443121CB">
            <w:pPr>
              <w:ind w:firstLine="0" w:firstLineChars="0"/>
              <w:jc w:val="center"/>
              <w:rPr>
                <w:rFonts w:ascii="宋体" w:hAnsi="宋体"/>
                <w:sz w:val="24"/>
                <w:highlight w:val="none"/>
              </w:rPr>
            </w:pPr>
            <w:r>
              <w:rPr>
                <w:rFonts w:hint="eastAsia" w:ascii="宋体" w:hAnsi="宋体"/>
                <w:sz w:val="24"/>
                <w:highlight w:val="none"/>
              </w:rPr>
              <w:t>序号</w:t>
            </w:r>
          </w:p>
        </w:tc>
        <w:tc>
          <w:tcPr>
            <w:tcW w:w="2413" w:type="dxa"/>
            <w:noWrap w:val="0"/>
            <w:vAlign w:val="center"/>
          </w:tcPr>
          <w:p w14:paraId="12694A49">
            <w:pPr>
              <w:ind w:firstLine="0" w:firstLineChars="0"/>
              <w:jc w:val="center"/>
              <w:rPr>
                <w:rFonts w:ascii="宋体" w:hAnsi="宋体"/>
                <w:sz w:val="24"/>
                <w:highlight w:val="none"/>
              </w:rPr>
            </w:pPr>
            <w:r>
              <w:rPr>
                <w:rFonts w:hint="eastAsia" w:ascii="宋体" w:hAnsi="宋体"/>
                <w:sz w:val="24"/>
                <w:highlight w:val="none"/>
              </w:rPr>
              <w:t>仪器或设备名称</w:t>
            </w:r>
          </w:p>
        </w:tc>
        <w:tc>
          <w:tcPr>
            <w:tcW w:w="1820" w:type="dxa"/>
            <w:noWrap w:val="0"/>
            <w:vAlign w:val="center"/>
          </w:tcPr>
          <w:p w14:paraId="215A40DC">
            <w:pPr>
              <w:ind w:firstLine="0" w:firstLineChars="0"/>
              <w:jc w:val="center"/>
              <w:rPr>
                <w:rFonts w:ascii="宋体" w:hAnsi="宋体"/>
                <w:sz w:val="24"/>
                <w:highlight w:val="none"/>
              </w:rPr>
            </w:pPr>
            <w:r>
              <w:rPr>
                <w:rFonts w:hint="eastAsia" w:ascii="宋体" w:hAnsi="宋体"/>
                <w:sz w:val="24"/>
                <w:highlight w:val="none"/>
              </w:rPr>
              <w:t>型号规格</w:t>
            </w:r>
          </w:p>
        </w:tc>
        <w:tc>
          <w:tcPr>
            <w:tcW w:w="1118" w:type="dxa"/>
            <w:noWrap w:val="0"/>
            <w:vAlign w:val="center"/>
          </w:tcPr>
          <w:p w14:paraId="3D9458A0">
            <w:pPr>
              <w:ind w:firstLine="0" w:firstLineChars="0"/>
              <w:jc w:val="center"/>
              <w:rPr>
                <w:rFonts w:ascii="宋体" w:hAnsi="宋体"/>
                <w:sz w:val="24"/>
                <w:highlight w:val="none"/>
              </w:rPr>
            </w:pPr>
            <w:r>
              <w:rPr>
                <w:rFonts w:hint="eastAsia" w:ascii="宋体" w:hAnsi="宋体"/>
                <w:sz w:val="24"/>
                <w:highlight w:val="none"/>
              </w:rPr>
              <w:t>数量</w:t>
            </w:r>
          </w:p>
        </w:tc>
        <w:tc>
          <w:tcPr>
            <w:tcW w:w="2853" w:type="dxa"/>
            <w:noWrap w:val="0"/>
            <w:vAlign w:val="center"/>
          </w:tcPr>
          <w:p w14:paraId="464A8C77">
            <w:pPr>
              <w:ind w:firstLine="0" w:firstLineChars="0"/>
              <w:jc w:val="center"/>
              <w:rPr>
                <w:rFonts w:ascii="宋体" w:hAnsi="宋体"/>
                <w:sz w:val="24"/>
                <w:highlight w:val="none"/>
              </w:rPr>
            </w:pPr>
            <w:r>
              <w:rPr>
                <w:rFonts w:hint="eastAsia" w:ascii="宋体" w:hAnsi="宋体"/>
                <w:sz w:val="24"/>
                <w:highlight w:val="none"/>
              </w:rPr>
              <w:t>备  注</w:t>
            </w:r>
          </w:p>
        </w:tc>
      </w:tr>
      <w:tr w14:paraId="2F49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20" w:type="dxa"/>
            <w:noWrap w:val="0"/>
            <w:vAlign w:val="top"/>
          </w:tcPr>
          <w:p w14:paraId="6641CE33">
            <w:pPr>
              <w:ind w:firstLine="480"/>
              <w:rPr>
                <w:rFonts w:ascii="仿宋_GB2312" w:hAnsi="宋体" w:eastAsia="仿宋_GB2312"/>
                <w:sz w:val="24"/>
                <w:highlight w:val="none"/>
              </w:rPr>
            </w:pPr>
          </w:p>
        </w:tc>
        <w:tc>
          <w:tcPr>
            <w:tcW w:w="2413" w:type="dxa"/>
            <w:noWrap w:val="0"/>
            <w:vAlign w:val="top"/>
          </w:tcPr>
          <w:p w14:paraId="3E92ABB9">
            <w:pPr>
              <w:ind w:firstLine="480"/>
              <w:rPr>
                <w:rFonts w:ascii="仿宋_GB2312" w:hAnsi="宋体" w:eastAsia="仿宋_GB2312"/>
                <w:sz w:val="24"/>
                <w:highlight w:val="none"/>
              </w:rPr>
            </w:pPr>
          </w:p>
        </w:tc>
        <w:tc>
          <w:tcPr>
            <w:tcW w:w="1820" w:type="dxa"/>
            <w:noWrap w:val="0"/>
            <w:vAlign w:val="top"/>
          </w:tcPr>
          <w:p w14:paraId="65B18743">
            <w:pPr>
              <w:ind w:firstLine="480"/>
              <w:rPr>
                <w:rFonts w:ascii="仿宋_GB2312" w:hAnsi="宋体" w:eastAsia="仿宋_GB2312"/>
                <w:sz w:val="24"/>
                <w:highlight w:val="none"/>
              </w:rPr>
            </w:pPr>
          </w:p>
        </w:tc>
        <w:tc>
          <w:tcPr>
            <w:tcW w:w="1118" w:type="dxa"/>
            <w:noWrap w:val="0"/>
            <w:vAlign w:val="top"/>
          </w:tcPr>
          <w:p w14:paraId="277D76AB">
            <w:pPr>
              <w:ind w:firstLine="480"/>
              <w:rPr>
                <w:rFonts w:ascii="仿宋_GB2312" w:hAnsi="宋体" w:eastAsia="仿宋_GB2312"/>
                <w:sz w:val="24"/>
                <w:highlight w:val="none"/>
              </w:rPr>
            </w:pPr>
          </w:p>
        </w:tc>
        <w:tc>
          <w:tcPr>
            <w:tcW w:w="2853" w:type="dxa"/>
            <w:noWrap w:val="0"/>
            <w:vAlign w:val="top"/>
          </w:tcPr>
          <w:p w14:paraId="1E8EEB37">
            <w:pPr>
              <w:ind w:firstLine="480"/>
              <w:rPr>
                <w:rFonts w:ascii="仿宋_GB2312" w:hAnsi="宋体" w:eastAsia="仿宋_GB2312"/>
                <w:sz w:val="24"/>
                <w:highlight w:val="none"/>
              </w:rPr>
            </w:pPr>
          </w:p>
        </w:tc>
      </w:tr>
      <w:tr w14:paraId="5E69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20" w:type="dxa"/>
            <w:noWrap w:val="0"/>
            <w:vAlign w:val="top"/>
          </w:tcPr>
          <w:p w14:paraId="36FE61D6">
            <w:pPr>
              <w:ind w:firstLine="480"/>
              <w:rPr>
                <w:rFonts w:ascii="仿宋_GB2312" w:hAnsi="宋体" w:eastAsia="仿宋_GB2312"/>
                <w:sz w:val="24"/>
                <w:highlight w:val="none"/>
              </w:rPr>
            </w:pPr>
          </w:p>
        </w:tc>
        <w:tc>
          <w:tcPr>
            <w:tcW w:w="2413" w:type="dxa"/>
            <w:noWrap w:val="0"/>
            <w:vAlign w:val="top"/>
          </w:tcPr>
          <w:p w14:paraId="7F5F2E7D">
            <w:pPr>
              <w:ind w:firstLine="480"/>
              <w:rPr>
                <w:rFonts w:ascii="仿宋_GB2312" w:hAnsi="宋体" w:eastAsia="仿宋_GB2312"/>
                <w:sz w:val="24"/>
                <w:highlight w:val="none"/>
              </w:rPr>
            </w:pPr>
          </w:p>
        </w:tc>
        <w:tc>
          <w:tcPr>
            <w:tcW w:w="1820" w:type="dxa"/>
            <w:noWrap w:val="0"/>
            <w:vAlign w:val="top"/>
          </w:tcPr>
          <w:p w14:paraId="10C91368">
            <w:pPr>
              <w:ind w:firstLine="480"/>
              <w:rPr>
                <w:rFonts w:ascii="仿宋_GB2312" w:hAnsi="宋体" w:eastAsia="仿宋_GB2312"/>
                <w:sz w:val="24"/>
                <w:highlight w:val="none"/>
              </w:rPr>
            </w:pPr>
          </w:p>
        </w:tc>
        <w:tc>
          <w:tcPr>
            <w:tcW w:w="1118" w:type="dxa"/>
            <w:noWrap w:val="0"/>
            <w:vAlign w:val="top"/>
          </w:tcPr>
          <w:p w14:paraId="08262BB8">
            <w:pPr>
              <w:ind w:firstLine="480"/>
              <w:rPr>
                <w:rFonts w:ascii="仿宋_GB2312" w:hAnsi="宋体" w:eastAsia="仿宋_GB2312"/>
                <w:sz w:val="24"/>
                <w:highlight w:val="none"/>
              </w:rPr>
            </w:pPr>
          </w:p>
        </w:tc>
        <w:tc>
          <w:tcPr>
            <w:tcW w:w="2853" w:type="dxa"/>
            <w:noWrap w:val="0"/>
            <w:vAlign w:val="top"/>
          </w:tcPr>
          <w:p w14:paraId="4239D910">
            <w:pPr>
              <w:ind w:firstLine="480"/>
              <w:rPr>
                <w:rFonts w:ascii="仿宋_GB2312" w:hAnsi="宋体" w:eastAsia="仿宋_GB2312"/>
                <w:sz w:val="24"/>
                <w:highlight w:val="none"/>
              </w:rPr>
            </w:pPr>
          </w:p>
        </w:tc>
      </w:tr>
      <w:tr w14:paraId="2999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20" w:type="dxa"/>
            <w:noWrap w:val="0"/>
            <w:vAlign w:val="top"/>
          </w:tcPr>
          <w:p w14:paraId="098F247A">
            <w:pPr>
              <w:ind w:firstLine="480"/>
              <w:rPr>
                <w:rFonts w:ascii="仿宋_GB2312" w:hAnsi="宋体" w:eastAsia="仿宋_GB2312"/>
                <w:sz w:val="24"/>
                <w:highlight w:val="none"/>
              </w:rPr>
            </w:pPr>
          </w:p>
        </w:tc>
        <w:tc>
          <w:tcPr>
            <w:tcW w:w="2413" w:type="dxa"/>
            <w:noWrap w:val="0"/>
            <w:vAlign w:val="top"/>
          </w:tcPr>
          <w:p w14:paraId="2739DB0C">
            <w:pPr>
              <w:ind w:firstLine="480"/>
              <w:rPr>
                <w:rFonts w:ascii="仿宋_GB2312" w:hAnsi="宋体" w:eastAsia="仿宋_GB2312"/>
                <w:sz w:val="24"/>
                <w:highlight w:val="none"/>
              </w:rPr>
            </w:pPr>
          </w:p>
        </w:tc>
        <w:tc>
          <w:tcPr>
            <w:tcW w:w="1820" w:type="dxa"/>
            <w:noWrap w:val="0"/>
            <w:vAlign w:val="top"/>
          </w:tcPr>
          <w:p w14:paraId="77607B4E">
            <w:pPr>
              <w:ind w:firstLine="480"/>
              <w:rPr>
                <w:rFonts w:ascii="仿宋_GB2312" w:hAnsi="宋体" w:eastAsia="仿宋_GB2312"/>
                <w:sz w:val="24"/>
                <w:highlight w:val="none"/>
              </w:rPr>
            </w:pPr>
          </w:p>
        </w:tc>
        <w:tc>
          <w:tcPr>
            <w:tcW w:w="1118" w:type="dxa"/>
            <w:noWrap w:val="0"/>
            <w:vAlign w:val="top"/>
          </w:tcPr>
          <w:p w14:paraId="0DB8C944">
            <w:pPr>
              <w:ind w:firstLine="480"/>
              <w:rPr>
                <w:rFonts w:ascii="仿宋_GB2312" w:hAnsi="宋体" w:eastAsia="仿宋_GB2312"/>
                <w:sz w:val="24"/>
                <w:highlight w:val="none"/>
              </w:rPr>
            </w:pPr>
          </w:p>
        </w:tc>
        <w:tc>
          <w:tcPr>
            <w:tcW w:w="2853" w:type="dxa"/>
            <w:noWrap w:val="0"/>
            <w:vAlign w:val="top"/>
          </w:tcPr>
          <w:p w14:paraId="33DA7749">
            <w:pPr>
              <w:ind w:firstLine="480"/>
              <w:rPr>
                <w:rFonts w:ascii="仿宋_GB2312" w:hAnsi="宋体" w:eastAsia="仿宋_GB2312"/>
                <w:sz w:val="24"/>
                <w:highlight w:val="none"/>
              </w:rPr>
            </w:pPr>
          </w:p>
        </w:tc>
      </w:tr>
      <w:tr w14:paraId="3470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20" w:type="dxa"/>
            <w:noWrap w:val="0"/>
            <w:vAlign w:val="top"/>
          </w:tcPr>
          <w:p w14:paraId="5F2330BD">
            <w:pPr>
              <w:ind w:firstLine="480"/>
              <w:rPr>
                <w:rFonts w:ascii="仿宋_GB2312" w:hAnsi="宋体" w:eastAsia="仿宋_GB2312"/>
                <w:sz w:val="24"/>
                <w:highlight w:val="none"/>
              </w:rPr>
            </w:pPr>
          </w:p>
        </w:tc>
        <w:tc>
          <w:tcPr>
            <w:tcW w:w="2413" w:type="dxa"/>
            <w:noWrap w:val="0"/>
            <w:vAlign w:val="top"/>
          </w:tcPr>
          <w:p w14:paraId="78FDEF10">
            <w:pPr>
              <w:ind w:firstLine="480"/>
              <w:rPr>
                <w:rFonts w:ascii="仿宋_GB2312" w:hAnsi="宋体" w:eastAsia="仿宋_GB2312"/>
                <w:sz w:val="24"/>
                <w:highlight w:val="none"/>
              </w:rPr>
            </w:pPr>
          </w:p>
        </w:tc>
        <w:tc>
          <w:tcPr>
            <w:tcW w:w="1820" w:type="dxa"/>
            <w:noWrap w:val="0"/>
            <w:vAlign w:val="top"/>
          </w:tcPr>
          <w:p w14:paraId="65260713">
            <w:pPr>
              <w:ind w:firstLine="480"/>
              <w:rPr>
                <w:rFonts w:ascii="仿宋_GB2312" w:hAnsi="宋体" w:eastAsia="仿宋_GB2312"/>
                <w:sz w:val="24"/>
                <w:highlight w:val="none"/>
              </w:rPr>
            </w:pPr>
          </w:p>
        </w:tc>
        <w:tc>
          <w:tcPr>
            <w:tcW w:w="1118" w:type="dxa"/>
            <w:noWrap w:val="0"/>
            <w:vAlign w:val="top"/>
          </w:tcPr>
          <w:p w14:paraId="732D653F">
            <w:pPr>
              <w:ind w:firstLine="480"/>
              <w:rPr>
                <w:rFonts w:ascii="仿宋_GB2312" w:hAnsi="宋体" w:eastAsia="仿宋_GB2312"/>
                <w:sz w:val="24"/>
                <w:highlight w:val="none"/>
              </w:rPr>
            </w:pPr>
          </w:p>
        </w:tc>
        <w:tc>
          <w:tcPr>
            <w:tcW w:w="2853" w:type="dxa"/>
            <w:noWrap w:val="0"/>
            <w:vAlign w:val="top"/>
          </w:tcPr>
          <w:p w14:paraId="39F0503B">
            <w:pPr>
              <w:ind w:firstLine="480"/>
              <w:rPr>
                <w:rFonts w:ascii="仿宋_GB2312" w:hAnsi="宋体" w:eastAsia="仿宋_GB2312"/>
                <w:sz w:val="24"/>
                <w:highlight w:val="none"/>
              </w:rPr>
            </w:pPr>
          </w:p>
        </w:tc>
      </w:tr>
      <w:tr w14:paraId="2E68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20" w:type="dxa"/>
            <w:noWrap w:val="0"/>
            <w:vAlign w:val="top"/>
          </w:tcPr>
          <w:p w14:paraId="42E1320F">
            <w:pPr>
              <w:ind w:firstLine="480"/>
              <w:rPr>
                <w:rFonts w:ascii="仿宋_GB2312" w:hAnsi="宋体" w:eastAsia="仿宋_GB2312"/>
                <w:sz w:val="24"/>
                <w:highlight w:val="none"/>
              </w:rPr>
            </w:pPr>
          </w:p>
        </w:tc>
        <w:tc>
          <w:tcPr>
            <w:tcW w:w="2413" w:type="dxa"/>
            <w:noWrap w:val="0"/>
            <w:vAlign w:val="top"/>
          </w:tcPr>
          <w:p w14:paraId="2E7CE02E">
            <w:pPr>
              <w:ind w:firstLine="480"/>
              <w:rPr>
                <w:rFonts w:ascii="仿宋_GB2312" w:hAnsi="宋体" w:eastAsia="仿宋_GB2312"/>
                <w:sz w:val="24"/>
                <w:highlight w:val="none"/>
              </w:rPr>
            </w:pPr>
          </w:p>
        </w:tc>
        <w:tc>
          <w:tcPr>
            <w:tcW w:w="1820" w:type="dxa"/>
            <w:noWrap w:val="0"/>
            <w:vAlign w:val="top"/>
          </w:tcPr>
          <w:p w14:paraId="2271C5A0">
            <w:pPr>
              <w:ind w:firstLine="480"/>
              <w:rPr>
                <w:rFonts w:ascii="仿宋_GB2312" w:hAnsi="宋体" w:eastAsia="仿宋_GB2312"/>
                <w:sz w:val="24"/>
                <w:highlight w:val="none"/>
              </w:rPr>
            </w:pPr>
          </w:p>
        </w:tc>
        <w:tc>
          <w:tcPr>
            <w:tcW w:w="1118" w:type="dxa"/>
            <w:noWrap w:val="0"/>
            <w:vAlign w:val="top"/>
          </w:tcPr>
          <w:p w14:paraId="44E9DF3F">
            <w:pPr>
              <w:ind w:firstLine="480"/>
              <w:rPr>
                <w:rFonts w:ascii="仿宋_GB2312" w:hAnsi="宋体" w:eastAsia="仿宋_GB2312"/>
                <w:sz w:val="24"/>
                <w:highlight w:val="none"/>
              </w:rPr>
            </w:pPr>
          </w:p>
        </w:tc>
        <w:tc>
          <w:tcPr>
            <w:tcW w:w="2853" w:type="dxa"/>
            <w:noWrap w:val="0"/>
            <w:vAlign w:val="top"/>
          </w:tcPr>
          <w:p w14:paraId="539AD8C9">
            <w:pPr>
              <w:ind w:firstLine="480"/>
              <w:rPr>
                <w:rFonts w:ascii="仿宋_GB2312" w:hAnsi="宋体" w:eastAsia="仿宋_GB2312"/>
                <w:sz w:val="24"/>
                <w:highlight w:val="none"/>
              </w:rPr>
            </w:pPr>
          </w:p>
        </w:tc>
      </w:tr>
      <w:tr w14:paraId="40A4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20" w:type="dxa"/>
            <w:noWrap w:val="0"/>
            <w:vAlign w:val="top"/>
          </w:tcPr>
          <w:p w14:paraId="2A321374">
            <w:pPr>
              <w:ind w:firstLine="480"/>
              <w:rPr>
                <w:rFonts w:ascii="仿宋_GB2312" w:hAnsi="宋体" w:eastAsia="仿宋_GB2312"/>
                <w:sz w:val="24"/>
                <w:highlight w:val="none"/>
              </w:rPr>
            </w:pPr>
          </w:p>
        </w:tc>
        <w:tc>
          <w:tcPr>
            <w:tcW w:w="2413" w:type="dxa"/>
            <w:noWrap w:val="0"/>
            <w:vAlign w:val="top"/>
          </w:tcPr>
          <w:p w14:paraId="0DBD3E8C">
            <w:pPr>
              <w:ind w:firstLine="480"/>
              <w:rPr>
                <w:rFonts w:ascii="仿宋_GB2312" w:hAnsi="宋体" w:eastAsia="仿宋_GB2312"/>
                <w:sz w:val="24"/>
                <w:highlight w:val="none"/>
              </w:rPr>
            </w:pPr>
          </w:p>
        </w:tc>
        <w:tc>
          <w:tcPr>
            <w:tcW w:w="1820" w:type="dxa"/>
            <w:noWrap w:val="0"/>
            <w:vAlign w:val="top"/>
          </w:tcPr>
          <w:p w14:paraId="48480B31">
            <w:pPr>
              <w:ind w:firstLine="480"/>
              <w:rPr>
                <w:rFonts w:ascii="仿宋_GB2312" w:hAnsi="宋体" w:eastAsia="仿宋_GB2312"/>
                <w:sz w:val="24"/>
                <w:highlight w:val="none"/>
              </w:rPr>
            </w:pPr>
          </w:p>
        </w:tc>
        <w:tc>
          <w:tcPr>
            <w:tcW w:w="1118" w:type="dxa"/>
            <w:noWrap w:val="0"/>
            <w:vAlign w:val="top"/>
          </w:tcPr>
          <w:p w14:paraId="2C831CE1">
            <w:pPr>
              <w:ind w:firstLine="480"/>
              <w:rPr>
                <w:rFonts w:ascii="仿宋_GB2312" w:hAnsi="宋体" w:eastAsia="仿宋_GB2312"/>
                <w:sz w:val="24"/>
                <w:highlight w:val="none"/>
              </w:rPr>
            </w:pPr>
          </w:p>
        </w:tc>
        <w:tc>
          <w:tcPr>
            <w:tcW w:w="2853" w:type="dxa"/>
            <w:noWrap w:val="0"/>
            <w:vAlign w:val="top"/>
          </w:tcPr>
          <w:p w14:paraId="6DF84DB3">
            <w:pPr>
              <w:ind w:firstLine="480"/>
              <w:rPr>
                <w:rFonts w:ascii="仿宋_GB2312" w:hAnsi="宋体" w:eastAsia="仿宋_GB2312"/>
                <w:sz w:val="24"/>
                <w:highlight w:val="none"/>
              </w:rPr>
            </w:pPr>
          </w:p>
        </w:tc>
      </w:tr>
      <w:tr w14:paraId="2CEC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20" w:type="dxa"/>
            <w:noWrap w:val="0"/>
            <w:vAlign w:val="top"/>
          </w:tcPr>
          <w:p w14:paraId="0BF2A856">
            <w:pPr>
              <w:ind w:firstLine="480"/>
              <w:rPr>
                <w:rFonts w:ascii="仿宋_GB2312" w:hAnsi="宋体" w:eastAsia="仿宋_GB2312"/>
                <w:sz w:val="24"/>
                <w:highlight w:val="none"/>
              </w:rPr>
            </w:pPr>
          </w:p>
        </w:tc>
        <w:tc>
          <w:tcPr>
            <w:tcW w:w="2413" w:type="dxa"/>
            <w:noWrap w:val="0"/>
            <w:vAlign w:val="top"/>
          </w:tcPr>
          <w:p w14:paraId="7CE2A470">
            <w:pPr>
              <w:ind w:firstLine="480"/>
              <w:rPr>
                <w:rFonts w:ascii="仿宋_GB2312" w:hAnsi="宋体" w:eastAsia="仿宋_GB2312"/>
                <w:sz w:val="24"/>
                <w:highlight w:val="none"/>
              </w:rPr>
            </w:pPr>
          </w:p>
        </w:tc>
        <w:tc>
          <w:tcPr>
            <w:tcW w:w="1820" w:type="dxa"/>
            <w:noWrap w:val="0"/>
            <w:vAlign w:val="top"/>
          </w:tcPr>
          <w:p w14:paraId="53AED859">
            <w:pPr>
              <w:ind w:firstLine="480"/>
              <w:rPr>
                <w:rFonts w:ascii="仿宋_GB2312" w:hAnsi="宋体" w:eastAsia="仿宋_GB2312"/>
                <w:sz w:val="24"/>
                <w:highlight w:val="none"/>
              </w:rPr>
            </w:pPr>
          </w:p>
        </w:tc>
        <w:tc>
          <w:tcPr>
            <w:tcW w:w="1118" w:type="dxa"/>
            <w:noWrap w:val="0"/>
            <w:vAlign w:val="top"/>
          </w:tcPr>
          <w:p w14:paraId="15E79FD6">
            <w:pPr>
              <w:ind w:firstLine="480"/>
              <w:rPr>
                <w:rFonts w:ascii="仿宋_GB2312" w:hAnsi="宋体" w:eastAsia="仿宋_GB2312"/>
                <w:sz w:val="24"/>
                <w:highlight w:val="none"/>
              </w:rPr>
            </w:pPr>
          </w:p>
        </w:tc>
        <w:tc>
          <w:tcPr>
            <w:tcW w:w="2853" w:type="dxa"/>
            <w:noWrap w:val="0"/>
            <w:vAlign w:val="top"/>
          </w:tcPr>
          <w:p w14:paraId="734ED933">
            <w:pPr>
              <w:ind w:firstLine="480"/>
              <w:rPr>
                <w:rFonts w:ascii="仿宋_GB2312" w:hAnsi="宋体" w:eastAsia="仿宋_GB2312"/>
                <w:sz w:val="24"/>
                <w:highlight w:val="none"/>
              </w:rPr>
            </w:pPr>
          </w:p>
        </w:tc>
      </w:tr>
      <w:tr w14:paraId="3F4F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20" w:type="dxa"/>
            <w:noWrap w:val="0"/>
            <w:vAlign w:val="top"/>
          </w:tcPr>
          <w:p w14:paraId="28C3CAAF">
            <w:pPr>
              <w:ind w:firstLine="480"/>
              <w:rPr>
                <w:rFonts w:ascii="仿宋_GB2312" w:hAnsi="宋体" w:eastAsia="仿宋_GB2312"/>
                <w:sz w:val="24"/>
                <w:highlight w:val="none"/>
              </w:rPr>
            </w:pPr>
          </w:p>
        </w:tc>
        <w:tc>
          <w:tcPr>
            <w:tcW w:w="2413" w:type="dxa"/>
            <w:noWrap w:val="0"/>
            <w:vAlign w:val="top"/>
          </w:tcPr>
          <w:p w14:paraId="7C8F73E7">
            <w:pPr>
              <w:ind w:firstLine="480"/>
              <w:rPr>
                <w:rFonts w:ascii="仿宋_GB2312" w:hAnsi="宋体" w:eastAsia="仿宋_GB2312"/>
                <w:sz w:val="24"/>
                <w:highlight w:val="none"/>
              </w:rPr>
            </w:pPr>
          </w:p>
        </w:tc>
        <w:tc>
          <w:tcPr>
            <w:tcW w:w="1820" w:type="dxa"/>
            <w:noWrap w:val="0"/>
            <w:vAlign w:val="top"/>
          </w:tcPr>
          <w:p w14:paraId="5AEF695A">
            <w:pPr>
              <w:ind w:firstLine="480"/>
              <w:rPr>
                <w:rFonts w:ascii="仿宋_GB2312" w:hAnsi="宋体" w:eastAsia="仿宋_GB2312"/>
                <w:sz w:val="24"/>
                <w:highlight w:val="none"/>
              </w:rPr>
            </w:pPr>
          </w:p>
        </w:tc>
        <w:tc>
          <w:tcPr>
            <w:tcW w:w="1118" w:type="dxa"/>
            <w:noWrap w:val="0"/>
            <w:vAlign w:val="top"/>
          </w:tcPr>
          <w:p w14:paraId="744F5FCD">
            <w:pPr>
              <w:ind w:firstLine="480"/>
              <w:rPr>
                <w:rFonts w:ascii="仿宋_GB2312" w:hAnsi="宋体" w:eastAsia="仿宋_GB2312"/>
                <w:sz w:val="24"/>
                <w:highlight w:val="none"/>
              </w:rPr>
            </w:pPr>
          </w:p>
        </w:tc>
        <w:tc>
          <w:tcPr>
            <w:tcW w:w="2853" w:type="dxa"/>
            <w:noWrap w:val="0"/>
            <w:vAlign w:val="top"/>
          </w:tcPr>
          <w:p w14:paraId="0BA510D9">
            <w:pPr>
              <w:ind w:firstLine="480"/>
              <w:rPr>
                <w:rFonts w:ascii="仿宋_GB2312" w:hAnsi="宋体" w:eastAsia="仿宋_GB2312"/>
                <w:sz w:val="24"/>
                <w:highlight w:val="none"/>
              </w:rPr>
            </w:pPr>
          </w:p>
        </w:tc>
      </w:tr>
      <w:tr w14:paraId="224E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20" w:type="dxa"/>
            <w:noWrap w:val="0"/>
            <w:vAlign w:val="top"/>
          </w:tcPr>
          <w:p w14:paraId="1A1AFB1A">
            <w:pPr>
              <w:ind w:firstLine="480"/>
              <w:rPr>
                <w:rFonts w:ascii="仿宋_GB2312" w:hAnsi="宋体" w:eastAsia="仿宋_GB2312"/>
                <w:sz w:val="24"/>
                <w:highlight w:val="none"/>
              </w:rPr>
            </w:pPr>
          </w:p>
        </w:tc>
        <w:tc>
          <w:tcPr>
            <w:tcW w:w="2413" w:type="dxa"/>
            <w:noWrap w:val="0"/>
            <w:vAlign w:val="top"/>
          </w:tcPr>
          <w:p w14:paraId="42134B9B">
            <w:pPr>
              <w:ind w:firstLine="480"/>
              <w:rPr>
                <w:rFonts w:ascii="仿宋_GB2312" w:hAnsi="宋体" w:eastAsia="仿宋_GB2312"/>
                <w:sz w:val="24"/>
                <w:highlight w:val="none"/>
              </w:rPr>
            </w:pPr>
          </w:p>
        </w:tc>
        <w:tc>
          <w:tcPr>
            <w:tcW w:w="1820" w:type="dxa"/>
            <w:noWrap w:val="0"/>
            <w:vAlign w:val="top"/>
          </w:tcPr>
          <w:p w14:paraId="7CBD3811">
            <w:pPr>
              <w:ind w:firstLine="480"/>
              <w:rPr>
                <w:rFonts w:ascii="仿宋_GB2312" w:hAnsi="宋体" w:eastAsia="仿宋_GB2312"/>
                <w:sz w:val="24"/>
                <w:highlight w:val="none"/>
              </w:rPr>
            </w:pPr>
          </w:p>
        </w:tc>
        <w:tc>
          <w:tcPr>
            <w:tcW w:w="1118" w:type="dxa"/>
            <w:noWrap w:val="0"/>
            <w:vAlign w:val="top"/>
          </w:tcPr>
          <w:p w14:paraId="6081D5DC">
            <w:pPr>
              <w:ind w:firstLine="480"/>
              <w:rPr>
                <w:rFonts w:ascii="仿宋_GB2312" w:hAnsi="宋体" w:eastAsia="仿宋_GB2312"/>
                <w:sz w:val="24"/>
                <w:highlight w:val="none"/>
              </w:rPr>
            </w:pPr>
          </w:p>
        </w:tc>
        <w:tc>
          <w:tcPr>
            <w:tcW w:w="2853" w:type="dxa"/>
            <w:noWrap w:val="0"/>
            <w:vAlign w:val="top"/>
          </w:tcPr>
          <w:p w14:paraId="42AA9F1F">
            <w:pPr>
              <w:ind w:firstLine="480"/>
              <w:rPr>
                <w:rFonts w:ascii="仿宋_GB2312" w:hAnsi="宋体" w:eastAsia="仿宋_GB2312"/>
                <w:sz w:val="24"/>
                <w:highlight w:val="none"/>
              </w:rPr>
            </w:pPr>
          </w:p>
        </w:tc>
      </w:tr>
      <w:tr w14:paraId="6EE4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20" w:type="dxa"/>
            <w:noWrap w:val="0"/>
            <w:vAlign w:val="top"/>
          </w:tcPr>
          <w:p w14:paraId="2D02F37C">
            <w:pPr>
              <w:ind w:firstLine="480"/>
              <w:rPr>
                <w:rFonts w:ascii="仿宋_GB2312" w:hAnsi="宋体" w:eastAsia="仿宋_GB2312"/>
                <w:sz w:val="24"/>
                <w:highlight w:val="none"/>
              </w:rPr>
            </w:pPr>
          </w:p>
        </w:tc>
        <w:tc>
          <w:tcPr>
            <w:tcW w:w="2413" w:type="dxa"/>
            <w:noWrap w:val="0"/>
            <w:vAlign w:val="top"/>
          </w:tcPr>
          <w:p w14:paraId="055D2CCB">
            <w:pPr>
              <w:ind w:firstLine="480"/>
              <w:rPr>
                <w:rFonts w:ascii="仿宋_GB2312" w:hAnsi="宋体" w:eastAsia="仿宋_GB2312"/>
                <w:sz w:val="24"/>
                <w:highlight w:val="none"/>
              </w:rPr>
            </w:pPr>
          </w:p>
        </w:tc>
        <w:tc>
          <w:tcPr>
            <w:tcW w:w="1820" w:type="dxa"/>
            <w:noWrap w:val="0"/>
            <w:vAlign w:val="top"/>
          </w:tcPr>
          <w:p w14:paraId="3E9C1AC5">
            <w:pPr>
              <w:ind w:firstLine="480"/>
              <w:rPr>
                <w:rFonts w:ascii="仿宋_GB2312" w:hAnsi="宋体" w:eastAsia="仿宋_GB2312"/>
                <w:sz w:val="24"/>
                <w:highlight w:val="none"/>
              </w:rPr>
            </w:pPr>
          </w:p>
        </w:tc>
        <w:tc>
          <w:tcPr>
            <w:tcW w:w="1118" w:type="dxa"/>
            <w:noWrap w:val="0"/>
            <w:vAlign w:val="top"/>
          </w:tcPr>
          <w:p w14:paraId="17C1CAE0">
            <w:pPr>
              <w:ind w:firstLine="480"/>
              <w:rPr>
                <w:rFonts w:ascii="仿宋_GB2312" w:hAnsi="宋体" w:eastAsia="仿宋_GB2312"/>
                <w:sz w:val="24"/>
                <w:highlight w:val="none"/>
              </w:rPr>
            </w:pPr>
          </w:p>
        </w:tc>
        <w:tc>
          <w:tcPr>
            <w:tcW w:w="2853" w:type="dxa"/>
            <w:noWrap w:val="0"/>
            <w:vAlign w:val="top"/>
          </w:tcPr>
          <w:p w14:paraId="62134401">
            <w:pPr>
              <w:ind w:firstLine="480"/>
              <w:rPr>
                <w:rFonts w:ascii="仿宋_GB2312" w:hAnsi="宋体" w:eastAsia="仿宋_GB2312"/>
                <w:sz w:val="24"/>
                <w:highlight w:val="none"/>
              </w:rPr>
            </w:pPr>
          </w:p>
        </w:tc>
      </w:tr>
      <w:tr w14:paraId="0D26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20" w:type="dxa"/>
            <w:noWrap w:val="0"/>
            <w:vAlign w:val="top"/>
          </w:tcPr>
          <w:p w14:paraId="4459C591">
            <w:pPr>
              <w:ind w:firstLine="480"/>
              <w:rPr>
                <w:rFonts w:ascii="仿宋_GB2312" w:hAnsi="宋体" w:eastAsia="仿宋_GB2312"/>
                <w:sz w:val="24"/>
                <w:highlight w:val="none"/>
              </w:rPr>
            </w:pPr>
          </w:p>
        </w:tc>
        <w:tc>
          <w:tcPr>
            <w:tcW w:w="2413" w:type="dxa"/>
            <w:noWrap w:val="0"/>
            <w:vAlign w:val="top"/>
          </w:tcPr>
          <w:p w14:paraId="18104287">
            <w:pPr>
              <w:ind w:firstLine="480"/>
              <w:rPr>
                <w:rFonts w:ascii="仿宋_GB2312" w:hAnsi="宋体" w:eastAsia="仿宋_GB2312"/>
                <w:sz w:val="24"/>
                <w:highlight w:val="none"/>
              </w:rPr>
            </w:pPr>
          </w:p>
        </w:tc>
        <w:tc>
          <w:tcPr>
            <w:tcW w:w="1820" w:type="dxa"/>
            <w:noWrap w:val="0"/>
            <w:vAlign w:val="top"/>
          </w:tcPr>
          <w:p w14:paraId="618A96D5">
            <w:pPr>
              <w:ind w:firstLine="480"/>
              <w:rPr>
                <w:rFonts w:ascii="仿宋_GB2312" w:hAnsi="宋体" w:eastAsia="仿宋_GB2312"/>
                <w:sz w:val="24"/>
                <w:highlight w:val="none"/>
              </w:rPr>
            </w:pPr>
          </w:p>
        </w:tc>
        <w:tc>
          <w:tcPr>
            <w:tcW w:w="1118" w:type="dxa"/>
            <w:noWrap w:val="0"/>
            <w:vAlign w:val="top"/>
          </w:tcPr>
          <w:p w14:paraId="1ACC9FD9">
            <w:pPr>
              <w:ind w:firstLine="480"/>
              <w:rPr>
                <w:rFonts w:ascii="仿宋_GB2312" w:hAnsi="宋体" w:eastAsia="仿宋_GB2312"/>
                <w:sz w:val="24"/>
                <w:highlight w:val="none"/>
              </w:rPr>
            </w:pPr>
          </w:p>
        </w:tc>
        <w:tc>
          <w:tcPr>
            <w:tcW w:w="2853" w:type="dxa"/>
            <w:noWrap w:val="0"/>
            <w:vAlign w:val="top"/>
          </w:tcPr>
          <w:p w14:paraId="60C0D794">
            <w:pPr>
              <w:ind w:firstLine="480"/>
              <w:rPr>
                <w:rFonts w:ascii="仿宋_GB2312" w:hAnsi="宋体" w:eastAsia="仿宋_GB2312"/>
                <w:sz w:val="24"/>
                <w:highlight w:val="none"/>
              </w:rPr>
            </w:pPr>
          </w:p>
        </w:tc>
      </w:tr>
      <w:tr w14:paraId="6744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20" w:type="dxa"/>
            <w:noWrap w:val="0"/>
            <w:vAlign w:val="top"/>
          </w:tcPr>
          <w:p w14:paraId="385BD547">
            <w:pPr>
              <w:ind w:firstLine="480"/>
              <w:rPr>
                <w:rFonts w:ascii="仿宋_GB2312" w:hAnsi="宋体" w:eastAsia="仿宋_GB2312"/>
                <w:sz w:val="24"/>
                <w:highlight w:val="none"/>
              </w:rPr>
            </w:pPr>
          </w:p>
        </w:tc>
        <w:tc>
          <w:tcPr>
            <w:tcW w:w="2413" w:type="dxa"/>
            <w:noWrap w:val="0"/>
            <w:vAlign w:val="top"/>
          </w:tcPr>
          <w:p w14:paraId="39332B60">
            <w:pPr>
              <w:ind w:firstLine="480"/>
              <w:rPr>
                <w:rFonts w:ascii="仿宋_GB2312" w:hAnsi="宋体" w:eastAsia="仿宋_GB2312"/>
                <w:sz w:val="24"/>
                <w:highlight w:val="none"/>
              </w:rPr>
            </w:pPr>
          </w:p>
        </w:tc>
        <w:tc>
          <w:tcPr>
            <w:tcW w:w="1820" w:type="dxa"/>
            <w:noWrap w:val="0"/>
            <w:vAlign w:val="top"/>
          </w:tcPr>
          <w:p w14:paraId="07982F11">
            <w:pPr>
              <w:ind w:firstLine="480"/>
              <w:rPr>
                <w:rFonts w:ascii="仿宋_GB2312" w:hAnsi="宋体" w:eastAsia="仿宋_GB2312"/>
                <w:sz w:val="24"/>
                <w:highlight w:val="none"/>
              </w:rPr>
            </w:pPr>
          </w:p>
        </w:tc>
        <w:tc>
          <w:tcPr>
            <w:tcW w:w="1118" w:type="dxa"/>
            <w:noWrap w:val="0"/>
            <w:vAlign w:val="top"/>
          </w:tcPr>
          <w:p w14:paraId="3D7AA53E">
            <w:pPr>
              <w:ind w:firstLine="480"/>
              <w:rPr>
                <w:rFonts w:ascii="仿宋_GB2312" w:hAnsi="宋体" w:eastAsia="仿宋_GB2312"/>
                <w:sz w:val="24"/>
                <w:highlight w:val="none"/>
              </w:rPr>
            </w:pPr>
          </w:p>
        </w:tc>
        <w:tc>
          <w:tcPr>
            <w:tcW w:w="2853" w:type="dxa"/>
            <w:noWrap w:val="0"/>
            <w:vAlign w:val="top"/>
          </w:tcPr>
          <w:p w14:paraId="36479FEA">
            <w:pPr>
              <w:ind w:firstLine="480"/>
              <w:rPr>
                <w:rFonts w:ascii="仿宋_GB2312" w:hAnsi="宋体" w:eastAsia="仿宋_GB2312"/>
                <w:sz w:val="24"/>
                <w:highlight w:val="none"/>
              </w:rPr>
            </w:pPr>
          </w:p>
        </w:tc>
      </w:tr>
      <w:tr w14:paraId="0E7B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20" w:type="dxa"/>
            <w:noWrap w:val="0"/>
            <w:vAlign w:val="top"/>
          </w:tcPr>
          <w:p w14:paraId="113D607F">
            <w:pPr>
              <w:ind w:firstLine="480"/>
              <w:rPr>
                <w:rFonts w:ascii="仿宋_GB2312" w:hAnsi="宋体" w:eastAsia="仿宋_GB2312"/>
                <w:sz w:val="24"/>
                <w:highlight w:val="none"/>
              </w:rPr>
            </w:pPr>
          </w:p>
        </w:tc>
        <w:tc>
          <w:tcPr>
            <w:tcW w:w="2413" w:type="dxa"/>
            <w:noWrap w:val="0"/>
            <w:vAlign w:val="top"/>
          </w:tcPr>
          <w:p w14:paraId="03BF5146">
            <w:pPr>
              <w:ind w:firstLine="480"/>
              <w:rPr>
                <w:rFonts w:ascii="仿宋_GB2312" w:hAnsi="宋体" w:eastAsia="仿宋_GB2312"/>
                <w:sz w:val="24"/>
                <w:highlight w:val="none"/>
              </w:rPr>
            </w:pPr>
          </w:p>
        </w:tc>
        <w:tc>
          <w:tcPr>
            <w:tcW w:w="1820" w:type="dxa"/>
            <w:noWrap w:val="0"/>
            <w:vAlign w:val="top"/>
          </w:tcPr>
          <w:p w14:paraId="3715E691">
            <w:pPr>
              <w:ind w:firstLine="480"/>
              <w:rPr>
                <w:rFonts w:ascii="仿宋_GB2312" w:hAnsi="宋体" w:eastAsia="仿宋_GB2312"/>
                <w:sz w:val="24"/>
                <w:highlight w:val="none"/>
              </w:rPr>
            </w:pPr>
          </w:p>
        </w:tc>
        <w:tc>
          <w:tcPr>
            <w:tcW w:w="1118" w:type="dxa"/>
            <w:noWrap w:val="0"/>
            <w:vAlign w:val="top"/>
          </w:tcPr>
          <w:p w14:paraId="19A6A0E4">
            <w:pPr>
              <w:ind w:firstLine="480"/>
              <w:rPr>
                <w:rFonts w:ascii="仿宋_GB2312" w:hAnsi="宋体" w:eastAsia="仿宋_GB2312"/>
                <w:sz w:val="24"/>
                <w:highlight w:val="none"/>
              </w:rPr>
            </w:pPr>
          </w:p>
        </w:tc>
        <w:tc>
          <w:tcPr>
            <w:tcW w:w="2853" w:type="dxa"/>
            <w:noWrap w:val="0"/>
            <w:vAlign w:val="top"/>
          </w:tcPr>
          <w:p w14:paraId="4883431E">
            <w:pPr>
              <w:ind w:firstLine="480"/>
              <w:rPr>
                <w:rFonts w:ascii="仿宋_GB2312" w:hAnsi="宋体" w:eastAsia="仿宋_GB2312"/>
                <w:sz w:val="24"/>
                <w:highlight w:val="none"/>
              </w:rPr>
            </w:pPr>
          </w:p>
        </w:tc>
      </w:tr>
      <w:tr w14:paraId="0A29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20" w:type="dxa"/>
            <w:noWrap w:val="0"/>
            <w:vAlign w:val="top"/>
          </w:tcPr>
          <w:p w14:paraId="55E60093">
            <w:pPr>
              <w:ind w:firstLine="480"/>
              <w:rPr>
                <w:rFonts w:ascii="仿宋_GB2312" w:hAnsi="宋体" w:eastAsia="仿宋_GB2312"/>
                <w:sz w:val="24"/>
                <w:highlight w:val="none"/>
              </w:rPr>
            </w:pPr>
          </w:p>
        </w:tc>
        <w:tc>
          <w:tcPr>
            <w:tcW w:w="2413" w:type="dxa"/>
            <w:noWrap w:val="0"/>
            <w:vAlign w:val="top"/>
          </w:tcPr>
          <w:p w14:paraId="2BE05612">
            <w:pPr>
              <w:ind w:firstLine="480"/>
              <w:rPr>
                <w:rFonts w:ascii="仿宋_GB2312" w:hAnsi="宋体" w:eastAsia="仿宋_GB2312"/>
                <w:sz w:val="24"/>
                <w:highlight w:val="none"/>
              </w:rPr>
            </w:pPr>
          </w:p>
        </w:tc>
        <w:tc>
          <w:tcPr>
            <w:tcW w:w="1820" w:type="dxa"/>
            <w:noWrap w:val="0"/>
            <w:vAlign w:val="top"/>
          </w:tcPr>
          <w:p w14:paraId="6E175CA6">
            <w:pPr>
              <w:ind w:firstLine="480"/>
              <w:rPr>
                <w:rFonts w:ascii="仿宋_GB2312" w:hAnsi="宋体" w:eastAsia="仿宋_GB2312"/>
                <w:sz w:val="24"/>
                <w:highlight w:val="none"/>
              </w:rPr>
            </w:pPr>
          </w:p>
        </w:tc>
        <w:tc>
          <w:tcPr>
            <w:tcW w:w="1118" w:type="dxa"/>
            <w:noWrap w:val="0"/>
            <w:vAlign w:val="top"/>
          </w:tcPr>
          <w:p w14:paraId="2EB433F9">
            <w:pPr>
              <w:ind w:firstLine="480"/>
              <w:rPr>
                <w:rFonts w:ascii="仿宋_GB2312" w:hAnsi="宋体" w:eastAsia="仿宋_GB2312"/>
                <w:sz w:val="24"/>
                <w:highlight w:val="none"/>
              </w:rPr>
            </w:pPr>
          </w:p>
        </w:tc>
        <w:tc>
          <w:tcPr>
            <w:tcW w:w="2853" w:type="dxa"/>
            <w:noWrap w:val="0"/>
            <w:vAlign w:val="top"/>
          </w:tcPr>
          <w:p w14:paraId="2E4C0E00">
            <w:pPr>
              <w:ind w:firstLine="480"/>
              <w:rPr>
                <w:rFonts w:ascii="仿宋_GB2312" w:hAnsi="宋体" w:eastAsia="仿宋_GB2312"/>
                <w:sz w:val="24"/>
                <w:highlight w:val="none"/>
              </w:rPr>
            </w:pPr>
          </w:p>
        </w:tc>
      </w:tr>
      <w:tr w14:paraId="06C0F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20" w:type="dxa"/>
            <w:noWrap w:val="0"/>
            <w:vAlign w:val="top"/>
          </w:tcPr>
          <w:p w14:paraId="612AFC38">
            <w:pPr>
              <w:ind w:firstLine="480"/>
              <w:rPr>
                <w:rFonts w:ascii="仿宋_GB2312" w:hAnsi="宋体" w:eastAsia="仿宋_GB2312"/>
                <w:sz w:val="24"/>
                <w:highlight w:val="none"/>
              </w:rPr>
            </w:pPr>
          </w:p>
        </w:tc>
        <w:tc>
          <w:tcPr>
            <w:tcW w:w="2413" w:type="dxa"/>
            <w:noWrap w:val="0"/>
            <w:vAlign w:val="top"/>
          </w:tcPr>
          <w:p w14:paraId="129199B3">
            <w:pPr>
              <w:ind w:firstLine="480"/>
              <w:rPr>
                <w:rFonts w:ascii="仿宋_GB2312" w:hAnsi="宋体" w:eastAsia="仿宋_GB2312"/>
                <w:sz w:val="24"/>
                <w:highlight w:val="none"/>
              </w:rPr>
            </w:pPr>
          </w:p>
        </w:tc>
        <w:tc>
          <w:tcPr>
            <w:tcW w:w="1820" w:type="dxa"/>
            <w:noWrap w:val="0"/>
            <w:vAlign w:val="top"/>
          </w:tcPr>
          <w:p w14:paraId="3AF2AC13">
            <w:pPr>
              <w:ind w:firstLine="480"/>
              <w:rPr>
                <w:rFonts w:ascii="仿宋_GB2312" w:hAnsi="宋体" w:eastAsia="仿宋_GB2312"/>
                <w:sz w:val="24"/>
                <w:highlight w:val="none"/>
              </w:rPr>
            </w:pPr>
          </w:p>
        </w:tc>
        <w:tc>
          <w:tcPr>
            <w:tcW w:w="1118" w:type="dxa"/>
            <w:noWrap w:val="0"/>
            <w:vAlign w:val="top"/>
          </w:tcPr>
          <w:p w14:paraId="2882467C">
            <w:pPr>
              <w:ind w:firstLine="480"/>
              <w:rPr>
                <w:rFonts w:ascii="仿宋_GB2312" w:hAnsi="宋体" w:eastAsia="仿宋_GB2312"/>
                <w:sz w:val="24"/>
                <w:highlight w:val="none"/>
              </w:rPr>
            </w:pPr>
          </w:p>
        </w:tc>
        <w:tc>
          <w:tcPr>
            <w:tcW w:w="2853" w:type="dxa"/>
            <w:noWrap w:val="0"/>
            <w:vAlign w:val="top"/>
          </w:tcPr>
          <w:p w14:paraId="662A793D">
            <w:pPr>
              <w:ind w:firstLine="480"/>
              <w:rPr>
                <w:rFonts w:ascii="仿宋_GB2312" w:hAnsi="宋体" w:eastAsia="仿宋_GB2312"/>
                <w:sz w:val="24"/>
                <w:highlight w:val="none"/>
              </w:rPr>
            </w:pPr>
          </w:p>
        </w:tc>
      </w:tr>
      <w:tr w14:paraId="376D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20" w:type="dxa"/>
            <w:noWrap w:val="0"/>
            <w:vAlign w:val="top"/>
          </w:tcPr>
          <w:p w14:paraId="21E4DF44">
            <w:pPr>
              <w:ind w:firstLine="480"/>
              <w:rPr>
                <w:rFonts w:ascii="仿宋_GB2312" w:hAnsi="宋体" w:eastAsia="仿宋_GB2312"/>
                <w:sz w:val="24"/>
                <w:highlight w:val="none"/>
              </w:rPr>
            </w:pPr>
          </w:p>
        </w:tc>
        <w:tc>
          <w:tcPr>
            <w:tcW w:w="2413" w:type="dxa"/>
            <w:noWrap w:val="0"/>
            <w:vAlign w:val="top"/>
          </w:tcPr>
          <w:p w14:paraId="23A26903">
            <w:pPr>
              <w:ind w:firstLine="480"/>
              <w:rPr>
                <w:rFonts w:ascii="仿宋_GB2312" w:hAnsi="宋体" w:eastAsia="仿宋_GB2312"/>
                <w:sz w:val="24"/>
                <w:highlight w:val="none"/>
              </w:rPr>
            </w:pPr>
          </w:p>
        </w:tc>
        <w:tc>
          <w:tcPr>
            <w:tcW w:w="1820" w:type="dxa"/>
            <w:noWrap w:val="0"/>
            <w:vAlign w:val="top"/>
          </w:tcPr>
          <w:p w14:paraId="58C73A0E">
            <w:pPr>
              <w:ind w:firstLine="480"/>
              <w:rPr>
                <w:rFonts w:ascii="仿宋_GB2312" w:hAnsi="宋体" w:eastAsia="仿宋_GB2312"/>
                <w:sz w:val="24"/>
                <w:highlight w:val="none"/>
              </w:rPr>
            </w:pPr>
          </w:p>
        </w:tc>
        <w:tc>
          <w:tcPr>
            <w:tcW w:w="1118" w:type="dxa"/>
            <w:noWrap w:val="0"/>
            <w:vAlign w:val="top"/>
          </w:tcPr>
          <w:p w14:paraId="1DC906D5">
            <w:pPr>
              <w:ind w:firstLine="480"/>
              <w:rPr>
                <w:rFonts w:ascii="仿宋_GB2312" w:hAnsi="宋体" w:eastAsia="仿宋_GB2312"/>
                <w:sz w:val="24"/>
                <w:highlight w:val="none"/>
              </w:rPr>
            </w:pPr>
          </w:p>
        </w:tc>
        <w:tc>
          <w:tcPr>
            <w:tcW w:w="2853" w:type="dxa"/>
            <w:noWrap w:val="0"/>
            <w:vAlign w:val="top"/>
          </w:tcPr>
          <w:p w14:paraId="32B8F2CC">
            <w:pPr>
              <w:ind w:firstLine="480"/>
              <w:rPr>
                <w:rFonts w:ascii="仿宋_GB2312" w:hAnsi="宋体" w:eastAsia="仿宋_GB2312"/>
                <w:sz w:val="24"/>
                <w:highlight w:val="none"/>
              </w:rPr>
            </w:pPr>
          </w:p>
        </w:tc>
      </w:tr>
      <w:tr w14:paraId="23EF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20" w:type="dxa"/>
            <w:noWrap w:val="0"/>
            <w:vAlign w:val="top"/>
          </w:tcPr>
          <w:p w14:paraId="514E2C05">
            <w:pPr>
              <w:ind w:firstLine="480"/>
              <w:rPr>
                <w:rFonts w:ascii="仿宋_GB2312" w:hAnsi="宋体" w:eastAsia="仿宋_GB2312"/>
                <w:sz w:val="24"/>
                <w:highlight w:val="none"/>
              </w:rPr>
            </w:pPr>
          </w:p>
        </w:tc>
        <w:tc>
          <w:tcPr>
            <w:tcW w:w="2413" w:type="dxa"/>
            <w:noWrap w:val="0"/>
            <w:vAlign w:val="top"/>
          </w:tcPr>
          <w:p w14:paraId="7B3AC802">
            <w:pPr>
              <w:ind w:firstLine="480"/>
              <w:rPr>
                <w:rFonts w:ascii="仿宋_GB2312" w:hAnsi="宋体" w:eastAsia="仿宋_GB2312"/>
                <w:sz w:val="24"/>
                <w:highlight w:val="none"/>
              </w:rPr>
            </w:pPr>
          </w:p>
        </w:tc>
        <w:tc>
          <w:tcPr>
            <w:tcW w:w="1820" w:type="dxa"/>
            <w:noWrap w:val="0"/>
            <w:vAlign w:val="top"/>
          </w:tcPr>
          <w:p w14:paraId="47F57035">
            <w:pPr>
              <w:ind w:firstLine="480"/>
              <w:rPr>
                <w:rFonts w:ascii="仿宋_GB2312" w:hAnsi="宋体" w:eastAsia="仿宋_GB2312"/>
                <w:sz w:val="24"/>
                <w:highlight w:val="none"/>
              </w:rPr>
            </w:pPr>
          </w:p>
        </w:tc>
        <w:tc>
          <w:tcPr>
            <w:tcW w:w="1118" w:type="dxa"/>
            <w:noWrap w:val="0"/>
            <w:vAlign w:val="top"/>
          </w:tcPr>
          <w:p w14:paraId="20DF204D">
            <w:pPr>
              <w:ind w:firstLine="480"/>
              <w:rPr>
                <w:rFonts w:ascii="仿宋_GB2312" w:hAnsi="宋体" w:eastAsia="仿宋_GB2312"/>
                <w:sz w:val="24"/>
                <w:highlight w:val="none"/>
              </w:rPr>
            </w:pPr>
          </w:p>
        </w:tc>
        <w:tc>
          <w:tcPr>
            <w:tcW w:w="2853" w:type="dxa"/>
            <w:noWrap w:val="0"/>
            <w:vAlign w:val="top"/>
          </w:tcPr>
          <w:p w14:paraId="2860C084">
            <w:pPr>
              <w:ind w:firstLine="480"/>
              <w:rPr>
                <w:rFonts w:ascii="仿宋_GB2312" w:hAnsi="宋体" w:eastAsia="仿宋_GB2312"/>
                <w:sz w:val="24"/>
                <w:highlight w:val="none"/>
              </w:rPr>
            </w:pPr>
          </w:p>
        </w:tc>
      </w:tr>
    </w:tbl>
    <w:p w14:paraId="6CB0E3AA">
      <w:pPr>
        <w:widowControl w:val="0"/>
        <w:numPr>
          <w:ilvl w:val="0"/>
          <w:numId w:val="0"/>
        </w:numPr>
        <w:kinsoku/>
        <w:autoSpaceDE/>
        <w:autoSpaceDN/>
        <w:adjustRightInd/>
        <w:snapToGrid/>
        <w:spacing w:line="360" w:lineRule="auto"/>
        <w:jc w:val="center"/>
        <w:textAlignment w:val="auto"/>
        <w:outlineLvl w:val="1"/>
        <w:rPr>
          <w:rFonts w:hint="eastAsia" w:ascii="宋体" w:hAnsi="宋体" w:cs="宋体"/>
          <w:b/>
          <w:color w:val="auto"/>
          <w:szCs w:val="24"/>
          <w:highlight w:val="none"/>
        </w:rPr>
      </w:pPr>
    </w:p>
    <w:p w14:paraId="5449A538">
      <w:pPr>
        <w:widowControl w:val="0"/>
        <w:numPr>
          <w:ilvl w:val="0"/>
          <w:numId w:val="0"/>
        </w:numPr>
        <w:kinsoku/>
        <w:autoSpaceDE/>
        <w:autoSpaceDN/>
        <w:adjustRightInd/>
        <w:snapToGrid/>
        <w:spacing w:line="360" w:lineRule="auto"/>
        <w:jc w:val="center"/>
        <w:textAlignment w:val="auto"/>
        <w:outlineLvl w:val="1"/>
        <w:rPr>
          <w:rFonts w:hint="eastAsia" w:ascii="宋体" w:hAnsi="宋体" w:cs="宋体"/>
          <w:b/>
          <w:color w:val="auto"/>
          <w:szCs w:val="24"/>
          <w:highlight w:val="none"/>
        </w:rPr>
      </w:pPr>
    </w:p>
    <w:p w14:paraId="22F1A2AE">
      <w:pPr>
        <w:widowControl w:val="0"/>
        <w:numPr>
          <w:ilvl w:val="0"/>
          <w:numId w:val="0"/>
        </w:numPr>
        <w:kinsoku/>
        <w:autoSpaceDE/>
        <w:autoSpaceDN/>
        <w:adjustRightInd/>
        <w:snapToGrid/>
        <w:spacing w:line="360" w:lineRule="auto"/>
        <w:jc w:val="center"/>
        <w:textAlignment w:val="auto"/>
        <w:outlineLvl w:val="1"/>
        <w:rPr>
          <w:rFonts w:hint="eastAsia" w:ascii="宋体" w:hAnsi="宋体" w:cs="宋体"/>
          <w:b/>
          <w:color w:val="auto"/>
          <w:szCs w:val="24"/>
          <w:highlight w:val="none"/>
        </w:rPr>
      </w:pPr>
    </w:p>
    <w:p w14:paraId="73DA6D18">
      <w:pPr>
        <w:pageBreakBefore w:val="0"/>
        <w:kinsoku/>
        <w:wordWrap/>
        <w:overflowPunct/>
        <w:topLinePunct w:val="0"/>
        <w:bidi w:val="0"/>
        <w:textAlignment w:val="auto"/>
        <w:outlineLvl w:val="9"/>
        <w:rPr>
          <w:rFonts w:hint="eastAsia" w:ascii="宋体" w:hAnsi="宋体" w:eastAsia="宋体" w:cs="宋体"/>
          <w:color w:val="auto"/>
          <w:sz w:val="24"/>
          <w:szCs w:val="24"/>
          <w:highlight w:val="none"/>
        </w:rPr>
      </w:pPr>
    </w:p>
    <w:p w14:paraId="57E4CBA2">
      <w:pPr>
        <w:pageBreakBefore w:val="0"/>
        <w:kinsoku/>
        <w:wordWrap/>
        <w:overflowPunct/>
        <w:topLinePunct w:val="0"/>
        <w:bidi w:val="0"/>
        <w:textAlignment w:val="auto"/>
        <w:outlineLvl w:val="9"/>
        <w:rPr>
          <w:rFonts w:hint="eastAsia" w:ascii="宋体" w:hAnsi="宋体" w:eastAsia="宋体" w:cs="宋体"/>
          <w:color w:val="auto"/>
          <w:sz w:val="24"/>
          <w:szCs w:val="24"/>
          <w:highlight w:val="none"/>
        </w:rPr>
      </w:pPr>
    </w:p>
    <w:p w14:paraId="38B36CFD">
      <w:pPr>
        <w:pageBreakBefore w:val="0"/>
        <w:kinsoku/>
        <w:wordWrap/>
        <w:overflowPunct/>
        <w:topLinePunct w:val="0"/>
        <w:bidi w:val="0"/>
        <w:textAlignment w:val="auto"/>
        <w:outlineLvl w:val="9"/>
        <w:rPr>
          <w:rFonts w:hint="eastAsia" w:ascii="宋体" w:hAnsi="宋体" w:eastAsia="宋体" w:cs="宋体"/>
          <w:color w:val="auto"/>
          <w:sz w:val="24"/>
          <w:szCs w:val="24"/>
          <w:highlight w:val="none"/>
        </w:rPr>
      </w:pPr>
    </w:p>
    <w:p w14:paraId="6E773482">
      <w:pPr>
        <w:pageBreakBefore w:val="0"/>
        <w:kinsoku/>
        <w:wordWrap/>
        <w:overflowPunct/>
        <w:topLinePunct w:val="0"/>
        <w:bidi w:val="0"/>
        <w:textAlignment w:val="auto"/>
        <w:outlineLvl w:val="9"/>
        <w:rPr>
          <w:rFonts w:hint="eastAsia" w:ascii="宋体" w:hAnsi="宋体" w:eastAsia="宋体" w:cs="宋体"/>
          <w:color w:val="auto"/>
          <w:sz w:val="24"/>
          <w:szCs w:val="24"/>
          <w:highlight w:val="none"/>
        </w:rPr>
      </w:pPr>
    </w:p>
    <w:p w14:paraId="380D356E">
      <w:pPr>
        <w:pStyle w:val="48"/>
        <w:ind w:left="0" w:leftChars="0" w:firstLine="0" w:firstLineChars="0"/>
        <w:rPr>
          <w:rFonts w:hint="eastAsia"/>
          <w:color w:val="auto"/>
          <w:sz w:val="24"/>
          <w:szCs w:val="24"/>
          <w:highlight w:val="none"/>
        </w:rPr>
      </w:pPr>
    </w:p>
    <w:p w14:paraId="6539B8DE">
      <w:pPr>
        <w:spacing w:line="480" w:lineRule="auto"/>
        <w:jc w:val="center"/>
        <w:outlineLvl w:val="1"/>
        <w:rPr>
          <w:rFonts w:ascii="宋体" w:hAnsi="宋体" w:cs="宋体"/>
          <w:b/>
          <w:bCs/>
          <w:color w:val="auto"/>
          <w:sz w:val="28"/>
          <w:szCs w:val="28"/>
          <w:highlight w:val="none"/>
        </w:rPr>
      </w:pPr>
      <w:bookmarkStart w:id="80" w:name="_Toc5753"/>
      <w:r>
        <w:rPr>
          <w:rFonts w:hint="eastAsia" w:ascii="宋体" w:hAnsi="宋体" w:cs="宋体"/>
          <w:b/>
          <w:color w:val="auto"/>
          <w:sz w:val="28"/>
          <w:szCs w:val="28"/>
          <w:highlight w:val="none"/>
          <w:lang w:eastAsia="zh-CN"/>
        </w:rPr>
        <w:t>九</w:t>
      </w:r>
      <w:r>
        <w:rPr>
          <w:rFonts w:hint="eastAsia" w:ascii="宋体" w:hAnsi="宋体" w:cs="宋体"/>
          <w:b/>
          <w:color w:val="auto"/>
          <w:sz w:val="28"/>
          <w:szCs w:val="28"/>
          <w:highlight w:val="none"/>
        </w:rPr>
        <w:t>、宝鸡市政府采购供应商诚信承诺书</w:t>
      </w:r>
      <w:bookmarkEnd w:id="80"/>
    </w:p>
    <w:p w14:paraId="77E55533">
      <w:pPr>
        <w:spacing w:line="560" w:lineRule="exact"/>
        <w:jc w:val="left"/>
        <w:rPr>
          <w:rFonts w:ascii="宋体" w:hAnsi="宋体" w:cs="宋体"/>
          <w:color w:val="auto"/>
          <w:sz w:val="24"/>
          <w:szCs w:val="24"/>
          <w:highlight w:val="none"/>
          <w:u w:val="single"/>
        </w:rPr>
      </w:pPr>
      <w:r>
        <w:rPr>
          <w:rFonts w:hint="eastAsia" w:ascii="宋体" w:hAnsi="宋体" w:cs="宋体"/>
          <w:b/>
          <w:bCs/>
          <w:color w:val="auto"/>
          <w:sz w:val="24"/>
          <w:szCs w:val="24"/>
          <w:highlight w:val="none"/>
        </w:rPr>
        <w:t>致：</w:t>
      </w:r>
      <w:r>
        <w:rPr>
          <w:rFonts w:hint="eastAsia" w:ascii="宋体" w:hAnsi="宋体" w:cs="宋体"/>
          <w:b/>
          <w:bCs/>
          <w:color w:val="auto"/>
          <w:sz w:val="24"/>
          <w:szCs w:val="24"/>
          <w:highlight w:val="none"/>
          <w:u w:val="single"/>
        </w:rPr>
        <w:t xml:space="preserve">               （采购人名称）</w:t>
      </w:r>
    </w:p>
    <w:p w14:paraId="772869E3">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统一社会信用代码为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的我方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(供应商名称)自愿参加贵单位组织的编号为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(采购项目编号)的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项目(采购项目名称)的政府采购活动，我方已知悉并理解本项目采购文件的各项要求。为贯彻公开、公平、公正和诚实信用的政府采购原则，共同维护宝鸡市政府采购市场良好秩序，我方郑重声明和承诺如下：</w:t>
      </w:r>
    </w:p>
    <w:p w14:paraId="1A7E5B65">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一、在参加本次政府采购活动中严格遵守《中</w:t>
      </w:r>
      <w:r>
        <w:rPr>
          <w:rFonts w:hint="eastAsia" w:ascii="宋体" w:hAnsi="宋体" w:cs="宋体"/>
          <w:color w:val="auto"/>
          <w:sz w:val="24"/>
          <w:szCs w:val="24"/>
          <w:highlight w:val="none"/>
          <w:lang w:eastAsia="zh-CN"/>
        </w:rPr>
        <w:t>华</w:t>
      </w:r>
      <w:r>
        <w:rPr>
          <w:rFonts w:hint="eastAsia" w:ascii="宋体" w:hAnsi="宋体" w:cs="宋体"/>
          <w:color w:val="auto"/>
          <w:sz w:val="24"/>
          <w:szCs w:val="24"/>
          <w:highlight w:val="none"/>
        </w:rPr>
        <w:t>人民共和国政府采购法》等法律、法规、规章及宝鸡市有关规定。</w:t>
      </w:r>
    </w:p>
    <w:p w14:paraId="4088458B">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二、我方郑重声明，在参加本次政府采购活动前三年内，无因违法经营受到刑事处罚或者责令停产停业、吊销许可证或者执照、较大数额罚款等重大违法记录。</w:t>
      </w:r>
    </w:p>
    <w:p w14:paraId="60B62670">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我方同时声明，在参加本次政府采购活动前，未被列入失信被执行人、</w:t>
      </w:r>
      <w:r>
        <w:rPr>
          <w:rFonts w:hint="eastAsia" w:ascii="宋体" w:hAnsi="宋体" w:cs="宋体"/>
          <w:color w:val="auto"/>
          <w:sz w:val="24"/>
          <w:szCs w:val="24"/>
          <w:highlight w:val="none"/>
          <w:lang w:eastAsia="zh-CN"/>
        </w:rPr>
        <w:t>重大税收违法失信主体</w:t>
      </w:r>
      <w:r>
        <w:rPr>
          <w:rFonts w:hint="eastAsia" w:ascii="宋体" w:hAnsi="宋体" w:cs="宋体"/>
          <w:color w:val="auto"/>
          <w:sz w:val="24"/>
          <w:szCs w:val="24"/>
          <w:highlight w:val="none"/>
        </w:rPr>
        <w:t>、政府采购严重违法失信行为记录名单。</w:t>
      </w:r>
    </w:p>
    <w:p w14:paraId="12DD4B3F">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我方对以上声明的真实性负责，接受采购人、采购代理机构根据相关政策规定进行的信用记录查询。如发现以上声明不实，我方承担相应后果。</w:t>
      </w:r>
    </w:p>
    <w:p w14:paraId="714B5260">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三、我方郑重承诺,在参加本次政府采购活动中：</w:t>
      </w:r>
    </w:p>
    <w:p w14:paraId="449588EC">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(1)不向采购人、采购代理机构和评审专家提供任何形式的商业贿赂或者提供其他不正当利益。对索取或接受商业贿赂的单位和个人，及时向财政部门和监察机关举报；</w:t>
      </w:r>
    </w:p>
    <w:p w14:paraId="7839B354">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(2)不与其它供应商串通采取围标、陪标等商业欺诈手段谋取中标(成交)；</w:t>
      </w:r>
    </w:p>
    <w:p w14:paraId="6EE939B5">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(3)不出借或借用资质；</w:t>
      </w:r>
    </w:p>
    <w:p w14:paraId="58533A39">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(4)不与采购人、采购代理机构、评审专家恶意串通；</w:t>
      </w:r>
    </w:p>
    <w:p w14:paraId="54842E9A">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(5)不采取不正当手段诋毁、排挤其他供应商；</w:t>
      </w:r>
    </w:p>
    <w:p w14:paraId="7D8700EE">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(6)不以虚假材料谋取中标(成交)；</w:t>
      </w:r>
    </w:p>
    <w:p w14:paraId="4F2E6E80">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(7)不以低于成本价或恶意低价竞争；</w:t>
      </w:r>
    </w:p>
    <w:p w14:paraId="710DF255">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(8)不与采购人在招标采购过程中进行协商谈判；</w:t>
      </w:r>
    </w:p>
    <w:p w14:paraId="66402E84">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(9)中标或者成交后不得提供假冒伪劣产品；</w:t>
      </w:r>
    </w:p>
    <w:p w14:paraId="1D92A120">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(10)中标或者成交后非因不可抗力不得变更投标(响应)文件中承诺的项目管理实施人员；</w:t>
      </w:r>
    </w:p>
    <w:p w14:paraId="39ED30AB">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(11)中标或者成交后无正当理由不得拒不与采购人签订政府采购合同；</w:t>
      </w:r>
    </w:p>
    <w:p w14:paraId="7CE3B9BF">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(12)不得有未按照采购文件确定的事项与采购人签订政府采购合同，或者与采购人另行订立背离合同实质性内容协议的行为；</w:t>
      </w:r>
    </w:p>
    <w:p w14:paraId="3967BEB5">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(13)不转包或违法分包政府采购合同，不擅自变更、中止或者终止政府采购合同；</w:t>
      </w:r>
    </w:p>
    <w:p w14:paraId="465A7765">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(14)不捏造事实、提供虚假材料或者以非法手段取得证明材料进行质疑、投诉；</w:t>
      </w:r>
    </w:p>
    <w:p w14:paraId="47F6C038">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(15)不得有拒绝有关部门监督检查或者提供虚假情况的行为；</w:t>
      </w:r>
    </w:p>
    <w:p w14:paraId="3C056A03">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(16)不得有其他违反国家法律法规和规章要求的违法犯罪或者失信行为。</w:t>
      </w:r>
    </w:p>
    <w:p w14:paraId="7F93BF1D">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四、如有违反以上声明或者承诺之一情形的，我方知悉并接受采购人、采购代理机构和政府采购监督管理部门等政府职能部门将采取以下一种或几种方式追究我方责任：</w:t>
      </w:r>
    </w:p>
    <w:p w14:paraId="24DA27DE">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1、投标(响应)无效；</w:t>
      </w:r>
    </w:p>
    <w:p w14:paraId="38A5018E">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2、不予退还投标保证金或者履约保证金；</w:t>
      </w:r>
    </w:p>
    <w:p w14:paraId="0E114691">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3、约谈法人代表或者主要负责人，责令整改；</w:t>
      </w:r>
    </w:p>
    <w:p w14:paraId="579A8574">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4、中标(成交)无效；</w:t>
      </w:r>
    </w:p>
    <w:p w14:paraId="6062E736">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5、处以采购金额千分之五以上千分之十以下的罚款，列入不良行为记录名单，在一至三年内禁止参加政府采购活动；</w:t>
      </w:r>
    </w:p>
    <w:p w14:paraId="75D93B01">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6、没收违法得所得；</w:t>
      </w:r>
    </w:p>
    <w:p w14:paraId="1DC80911">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7、吊销营业执照；</w:t>
      </w:r>
    </w:p>
    <w:p w14:paraId="7A3BC291">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8、政府相关部门的联合惩戒措施；</w:t>
      </w:r>
    </w:p>
    <w:p w14:paraId="5D1DC453">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9、追究民事责任；</w:t>
      </w:r>
    </w:p>
    <w:p w14:paraId="4E6A7EA1">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10、追究刑事责任；</w:t>
      </w:r>
    </w:p>
    <w:p w14:paraId="405E69AE">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11、法律法规规定的其他处理处罚措施。</w:t>
      </w:r>
    </w:p>
    <w:p w14:paraId="1CD9713B">
      <w:pPr>
        <w:spacing w:line="220" w:lineRule="atLeast"/>
        <w:ind w:left="440" w:leftChars="200"/>
        <w:rPr>
          <w:rFonts w:ascii="宋体" w:hAnsi="宋体" w:cs="宋体"/>
          <w:color w:val="auto"/>
          <w:sz w:val="24"/>
          <w:szCs w:val="24"/>
          <w:highlight w:val="none"/>
        </w:rPr>
      </w:pPr>
    </w:p>
    <w:p w14:paraId="7CA6264E">
      <w:pPr>
        <w:spacing w:line="220" w:lineRule="atLeast"/>
        <w:ind w:left="440" w:leftChars="200"/>
        <w:rPr>
          <w:rFonts w:ascii="宋体" w:hAnsi="宋体" w:cs="宋体"/>
          <w:color w:val="auto"/>
          <w:sz w:val="24"/>
          <w:szCs w:val="24"/>
          <w:highlight w:val="none"/>
        </w:rPr>
      </w:pPr>
    </w:p>
    <w:p w14:paraId="1824E04A">
      <w:pPr>
        <w:spacing w:line="220" w:lineRule="atLeast"/>
        <w:rPr>
          <w:rFonts w:ascii="宋体" w:hAnsi="宋体" w:cs="宋体"/>
          <w:color w:val="auto"/>
          <w:sz w:val="24"/>
          <w:szCs w:val="24"/>
          <w:highlight w:val="none"/>
        </w:rPr>
      </w:pPr>
    </w:p>
    <w:p w14:paraId="3B8FA620">
      <w:pPr>
        <w:spacing w:line="760" w:lineRule="exact"/>
        <w:ind w:firstLine="2500" w:firstLineChars="1000"/>
        <w:rPr>
          <w:rFonts w:ascii="宋体" w:hAnsi="宋体" w:cs="宋体"/>
          <w:color w:val="auto"/>
          <w:sz w:val="24"/>
          <w:szCs w:val="24"/>
          <w:highlight w:val="none"/>
          <w:u w:val="single"/>
        </w:rPr>
      </w:pPr>
      <w:r>
        <w:rPr>
          <w:rFonts w:hint="eastAsia" w:ascii="宋体" w:hAnsi="宋体" w:cs="宋体"/>
          <w:color w:val="auto"/>
          <w:sz w:val="24"/>
          <w:szCs w:val="24"/>
          <w:highlight w:val="none"/>
        </w:rPr>
        <w:t>单位名称（公章）：</w:t>
      </w:r>
      <w:r>
        <w:rPr>
          <w:rFonts w:hint="eastAsia" w:ascii="宋体" w:hAnsi="宋体" w:cs="宋体"/>
          <w:color w:val="auto"/>
          <w:sz w:val="24"/>
          <w:szCs w:val="24"/>
          <w:highlight w:val="none"/>
          <w:u w:val="single"/>
        </w:rPr>
        <w:t xml:space="preserve">                             </w:t>
      </w:r>
    </w:p>
    <w:p w14:paraId="634C2D70">
      <w:pPr>
        <w:spacing w:line="760" w:lineRule="exact"/>
        <w:ind w:firstLine="2500" w:firstLineChars="1000"/>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法定代表人或主要负责人签字</w:t>
      </w:r>
      <w:r>
        <w:rPr>
          <w:rFonts w:hint="eastAsia" w:ascii="宋体" w:hAnsi="宋体" w:cs="宋体"/>
          <w:color w:val="auto"/>
          <w:sz w:val="24"/>
          <w:szCs w:val="24"/>
          <w:highlight w:val="none"/>
          <w:lang w:eastAsia="zh-CN"/>
        </w:rPr>
        <w:t>或盖章</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p>
    <w:p w14:paraId="51EB102F">
      <w:pPr>
        <w:spacing w:line="760" w:lineRule="exact"/>
        <w:ind w:firstLine="2500" w:firstLineChars="1000"/>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法定代表人或主要负责人身份证复印件：</w:t>
      </w:r>
      <w:r>
        <w:rPr>
          <w:rFonts w:hint="eastAsia" w:ascii="宋体" w:hAnsi="宋体" w:cs="宋体"/>
          <w:color w:val="auto"/>
          <w:sz w:val="24"/>
          <w:szCs w:val="24"/>
          <w:highlight w:val="none"/>
          <w:u w:val="single"/>
        </w:rPr>
        <w:t xml:space="preserve">             </w:t>
      </w:r>
    </w:p>
    <w:p w14:paraId="5D40FAA4">
      <w:pPr>
        <w:spacing w:line="760" w:lineRule="exact"/>
        <w:ind w:firstLine="2500" w:firstLineChars="1000"/>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法定代表人或主要负责人联系电话：</w:t>
      </w:r>
      <w:r>
        <w:rPr>
          <w:rFonts w:hint="eastAsia" w:ascii="宋体" w:hAnsi="宋体" w:cs="宋体"/>
          <w:color w:val="auto"/>
          <w:sz w:val="24"/>
          <w:szCs w:val="24"/>
          <w:highlight w:val="none"/>
          <w:u w:val="single"/>
        </w:rPr>
        <w:t xml:space="preserve">                 </w:t>
      </w:r>
    </w:p>
    <w:p w14:paraId="1E999033">
      <w:pPr>
        <w:spacing w:line="760" w:lineRule="exact"/>
        <w:ind w:firstLine="2500" w:firstLineChars="1000"/>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法定代表人或主要负责人传真：</w:t>
      </w:r>
      <w:r>
        <w:rPr>
          <w:rFonts w:hint="eastAsia" w:ascii="宋体" w:hAnsi="宋体" w:cs="宋体"/>
          <w:color w:val="auto"/>
          <w:sz w:val="24"/>
          <w:szCs w:val="24"/>
          <w:highlight w:val="none"/>
          <w:u w:val="single"/>
        </w:rPr>
        <w:t xml:space="preserve">                     </w:t>
      </w:r>
    </w:p>
    <w:p w14:paraId="29D1D44C">
      <w:pPr>
        <w:spacing w:line="220" w:lineRule="atLeast"/>
        <w:rPr>
          <w:rFonts w:ascii="宋体" w:hAnsi="宋体" w:cs="宋体"/>
          <w:color w:val="auto"/>
          <w:sz w:val="24"/>
          <w:szCs w:val="24"/>
          <w:highlight w:val="none"/>
        </w:rPr>
      </w:pPr>
    </w:p>
    <w:p w14:paraId="452B10F2">
      <w:pPr>
        <w:spacing w:line="220" w:lineRule="atLeast"/>
        <w:ind w:left="440" w:leftChars="200"/>
        <w:rPr>
          <w:rFonts w:ascii="宋体" w:hAnsi="宋体" w:cs="宋体"/>
          <w:color w:val="auto"/>
          <w:sz w:val="24"/>
          <w:szCs w:val="24"/>
          <w:highlight w:val="none"/>
        </w:rPr>
      </w:pPr>
    </w:p>
    <w:p w14:paraId="49700F35">
      <w:pPr>
        <w:spacing w:line="480" w:lineRule="exact"/>
        <w:jc w:val="center"/>
        <w:rPr>
          <w:rFonts w:ascii="宋体" w:hAnsi="宋体" w:cs="宋体"/>
          <w:b/>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45E4CDC5">
      <w:pPr>
        <w:spacing w:line="480" w:lineRule="exact"/>
        <w:jc w:val="center"/>
        <w:outlineLvl w:val="1"/>
        <w:rPr>
          <w:rFonts w:ascii="宋体" w:hAnsi="宋体" w:cs="宋体"/>
          <w:b/>
          <w:color w:val="auto"/>
          <w:sz w:val="24"/>
          <w:szCs w:val="24"/>
          <w:highlight w:val="none"/>
        </w:rPr>
      </w:pPr>
    </w:p>
    <w:p w14:paraId="41446B01">
      <w:pPr>
        <w:spacing w:line="480" w:lineRule="exact"/>
        <w:jc w:val="center"/>
        <w:outlineLvl w:val="1"/>
        <w:rPr>
          <w:rFonts w:ascii="宋体" w:hAnsi="宋体" w:cs="宋体"/>
          <w:b/>
          <w:color w:val="auto"/>
          <w:sz w:val="24"/>
          <w:szCs w:val="24"/>
          <w:highlight w:val="none"/>
        </w:rPr>
      </w:pPr>
    </w:p>
    <w:p w14:paraId="468AEC10">
      <w:pPr>
        <w:spacing w:line="480" w:lineRule="exact"/>
        <w:jc w:val="center"/>
        <w:outlineLvl w:val="1"/>
        <w:rPr>
          <w:rFonts w:ascii="宋体" w:hAnsi="宋体" w:cs="宋体"/>
          <w:b/>
          <w:color w:val="auto"/>
          <w:sz w:val="24"/>
          <w:szCs w:val="24"/>
          <w:highlight w:val="none"/>
        </w:rPr>
      </w:pPr>
    </w:p>
    <w:p w14:paraId="1AA40D62">
      <w:pPr>
        <w:pStyle w:val="5"/>
        <w:ind w:firstLine="654"/>
        <w:rPr>
          <w:rFonts w:ascii="宋体" w:hAnsi="宋体" w:cs="宋体"/>
          <w:b/>
          <w:color w:val="auto"/>
          <w:sz w:val="24"/>
          <w:szCs w:val="24"/>
          <w:highlight w:val="none"/>
        </w:rPr>
      </w:pPr>
    </w:p>
    <w:p w14:paraId="74F6AD54">
      <w:pPr>
        <w:pStyle w:val="6"/>
        <w:rPr>
          <w:rFonts w:ascii="宋体" w:hAnsi="宋体" w:cs="宋体"/>
          <w:b/>
          <w:color w:val="auto"/>
          <w:sz w:val="24"/>
          <w:szCs w:val="24"/>
          <w:highlight w:val="none"/>
        </w:rPr>
      </w:pPr>
    </w:p>
    <w:p w14:paraId="7404FD69">
      <w:pPr>
        <w:rPr>
          <w:highlight w:val="none"/>
        </w:rPr>
      </w:pPr>
    </w:p>
    <w:p w14:paraId="0902DF2D">
      <w:pPr>
        <w:pStyle w:val="5"/>
        <w:ind w:left="0" w:leftChars="0" w:firstLine="0" w:firstLineChars="0"/>
        <w:rPr>
          <w:rFonts w:ascii="宋体" w:hAnsi="宋体" w:cs="宋体"/>
          <w:b/>
          <w:color w:val="auto"/>
          <w:sz w:val="24"/>
          <w:szCs w:val="24"/>
          <w:highlight w:val="none"/>
        </w:rPr>
      </w:pPr>
    </w:p>
    <w:p w14:paraId="53A25D3F">
      <w:pPr>
        <w:spacing w:before="194" w:beforeLines="50" w:after="194" w:afterLines="50" w:line="220" w:lineRule="atLeast"/>
        <w:ind w:left="440" w:leftChars="200"/>
        <w:jc w:val="center"/>
        <w:outlineLvl w:val="1"/>
        <w:rPr>
          <w:rFonts w:ascii="宋体" w:hAnsi="宋体" w:cs="宋体"/>
          <w:b/>
          <w:bCs/>
          <w:color w:val="auto"/>
          <w:sz w:val="28"/>
          <w:szCs w:val="28"/>
          <w:highlight w:val="none"/>
        </w:rPr>
      </w:pPr>
      <w:bookmarkStart w:id="81" w:name="_Toc21588"/>
      <w:r>
        <w:rPr>
          <w:rFonts w:hint="eastAsia" w:ascii="宋体" w:hAnsi="宋体" w:cs="宋体"/>
          <w:b/>
          <w:color w:val="auto"/>
          <w:sz w:val="28"/>
          <w:szCs w:val="28"/>
          <w:highlight w:val="none"/>
          <w:lang w:eastAsia="zh-CN"/>
        </w:rPr>
        <w:t>十</w:t>
      </w:r>
      <w:r>
        <w:rPr>
          <w:rFonts w:hint="eastAsia" w:ascii="宋体" w:hAnsi="宋体" w:cs="宋体"/>
          <w:b/>
          <w:color w:val="auto"/>
          <w:sz w:val="28"/>
          <w:szCs w:val="28"/>
          <w:highlight w:val="none"/>
        </w:rPr>
        <w:t>、</w:t>
      </w:r>
      <w:r>
        <w:rPr>
          <w:rFonts w:hint="eastAsia" w:ascii="宋体" w:hAnsi="宋体" w:cs="宋体"/>
          <w:b/>
          <w:bCs/>
          <w:color w:val="auto"/>
          <w:sz w:val="28"/>
          <w:szCs w:val="28"/>
          <w:highlight w:val="none"/>
        </w:rPr>
        <w:t>拒绝政府采购领域商业贿赂承诺书</w:t>
      </w:r>
      <w:bookmarkEnd w:id="81"/>
    </w:p>
    <w:p w14:paraId="68FD03E6">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为响应党中央、国务院关于治理政府采购领域商业贿赂行为的号召，我单位在此庄严承诺：</w:t>
      </w:r>
    </w:p>
    <w:p w14:paraId="2CF20CA3">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1、在参与政府采购活动中遵纪守法、诚信经营、公平竞争。</w:t>
      </w:r>
    </w:p>
    <w:p w14:paraId="76AF724B">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2、不向采购人、采购代理机构和政府采购评审专家进行任何形式的商业贿赂以谋取交易机会。</w:t>
      </w:r>
    </w:p>
    <w:p w14:paraId="6BD4CDC6">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3、不向采购代理机构和采购人提供虚假资质文件或采用虚假应标方式参与政府采购市场竞争并谋取成交。</w:t>
      </w:r>
    </w:p>
    <w:p w14:paraId="61A61B05">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4、不采取“围标、陪标”等商业欺诈手段获得政府采购定单。</w:t>
      </w:r>
    </w:p>
    <w:p w14:paraId="703BA0E0">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5、不采取不正当手段低毁、排挤其他供应商。</w:t>
      </w:r>
    </w:p>
    <w:p w14:paraId="5B6E5581">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6、不在提供商品和服务时“偷梁换柱、以次充好”损害采购人的合法权益。</w:t>
      </w:r>
    </w:p>
    <w:p w14:paraId="5B340658">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7、不与采购人、采购代理机构政府采购评审专家或其它供应商恶意串通，进行质疑和投诉，维护政府采购市场秩序。</w:t>
      </w:r>
    </w:p>
    <w:p w14:paraId="5A843FC6">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8、尊重和接受政府采购监督管理部门的监督和政府采购代理机构采购要求，承担因违约行为给采购人造成的损失。</w:t>
      </w:r>
    </w:p>
    <w:p w14:paraId="78C76A90">
      <w:pPr>
        <w:spacing w:line="56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9、不发生其他有悖于政府采购公开、公平、公正和诚信原则的行为。</w:t>
      </w:r>
    </w:p>
    <w:p w14:paraId="1B0798D2">
      <w:pPr>
        <w:spacing w:line="560" w:lineRule="exact"/>
        <w:ind w:firstLine="3500" w:firstLineChars="1400"/>
        <w:rPr>
          <w:rFonts w:hint="eastAsia" w:ascii="宋体" w:hAnsi="宋体" w:cs="宋体"/>
          <w:color w:val="auto"/>
          <w:sz w:val="24"/>
          <w:szCs w:val="24"/>
          <w:highlight w:val="none"/>
        </w:rPr>
      </w:pPr>
    </w:p>
    <w:p w14:paraId="465031C4">
      <w:pPr>
        <w:spacing w:line="560" w:lineRule="exact"/>
        <w:ind w:firstLine="3500" w:firstLineChars="1400"/>
        <w:rPr>
          <w:rFonts w:ascii="宋体" w:hAnsi="宋体" w:cs="宋体"/>
          <w:color w:val="auto"/>
          <w:sz w:val="24"/>
          <w:szCs w:val="24"/>
          <w:highlight w:val="none"/>
        </w:rPr>
      </w:pPr>
      <w:r>
        <w:rPr>
          <w:rFonts w:hint="eastAsia" w:ascii="宋体" w:hAnsi="宋体" w:cs="宋体"/>
          <w:color w:val="auto"/>
          <w:sz w:val="24"/>
          <w:szCs w:val="24"/>
          <w:highlight w:val="none"/>
        </w:rPr>
        <w:t>承诺单位：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（单位盖章）</w:t>
      </w:r>
    </w:p>
    <w:p w14:paraId="178F1782">
      <w:pPr>
        <w:spacing w:line="560" w:lineRule="exact"/>
        <w:ind w:firstLine="3500" w:firstLineChars="1400"/>
        <w:rPr>
          <w:rFonts w:ascii="宋体" w:hAnsi="宋体" w:cs="宋体"/>
          <w:color w:val="auto"/>
          <w:sz w:val="24"/>
          <w:szCs w:val="24"/>
          <w:highlight w:val="none"/>
        </w:rPr>
      </w:pPr>
      <w:r>
        <w:rPr>
          <w:rFonts w:hint="eastAsia" w:ascii="宋体" w:hAnsi="宋体" w:cs="宋体"/>
          <w:color w:val="auto"/>
          <w:sz w:val="24"/>
          <w:szCs w:val="24"/>
          <w:highlight w:val="none"/>
        </w:rPr>
        <w:t>全权代表：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3212AE9D">
      <w:pPr>
        <w:spacing w:line="560" w:lineRule="exact"/>
        <w:ind w:firstLine="3500" w:firstLineChars="1400"/>
        <w:rPr>
          <w:rFonts w:ascii="宋体" w:hAnsi="宋体" w:cs="宋体"/>
          <w:color w:val="auto"/>
          <w:sz w:val="24"/>
          <w:szCs w:val="24"/>
          <w:highlight w:val="none"/>
          <w:u w:val="singl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 xml:space="preserve">                      </w:t>
      </w:r>
    </w:p>
    <w:p w14:paraId="04F50DFC">
      <w:pPr>
        <w:spacing w:line="560" w:lineRule="exact"/>
        <w:ind w:firstLine="3500" w:firstLineChars="1400"/>
        <w:rPr>
          <w:rFonts w:ascii="宋体" w:hAnsi="宋体" w:cs="宋体"/>
          <w:color w:val="auto"/>
          <w:sz w:val="24"/>
          <w:szCs w:val="24"/>
          <w:highlight w:val="none"/>
          <w:u w:val="single"/>
        </w:rPr>
      </w:pPr>
      <w:r>
        <w:rPr>
          <w:rFonts w:hint="eastAsia" w:ascii="宋体" w:hAnsi="宋体" w:cs="宋体"/>
          <w:color w:val="auto"/>
          <w:sz w:val="24"/>
          <w:szCs w:val="24"/>
          <w:highlight w:val="none"/>
        </w:rPr>
        <w:t>邮    编：</w:t>
      </w:r>
      <w:r>
        <w:rPr>
          <w:rFonts w:hint="eastAsia" w:ascii="宋体" w:hAnsi="宋体" w:cs="宋体"/>
          <w:color w:val="auto"/>
          <w:sz w:val="24"/>
          <w:szCs w:val="24"/>
          <w:highlight w:val="none"/>
          <w:u w:val="single"/>
        </w:rPr>
        <w:t xml:space="preserve">                      </w:t>
      </w:r>
    </w:p>
    <w:p w14:paraId="037938F0">
      <w:pPr>
        <w:spacing w:line="560" w:lineRule="exact"/>
        <w:ind w:firstLine="3500" w:firstLineChars="1400"/>
        <w:rPr>
          <w:rFonts w:ascii="宋体" w:hAnsi="宋体" w:cs="宋体"/>
          <w:i/>
          <w:iCs/>
          <w:color w:val="auto"/>
          <w:sz w:val="24"/>
          <w:szCs w:val="24"/>
          <w:highlight w:val="none"/>
          <w:u w:val="single"/>
        </w:rPr>
      </w:pPr>
      <w:r>
        <w:rPr>
          <w:rFonts w:hint="eastAsia" w:ascii="宋体" w:hAnsi="宋体" w:cs="宋体"/>
          <w:color w:val="auto"/>
          <w:sz w:val="24"/>
          <w:szCs w:val="24"/>
          <w:highlight w:val="none"/>
        </w:rPr>
        <w:t>电    话：</w:t>
      </w:r>
      <w:r>
        <w:rPr>
          <w:rFonts w:hint="eastAsia" w:ascii="宋体" w:hAnsi="宋体" w:cs="宋体"/>
          <w:i/>
          <w:iCs/>
          <w:color w:val="auto"/>
          <w:sz w:val="24"/>
          <w:szCs w:val="24"/>
          <w:highlight w:val="none"/>
          <w:u w:val="single"/>
        </w:rPr>
        <w:t xml:space="preserve">                      </w:t>
      </w:r>
    </w:p>
    <w:p w14:paraId="4D9BC4F0">
      <w:pPr>
        <w:spacing w:line="500" w:lineRule="exact"/>
        <w:ind w:firstLine="500" w:firstLineChars="200"/>
        <w:rPr>
          <w:rFonts w:ascii="宋体" w:hAnsi="宋体" w:cs="宋体"/>
          <w:color w:val="auto"/>
          <w:sz w:val="24"/>
          <w:szCs w:val="24"/>
          <w:highlight w:val="none"/>
        </w:rPr>
      </w:pPr>
    </w:p>
    <w:p w14:paraId="33D70434">
      <w:pPr>
        <w:spacing w:line="220" w:lineRule="atLeast"/>
        <w:ind w:firstLine="6000" w:firstLineChars="2400"/>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6C8A6640">
      <w:pPr>
        <w:spacing w:line="700" w:lineRule="exact"/>
        <w:jc w:val="center"/>
        <w:outlineLvl w:val="1"/>
        <w:rPr>
          <w:rFonts w:ascii="宋体" w:hAnsi="宋体" w:cs="宋体"/>
          <w:b/>
          <w:color w:val="auto"/>
          <w:sz w:val="28"/>
          <w:szCs w:val="28"/>
          <w:highlight w:val="none"/>
        </w:rPr>
      </w:pPr>
      <w:bookmarkStart w:id="82" w:name="_Toc27808"/>
      <w:r>
        <w:rPr>
          <w:rFonts w:hint="eastAsia" w:ascii="宋体" w:hAnsi="宋体" w:cs="宋体"/>
          <w:b/>
          <w:color w:val="auto"/>
          <w:sz w:val="28"/>
          <w:szCs w:val="28"/>
          <w:highlight w:val="none"/>
        </w:rPr>
        <w:t>十</w:t>
      </w:r>
      <w:r>
        <w:rPr>
          <w:rFonts w:hint="eastAsia" w:ascii="宋体" w:hAnsi="宋体" w:cs="宋体"/>
          <w:b/>
          <w:color w:val="auto"/>
          <w:sz w:val="28"/>
          <w:szCs w:val="28"/>
          <w:highlight w:val="none"/>
          <w:lang w:eastAsia="zh-CN"/>
        </w:rPr>
        <w:t>一</w:t>
      </w:r>
      <w:r>
        <w:rPr>
          <w:rFonts w:hint="eastAsia" w:ascii="宋体" w:hAnsi="宋体" w:cs="宋体"/>
          <w:b/>
          <w:color w:val="auto"/>
          <w:sz w:val="28"/>
          <w:szCs w:val="28"/>
          <w:highlight w:val="none"/>
        </w:rPr>
        <w:t>、其他资料</w:t>
      </w:r>
      <w:bookmarkEnd w:id="82"/>
    </w:p>
    <w:p w14:paraId="47845DC9">
      <w:pPr>
        <w:spacing w:line="5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（供应商认为需要补充的其他资料）</w:t>
      </w:r>
    </w:p>
    <w:p w14:paraId="11B3FCD4">
      <w:pPr>
        <w:spacing w:line="560" w:lineRule="exact"/>
        <w:rPr>
          <w:rFonts w:ascii="宋体" w:hAnsi="宋体" w:cs="宋体"/>
          <w:color w:val="auto"/>
          <w:sz w:val="24"/>
          <w:szCs w:val="24"/>
          <w:highlight w:val="none"/>
        </w:rPr>
      </w:pPr>
    </w:p>
    <w:p w14:paraId="1E2526F8">
      <w:pPr>
        <w:spacing w:line="560" w:lineRule="exact"/>
        <w:rPr>
          <w:rFonts w:ascii="宋体" w:hAnsi="宋体" w:cs="宋体"/>
          <w:color w:val="auto"/>
          <w:sz w:val="24"/>
          <w:szCs w:val="24"/>
          <w:highlight w:val="none"/>
        </w:rPr>
      </w:pPr>
    </w:p>
    <w:p w14:paraId="40A2D184">
      <w:pPr>
        <w:spacing w:line="560" w:lineRule="exact"/>
        <w:rPr>
          <w:rFonts w:ascii="宋体" w:hAnsi="宋体" w:cs="宋体"/>
          <w:color w:val="auto"/>
          <w:sz w:val="24"/>
          <w:szCs w:val="24"/>
          <w:highlight w:val="none"/>
        </w:rPr>
      </w:pPr>
    </w:p>
    <w:p w14:paraId="28FABF63">
      <w:pPr>
        <w:spacing w:line="560" w:lineRule="exact"/>
        <w:rPr>
          <w:rFonts w:ascii="宋体" w:hAnsi="宋体" w:cs="宋体"/>
          <w:color w:val="auto"/>
          <w:sz w:val="24"/>
          <w:szCs w:val="24"/>
          <w:highlight w:val="none"/>
        </w:rPr>
      </w:pPr>
    </w:p>
    <w:p w14:paraId="48CCCA58">
      <w:pPr>
        <w:spacing w:line="560" w:lineRule="exact"/>
        <w:rPr>
          <w:rFonts w:ascii="宋体" w:hAnsi="宋体" w:cs="宋体"/>
          <w:color w:val="auto"/>
          <w:sz w:val="24"/>
          <w:szCs w:val="24"/>
          <w:highlight w:val="none"/>
        </w:rPr>
      </w:pPr>
    </w:p>
    <w:p w14:paraId="4A4B8965">
      <w:pPr>
        <w:spacing w:line="360" w:lineRule="auto"/>
        <w:rPr>
          <w:rFonts w:ascii="宋体" w:hAnsi="宋体" w:cs="宋体"/>
          <w:color w:val="auto"/>
          <w:sz w:val="24"/>
          <w:szCs w:val="24"/>
          <w:highlight w:val="none"/>
        </w:rPr>
      </w:pPr>
    </w:p>
    <w:p w14:paraId="59D01E86">
      <w:pPr>
        <w:rPr>
          <w:rFonts w:ascii="宋体" w:hAnsi="宋体" w:cs="宋体"/>
          <w:color w:val="auto"/>
          <w:sz w:val="24"/>
          <w:szCs w:val="24"/>
          <w:highlight w:val="none"/>
        </w:rPr>
      </w:pPr>
    </w:p>
    <w:p w14:paraId="18E34FA0">
      <w:pPr>
        <w:rPr>
          <w:rFonts w:ascii="宋体" w:hAnsi="宋体" w:cs="宋体"/>
          <w:color w:val="auto"/>
          <w:sz w:val="24"/>
          <w:szCs w:val="24"/>
          <w:highlight w:val="none"/>
        </w:rPr>
      </w:pPr>
    </w:p>
    <w:p w14:paraId="1BF2CCB1">
      <w:pPr>
        <w:rPr>
          <w:rFonts w:ascii="宋体" w:hAnsi="宋体" w:cs="宋体"/>
          <w:color w:val="auto"/>
          <w:sz w:val="24"/>
          <w:szCs w:val="24"/>
          <w:highlight w:val="none"/>
        </w:rPr>
      </w:pPr>
    </w:p>
    <w:p w14:paraId="7D7E6BC0">
      <w:pPr>
        <w:rPr>
          <w:rFonts w:ascii="宋体" w:hAnsi="宋体" w:cs="宋体"/>
          <w:color w:val="auto"/>
          <w:sz w:val="24"/>
          <w:szCs w:val="24"/>
          <w:highlight w:val="none"/>
        </w:rPr>
      </w:pPr>
    </w:p>
    <w:p w14:paraId="7B3F22FC">
      <w:pPr>
        <w:rPr>
          <w:rFonts w:ascii="宋体" w:hAnsi="宋体" w:cs="宋体"/>
          <w:color w:val="auto"/>
          <w:sz w:val="24"/>
          <w:szCs w:val="24"/>
          <w:highlight w:val="none"/>
        </w:rPr>
      </w:pPr>
    </w:p>
    <w:p w14:paraId="1222D16E">
      <w:pPr>
        <w:rPr>
          <w:rFonts w:ascii="宋体" w:hAnsi="宋体" w:cs="宋体"/>
          <w:color w:val="auto"/>
          <w:sz w:val="24"/>
          <w:szCs w:val="24"/>
          <w:highlight w:val="none"/>
        </w:rPr>
      </w:pPr>
    </w:p>
    <w:p w14:paraId="192FA77D">
      <w:pPr>
        <w:rPr>
          <w:rFonts w:ascii="宋体" w:hAnsi="宋体" w:cs="宋体"/>
          <w:color w:val="auto"/>
          <w:sz w:val="24"/>
          <w:szCs w:val="24"/>
          <w:highlight w:val="none"/>
        </w:rPr>
      </w:pPr>
    </w:p>
    <w:p w14:paraId="38147910">
      <w:pPr>
        <w:rPr>
          <w:rFonts w:ascii="宋体" w:hAnsi="宋体" w:cs="宋体"/>
          <w:color w:val="auto"/>
          <w:sz w:val="24"/>
          <w:szCs w:val="24"/>
          <w:highlight w:val="none"/>
        </w:rPr>
      </w:pPr>
    </w:p>
    <w:p w14:paraId="34588E5D">
      <w:pPr>
        <w:rPr>
          <w:rFonts w:ascii="宋体" w:hAnsi="宋体" w:cs="宋体"/>
          <w:color w:val="auto"/>
          <w:sz w:val="24"/>
          <w:szCs w:val="24"/>
          <w:highlight w:val="none"/>
        </w:rPr>
      </w:pPr>
    </w:p>
    <w:p w14:paraId="445BF748">
      <w:pPr>
        <w:rPr>
          <w:rFonts w:ascii="宋体" w:hAnsi="宋体" w:cs="宋体"/>
          <w:color w:val="auto"/>
          <w:sz w:val="24"/>
          <w:szCs w:val="24"/>
          <w:highlight w:val="none"/>
        </w:rPr>
      </w:pPr>
    </w:p>
    <w:p w14:paraId="2A551807">
      <w:pPr>
        <w:rPr>
          <w:rFonts w:ascii="宋体" w:hAnsi="宋体" w:cs="宋体"/>
          <w:color w:val="auto"/>
          <w:sz w:val="24"/>
          <w:szCs w:val="24"/>
          <w:highlight w:val="none"/>
        </w:rPr>
      </w:pPr>
    </w:p>
    <w:p w14:paraId="23267C55">
      <w:pPr>
        <w:rPr>
          <w:rFonts w:ascii="宋体" w:hAnsi="宋体" w:cs="宋体"/>
          <w:color w:val="auto"/>
          <w:sz w:val="24"/>
          <w:szCs w:val="24"/>
          <w:highlight w:val="none"/>
        </w:rPr>
      </w:pPr>
    </w:p>
    <w:p w14:paraId="43C9399F">
      <w:pPr>
        <w:rPr>
          <w:rFonts w:ascii="宋体" w:hAnsi="宋体" w:cs="宋体"/>
          <w:color w:val="auto"/>
          <w:sz w:val="24"/>
          <w:szCs w:val="24"/>
          <w:highlight w:val="none"/>
        </w:rPr>
      </w:pPr>
    </w:p>
    <w:p w14:paraId="09BC9DAD">
      <w:pPr>
        <w:rPr>
          <w:rFonts w:ascii="宋体" w:hAnsi="宋体" w:cs="宋体"/>
          <w:color w:val="auto"/>
          <w:sz w:val="24"/>
          <w:szCs w:val="24"/>
          <w:highlight w:val="none"/>
        </w:rPr>
      </w:pPr>
    </w:p>
    <w:p w14:paraId="1B97CCD2">
      <w:pPr>
        <w:rPr>
          <w:rFonts w:ascii="宋体" w:hAnsi="宋体" w:cs="宋体"/>
          <w:color w:val="auto"/>
          <w:sz w:val="24"/>
          <w:szCs w:val="24"/>
          <w:highlight w:val="none"/>
        </w:rPr>
      </w:pPr>
    </w:p>
    <w:p w14:paraId="5586984B">
      <w:pPr>
        <w:rPr>
          <w:rFonts w:ascii="宋体" w:hAnsi="宋体" w:cs="宋体"/>
          <w:color w:val="auto"/>
          <w:sz w:val="24"/>
          <w:szCs w:val="24"/>
          <w:highlight w:val="none"/>
        </w:rPr>
      </w:pPr>
    </w:p>
    <w:p w14:paraId="6959151E">
      <w:pPr>
        <w:rPr>
          <w:rFonts w:ascii="宋体" w:hAnsi="宋体" w:cs="宋体"/>
          <w:color w:val="auto"/>
          <w:sz w:val="24"/>
          <w:szCs w:val="24"/>
          <w:highlight w:val="none"/>
        </w:rPr>
      </w:pPr>
    </w:p>
    <w:p w14:paraId="1AD1E9D0">
      <w:pPr>
        <w:rPr>
          <w:rFonts w:ascii="宋体" w:hAnsi="宋体" w:cs="宋体"/>
          <w:color w:val="auto"/>
          <w:sz w:val="24"/>
          <w:szCs w:val="24"/>
          <w:highlight w:val="none"/>
        </w:rPr>
      </w:pPr>
    </w:p>
    <w:p w14:paraId="04CB950E">
      <w:pPr>
        <w:rPr>
          <w:rFonts w:ascii="宋体" w:hAnsi="宋体" w:cs="宋体"/>
          <w:color w:val="auto"/>
          <w:sz w:val="24"/>
          <w:szCs w:val="24"/>
          <w:highlight w:val="none"/>
        </w:rPr>
      </w:pPr>
    </w:p>
    <w:p w14:paraId="034362DE">
      <w:pPr>
        <w:rPr>
          <w:rFonts w:ascii="宋体" w:hAnsi="宋体" w:cs="宋体"/>
          <w:color w:val="auto"/>
          <w:sz w:val="24"/>
          <w:szCs w:val="24"/>
          <w:highlight w:val="none"/>
        </w:rPr>
      </w:pPr>
    </w:p>
    <w:p w14:paraId="32B809E3">
      <w:pPr>
        <w:rPr>
          <w:rFonts w:ascii="宋体" w:hAnsi="宋体" w:cs="宋体"/>
          <w:color w:val="auto"/>
          <w:sz w:val="24"/>
          <w:szCs w:val="24"/>
          <w:highlight w:val="none"/>
        </w:rPr>
      </w:pPr>
    </w:p>
    <w:p w14:paraId="40F36295">
      <w:pPr>
        <w:rPr>
          <w:rFonts w:ascii="宋体" w:hAnsi="宋体" w:cs="宋体"/>
          <w:color w:val="auto"/>
          <w:sz w:val="24"/>
          <w:szCs w:val="24"/>
          <w:highlight w:val="none"/>
        </w:rPr>
      </w:pPr>
    </w:p>
    <w:p w14:paraId="7F4AC184">
      <w:pPr>
        <w:spacing w:line="520" w:lineRule="exact"/>
        <w:rPr>
          <w:rFonts w:hint="eastAsia" w:ascii="宋体" w:hAnsi="宋体"/>
          <w:b/>
          <w:bCs/>
          <w:color w:val="auto"/>
          <w:sz w:val="22"/>
          <w:szCs w:val="22"/>
          <w:highlight w:val="none"/>
        </w:rPr>
      </w:pPr>
      <w:r>
        <w:rPr>
          <w:rFonts w:hint="eastAsia" w:ascii="宋体" w:hAnsi="宋体"/>
          <w:b/>
          <w:bCs/>
          <w:sz w:val="22"/>
          <w:szCs w:val="22"/>
          <w:highlight w:val="none"/>
          <w:lang w:eastAsia="zh-CN"/>
        </w:rPr>
        <w:t>以下附件为格式部分，根据采购文件要求放置响应文件相应位置，无需重复提供。</w:t>
      </w:r>
    </w:p>
    <w:p w14:paraId="2DB116CA">
      <w:pPr>
        <w:spacing w:line="520" w:lineRule="exact"/>
        <w:rPr>
          <w:rFonts w:hint="eastAsia"/>
          <w:color w:val="auto"/>
          <w:sz w:val="24"/>
          <w:szCs w:val="24"/>
          <w:highlight w:val="none"/>
        </w:rPr>
      </w:pPr>
      <w:r>
        <w:rPr>
          <w:rFonts w:hint="eastAsia" w:ascii="宋体" w:hAnsi="宋体"/>
          <w:b/>
          <w:bCs/>
          <w:color w:val="auto"/>
          <w:sz w:val="24"/>
          <w:szCs w:val="24"/>
          <w:highlight w:val="none"/>
        </w:rPr>
        <w:t>附件</w:t>
      </w:r>
      <w:r>
        <w:rPr>
          <w:rFonts w:hint="eastAsia" w:ascii="宋体" w:hAnsi="宋体"/>
          <w:b/>
          <w:bCs/>
          <w:color w:val="auto"/>
          <w:sz w:val="24"/>
          <w:szCs w:val="24"/>
          <w:highlight w:val="none"/>
          <w:lang w:val="en-US" w:eastAsia="zh-CN"/>
        </w:rPr>
        <w:t>1</w:t>
      </w:r>
      <w:r>
        <w:rPr>
          <w:rFonts w:hint="eastAsia" w:ascii="宋体" w:hAnsi="宋体"/>
          <w:b/>
          <w:bCs/>
          <w:color w:val="auto"/>
          <w:sz w:val="24"/>
          <w:szCs w:val="24"/>
          <w:highlight w:val="none"/>
        </w:rPr>
        <w:t>：</w:t>
      </w:r>
    </w:p>
    <w:p w14:paraId="53D7F76B">
      <w:pPr>
        <w:pageBreakBefore w:val="0"/>
        <w:wordWrap/>
        <w:overflowPunct/>
        <w:topLinePunct w:val="0"/>
        <w:bidi w:val="0"/>
        <w:spacing w:line="520" w:lineRule="exact"/>
        <w:jc w:val="center"/>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中小企业声明函</w:t>
      </w:r>
    </w:p>
    <w:p w14:paraId="6ACE053A">
      <w:pPr>
        <w:pageBreakBefore w:val="0"/>
        <w:wordWrap/>
        <w:overflowPunct/>
        <w:topLinePunct w:val="0"/>
        <w:bidi w:val="0"/>
        <w:spacing w:line="560" w:lineRule="exact"/>
        <w:ind w:firstLine="50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本公司(联合体)郑重声明，根据《政府采购促进中小企业发展管理办法》(财库( 2020 )46号)的规定，本公司(联合体)参加</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(单位名称)的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(项目名称)采购活动，工程的施工单位全部为符合政策要求的中小企业(或者:服务全部由符合政策要求的中小企业承接)。相关企业(含联合体中的中小企业、签订分包意向协议的中小企业)的具体情况如下:</w:t>
      </w:r>
    </w:p>
    <w:p w14:paraId="77AA32BB">
      <w:pPr>
        <w:pageBreakBefore w:val="0"/>
        <w:wordWrap/>
        <w:overflowPunct/>
        <w:topLinePunct w:val="0"/>
        <w:bidi w:val="0"/>
        <w:spacing w:line="560" w:lineRule="exact"/>
        <w:ind w:firstLine="50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(标的名称)</w:t>
      </w:r>
      <w:r>
        <w:rPr>
          <w:rFonts w:hint="eastAsia" w:asciiTheme="minorEastAsia" w:hAnsiTheme="minorEastAsia" w:eastAsiaTheme="minorEastAsia" w:cstheme="minorEastAsia"/>
          <w:color w:val="auto"/>
          <w:sz w:val="24"/>
          <w:szCs w:val="24"/>
          <w:highlight w:val="none"/>
        </w:rPr>
        <w:t xml:space="preserve"> ,属于</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rPr>
        <w:t>采购文件中明确的所属行业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rPr>
        <w:t>承建(承接)企业为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人， 营业收入为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万元， 资产总额为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万元， 属于</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rPr>
        <w:t>中型企业、小型企业、微型企业</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lang w:eastAsia="zh-CN"/>
        </w:rPr>
        <w:t>；</w:t>
      </w:r>
    </w:p>
    <w:p w14:paraId="53D338E2">
      <w:pPr>
        <w:pageBreakBefore w:val="0"/>
        <w:wordWrap/>
        <w:overflowPunct/>
        <w:topLinePunct w:val="0"/>
        <w:bidi w:val="0"/>
        <w:spacing w:line="560" w:lineRule="exact"/>
        <w:ind w:firstLine="50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以上企业，不属于大企业的分支机构，不存在控股股东为大企业的情形，也不存在与大企业的负责人为同一人的情形。</w:t>
      </w:r>
    </w:p>
    <w:p w14:paraId="0FD43F07">
      <w:pPr>
        <w:pageBreakBefore w:val="0"/>
        <w:wordWrap/>
        <w:overflowPunct/>
        <w:topLinePunct w:val="0"/>
        <w:bidi w:val="0"/>
        <w:spacing w:line="560" w:lineRule="exact"/>
        <w:ind w:firstLine="50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本企业对上述声明内容的真实性负责。如有虚假，将依法承担相应责任。</w:t>
      </w:r>
    </w:p>
    <w:p w14:paraId="625A2764">
      <w:pPr>
        <w:pStyle w:val="5"/>
        <w:ind w:left="0" w:leftChars="0" w:firstLine="0" w:firstLineChars="0"/>
        <w:rPr>
          <w:rFonts w:hint="eastAsia" w:asciiTheme="minorEastAsia" w:hAnsiTheme="minorEastAsia" w:eastAsiaTheme="minorEastAsia" w:cstheme="minorEastAsia"/>
          <w:color w:val="auto"/>
          <w:sz w:val="24"/>
          <w:szCs w:val="24"/>
          <w:highlight w:val="none"/>
        </w:rPr>
      </w:pPr>
    </w:p>
    <w:p w14:paraId="54532B24">
      <w:pPr>
        <w:pageBreakBefore w:val="0"/>
        <w:wordWrap/>
        <w:overflowPunct/>
        <w:topLinePunct w:val="0"/>
        <w:bidi w:val="0"/>
        <w:spacing w:line="480" w:lineRule="auto"/>
        <w:ind w:firstLine="3750" w:firstLineChars="15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企业名称(盖章):</w:t>
      </w:r>
    </w:p>
    <w:p w14:paraId="4DBEEDA2">
      <w:pPr>
        <w:pageBreakBefore w:val="0"/>
        <w:wordWrap/>
        <w:overflowPunct/>
        <w:topLinePunct w:val="0"/>
        <w:bidi w:val="0"/>
        <w:spacing w:line="480" w:lineRule="auto"/>
        <w:ind w:firstLine="3750" w:firstLineChars="15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p w14:paraId="135FEAD0">
      <w:pPr>
        <w:pageBreakBefore w:val="0"/>
        <w:wordWrap/>
        <w:overflowPunct/>
        <w:topLinePunct w:val="0"/>
        <w:bidi w:val="0"/>
        <w:spacing w:line="380" w:lineRule="exac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注：</w:t>
      </w:r>
      <w:r>
        <w:rPr>
          <w:rFonts w:hint="eastAsia" w:asciiTheme="minorEastAsia" w:hAnsiTheme="minorEastAsia" w:eastAsiaTheme="minorEastAsia" w:cstheme="minorEastAsia"/>
          <w:color w:val="auto"/>
          <w:sz w:val="24"/>
          <w:szCs w:val="24"/>
          <w:highlight w:val="none"/>
        </w:rPr>
        <w:t>从业人员、营业收入、资产总额填报上</w:t>
      </w:r>
      <w:r>
        <w:rPr>
          <w:rFonts w:hint="eastAsia" w:asciiTheme="minorEastAsia" w:hAnsiTheme="minorEastAsia" w:eastAsiaTheme="minorEastAsia" w:cstheme="minorEastAsia"/>
          <w:color w:val="auto"/>
          <w:sz w:val="24"/>
          <w:szCs w:val="24"/>
          <w:highlight w:val="none"/>
          <w:lang w:eastAsia="zh-CN"/>
        </w:rPr>
        <w:t>一</w:t>
      </w:r>
      <w:r>
        <w:rPr>
          <w:rFonts w:hint="eastAsia" w:asciiTheme="minorEastAsia" w:hAnsiTheme="minorEastAsia" w:eastAsiaTheme="minorEastAsia" w:cstheme="minorEastAsia"/>
          <w:color w:val="auto"/>
          <w:sz w:val="24"/>
          <w:szCs w:val="24"/>
          <w:highlight w:val="none"/>
        </w:rPr>
        <w:t>年度数据，无上</w:t>
      </w:r>
      <w:r>
        <w:rPr>
          <w:rFonts w:hint="eastAsia" w:asciiTheme="minorEastAsia" w:hAnsiTheme="minorEastAsia" w:eastAsiaTheme="minorEastAsia" w:cstheme="minorEastAsia"/>
          <w:color w:val="auto"/>
          <w:sz w:val="24"/>
          <w:szCs w:val="24"/>
          <w:highlight w:val="none"/>
          <w:lang w:eastAsia="zh-CN"/>
        </w:rPr>
        <w:t>一</w:t>
      </w:r>
      <w:r>
        <w:rPr>
          <w:rFonts w:hint="eastAsia" w:asciiTheme="minorEastAsia" w:hAnsiTheme="minorEastAsia" w:eastAsiaTheme="minorEastAsia" w:cstheme="minorEastAsia"/>
          <w:color w:val="auto"/>
          <w:sz w:val="24"/>
          <w:szCs w:val="24"/>
          <w:highlight w:val="none"/>
        </w:rPr>
        <w:t>年度数据的新成立企业可不填报。</w:t>
      </w:r>
    </w:p>
    <w:p w14:paraId="5A763698">
      <w:pPr>
        <w:pageBreakBefore w:val="0"/>
        <w:wordWrap/>
        <w:overflowPunct/>
        <w:topLinePunct w:val="0"/>
        <w:bidi w:val="0"/>
        <w:spacing w:line="380" w:lineRule="exact"/>
        <w:outlineLvl w:val="9"/>
        <w:rPr>
          <w:rFonts w:hint="eastAsia" w:asciiTheme="minorEastAsia" w:hAnsiTheme="minorEastAsia" w:eastAsiaTheme="minorEastAsia" w:cstheme="minorEastAsia"/>
          <w:color w:val="auto"/>
          <w:sz w:val="24"/>
          <w:szCs w:val="24"/>
          <w:highlight w:val="none"/>
        </w:rPr>
      </w:pPr>
    </w:p>
    <w:p w14:paraId="0F974C0E">
      <w:pPr>
        <w:pageBreakBefore w:val="0"/>
        <w:wordWrap/>
        <w:overflowPunct/>
        <w:topLinePunct w:val="0"/>
        <w:bidi w:val="0"/>
        <w:spacing w:line="380" w:lineRule="exact"/>
        <w:outlineLvl w:val="9"/>
        <w:rPr>
          <w:rFonts w:hint="eastAsia" w:asciiTheme="minorEastAsia" w:hAnsiTheme="minorEastAsia" w:eastAsiaTheme="minorEastAsia" w:cstheme="minorEastAsia"/>
          <w:color w:val="auto"/>
          <w:sz w:val="24"/>
          <w:szCs w:val="24"/>
          <w:highlight w:val="none"/>
        </w:rPr>
      </w:pPr>
    </w:p>
    <w:p w14:paraId="44954E7C">
      <w:pPr>
        <w:pageBreakBefore w:val="0"/>
        <w:wordWrap/>
        <w:overflowPunct/>
        <w:topLinePunct w:val="0"/>
        <w:bidi w:val="0"/>
        <w:spacing w:line="380" w:lineRule="exact"/>
        <w:outlineLvl w:val="9"/>
        <w:rPr>
          <w:rFonts w:hint="eastAsia" w:asciiTheme="minorEastAsia" w:hAnsiTheme="minorEastAsia" w:eastAsiaTheme="minorEastAsia" w:cstheme="minorEastAsia"/>
          <w:color w:val="auto"/>
          <w:sz w:val="24"/>
          <w:szCs w:val="24"/>
          <w:highlight w:val="none"/>
        </w:rPr>
      </w:pPr>
    </w:p>
    <w:p w14:paraId="4652B0B2">
      <w:pPr>
        <w:pageBreakBefore w:val="0"/>
        <w:wordWrap/>
        <w:overflowPunct/>
        <w:topLinePunct w:val="0"/>
        <w:bidi w:val="0"/>
        <w:spacing w:line="380" w:lineRule="exact"/>
        <w:outlineLvl w:val="9"/>
        <w:rPr>
          <w:rFonts w:hint="eastAsia" w:asciiTheme="minorEastAsia" w:hAnsiTheme="minorEastAsia" w:eastAsiaTheme="minorEastAsia" w:cstheme="minorEastAsia"/>
          <w:color w:val="auto"/>
          <w:sz w:val="24"/>
          <w:szCs w:val="24"/>
          <w:highlight w:val="none"/>
        </w:rPr>
      </w:pPr>
    </w:p>
    <w:p w14:paraId="29F826B7">
      <w:pPr>
        <w:pageBreakBefore w:val="0"/>
        <w:wordWrap/>
        <w:overflowPunct/>
        <w:topLinePunct w:val="0"/>
        <w:bidi w:val="0"/>
        <w:spacing w:line="380" w:lineRule="exact"/>
        <w:outlineLvl w:val="9"/>
        <w:rPr>
          <w:rFonts w:hint="eastAsia" w:asciiTheme="minorEastAsia" w:hAnsiTheme="minorEastAsia" w:eastAsiaTheme="minorEastAsia" w:cstheme="minorEastAsia"/>
          <w:color w:val="auto"/>
          <w:sz w:val="24"/>
          <w:szCs w:val="24"/>
          <w:highlight w:val="none"/>
        </w:rPr>
      </w:pPr>
    </w:p>
    <w:p w14:paraId="2E77A0A7">
      <w:pPr>
        <w:pageBreakBefore w:val="0"/>
        <w:wordWrap/>
        <w:overflowPunct/>
        <w:topLinePunct w:val="0"/>
        <w:bidi w:val="0"/>
        <w:spacing w:line="380" w:lineRule="exact"/>
        <w:outlineLvl w:val="9"/>
        <w:rPr>
          <w:rFonts w:hint="eastAsia" w:asciiTheme="minorEastAsia" w:hAnsiTheme="minorEastAsia" w:eastAsiaTheme="minorEastAsia" w:cstheme="minorEastAsia"/>
          <w:color w:val="auto"/>
          <w:sz w:val="24"/>
          <w:szCs w:val="24"/>
          <w:highlight w:val="none"/>
        </w:rPr>
      </w:pPr>
    </w:p>
    <w:p w14:paraId="638A9E1E">
      <w:pPr>
        <w:pageBreakBefore w:val="0"/>
        <w:wordWrap/>
        <w:overflowPunct/>
        <w:topLinePunct w:val="0"/>
        <w:bidi w:val="0"/>
        <w:spacing w:line="380" w:lineRule="exact"/>
        <w:outlineLvl w:val="9"/>
        <w:rPr>
          <w:rFonts w:hint="eastAsia" w:asciiTheme="minorEastAsia" w:hAnsiTheme="minorEastAsia" w:eastAsiaTheme="minorEastAsia" w:cstheme="minorEastAsia"/>
          <w:color w:val="auto"/>
          <w:sz w:val="24"/>
          <w:szCs w:val="24"/>
          <w:highlight w:val="none"/>
        </w:rPr>
      </w:pPr>
    </w:p>
    <w:p w14:paraId="3BE8F94D">
      <w:pPr>
        <w:pageBreakBefore w:val="0"/>
        <w:wordWrap/>
        <w:overflowPunct/>
        <w:topLinePunct w:val="0"/>
        <w:bidi w:val="0"/>
        <w:spacing w:line="380" w:lineRule="exact"/>
        <w:outlineLvl w:val="9"/>
        <w:rPr>
          <w:rFonts w:hint="eastAsia" w:asciiTheme="minorEastAsia" w:hAnsiTheme="minorEastAsia" w:eastAsiaTheme="minorEastAsia" w:cstheme="minorEastAsia"/>
          <w:color w:val="auto"/>
          <w:sz w:val="24"/>
          <w:szCs w:val="24"/>
          <w:highlight w:val="none"/>
        </w:rPr>
      </w:pPr>
    </w:p>
    <w:p w14:paraId="5980C2E8">
      <w:pPr>
        <w:spacing w:line="520" w:lineRule="exact"/>
        <w:rPr>
          <w:rFonts w:ascii="宋体" w:hAnsi="宋体" w:cs="宋体"/>
          <w:color w:val="auto"/>
          <w:sz w:val="24"/>
          <w:szCs w:val="24"/>
          <w:highlight w:val="none"/>
        </w:rPr>
      </w:pPr>
      <w:r>
        <w:rPr>
          <w:rFonts w:hint="eastAsia" w:ascii="宋体" w:hAnsi="宋体"/>
          <w:b/>
          <w:bCs/>
          <w:color w:val="auto"/>
          <w:sz w:val="24"/>
          <w:szCs w:val="24"/>
          <w:highlight w:val="none"/>
        </w:rPr>
        <w:t>附件</w:t>
      </w:r>
      <w:r>
        <w:rPr>
          <w:rFonts w:hint="eastAsia" w:ascii="宋体" w:hAnsi="宋体"/>
          <w:b/>
          <w:bCs/>
          <w:color w:val="auto"/>
          <w:sz w:val="24"/>
          <w:szCs w:val="24"/>
          <w:highlight w:val="none"/>
          <w:lang w:val="en-US" w:eastAsia="zh-CN"/>
        </w:rPr>
        <w:t>2</w:t>
      </w:r>
      <w:r>
        <w:rPr>
          <w:rFonts w:hint="eastAsia" w:ascii="宋体" w:hAnsi="宋体"/>
          <w:b/>
          <w:bCs/>
          <w:color w:val="auto"/>
          <w:sz w:val="24"/>
          <w:szCs w:val="24"/>
          <w:highlight w:val="none"/>
        </w:rPr>
        <w:t>：</w:t>
      </w:r>
    </w:p>
    <w:p w14:paraId="00578DBB">
      <w:pPr>
        <w:keepNext/>
        <w:keepLines/>
        <w:spacing w:line="7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监狱企业证明材料</w:t>
      </w:r>
    </w:p>
    <w:p w14:paraId="3CDA7A02">
      <w:pPr>
        <w:spacing w:line="360" w:lineRule="auto"/>
        <w:rPr>
          <w:rFonts w:ascii="宋体" w:hAnsi="宋体" w:cs="宋体"/>
          <w:b/>
          <w:color w:val="auto"/>
          <w:spacing w:val="6"/>
          <w:sz w:val="24"/>
          <w:szCs w:val="24"/>
          <w:highlight w:val="none"/>
        </w:rPr>
      </w:pPr>
      <w:r>
        <w:rPr>
          <w:rFonts w:hint="eastAsia" w:ascii="宋体" w:hAnsi="宋体" w:cs="宋体"/>
          <w:b/>
          <w:color w:val="auto"/>
          <w:spacing w:val="6"/>
          <w:sz w:val="24"/>
          <w:szCs w:val="24"/>
          <w:highlight w:val="none"/>
        </w:rPr>
        <w:t>说明</w:t>
      </w:r>
    </w:p>
    <w:p w14:paraId="64F09893">
      <w:pPr>
        <w:spacing w:line="360" w:lineRule="auto"/>
        <w:ind w:firstLine="500" w:firstLineChars="200"/>
        <w:rPr>
          <w:rFonts w:ascii="宋体" w:hAnsi="宋体" w:cs="宋体"/>
          <w:b/>
          <w:color w:val="auto"/>
          <w:spacing w:val="6"/>
          <w:sz w:val="24"/>
          <w:szCs w:val="24"/>
          <w:highlight w:val="none"/>
        </w:rPr>
      </w:pPr>
      <w:r>
        <w:rPr>
          <w:rFonts w:hint="eastAsia" w:ascii="宋体" w:hAnsi="宋体" w:cs="宋体"/>
          <w:color w:val="auto"/>
          <w:sz w:val="24"/>
          <w:szCs w:val="24"/>
          <w:highlight w:val="none"/>
        </w:rPr>
        <w:t>1.监狱企业参加政府采购活动时，应当提供由省级以上监狱管理局、戒毒管理局(含新疆生产建设兵团)出具的属于监狱企业的证明文件。监狱企业参加政府采购活动时，视同小型、微型企业。</w:t>
      </w:r>
    </w:p>
    <w:p w14:paraId="5AD3B8B8">
      <w:pPr>
        <w:spacing w:line="360" w:lineRule="auto"/>
        <w:ind w:firstLine="420"/>
        <w:rPr>
          <w:rFonts w:ascii="宋体" w:hAnsi="宋体" w:cs="宋体"/>
          <w:color w:val="auto"/>
          <w:sz w:val="24"/>
          <w:szCs w:val="24"/>
          <w:highlight w:val="none"/>
        </w:rPr>
      </w:pPr>
      <w:r>
        <w:rPr>
          <w:rFonts w:hint="eastAsia" w:ascii="宋体" w:hAnsi="宋体" w:cs="宋体"/>
          <w:color w:val="auto"/>
          <w:spacing w:val="6"/>
          <w:sz w:val="24"/>
          <w:szCs w:val="24"/>
          <w:highlight w:val="none"/>
        </w:rPr>
        <w:t>2.</w:t>
      </w:r>
      <w:r>
        <w:rPr>
          <w:rFonts w:hint="eastAsia" w:ascii="宋体" w:hAnsi="宋体" w:cs="宋体"/>
          <w:color w:val="auto"/>
          <w:sz w:val="24"/>
          <w:szCs w:val="24"/>
          <w:highlight w:val="none"/>
        </w:rPr>
        <w:t>如未提供证明材料的，则其不能享受磋商文件规定的价格扣减，但不影响供应商</w:t>
      </w:r>
      <w:r>
        <w:rPr>
          <w:rFonts w:hint="eastAsia" w:ascii="宋体" w:hAnsi="宋体" w:cs="宋体"/>
          <w:bCs/>
          <w:color w:val="auto"/>
          <w:sz w:val="24"/>
          <w:szCs w:val="24"/>
          <w:highlight w:val="none"/>
          <w:lang w:val="zh-CN"/>
        </w:rPr>
        <w:t>磋商响应</w:t>
      </w:r>
      <w:r>
        <w:rPr>
          <w:rFonts w:hint="eastAsia" w:ascii="宋体" w:hAnsi="宋体" w:cs="宋体"/>
          <w:color w:val="auto"/>
          <w:sz w:val="24"/>
          <w:szCs w:val="24"/>
          <w:highlight w:val="none"/>
        </w:rPr>
        <w:t>文件的有效性。</w:t>
      </w:r>
    </w:p>
    <w:p w14:paraId="6D491DC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ab/>
      </w:r>
      <w:r>
        <w:rPr>
          <w:rFonts w:hint="eastAsia" w:ascii="宋体" w:hAnsi="宋体" w:cs="宋体"/>
          <w:color w:val="auto"/>
          <w:sz w:val="24"/>
          <w:szCs w:val="24"/>
          <w:highlight w:val="none"/>
        </w:rPr>
        <w:t>3.非监狱企业可以不提供本材料。</w:t>
      </w:r>
    </w:p>
    <w:p w14:paraId="2F304AC5">
      <w:pPr>
        <w:spacing w:line="520" w:lineRule="exact"/>
        <w:jc w:val="center"/>
        <w:rPr>
          <w:rFonts w:ascii="宋体" w:hAnsi="宋体" w:cs="宋体"/>
          <w:b/>
          <w:bCs/>
          <w:color w:val="auto"/>
          <w:sz w:val="24"/>
          <w:szCs w:val="24"/>
          <w:highlight w:val="none"/>
        </w:rPr>
      </w:pPr>
    </w:p>
    <w:p w14:paraId="1E1FBD3A">
      <w:pPr>
        <w:spacing w:line="520" w:lineRule="exact"/>
        <w:jc w:val="center"/>
        <w:rPr>
          <w:rFonts w:ascii="宋体" w:hAnsi="宋体" w:cs="宋体"/>
          <w:b/>
          <w:bCs/>
          <w:color w:val="auto"/>
          <w:sz w:val="24"/>
          <w:szCs w:val="24"/>
          <w:highlight w:val="none"/>
        </w:rPr>
      </w:pPr>
    </w:p>
    <w:p w14:paraId="13B63074">
      <w:pPr>
        <w:spacing w:line="520" w:lineRule="exact"/>
        <w:jc w:val="center"/>
        <w:rPr>
          <w:rFonts w:ascii="宋体" w:hAnsi="宋体" w:cs="宋体"/>
          <w:b/>
          <w:bCs/>
          <w:color w:val="auto"/>
          <w:sz w:val="24"/>
          <w:szCs w:val="24"/>
          <w:highlight w:val="none"/>
        </w:rPr>
      </w:pPr>
    </w:p>
    <w:p w14:paraId="621D8CBF">
      <w:pPr>
        <w:spacing w:line="520" w:lineRule="exact"/>
        <w:jc w:val="center"/>
        <w:rPr>
          <w:rFonts w:ascii="宋体" w:hAnsi="宋体" w:cs="宋体"/>
          <w:b/>
          <w:bCs/>
          <w:color w:val="auto"/>
          <w:sz w:val="24"/>
          <w:szCs w:val="24"/>
          <w:highlight w:val="none"/>
        </w:rPr>
      </w:pPr>
    </w:p>
    <w:p w14:paraId="6577C302">
      <w:pPr>
        <w:spacing w:line="520" w:lineRule="exact"/>
        <w:jc w:val="center"/>
        <w:rPr>
          <w:rFonts w:ascii="宋体" w:hAnsi="宋体" w:cs="宋体"/>
          <w:b/>
          <w:bCs/>
          <w:color w:val="auto"/>
          <w:sz w:val="24"/>
          <w:szCs w:val="24"/>
          <w:highlight w:val="none"/>
        </w:rPr>
      </w:pPr>
    </w:p>
    <w:p w14:paraId="360DA0CE">
      <w:pPr>
        <w:spacing w:line="520" w:lineRule="exact"/>
        <w:jc w:val="center"/>
        <w:rPr>
          <w:rFonts w:ascii="宋体" w:hAnsi="宋体" w:cs="宋体"/>
          <w:b/>
          <w:bCs/>
          <w:color w:val="auto"/>
          <w:sz w:val="24"/>
          <w:szCs w:val="24"/>
          <w:highlight w:val="none"/>
        </w:rPr>
      </w:pPr>
    </w:p>
    <w:p w14:paraId="655CDE1E">
      <w:pPr>
        <w:spacing w:line="520" w:lineRule="exact"/>
        <w:jc w:val="center"/>
        <w:rPr>
          <w:rFonts w:ascii="宋体" w:hAnsi="宋体" w:cs="宋体"/>
          <w:b/>
          <w:bCs/>
          <w:color w:val="auto"/>
          <w:sz w:val="24"/>
          <w:szCs w:val="24"/>
          <w:highlight w:val="none"/>
        </w:rPr>
      </w:pPr>
    </w:p>
    <w:p w14:paraId="2E379A2E">
      <w:pPr>
        <w:spacing w:line="520" w:lineRule="exact"/>
        <w:jc w:val="center"/>
        <w:rPr>
          <w:rFonts w:ascii="宋体" w:hAnsi="宋体" w:cs="宋体"/>
          <w:b/>
          <w:bCs/>
          <w:color w:val="auto"/>
          <w:sz w:val="24"/>
          <w:szCs w:val="24"/>
          <w:highlight w:val="none"/>
        </w:rPr>
      </w:pPr>
    </w:p>
    <w:p w14:paraId="53E4071B">
      <w:pPr>
        <w:spacing w:line="520" w:lineRule="exact"/>
        <w:jc w:val="center"/>
        <w:rPr>
          <w:rFonts w:ascii="宋体" w:hAnsi="宋体" w:cs="宋体"/>
          <w:b/>
          <w:bCs/>
          <w:color w:val="auto"/>
          <w:sz w:val="24"/>
          <w:szCs w:val="24"/>
          <w:highlight w:val="none"/>
        </w:rPr>
      </w:pPr>
    </w:p>
    <w:p w14:paraId="0D837A62">
      <w:pPr>
        <w:spacing w:line="520" w:lineRule="exact"/>
        <w:jc w:val="center"/>
        <w:rPr>
          <w:rFonts w:ascii="宋体" w:hAnsi="宋体" w:cs="宋体"/>
          <w:b/>
          <w:bCs/>
          <w:color w:val="auto"/>
          <w:sz w:val="24"/>
          <w:szCs w:val="24"/>
          <w:highlight w:val="none"/>
        </w:rPr>
      </w:pPr>
    </w:p>
    <w:p w14:paraId="1BFBD7AA">
      <w:pPr>
        <w:spacing w:line="520" w:lineRule="exact"/>
        <w:jc w:val="center"/>
        <w:rPr>
          <w:rFonts w:ascii="宋体" w:hAnsi="宋体" w:cs="宋体"/>
          <w:b/>
          <w:bCs/>
          <w:color w:val="auto"/>
          <w:sz w:val="24"/>
          <w:szCs w:val="24"/>
          <w:highlight w:val="none"/>
        </w:rPr>
      </w:pPr>
    </w:p>
    <w:p w14:paraId="6F2DF571">
      <w:pPr>
        <w:spacing w:line="520" w:lineRule="exact"/>
        <w:jc w:val="center"/>
        <w:rPr>
          <w:rFonts w:ascii="宋体" w:hAnsi="宋体" w:cs="宋体"/>
          <w:b/>
          <w:bCs/>
          <w:color w:val="auto"/>
          <w:sz w:val="24"/>
          <w:szCs w:val="24"/>
          <w:highlight w:val="none"/>
        </w:rPr>
      </w:pPr>
    </w:p>
    <w:p w14:paraId="3289E3C5">
      <w:pPr>
        <w:spacing w:line="520" w:lineRule="exact"/>
        <w:jc w:val="center"/>
        <w:rPr>
          <w:rFonts w:ascii="宋体" w:hAnsi="宋体" w:cs="宋体"/>
          <w:b/>
          <w:bCs/>
          <w:color w:val="auto"/>
          <w:sz w:val="24"/>
          <w:szCs w:val="24"/>
          <w:highlight w:val="none"/>
        </w:rPr>
      </w:pPr>
    </w:p>
    <w:p w14:paraId="5F1952A1">
      <w:pPr>
        <w:spacing w:line="520" w:lineRule="exact"/>
        <w:jc w:val="center"/>
        <w:rPr>
          <w:rFonts w:ascii="宋体" w:hAnsi="宋体" w:cs="宋体"/>
          <w:b/>
          <w:bCs/>
          <w:color w:val="auto"/>
          <w:sz w:val="24"/>
          <w:szCs w:val="24"/>
          <w:highlight w:val="none"/>
        </w:rPr>
      </w:pPr>
    </w:p>
    <w:p w14:paraId="20F0FF94">
      <w:pPr>
        <w:spacing w:line="520" w:lineRule="exact"/>
        <w:jc w:val="both"/>
        <w:rPr>
          <w:rFonts w:ascii="宋体" w:hAnsi="宋体" w:cs="宋体"/>
          <w:b/>
          <w:bCs/>
          <w:color w:val="auto"/>
          <w:sz w:val="24"/>
          <w:szCs w:val="24"/>
          <w:highlight w:val="none"/>
        </w:rPr>
      </w:pPr>
    </w:p>
    <w:p w14:paraId="5CB50686">
      <w:pPr>
        <w:spacing w:line="520" w:lineRule="exact"/>
        <w:rPr>
          <w:rFonts w:ascii="宋体" w:hAnsi="宋体" w:cs="宋体"/>
          <w:b/>
          <w:bCs/>
          <w:color w:val="auto"/>
          <w:sz w:val="24"/>
          <w:szCs w:val="24"/>
          <w:highlight w:val="none"/>
        </w:rPr>
      </w:pPr>
      <w:r>
        <w:rPr>
          <w:rFonts w:hint="eastAsia" w:ascii="宋体" w:hAnsi="宋体"/>
          <w:b/>
          <w:bCs/>
          <w:color w:val="auto"/>
          <w:sz w:val="24"/>
          <w:szCs w:val="24"/>
          <w:highlight w:val="none"/>
        </w:rPr>
        <w:t>附件</w:t>
      </w:r>
      <w:r>
        <w:rPr>
          <w:rFonts w:hint="eastAsia" w:ascii="宋体" w:hAnsi="宋体"/>
          <w:b/>
          <w:bCs/>
          <w:color w:val="auto"/>
          <w:sz w:val="24"/>
          <w:szCs w:val="24"/>
          <w:highlight w:val="none"/>
          <w:lang w:val="en-US" w:eastAsia="zh-CN"/>
        </w:rPr>
        <w:t>3</w:t>
      </w:r>
      <w:r>
        <w:rPr>
          <w:rFonts w:hint="eastAsia" w:ascii="宋体" w:hAnsi="宋体"/>
          <w:b/>
          <w:bCs/>
          <w:color w:val="auto"/>
          <w:sz w:val="24"/>
          <w:szCs w:val="24"/>
          <w:highlight w:val="none"/>
        </w:rPr>
        <w:t>：</w:t>
      </w:r>
    </w:p>
    <w:p w14:paraId="5A5BD005">
      <w:pPr>
        <w:spacing w:line="700" w:lineRule="exact"/>
        <w:jc w:val="center"/>
        <w:rPr>
          <w:rFonts w:ascii="宋体" w:hAnsi="宋体" w:cs="宋体"/>
          <w:color w:val="auto"/>
          <w:sz w:val="24"/>
          <w:szCs w:val="24"/>
          <w:highlight w:val="none"/>
        </w:rPr>
      </w:pPr>
      <w:r>
        <w:rPr>
          <w:rFonts w:hint="eastAsia" w:ascii="宋体" w:hAnsi="宋体" w:cs="宋体"/>
          <w:b/>
          <w:bCs/>
          <w:color w:val="auto"/>
          <w:sz w:val="24"/>
          <w:szCs w:val="24"/>
          <w:highlight w:val="none"/>
        </w:rPr>
        <w:t>残疾人福利性单位声明函</w:t>
      </w:r>
    </w:p>
    <w:p w14:paraId="1CC6B98B">
      <w:pPr>
        <w:spacing w:line="60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单位的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1EC5D51F">
      <w:pPr>
        <w:spacing w:line="600" w:lineRule="exact"/>
        <w:ind w:firstLine="500" w:firstLineChars="200"/>
        <w:rPr>
          <w:rFonts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 应责任。</w:t>
      </w:r>
    </w:p>
    <w:p w14:paraId="57DD95E3">
      <w:pPr>
        <w:spacing w:line="520" w:lineRule="exact"/>
        <w:rPr>
          <w:rFonts w:ascii="宋体" w:hAnsi="宋体" w:cs="宋体"/>
          <w:color w:val="auto"/>
          <w:sz w:val="24"/>
          <w:szCs w:val="24"/>
          <w:highlight w:val="none"/>
        </w:rPr>
      </w:pPr>
    </w:p>
    <w:p w14:paraId="2B4662ED">
      <w:pPr>
        <w:spacing w:line="520" w:lineRule="exact"/>
        <w:rPr>
          <w:rFonts w:ascii="宋体" w:hAnsi="宋体" w:cs="宋体"/>
          <w:color w:val="auto"/>
          <w:sz w:val="24"/>
          <w:szCs w:val="24"/>
          <w:highlight w:val="none"/>
        </w:rPr>
      </w:pPr>
    </w:p>
    <w:p w14:paraId="52DCE728">
      <w:pPr>
        <w:spacing w:line="520" w:lineRule="exact"/>
        <w:rPr>
          <w:rFonts w:ascii="宋体" w:hAnsi="宋体" w:cs="宋体"/>
          <w:color w:val="auto"/>
          <w:sz w:val="24"/>
          <w:szCs w:val="24"/>
          <w:highlight w:val="none"/>
        </w:rPr>
      </w:pPr>
    </w:p>
    <w:p w14:paraId="2C0C9C40">
      <w:pPr>
        <w:spacing w:line="520" w:lineRule="exact"/>
        <w:rPr>
          <w:rFonts w:ascii="宋体" w:hAnsi="宋体" w:cs="宋体"/>
          <w:color w:val="auto"/>
          <w:sz w:val="24"/>
          <w:szCs w:val="24"/>
          <w:highlight w:val="none"/>
        </w:rPr>
      </w:pPr>
    </w:p>
    <w:p w14:paraId="19B49165">
      <w:pPr>
        <w:spacing w:line="520" w:lineRule="exact"/>
        <w:rPr>
          <w:rFonts w:ascii="宋体" w:hAnsi="宋体" w:cs="宋体"/>
          <w:color w:val="auto"/>
          <w:sz w:val="24"/>
          <w:szCs w:val="24"/>
          <w:highlight w:val="none"/>
        </w:rPr>
      </w:pPr>
    </w:p>
    <w:p w14:paraId="1FB04490">
      <w:pPr>
        <w:spacing w:line="520" w:lineRule="exact"/>
        <w:rPr>
          <w:rFonts w:ascii="宋体" w:hAnsi="宋体" w:cs="宋体"/>
          <w:color w:val="auto"/>
          <w:sz w:val="24"/>
          <w:szCs w:val="24"/>
          <w:highlight w:val="none"/>
        </w:rPr>
      </w:pPr>
    </w:p>
    <w:p w14:paraId="0D04079E">
      <w:pPr>
        <w:spacing w:line="520" w:lineRule="exact"/>
        <w:ind w:firstLine="4250" w:firstLineChars="1700"/>
        <w:rPr>
          <w:rFonts w:ascii="宋体" w:hAnsi="宋体" w:cs="宋体"/>
          <w:color w:val="auto"/>
          <w:sz w:val="24"/>
          <w:szCs w:val="24"/>
          <w:highlight w:val="none"/>
        </w:rPr>
      </w:pPr>
      <w:r>
        <w:rPr>
          <w:rFonts w:hint="eastAsia" w:ascii="宋体" w:hAnsi="宋体" w:cs="宋体"/>
          <w:color w:val="auto"/>
          <w:sz w:val="24"/>
          <w:szCs w:val="24"/>
          <w:highlight w:val="none"/>
        </w:rPr>
        <w:t>供应商名称（盖章）：</w:t>
      </w:r>
      <w:r>
        <w:rPr>
          <w:rFonts w:hint="eastAsia" w:ascii="宋体" w:hAnsi="宋体" w:cs="宋体"/>
          <w:color w:val="auto"/>
          <w:sz w:val="24"/>
          <w:szCs w:val="24"/>
          <w:highlight w:val="none"/>
          <w:u w:val="single"/>
        </w:rPr>
        <w:t xml:space="preserve">               </w:t>
      </w:r>
    </w:p>
    <w:p w14:paraId="764615CE">
      <w:pPr>
        <w:spacing w:line="520" w:lineRule="exact"/>
        <w:rPr>
          <w:rFonts w:ascii="宋体" w:hAnsi="宋体" w:cs="宋体"/>
          <w:color w:val="auto"/>
          <w:sz w:val="24"/>
          <w:szCs w:val="24"/>
          <w:highlight w:val="none"/>
        </w:rPr>
      </w:pPr>
    </w:p>
    <w:p w14:paraId="102B18E2">
      <w:pPr>
        <w:adjustRightInd w:val="0"/>
        <w:spacing w:line="460" w:lineRule="exact"/>
        <w:ind w:firstLine="5500" w:firstLineChars="2200"/>
        <w:jc w:val="left"/>
        <w:rPr>
          <w:rFonts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p>
    <w:p w14:paraId="1D80EBCC">
      <w:pPr>
        <w:adjustRightInd w:val="0"/>
        <w:spacing w:line="460" w:lineRule="exact"/>
        <w:jc w:val="left"/>
        <w:rPr>
          <w:rFonts w:ascii="宋体" w:hAnsi="宋体" w:cs="宋体"/>
          <w:color w:val="auto"/>
          <w:sz w:val="24"/>
          <w:szCs w:val="24"/>
          <w:highlight w:val="none"/>
        </w:rPr>
      </w:pPr>
    </w:p>
    <w:p w14:paraId="2D49FDFF">
      <w:pPr>
        <w:adjustRightInd w:val="0"/>
        <w:spacing w:line="46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注：</w:t>
      </w:r>
    </w:p>
    <w:p w14:paraId="0A26CA46">
      <w:pPr>
        <w:adjustRightInd w:val="0"/>
        <w:spacing w:line="460" w:lineRule="exact"/>
        <w:ind w:firstLine="50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残疾人福利性单位在参加政府采购活动时，应当提供本通知规定的《残疾人福利性单位声明函》 ,并对声明的真实性负责。残疾人福利性单位参加政府采购活动时，视同小型、微型企业：残疾人福利性单位属于小型、微型企业的，不重复享受政策。</w:t>
      </w:r>
    </w:p>
    <w:p w14:paraId="544D9055">
      <w:pPr>
        <w:adjustRightInd w:val="0"/>
        <w:spacing w:line="460" w:lineRule="exact"/>
        <w:ind w:firstLine="500" w:firstLineChars="200"/>
        <w:jc w:val="left"/>
        <w:rPr>
          <w:rFonts w:hint="eastAsia" w:ascii="宋体" w:hAnsi="宋体"/>
          <w:b/>
          <w:bCs/>
          <w:color w:val="auto"/>
          <w:sz w:val="24"/>
          <w:szCs w:val="24"/>
          <w:highlight w:val="none"/>
        </w:rPr>
      </w:pPr>
      <w:r>
        <w:rPr>
          <w:rFonts w:hint="eastAsia" w:ascii="宋体" w:hAnsi="宋体" w:cs="宋体"/>
          <w:color w:val="auto"/>
          <w:sz w:val="24"/>
          <w:szCs w:val="24"/>
          <w:highlight w:val="none"/>
        </w:rPr>
        <w:t>供应商为非残疾人福利性单位的，可不提供此声明。</w:t>
      </w:r>
    </w:p>
    <w:p w14:paraId="71AF88B4">
      <w:pPr>
        <w:spacing w:line="520" w:lineRule="exact"/>
        <w:rPr>
          <w:rFonts w:hint="eastAsia" w:ascii="宋体" w:hAnsi="宋体"/>
          <w:b/>
          <w:bCs/>
          <w:color w:val="auto"/>
          <w:sz w:val="24"/>
          <w:szCs w:val="24"/>
          <w:highlight w:val="none"/>
        </w:rPr>
      </w:pPr>
      <w:r>
        <w:rPr>
          <w:rFonts w:hint="eastAsia" w:ascii="宋体" w:hAnsi="宋体"/>
          <w:b/>
          <w:bCs/>
          <w:color w:val="auto"/>
          <w:sz w:val="24"/>
          <w:szCs w:val="24"/>
          <w:highlight w:val="none"/>
        </w:rPr>
        <w:t>附件</w:t>
      </w:r>
      <w:r>
        <w:rPr>
          <w:rFonts w:hint="eastAsia" w:ascii="宋体" w:hAnsi="宋体"/>
          <w:b/>
          <w:bCs/>
          <w:color w:val="auto"/>
          <w:sz w:val="24"/>
          <w:szCs w:val="24"/>
          <w:highlight w:val="none"/>
          <w:lang w:val="en-US" w:eastAsia="zh-CN"/>
        </w:rPr>
        <w:t>4</w:t>
      </w:r>
      <w:r>
        <w:rPr>
          <w:rFonts w:hint="eastAsia" w:ascii="宋体" w:hAnsi="宋体"/>
          <w:b/>
          <w:bCs/>
          <w:color w:val="auto"/>
          <w:sz w:val="24"/>
          <w:szCs w:val="24"/>
          <w:highlight w:val="none"/>
        </w:rPr>
        <w:t>：</w:t>
      </w:r>
    </w:p>
    <w:p w14:paraId="43FB4999">
      <w:pPr>
        <w:spacing w:line="360" w:lineRule="auto"/>
        <w:ind w:left="891" w:leftChars="405" w:right="979" w:rightChars="445"/>
        <w:jc w:val="center"/>
        <w:rPr>
          <w:rFonts w:hint="eastAsia" w:ascii="宋体" w:hAnsi="宋体" w:cs="宋体"/>
          <w:b/>
          <w:color w:val="auto"/>
          <w:sz w:val="24"/>
          <w:szCs w:val="24"/>
          <w:highlight w:val="none"/>
        </w:rPr>
      </w:pPr>
    </w:p>
    <w:p w14:paraId="34F7A1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cs="宋体"/>
          <w:b/>
          <w:color w:val="auto"/>
          <w:sz w:val="24"/>
          <w:szCs w:val="24"/>
          <w:highlight w:val="none"/>
        </w:rPr>
      </w:pPr>
      <w:r>
        <w:rPr>
          <w:rFonts w:hint="eastAsia" w:ascii="宋体" w:hAnsi="宋体" w:cs="宋体"/>
          <w:b/>
          <w:color w:val="auto"/>
          <w:sz w:val="24"/>
          <w:szCs w:val="24"/>
          <w:highlight w:val="none"/>
        </w:rPr>
        <w:t>参加政府采购活动</w:t>
      </w:r>
      <w:r>
        <w:rPr>
          <w:rFonts w:hint="eastAsia" w:ascii="宋体" w:hAnsi="宋体" w:cs="宋体"/>
          <w:b/>
          <w:color w:val="auto"/>
          <w:sz w:val="24"/>
          <w:szCs w:val="24"/>
          <w:highlight w:val="none"/>
          <w:lang w:eastAsia="zh-CN"/>
        </w:rPr>
        <w:t>前三</w:t>
      </w:r>
      <w:r>
        <w:rPr>
          <w:rFonts w:hint="eastAsia" w:ascii="宋体" w:hAnsi="宋体" w:cs="宋体"/>
          <w:b/>
          <w:color w:val="auto"/>
          <w:sz w:val="24"/>
          <w:szCs w:val="24"/>
          <w:highlight w:val="none"/>
        </w:rPr>
        <w:t>年内</w:t>
      </w:r>
      <w:r>
        <w:rPr>
          <w:rFonts w:hint="eastAsia" w:ascii="宋体" w:hAnsi="宋体" w:cs="宋体"/>
          <w:b/>
          <w:color w:val="auto"/>
          <w:sz w:val="24"/>
          <w:szCs w:val="24"/>
          <w:highlight w:val="none"/>
          <w:lang w:eastAsia="zh-CN"/>
        </w:rPr>
        <w:t>，在经营活动中无</w:t>
      </w:r>
      <w:r>
        <w:rPr>
          <w:rFonts w:hint="eastAsia" w:ascii="宋体" w:hAnsi="宋体" w:cs="宋体"/>
          <w:b/>
          <w:color w:val="auto"/>
          <w:sz w:val="24"/>
          <w:szCs w:val="24"/>
          <w:highlight w:val="none"/>
        </w:rPr>
        <w:t>重大违法记录</w:t>
      </w:r>
    </w:p>
    <w:p w14:paraId="2137EBD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cs="宋体"/>
          <w:b/>
          <w:color w:val="auto"/>
          <w:sz w:val="24"/>
          <w:szCs w:val="24"/>
          <w:highlight w:val="none"/>
        </w:rPr>
      </w:pPr>
      <w:r>
        <w:rPr>
          <w:rFonts w:hint="eastAsia" w:ascii="宋体" w:hAnsi="宋体" w:cs="宋体"/>
          <w:b/>
          <w:color w:val="auto"/>
          <w:sz w:val="24"/>
          <w:szCs w:val="24"/>
          <w:highlight w:val="none"/>
        </w:rPr>
        <w:t>的书面声明</w:t>
      </w:r>
    </w:p>
    <w:p w14:paraId="09C726FE">
      <w:pPr>
        <w:widowControl/>
        <w:snapToGrid w:val="0"/>
        <w:spacing w:line="380" w:lineRule="exact"/>
        <w:ind w:firstLine="560"/>
        <w:jc w:val="left"/>
        <w:rPr>
          <w:rFonts w:ascii="宋体" w:hAnsi="宋体" w:cs="宋体"/>
          <w:color w:val="auto"/>
          <w:sz w:val="24"/>
          <w:szCs w:val="24"/>
          <w:highlight w:val="none"/>
        </w:rPr>
      </w:pPr>
    </w:p>
    <w:p w14:paraId="44A4E420">
      <w:pPr>
        <w:widowControl/>
        <w:snapToGrid w:val="0"/>
        <w:spacing w:line="48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（采购人名称）                    </w:t>
      </w:r>
    </w:p>
    <w:p w14:paraId="2001147B">
      <w:pPr>
        <w:widowControl/>
        <w:snapToGrid w:val="0"/>
        <w:spacing w:line="480" w:lineRule="auto"/>
        <w:ind w:firstLine="56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我单位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名称）近</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年内，在参加政府采购活动中没有重大违法记录，特此声明。</w:t>
      </w:r>
    </w:p>
    <w:p w14:paraId="468E1492">
      <w:pPr>
        <w:widowControl/>
        <w:snapToGrid w:val="0"/>
        <w:spacing w:line="480" w:lineRule="auto"/>
        <w:ind w:firstLine="56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若采购</w:t>
      </w:r>
      <w:r>
        <w:rPr>
          <w:rFonts w:hint="eastAsia" w:ascii="宋体" w:hAnsi="宋体" w:cs="宋体"/>
          <w:color w:val="auto"/>
          <w:sz w:val="24"/>
          <w:szCs w:val="24"/>
          <w:highlight w:val="none"/>
          <w:lang w:eastAsia="zh-CN"/>
        </w:rPr>
        <w:t>人</w:t>
      </w:r>
      <w:r>
        <w:rPr>
          <w:rFonts w:hint="eastAsia" w:ascii="宋体" w:hAnsi="宋体" w:cs="宋体"/>
          <w:color w:val="auto"/>
          <w:sz w:val="24"/>
          <w:szCs w:val="24"/>
          <w:highlight w:val="none"/>
        </w:rPr>
        <w:t>在本项目采购</w:t>
      </w:r>
      <w:r>
        <w:rPr>
          <w:rFonts w:hint="eastAsia" w:ascii="宋体" w:hAnsi="宋体" w:cs="宋体"/>
          <w:color w:val="auto"/>
          <w:sz w:val="24"/>
          <w:szCs w:val="24"/>
          <w:highlight w:val="none"/>
          <w:lang w:eastAsia="zh-CN"/>
        </w:rPr>
        <w:t>招标</w:t>
      </w:r>
      <w:r>
        <w:rPr>
          <w:rFonts w:hint="eastAsia" w:ascii="宋体" w:hAnsi="宋体" w:cs="宋体"/>
          <w:color w:val="auto"/>
          <w:sz w:val="24"/>
          <w:szCs w:val="24"/>
          <w:highlight w:val="none"/>
        </w:rPr>
        <w:t>过程中发现我单位近三年内在政府采购活动中有重大违法记录，我单位将无条件地退出本项目的</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招标，并承担因此引起的一切后果。</w:t>
      </w:r>
    </w:p>
    <w:p w14:paraId="15D74793">
      <w:pPr>
        <w:widowControl/>
        <w:snapToGrid w:val="0"/>
        <w:spacing w:line="360" w:lineRule="auto"/>
        <w:ind w:firstLine="560"/>
        <w:jc w:val="left"/>
        <w:rPr>
          <w:rFonts w:ascii="宋体" w:hAnsi="宋体" w:cs="宋体"/>
          <w:color w:val="auto"/>
          <w:sz w:val="24"/>
          <w:szCs w:val="24"/>
          <w:highlight w:val="none"/>
        </w:rPr>
      </w:pPr>
    </w:p>
    <w:p w14:paraId="1C5D8F8A">
      <w:pPr>
        <w:spacing w:line="360" w:lineRule="auto"/>
        <w:rPr>
          <w:rFonts w:hint="eastAsia" w:ascii="黑体" w:eastAsia="黑体"/>
          <w:b/>
          <w:color w:val="auto"/>
          <w:sz w:val="24"/>
          <w:szCs w:val="24"/>
          <w:highlight w:val="none"/>
        </w:rPr>
      </w:pPr>
    </w:p>
    <w:p w14:paraId="6EA91B7A">
      <w:pPr>
        <w:spacing w:line="360" w:lineRule="auto"/>
        <w:rPr>
          <w:rFonts w:hint="eastAsia" w:ascii="黑体" w:eastAsia="黑体"/>
          <w:b/>
          <w:color w:val="auto"/>
          <w:sz w:val="24"/>
          <w:szCs w:val="24"/>
          <w:highlight w:val="none"/>
        </w:rPr>
      </w:pPr>
    </w:p>
    <w:p w14:paraId="46F92E2A">
      <w:pPr>
        <w:spacing w:line="360" w:lineRule="auto"/>
        <w:rPr>
          <w:rFonts w:hint="eastAsia" w:ascii="黑体" w:eastAsia="黑体"/>
          <w:b/>
          <w:color w:val="auto"/>
          <w:sz w:val="24"/>
          <w:szCs w:val="24"/>
          <w:highlight w:val="none"/>
        </w:rPr>
      </w:pPr>
    </w:p>
    <w:p w14:paraId="5FCD2E1C">
      <w:pPr>
        <w:spacing w:line="360" w:lineRule="auto"/>
        <w:rPr>
          <w:rFonts w:hint="eastAsia" w:ascii="黑体" w:eastAsia="黑体"/>
          <w:b/>
          <w:color w:val="auto"/>
          <w:sz w:val="24"/>
          <w:szCs w:val="24"/>
          <w:highlight w:val="none"/>
        </w:rPr>
      </w:pPr>
    </w:p>
    <w:p w14:paraId="07ACC01C">
      <w:pPr>
        <w:widowControl/>
        <w:snapToGrid w:val="0"/>
        <w:spacing w:line="360" w:lineRule="auto"/>
        <w:ind w:right="560" w:firstLine="3250" w:firstLineChars="1300"/>
        <w:rPr>
          <w:rFonts w:hint="eastAsia" w:ascii="宋体" w:hAnsi="宋体" w:cs="宋体"/>
          <w:color w:val="auto"/>
          <w:sz w:val="24"/>
          <w:szCs w:val="24"/>
          <w:highlight w:val="none"/>
        </w:rPr>
      </w:pPr>
      <w:r>
        <w:rPr>
          <w:rFonts w:hint="eastAsia" w:ascii="宋体" w:hAnsi="宋体" w:cs="宋体"/>
          <w:color w:val="auto"/>
          <w:sz w:val="24"/>
          <w:szCs w:val="24"/>
          <w:highlight w:val="none"/>
        </w:rPr>
        <w:t>供应商名称（</w:t>
      </w:r>
      <w:r>
        <w:rPr>
          <w:rFonts w:hint="eastAsia" w:ascii="宋体" w:hAnsi="宋体" w:cs="宋体"/>
          <w:color w:val="auto"/>
          <w:sz w:val="24"/>
          <w:szCs w:val="24"/>
          <w:highlight w:val="none"/>
          <w:lang w:eastAsia="zh-CN"/>
        </w:rPr>
        <w:t>公</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257C4C64">
      <w:pPr>
        <w:widowControl/>
        <w:snapToGrid w:val="0"/>
        <w:spacing w:line="360" w:lineRule="auto"/>
        <w:ind w:firstLine="560"/>
        <w:jc w:val="left"/>
        <w:rPr>
          <w:rFonts w:ascii="宋体" w:hAnsi="宋体" w:cs="宋体"/>
          <w:color w:val="auto"/>
          <w:sz w:val="24"/>
          <w:szCs w:val="24"/>
          <w:highlight w:val="none"/>
        </w:rPr>
      </w:pPr>
    </w:p>
    <w:p w14:paraId="50E3B707">
      <w:pPr>
        <w:widowControl/>
        <w:snapToGrid w:val="0"/>
        <w:spacing w:line="360" w:lineRule="auto"/>
        <w:ind w:firstLine="56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法定代表人（签字或</w:t>
      </w:r>
      <w:r>
        <w:rPr>
          <w:rFonts w:hint="eastAsia" w:ascii="宋体" w:hAnsi="宋体" w:cs="宋体"/>
          <w:color w:val="auto"/>
          <w:sz w:val="24"/>
          <w:szCs w:val="24"/>
          <w:highlight w:val="none"/>
          <w:lang w:eastAsia="zh-CN"/>
        </w:rPr>
        <w:t>盖</w:t>
      </w:r>
      <w:r>
        <w:rPr>
          <w:rFonts w:hint="eastAsia" w:ascii="宋体" w:hAnsi="宋体" w:cs="宋体"/>
          <w:color w:val="auto"/>
          <w:sz w:val="24"/>
          <w:szCs w:val="24"/>
          <w:highlight w:val="none"/>
        </w:rPr>
        <w:t>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6A6446C4">
      <w:pPr>
        <w:widowControl/>
        <w:snapToGrid w:val="0"/>
        <w:spacing w:line="360" w:lineRule="auto"/>
        <w:ind w:firstLine="560"/>
        <w:jc w:val="left"/>
        <w:rPr>
          <w:rFonts w:ascii="宋体" w:hAnsi="宋体" w:cs="宋体"/>
          <w:color w:val="auto"/>
          <w:sz w:val="24"/>
          <w:szCs w:val="24"/>
          <w:highlight w:val="none"/>
        </w:rPr>
      </w:pPr>
    </w:p>
    <w:p w14:paraId="3697A62F">
      <w:pPr>
        <w:widowControl/>
        <w:snapToGrid w:val="0"/>
        <w:spacing w:line="360" w:lineRule="auto"/>
        <w:ind w:firstLine="56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日 </w:t>
      </w:r>
    </w:p>
    <w:p w14:paraId="77455869">
      <w:pPr>
        <w:rPr>
          <w:color w:val="auto"/>
          <w:sz w:val="24"/>
          <w:szCs w:val="24"/>
          <w:highlight w:val="none"/>
        </w:rPr>
      </w:pPr>
    </w:p>
    <w:p w14:paraId="7BE88A73">
      <w:pPr>
        <w:rPr>
          <w:rFonts w:hint="eastAsia"/>
          <w:color w:val="auto"/>
          <w:sz w:val="24"/>
          <w:szCs w:val="24"/>
          <w:highlight w:val="none"/>
          <w:lang w:eastAsia="zh-CN"/>
        </w:rPr>
      </w:pPr>
    </w:p>
    <w:p w14:paraId="7A6DD011">
      <w:pPr>
        <w:spacing w:line="520" w:lineRule="exact"/>
        <w:rPr>
          <w:rFonts w:hint="eastAsia" w:ascii="宋体" w:hAnsi="宋体"/>
          <w:b/>
          <w:bCs/>
          <w:color w:val="auto"/>
          <w:sz w:val="24"/>
          <w:szCs w:val="24"/>
          <w:highlight w:val="none"/>
        </w:rPr>
      </w:pPr>
    </w:p>
    <w:p w14:paraId="0664DA46">
      <w:pPr>
        <w:pStyle w:val="9"/>
        <w:rPr>
          <w:rFonts w:hint="eastAsia" w:ascii="宋体" w:hAnsi="宋体"/>
          <w:b/>
          <w:bCs/>
          <w:color w:val="auto"/>
          <w:sz w:val="24"/>
          <w:szCs w:val="24"/>
          <w:highlight w:val="none"/>
        </w:rPr>
      </w:pPr>
    </w:p>
    <w:p w14:paraId="2133B283">
      <w:pPr>
        <w:spacing w:line="520" w:lineRule="exact"/>
        <w:rPr>
          <w:rFonts w:hint="eastAsia" w:ascii="宋体" w:hAnsi="宋体"/>
          <w:b/>
          <w:bCs/>
          <w:color w:val="auto"/>
          <w:sz w:val="24"/>
          <w:szCs w:val="24"/>
          <w:highlight w:val="none"/>
        </w:rPr>
      </w:pPr>
      <w:r>
        <w:rPr>
          <w:rFonts w:hint="eastAsia" w:ascii="宋体" w:hAnsi="宋体"/>
          <w:b/>
          <w:bCs/>
          <w:color w:val="auto"/>
          <w:sz w:val="24"/>
          <w:szCs w:val="24"/>
          <w:highlight w:val="none"/>
        </w:rPr>
        <w:t>附件</w:t>
      </w:r>
      <w:r>
        <w:rPr>
          <w:rFonts w:hint="eastAsia" w:ascii="宋体" w:hAnsi="宋体"/>
          <w:b/>
          <w:bCs/>
          <w:color w:val="auto"/>
          <w:sz w:val="24"/>
          <w:szCs w:val="24"/>
          <w:highlight w:val="none"/>
          <w:lang w:val="en-US" w:eastAsia="zh-CN"/>
        </w:rPr>
        <w:t>5</w:t>
      </w:r>
      <w:r>
        <w:rPr>
          <w:rFonts w:hint="eastAsia" w:ascii="宋体" w:hAnsi="宋体"/>
          <w:b/>
          <w:bCs/>
          <w:color w:val="auto"/>
          <w:sz w:val="24"/>
          <w:szCs w:val="24"/>
          <w:highlight w:val="none"/>
        </w:rPr>
        <w:t>：</w:t>
      </w:r>
    </w:p>
    <w:p w14:paraId="10E5CCF0">
      <w:pPr>
        <w:pStyle w:val="14"/>
        <w:adjustRightInd w:val="0"/>
        <w:snapToGrid w:val="0"/>
        <w:spacing w:line="360" w:lineRule="auto"/>
        <w:jc w:val="center"/>
        <w:rPr>
          <w:rFonts w:hint="eastAsia" w:ascii="宋体" w:hAnsi="宋体" w:eastAsia="宋体" w:cs="宋体"/>
          <w:b/>
          <w:color w:val="auto"/>
          <w:sz w:val="24"/>
          <w:szCs w:val="24"/>
          <w:highlight w:val="none"/>
        </w:rPr>
      </w:pPr>
    </w:p>
    <w:p w14:paraId="39E99CDD">
      <w:pPr>
        <w:pStyle w:val="14"/>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履行合同所必需的设备和专业技术能力的说明及承诺</w:t>
      </w:r>
    </w:p>
    <w:p w14:paraId="76329275">
      <w:pPr>
        <w:keepNext w:val="0"/>
        <w:keepLines w:val="0"/>
        <w:pageBreakBefore w:val="0"/>
        <w:widowControl w:val="0"/>
        <w:kinsoku/>
        <w:wordWrap/>
        <w:overflowPunct/>
        <w:topLinePunct w:val="0"/>
        <w:autoSpaceDE/>
        <w:autoSpaceDN/>
        <w:bidi w:val="0"/>
        <w:adjustRightInd/>
        <w:snapToGrid/>
        <w:spacing w:before="312" w:beforeLines="100" w:after="156" w:afterLines="50" w:line="520" w:lineRule="exact"/>
        <w:ind w:right="0" w:rightChars="0"/>
        <w:jc w:val="both"/>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（采购人名称）</w:t>
      </w:r>
    </w:p>
    <w:p w14:paraId="61829A53">
      <w:pPr>
        <w:keepNext w:val="0"/>
        <w:keepLines w:val="0"/>
        <w:pageBreakBefore w:val="0"/>
        <w:widowControl w:val="0"/>
        <w:kinsoku/>
        <w:wordWrap/>
        <w:overflowPunct/>
        <w:topLinePunct w:val="0"/>
        <w:autoSpaceDE/>
        <w:autoSpaceDN/>
        <w:bidi w:val="0"/>
        <w:adjustRightInd/>
        <w:snapToGrid/>
        <w:spacing w:before="390" w:beforeLines="100" w:after="196" w:afterLines="50" w:line="560" w:lineRule="exact"/>
        <w:ind w:left="0" w:leftChars="0" w:right="0" w:rightChars="0" w:firstLine="645" w:firstLineChars="250"/>
        <w:jc w:val="both"/>
        <w:textAlignment w:val="auto"/>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（供应商名称）</w:t>
      </w:r>
      <w:r>
        <w:rPr>
          <w:rFonts w:hint="eastAsia" w:ascii="宋体" w:hAnsi="宋体" w:eastAsia="宋体" w:cs="宋体"/>
          <w:color w:val="auto"/>
          <w:spacing w:val="4"/>
          <w:sz w:val="24"/>
          <w:szCs w:val="24"/>
          <w:highlight w:val="none"/>
        </w:rPr>
        <w:t xml:space="preserve"> 于</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non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日在中华人民共和国境内</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（详细注册地址）</w:t>
      </w:r>
      <w:r>
        <w:rPr>
          <w:rFonts w:hint="eastAsia" w:ascii="宋体" w:hAnsi="宋体" w:eastAsia="宋体" w:cs="宋体"/>
          <w:color w:val="auto"/>
          <w:spacing w:val="4"/>
          <w:sz w:val="24"/>
          <w:szCs w:val="24"/>
          <w:highlight w:val="none"/>
        </w:rPr>
        <w:t>合法注册并经营，公司主营业务为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营业（生产经营）面积为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现有员工数量为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其中与履行本合同相关的专业技术人员有（</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专业能力、</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数量 </w:t>
      </w:r>
      <w:r>
        <w:rPr>
          <w:rFonts w:hint="eastAsia" w:ascii="宋体" w:hAnsi="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），本公司郑重承诺，具有履行本合同所必需的设备和专业技术能力。</w:t>
      </w:r>
    </w:p>
    <w:p w14:paraId="2693F24B">
      <w:pPr>
        <w:spacing w:before="312" w:beforeLines="100" w:after="156" w:afterLines="50" w:line="360" w:lineRule="auto"/>
        <w:ind w:firstLine="170"/>
        <w:rPr>
          <w:rFonts w:hint="eastAsia" w:ascii="宋体" w:hAnsi="宋体" w:eastAsia="宋体" w:cs="宋体"/>
          <w:color w:val="auto"/>
          <w:spacing w:val="4"/>
          <w:sz w:val="24"/>
          <w:szCs w:val="24"/>
          <w:highlight w:val="none"/>
        </w:rPr>
      </w:pPr>
    </w:p>
    <w:p w14:paraId="458C3978">
      <w:pPr>
        <w:spacing w:before="312" w:beforeLines="100" w:after="156" w:afterLines="50" w:line="360" w:lineRule="auto"/>
        <w:ind w:firstLine="170"/>
        <w:rPr>
          <w:rFonts w:hint="eastAsia" w:ascii="宋体" w:hAnsi="宋体" w:eastAsia="宋体" w:cs="宋体"/>
          <w:color w:val="auto"/>
          <w:spacing w:val="4"/>
          <w:sz w:val="24"/>
          <w:szCs w:val="24"/>
          <w:highlight w:val="none"/>
        </w:rPr>
      </w:pPr>
    </w:p>
    <w:p w14:paraId="266510DA">
      <w:pPr>
        <w:pStyle w:val="18"/>
        <w:rPr>
          <w:rFonts w:hint="eastAsia" w:ascii="宋体" w:hAnsi="宋体" w:eastAsia="宋体" w:cs="宋体"/>
          <w:color w:val="auto"/>
          <w:sz w:val="24"/>
          <w:szCs w:val="24"/>
          <w:highlight w:val="none"/>
        </w:rPr>
      </w:pPr>
    </w:p>
    <w:p w14:paraId="43A426E8">
      <w:pPr>
        <w:widowControl/>
        <w:snapToGrid w:val="0"/>
        <w:spacing w:line="360" w:lineRule="auto"/>
        <w:ind w:right="560" w:firstLine="3250" w:firstLineChars="1300"/>
        <w:rPr>
          <w:rFonts w:hint="eastAsia" w:ascii="宋体" w:hAnsi="宋体" w:cs="宋体"/>
          <w:color w:val="auto"/>
          <w:sz w:val="24"/>
          <w:szCs w:val="24"/>
          <w:highlight w:val="none"/>
        </w:rPr>
      </w:pPr>
      <w:r>
        <w:rPr>
          <w:rFonts w:hint="eastAsia" w:ascii="宋体" w:hAnsi="宋体" w:cs="宋体"/>
          <w:color w:val="auto"/>
          <w:sz w:val="24"/>
          <w:szCs w:val="24"/>
          <w:highlight w:val="none"/>
        </w:rPr>
        <w:t>供应商名称（</w:t>
      </w:r>
      <w:r>
        <w:rPr>
          <w:rFonts w:hint="eastAsia" w:ascii="宋体" w:hAnsi="宋体" w:cs="宋体"/>
          <w:color w:val="auto"/>
          <w:sz w:val="24"/>
          <w:szCs w:val="24"/>
          <w:highlight w:val="none"/>
          <w:lang w:eastAsia="zh-CN"/>
        </w:rPr>
        <w:t>公</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1A6607C2">
      <w:pPr>
        <w:widowControl/>
        <w:snapToGrid w:val="0"/>
        <w:spacing w:line="360" w:lineRule="auto"/>
        <w:ind w:firstLine="560"/>
        <w:jc w:val="left"/>
        <w:rPr>
          <w:rFonts w:ascii="宋体" w:hAnsi="宋体" w:cs="宋体"/>
          <w:color w:val="auto"/>
          <w:sz w:val="24"/>
          <w:szCs w:val="24"/>
          <w:highlight w:val="none"/>
        </w:rPr>
      </w:pPr>
    </w:p>
    <w:p w14:paraId="637C7319">
      <w:pPr>
        <w:widowControl/>
        <w:snapToGrid w:val="0"/>
        <w:spacing w:line="360" w:lineRule="auto"/>
        <w:ind w:firstLine="56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法定代表人（签字或</w:t>
      </w:r>
      <w:r>
        <w:rPr>
          <w:rFonts w:hint="eastAsia" w:ascii="宋体" w:hAnsi="宋体" w:cs="宋体"/>
          <w:color w:val="auto"/>
          <w:sz w:val="24"/>
          <w:szCs w:val="24"/>
          <w:highlight w:val="none"/>
          <w:lang w:eastAsia="zh-CN"/>
        </w:rPr>
        <w:t>盖</w:t>
      </w:r>
      <w:r>
        <w:rPr>
          <w:rFonts w:hint="eastAsia" w:ascii="宋体" w:hAnsi="宋体" w:cs="宋体"/>
          <w:color w:val="auto"/>
          <w:sz w:val="24"/>
          <w:szCs w:val="24"/>
          <w:highlight w:val="none"/>
        </w:rPr>
        <w:t>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525EEACE">
      <w:pPr>
        <w:widowControl/>
        <w:snapToGrid w:val="0"/>
        <w:spacing w:line="360" w:lineRule="auto"/>
        <w:ind w:firstLine="560"/>
        <w:jc w:val="left"/>
        <w:rPr>
          <w:rFonts w:ascii="宋体" w:hAnsi="宋体" w:cs="宋体"/>
          <w:color w:val="auto"/>
          <w:sz w:val="24"/>
          <w:szCs w:val="24"/>
          <w:highlight w:val="none"/>
        </w:rPr>
      </w:pPr>
    </w:p>
    <w:p w14:paraId="102E546E">
      <w:pPr>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62778976">
      <w:pPr>
        <w:pageBreakBefore w:val="0"/>
        <w:wordWrap/>
        <w:overflowPunct/>
        <w:topLinePunct w:val="0"/>
        <w:bidi w:val="0"/>
        <w:spacing w:line="520" w:lineRule="exact"/>
        <w:outlineLvl w:val="9"/>
        <w:rPr>
          <w:rFonts w:hint="eastAsia" w:ascii="宋体" w:hAnsi="宋体"/>
          <w:b/>
          <w:bCs/>
          <w:color w:val="auto"/>
          <w:sz w:val="24"/>
          <w:szCs w:val="24"/>
          <w:highlight w:val="none"/>
        </w:rPr>
      </w:pPr>
    </w:p>
    <w:p w14:paraId="0E374D61">
      <w:pPr>
        <w:pageBreakBefore w:val="0"/>
        <w:wordWrap/>
        <w:overflowPunct/>
        <w:topLinePunct w:val="0"/>
        <w:bidi w:val="0"/>
        <w:spacing w:line="520" w:lineRule="exact"/>
        <w:outlineLvl w:val="9"/>
        <w:rPr>
          <w:rFonts w:hint="eastAsia" w:ascii="宋体" w:hAnsi="宋体"/>
          <w:b/>
          <w:bCs/>
          <w:color w:val="auto"/>
          <w:sz w:val="24"/>
          <w:szCs w:val="24"/>
          <w:highlight w:val="none"/>
        </w:rPr>
      </w:pPr>
    </w:p>
    <w:p w14:paraId="6D636886">
      <w:pPr>
        <w:pageBreakBefore w:val="0"/>
        <w:wordWrap/>
        <w:overflowPunct/>
        <w:topLinePunct w:val="0"/>
        <w:bidi w:val="0"/>
        <w:spacing w:line="520" w:lineRule="exact"/>
        <w:outlineLvl w:val="9"/>
        <w:rPr>
          <w:rFonts w:hint="eastAsia" w:ascii="宋体" w:hAnsi="宋体"/>
          <w:b/>
          <w:bCs/>
          <w:color w:val="auto"/>
          <w:sz w:val="24"/>
          <w:szCs w:val="24"/>
          <w:highlight w:val="none"/>
        </w:rPr>
      </w:pPr>
    </w:p>
    <w:p w14:paraId="10B41CC7">
      <w:pPr>
        <w:pageBreakBefore w:val="0"/>
        <w:wordWrap/>
        <w:overflowPunct/>
        <w:topLinePunct w:val="0"/>
        <w:bidi w:val="0"/>
        <w:spacing w:line="520" w:lineRule="exact"/>
        <w:outlineLvl w:val="9"/>
        <w:rPr>
          <w:rFonts w:hint="eastAsia" w:ascii="宋体" w:hAnsi="宋体"/>
          <w:b/>
          <w:bCs/>
          <w:color w:val="auto"/>
          <w:sz w:val="24"/>
          <w:szCs w:val="24"/>
          <w:highlight w:val="none"/>
        </w:rPr>
      </w:pPr>
    </w:p>
    <w:p w14:paraId="63E2A469">
      <w:pPr>
        <w:pageBreakBefore w:val="0"/>
        <w:wordWrap/>
        <w:overflowPunct/>
        <w:topLinePunct w:val="0"/>
        <w:bidi w:val="0"/>
        <w:spacing w:line="520" w:lineRule="exact"/>
        <w:outlineLvl w:val="9"/>
        <w:rPr>
          <w:rFonts w:hint="eastAsia" w:ascii="宋体" w:hAnsi="宋体"/>
          <w:b/>
          <w:bCs/>
          <w:color w:val="auto"/>
          <w:sz w:val="24"/>
          <w:szCs w:val="24"/>
          <w:highlight w:val="none"/>
        </w:rPr>
      </w:pPr>
    </w:p>
    <w:p w14:paraId="5EEBDFB3">
      <w:pPr>
        <w:pageBreakBefore w:val="0"/>
        <w:wordWrap/>
        <w:overflowPunct/>
        <w:topLinePunct w:val="0"/>
        <w:bidi w:val="0"/>
        <w:spacing w:line="520" w:lineRule="exact"/>
        <w:outlineLvl w:val="9"/>
        <w:rPr>
          <w:rFonts w:hint="eastAsia" w:hAnsi="宋体" w:cs="宋体"/>
          <w:b/>
          <w:sz w:val="24"/>
          <w:szCs w:val="24"/>
          <w:highlight w:val="none"/>
        </w:rPr>
      </w:pPr>
      <w:r>
        <w:rPr>
          <w:rFonts w:hint="eastAsia" w:ascii="宋体" w:hAnsi="宋体"/>
          <w:b/>
          <w:bCs/>
          <w:color w:val="auto"/>
          <w:sz w:val="24"/>
          <w:szCs w:val="24"/>
          <w:highlight w:val="none"/>
        </w:rPr>
        <w:t>附件</w:t>
      </w:r>
      <w:r>
        <w:rPr>
          <w:rFonts w:hint="eastAsia" w:ascii="宋体" w:hAnsi="宋体"/>
          <w:b/>
          <w:bCs/>
          <w:color w:val="auto"/>
          <w:sz w:val="24"/>
          <w:szCs w:val="24"/>
          <w:highlight w:val="none"/>
          <w:lang w:val="en-US" w:eastAsia="zh-CN"/>
        </w:rPr>
        <w:t>6</w:t>
      </w:r>
      <w:r>
        <w:rPr>
          <w:rFonts w:hint="eastAsia" w:ascii="宋体" w:hAnsi="宋体"/>
          <w:b/>
          <w:bCs/>
          <w:color w:val="auto"/>
          <w:sz w:val="24"/>
          <w:szCs w:val="24"/>
          <w:highlight w:val="none"/>
        </w:rPr>
        <w:t>：</w:t>
      </w:r>
    </w:p>
    <w:p w14:paraId="6FF05A5A">
      <w:pPr>
        <w:pStyle w:val="14"/>
        <w:adjustRightInd w:val="0"/>
        <w:snapToGrid w:val="0"/>
        <w:spacing w:line="360" w:lineRule="auto"/>
        <w:jc w:val="center"/>
        <w:rPr>
          <w:rFonts w:hint="eastAsia" w:cs="宋体"/>
          <w:sz w:val="24"/>
          <w:szCs w:val="24"/>
          <w:highlight w:val="none"/>
        </w:rPr>
      </w:pPr>
      <w:r>
        <w:rPr>
          <w:rFonts w:hint="eastAsia" w:hAnsi="宋体" w:cs="宋体"/>
          <w:b/>
          <w:sz w:val="24"/>
          <w:szCs w:val="24"/>
          <w:highlight w:val="none"/>
        </w:rPr>
        <w:t>供应商控股、管理关系</w:t>
      </w:r>
      <w:r>
        <w:rPr>
          <w:rFonts w:hint="eastAsia" w:hAnsi="宋体" w:cs="宋体"/>
          <w:b/>
          <w:sz w:val="24"/>
          <w:szCs w:val="24"/>
          <w:highlight w:val="none"/>
          <w:lang w:eastAsia="zh-CN"/>
        </w:rPr>
        <w:t>声明</w:t>
      </w:r>
    </w:p>
    <w:p w14:paraId="71C063C4">
      <w:pPr>
        <w:autoSpaceDE w:val="0"/>
        <w:autoSpaceDN w:val="0"/>
        <w:adjustRightInd w:val="0"/>
        <w:snapToGrid w:val="0"/>
        <w:spacing w:line="360" w:lineRule="auto"/>
        <w:ind w:firstLine="500" w:firstLineChars="200"/>
        <w:rPr>
          <w:rFonts w:hint="eastAsia" w:ascii="宋体" w:hAnsi="宋体" w:cs="宋体"/>
          <w:sz w:val="24"/>
          <w:szCs w:val="24"/>
          <w:highlight w:val="none"/>
        </w:rPr>
      </w:pPr>
      <w:r>
        <w:rPr>
          <w:rFonts w:hint="eastAsia" w:ascii="宋体" w:hAnsi="宋体" w:cs="宋体"/>
          <w:sz w:val="24"/>
          <w:szCs w:val="24"/>
          <w:highlight w:val="none"/>
          <w:lang w:eastAsia="zh-CN"/>
        </w:rPr>
        <w:t>依据《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检测等服务的供应商，不得再参加该采购项目的其他采购活动。我方在此</w:t>
      </w:r>
      <w:r>
        <w:rPr>
          <w:rFonts w:hint="eastAsia" w:hAnsi="宋体" w:cs="宋体"/>
          <w:spacing w:val="4"/>
          <w:sz w:val="24"/>
          <w:szCs w:val="24"/>
          <w:highlight w:val="none"/>
        </w:rPr>
        <w:t>郑重</w:t>
      </w:r>
      <w:r>
        <w:rPr>
          <w:rFonts w:hint="eastAsia" w:ascii="宋体" w:hAnsi="宋体" w:cs="宋体"/>
          <w:sz w:val="24"/>
          <w:szCs w:val="24"/>
          <w:highlight w:val="none"/>
          <w:lang w:eastAsia="zh-CN"/>
        </w:rPr>
        <w:t>声明：</w:t>
      </w:r>
    </w:p>
    <w:p w14:paraId="7DC9AF6A">
      <w:pPr>
        <w:snapToGrid w:val="0"/>
        <w:spacing w:line="360" w:lineRule="auto"/>
        <w:ind w:firstLine="500" w:firstLineChars="200"/>
        <w:rPr>
          <w:rFonts w:hint="eastAsia" w:ascii="宋体" w:hAnsi="宋体" w:cs="宋体"/>
          <w:color w:val="auto"/>
          <w:sz w:val="24"/>
          <w:szCs w:val="24"/>
          <w:highlight w:val="none"/>
        </w:rPr>
      </w:pPr>
      <w:bookmarkStart w:id="83" w:name="_Toc18329_WPSOffice_Level1"/>
      <w:r>
        <w:rPr>
          <w:rFonts w:hint="eastAsia" w:ascii="宋体" w:hAnsi="宋体" w:cs="宋体"/>
          <w:color w:val="auto"/>
          <w:sz w:val="24"/>
          <w:szCs w:val="24"/>
          <w:highlight w:val="none"/>
        </w:rPr>
        <w:t>1、管理关系说明：</w:t>
      </w:r>
      <w:bookmarkEnd w:id="83"/>
    </w:p>
    <w:p w14:paraId="206DA45A">
      <w:pPr>
        <w:snapToGrid w:val="0"/>
        <w:spacing w:line="360" w:lineRule="auto"/>
        <w:ind w:firstLine="75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我</w:t>
      </w:r>
      <w:r>
        <w:rPr>
          <w:rFonts w:hint="eastAsia" w:ascii="宋体" w:hAnsi="宋体" w:cs="宋体"/>
          <w:color w:val="auto"/>
          <w:sz w:val="24"/>
          <w:szCs w:val="24"/>
          <w:highlight w:val="none"/>
          <w:lang w:eastAsia="zh-CN"/>
        </w:rPr>
        <w:t>方</w:t>
      </w:r>
      <w:r>
        <w:rPr>
          <w:rFonts w:hint="eastAsia" w:ascii="宋体" w:hAnsi="宋体" w:cs="宋体"/>
          <w:color w:val="auto"/>
          <w:sz w:val="24"/>
          <w:szCs w:val="24"/>
          <w:highlight w:val="none"/>
        </w:rPr>
        <w:t>管理的具有独立法人的下属单位有：</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6E2B278">
      <w:pPr>
        <w:snapToGrid w:val="0"/>
        <w:spacing w:line="360" w:lineRule="auto"/>
        <w:ind w:firstLine="75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我</w:t>
      </w:r>
      <w:r>
        <w:rPr>
          <w:rFonts w:hint="eastAsia" w:ascii="宋体" w:hAnsi="宋体" w:cs="宋体"/>
          <w:color w:val="auto"/>
          <w:sz w:val="24"/>
          <w:szCs w:val="24"/>
          <w:highlight w:val="none"/>
          <w:lang w:eastAsia="zh-CN"/>
        </w:rPr>
        <w:t>方</w:t>
      </w:r>
      <w:r>
        <w:rPr>
          <w:rFonts w:hint="eastAsia" w:ascii="宋体" w:hAnsi="宋体" w:cs="宋体"/>
          <w:color w:val="auto"/>
          <w:sz w:val="24"/>
          <w:szCs w:val="24"/>
          <w:highlight w:val="none"/>
        </w:rPr>
        <w:t>的上级管理单位有</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04F88DAB">
      <w:pPr>
        <w:snapToGrid w:val="0"/>
        <w:spacing w:line="360" w:lineRule="auto"/>
        <w:ind w:firstLine="500" w:firstLineChars="200"/>
        <w:rPr>
          <w:rFonts w:hint="eastAsia" w:ascii="宋体" w:hAnsi="宋体" w:cs="宋体"/>
          <w:color w:val="auto"/>
          <w:sz w:val="24"/>
          <w:szCs w:val="24"/>
          <w:highlight w:val="none"/>
        </w:rPr>
      </w:pPr>
      <w:bookmarkStart w:id="84" w:name="_Toc24832_WPSOffice_Level1"/>
      <w:r>
        <w:rPr>
          <w:rFonts w:hint="eastAsia" w:ascii="宋体" w:hAnsi="宋体" w:cs="宋体"/>
          <w:color w:val="auto"/>
          <w:sz w:val="24"/>
          <w:szCs w:val="24"/>
          <w:highlight w:val="none"/>
        </w:rPr>
        <w:t>2、股权关系说明：</w:t>
      </w:r>
      <w:bookmarkEnd w:id="84"/>
    </w:p>
    <w:p w14:paraId="052F0D1B">
      <w:pPr>
        <w:snapToGrid w:val="0"/>
        <w:spacing w:line="360" w:lineRule="auto"/>
        <w:ind w:firstLine="75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我</w:t>
      </w:r>
      <w:r>
        <w:rPr>
          <w:rFonts w:hint="eastAsia" w:ascii="宋体" w:hAnsi="宋体" w:cs="宋体"/>
          <w:color w:val="auto"/>
          <w:sz w:val="24"/>
          <w:szCs w:val="24"/>
          <w:highlight w:val="none"/>
          <w:lang w:eastAsia="zh-CN"/>
        </w:rPr>
        <w:t>方</w:t>
      </w:r>
      <w:r>
        <w:rPr>
          <w:rFonts w:hint="eastAsia" w:ascii="宋体" w:hAnsi="宋体" w:cs="宋体"/>
          <w:color w:val="auto"/>
          <w:sz w:val="24"/>
          <w:szCs w:val="24"/>
          <w:highlight w:val="none"/>
        </w:rPr>
        <w:t>控股的单位有</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1430C53">
      <w:pPr>
        <w:snapToGrid w:val="0"/>
        <w:spacing w:line="360" w:lineRule="auto"/>
        <w:ind w:firstLine="75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我</w:t>
      </w:r>
      <w:r>
        <w:rPr>
          <w:rFonts w:hint="eastAsia" w:ascii="宋体" w:hAnsi="宋体" w:cs="宋体"/>
          <w:color w:val="auto"/>
          <w:sz w:val="24"/>
          <w:szCs w:val="24"/>
          <w:highlight w:val="none"/>
          <w:lang w:eastAsia="zh-CN"/>
        </w:rPr>
        <w:t>方</w:t>
      </w:r>
      <w:r>
        <w:rPr>
          <w:rFonts w:hint="eastAsia" w:ascii="宋体" w:hAnsi="宋体" w:cs="宋体"/>
          <w:color w:val="auto"/>
          <w:sz w:val="24"/>
          <w:szCs w:val="24"/>
          <w:highlight w:val="none"/>
        </w:rPr>
        <w:t>被</w:t>
      </w:r>
      <w:r>
        <w:rPr>
          <w:rFonts w:hint="eastAsia" w:ascii="宋体" w:hAnsi="宋体" w:cs="宋体"/>
          <w:i/>
          <w:color w:val="auto"/>
          <w:sz w:val="24"/>
          <w:szCs w:val="24"/>
          <w:highlight w:val="none"/>
          <w:u w:val="single"/>
        </w:rPr>
        <w:t xml:space="preserve">           </w:t>
      </w:r>
      <w:r>
        <w:rPr>
          <w:rFonts w:hint="eastAsia" w:ascii="宋体" w:hAnsi="宋体" w:cs="宋体"/>
          <w:i/>
          <w:color w:val="auto"/>
          <w:sz w:val="24"/>
          <w:szCs w:val="24"/>
          <w:highlight w:val="none"/>
          <w:u w:val="single"/>
          <w:lang w:val="en-US" w:eastAsia="zh-CN"/>
        </w:rPr>
        <w:t xml:space="preserve">                               </w:t>
      </w:r>
      <w:r>
        <w:rPr>
          <w:rFonts w:hint="eastAsia" w:ascii="宋体" w:hAnsi="宋体" w:cs="宋体"/>
          <w:i/>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单位控股。</w:t>
      </w:r>
    </w:p>
    <w:p w14:paraId="36EEF3D6">
      <w:pPr>
        <w:snapToGrid w:val="0"/>
        <w:spacing w:line="360" w:lineRule="auto"/>
        <w:ind w:firstLine="50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u w:val="none"/>
          <w:lang w:eastAsia="zh-CN"/>
        </w:rPr>
        <w:t>我方</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（是或</w:t>
      </w:r>
      <w:r>
        <w:rPr>
          <w:rFonts w:hint="eastAsia" w:ascii="宋体" w:hAnsi="宋体" w:cs="宋体"/>
          <w:color w:val="auto"/>
          <w:sz w:val="24"/>
          <w:szCs w:val="24"/>
          <w:highlight w:val="none"/>
          <w:u w:val="single"/>
          <w:lang w:eastAsia="zh-CN"/>
        </w:rPr>
        <w:t>不是</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为</w:t>
      </w:r>
      <w:r>
        <w:rPr>
          <w:rFonts w:hint="eastAsia" w:ascii="宋体" w:hAnsi="宋体" w:cs="宋体"/>
          <w:color w:val="auto"/>
          <w:sz w:val="24"/>
          <w:szCs w:val="24"/>
          <w:highlight w:val="none"/>
          <w:lang w:eastAsia="zh-CN"/>
        </w:rPr>
        <w:t>本</w:t>
      </w:r>
      <w:r>
        <w:rPr>
          <w:rFonts w:hint="eastAsia" w:ascii="宋体" w:hAnsi="宋体" w:cs="宋体"/>
          <w:color w:val="auto"/>
          <w:sz w:val="24"/>
          <w:szCs w:val="24"/>
          <w:highlight w:val="none"/>
        </w:rPr>
        <w:t>项目提供过整体设计、规范编制或者项目管理、检测等服务的供应商。</w:t>
      </w:r>
    </w:p>
    <w:p w14:paraId="16BDAD02">
      <w:pPr>
        <w:autoSpaceDE w:val="0"/>
        <w:autoSpaceDN w:val="0"/>
        <w:adjustRightInd w:val="0"/>
        <w:snapToGrid w:val="0"/>
        <w:spacing w:line="360" w:lineRule="auto"/>
        <w:ind w:firstLine="50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4、我方单位负责人与其他投标人单位负责人</w:t>
      </w:r>
      <w:r>
        <w:rPr>
          <w:rFonts w:hint="eastAsia" w:ascii="宋体" w:hAnsi="宋体" w:cs="宋体"/>
          <w:color w:val="auto"/>
          <w:sz w:val="24"/>
          <w:szCs w:val="24"/>
          <w:highlight w:val="none"/>
          <w:u w:val="single"/>
          <w:lang w:val="en-US" w:eastAsia="zh-CN"/>
        </w:rPr>
        <w:t xml:space="preserve">   （是或不是）    </w:t>
      </w:r>
      <w:r>
        <w:rPr>
          <w:rFonts w:hint="eastAsia" w:ascii="宋体" w:hAnsi="宋体" w:cs="宋体"/>
          <w:color w:val="auto"/>
          <w:sz w:val="24"/>
          <w:szCs w:val="24"/>
          <w:highlight w:val="none"/>
          <w:lang w:val="en-US" w:eastAsia="zh-CN"/>
        </w:rPr>
        <w:t>为同一人。</w:t>
      </w:r>
    </w:p>
    <w:p w14:paraId="0612191B">
      <w:pPr>
        <w:autoSpaceDE w:val="0"/>
        <w:autoSpaceDN w:val="0"/>
        <w:adjustRightInd w:val="0"/>
        <w:snapToGrid w:val="0"/>
        <w:spacing w:line="240" w:lineRule="auto"/>
        <w:ind w:firstLine="50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、其他与本项目有关的利害关系说明：</w:t>
      </w:r>
    </w:p>
    <w:p w14:paraId="60DB27E6">
      <w:pPr>
        <w:autoSpaceDE w:val="0"/>
        <w:autoSpaceDN w:val="0"/>
        <w:adjustRightInd w:val="0"/>
        <w:spacing w:line="240" w:lineRule="auto"/>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w:t>
      </w:r>
    </w:p>
    <w:p w14:paraId="0F3843AF">
      <w:pPr>
        <w:pStyle w:val="24"/>
        <w:wordWrap w:val="0"/>
        <w:spacing w:line="240" w:lineRule="auto"/>
        <w:ind w:firstLine="420"/>
        <w:rPr>
          <w:rFonts w:hint="eastAsia" w:hAnsi="宋体" w:cs="宋体"/>
          <w:b/>
          <w:color w:val="auto"/>
          <w:sz w:val="24"/>
          <w:szCs w:val="24"/>
          <w:highlight w:val="none"/>
        </w:rPr>
      </w:pPr>
      <w:r>
        <w:rPr>
          <w:rFonts w:hint="eastAsia" w:ascii="宋体" w:hAnsi="宋体" w:cs="宋体"/>
          <w:color w:val="auto"/>
          <w:sz w:val="24"/>
          <w:szCs w:val="24"/>
          <w:highlight w:val="none"/>
          <w:shd w:val="clear" w:color="auto" w:fill="FFFFFF"/>
        </w:rPr>
        <w:t>特此声明。</w:t>
      </w:r>
    </w:p>
    <w:p w14:paraId="702444CB">
      <w:pPr>
        <w:keepNext w:val="0"/>
        <w:keepLines w:val="0"/>
        <w:pageBreakBefore w:val="0"/>
        <w:kinsoku/>
        <w:wordWrap/>
        <w:overflowPunct/>
        <w:topLinePunct w:val="0"/>
        <w:autoSpaceDE/>
        <w:autoSpaceDN/>
        <w:bidi w:val="0"/>
        <w:adjustRightInd/>
        <w:snapToGrid/>
        <w:spacing w:line="240" w:lineRule="auto"/>
        <w:ind w:left="0" w:leftChars="0" w:right="0" w:rightChars="0" w:firstLine="3000" w:firstLineChars="1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章）</w:t>
      </w:r>
    </w:p>
    <w:p w14:paraId="3A13CA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000" w:firstLineChars="1200"/>
        <w:jc w:val="both"/>
        <w:textAlignment w:val="auto"/>
        <w:outlineLvl w:val="9"/>
        <w:rPr>
          <w:rFonts w:hint="eastAsia" w:ascii="宋体" w:hAnsi="宋体" w:eastAsia="宋体" w:cs="宋体"/>
          <w:color w:val="auto"/>
          <w:sz w:val="24"/>
          <w:szCs w:val="24"/>
          <w:highlight w:val="none"/>
        </w:rPr>
      </w:pPr>
    </w:p>
    <w:p w14:paraId="0EFCA94E">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000" w:firstLineChars="1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p>
    <w:p w14:paraId="66CCE65A">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000" w:firstLineChars="1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委托代理人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p>
    <w:p w14:paraId="1FBD8978">
      <w:pPr>
        <w:keepNext w:val="0"/>
        <w:keepLines w:val="0"/>
        <w:pageBreakBefore w:val="0"/>
        <w:kinsoku/>
        <w:wordWrap/>
        <w:overflowPunct/>
        <w:topLinePunct w:val="0"/>
        <w:autoSpaceDE/>
        <w:autoSpaceDN/>
        <w:bidi w:val="0"/>
        <w:adjustRightInd/>
        <w:snapToGrid/>
        <w:spacing w:line="240" w:lineRule="auto"/>
        <w:ind w:left="0" w:leftChars="0" w:right="0" w:rightChars="0"/>
        <w:jc w:val="right"/>
        <w:textAlignment w:val="auto"/>
        <w:outlineLvl w:val="9"/>
        <w:rPr>
          <w:rFonts w:hint="eastAsia" w:ascii="宋体" w:hAnsi="宋体" w:eastAsia="宋体" w:cs="宋体"/>
          <w:color w:val="auto"/>
          <w:sz w:val="24"/>
          <w:szCs w:val="24"/>
          <w:highlight w:val="none"/>
        </w:rPr>
      </w:pPr>
    </w:p>
    <w:p w14:paraId="5188E825">
      <w:pPr>
        <w:keepNext w:val="0"/>
        <w:keepLines w:val="0"/>
        <w:pageBreakBefore w:val="0"/>
        <w:widowControl w:val="0"/>
        <w:tabs>
          <w:tab w:val="left" w:pos="720"/>
          <w:tab w:val="left" w:pos="900"/>
        </w:tabs>
        <w:kinsoku/>
        <w:wordWrap/>
        <w:overflowPunct/>
        <w:topLinePunct w:val="0"/>
        <w:autoSpaceDE/>
        <w:autoSpaceDN/>
        <w:bidi w:val="0"/>
        <w:adjustRightInd w:val="0"/>
        <w:snapToGrid/>
        <w:spacing w:line="600" w:lineRule="exact"/>
        <w:ind w:right="0" w:rightChars="0" w:firstLine="3000" w:firstLineChars="1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01F0FAC">
      <w:pPr>
        <w:pStyle w:val="47"/>
        <w:ind w:left="0" w:leftChars="0" w:firstLine="0" w:firstLineChars="0"/>
        <w:rPr>
          <w:color w:val="auto"/>
          <w:sz w:val="24"/>
          <w:szCs w:val="24"/>
          <w:highlight w:val="none"/>
        </w:rPr>
      </w:pPr>
    </w:p>
    <w:p w14:paraId="4E0C2F34">
      <w:pPr>
        <w:pStyle w:val="47"/>
        <w:ind w:left="0" w:leftChars="0" w:firstLine="0" w:firstLineChars="0"/>
        <w:rPr>
          <w:rFonts w:hint="eastAsia" w:ascii="宋体" w:hAnsi="宋体" w:cs="宋体"/>
          <w:color w:val="auto"/>
          <w:sz w:val="24"/>
          <w:szCs w:val="24"/>
          <w:highlight w:val="none"/>
          <w:lang w:eastAsia="zh-CN"/>
        </w:rPr>
      </w:pPr>
    </w:p>
    <w:p w14:paraId="65FC44FC">
      <w:pPr>
        <w:pStyle w:val="47"/>
        <w:ind w:left="0" w:leftChars="0" w:firstLine="0" w:firstLineChars="0"/>
        <w:rPr>
          <w:rFonts w:hint="eastAsia" w:ascii="宋体" w:hAnsi="宋体" w:cs="宋体"/>
          <w:color w:val="auto"/>
          <w:sz w:val="24"/>
          <w:szCs w:val="24"/>
          <w:highlight w:val="none"/>
          <w:lang w:eastAsia="zh-CN"/>
        </w:rPr>
      </w:pPr>
    </w:p>
    <w:p w14:paraId="5381BABA">
      <w:pPr>
        <w:pStyle w:val="47"/>
        <w:ind w:left="0" w:leftChars="0" w:firstLine="0" w:firstLineChars="0"/>
        <w:rPr>
          <w:rFonts w:hint="eastAsia" w:ascii="宋体" w:hAnsi="宋体" w:cs="宋体"/>
          <w:color w:val="auto"/>
          <w:sz w:val="24"/>
          <w:szCs w:val="24"/>
          <w:highlight w:val="none"/>
          <w:lang w:eastAsia="zh-CN"/>
        </w:rPr>
      </w:pPr>
    </w:p>
    <w:p w14:paraId="78D3F732">
      <w:pPr>
        <w:pageBreakBefore w:val="0"/>
        <w:wordWrap/>
        <w:overflowPunct/>
        <w:topLinePunct w:val="0"/>
        <w:bidi w:val="0"/>
        <w:spacing w:line="520" w:lineRule="exact"/>
        <w:outlineLvl w:val="9"/>
        <w:rPr>
          <w:rFonts w:ascii="宋体" w:hAnsi="宋体"/>
          <w:b/>
          <w:i w:val="0"/>
          <w:caps w:val="0"/>
          <w:color w:val="auto"/>
          <w:spacing w:val="0"/>
          <w:w w:val="100"/>
          <w:kern w:val="2"/>
          <w:sz w:val="24"/>
          <w:szCs w:val="24"/>
          <w:highlight w:val="none"/>
          <w:lang w:val="en-US" w:eastAsia="zh-CN" w:bidi="ar-SA"/>
        </w:rPr>
      </w:pPr>
      <w:r>
        <w:rPr>
          <w:rFonts w:hint="eastAsia" w:ascii="宋体" w:hAnsi="宋体"/>
          <w:b/>
          <w:bCs/>
          <w:color w:val="auto"/>
          <w:sz w:val="24"/>
          <w:szCs w:val="24"/>
          <w:highlight w:val="none"/>
        </w:rPr>
        <w:t>附件</w:t>
      </w:r>
      <w:r>
        <w:rPr>
          <w:rFonts w:hint="eastAsia" w:ascii="宋体" w:hAnsi="宋体"/>
          <w:b/>
          <w:bCs/>
          <w:color w:val="auto"/>
          <w:sz w:val="24"/>
          <w:szCs w:val="24"/>
          <w:highlight w:val="none"/>
          <w:lang w:val="en-US" w:eastAsia="zh-CN"/>
        </w:rPr>
        <w:t>7</w:t>
      </w:r>
      <w:r>
        <w:rPr>
          <w:rFonts w:hint="eastAsia" w:ascii="宋体" w:hAnsi="宋体"/>
          <w:b/>
          <w:bCs/>
          <w:color w:val="auto"/>
          <w:sz w:val="24"/>
          <w:szCs w:val="24"/>
          <w:highlight w:val="none"/>
        </w:rPr>
        <w:t>：</w:t>
      </w:r>
    </w:p>
    <w:p w14:paraId="64A63EF5">
      <w:pPr>
        <w:snapToGrid/>
        <w:spacing w:before="120" w:beforeAutospacing="0" w:after="120" w:afterAutospacing="0" w:line="360" w:lineRule="auto"/>
        <w:jc w:val="center"/>
        <w:textAlignment w:val="baseline"/>
        <w:rPr>
          <w:rFonts w:ascii="宋体" w:hAnsi="宋体"/>
          <w:b/>
          <w:i w:val="0"/>
          <w:caps w:val="0"/>
          <w:color w:val="auto"/>
          <w:spacing w:val="0"/>
          <w:w w:val="100"/>
          <w:kern w:val="2"/>
          <w:sz w:val="24"/>
          <w:szCs w:val="24"/>
          <w:highlight w:val="none"/>
          <w:lang w:val="en-US" w:eastAsia="zh-CN" w:bidi="ar-SA"/>
        </w:rPr>
      </w:pPr>
      <w:r>
        <w:rPr>
          <w:rFonts w:ascii="宋体" w:hAnsi="宋体"/>
          <w:b/>
          <w:i w:val="0"/>
          <w:caps w:val="0"/>
          <w:color w:val="auto"/>
          <w:spacing w:val="0"/>
          <w:w w:val="100"/>
          <w:kern w:val="2"/>
          <w:sz w:val="24"/>
          <w:szCs w:val="24"/>
          <w:highlight w:val="none"/>
          <w:lang w:val="en-US" w:eastAsia="zh-CN" w:bidi="ar-SA"/>
        </w:rPr>
        <w:t>政府采购投标担保函 （项目用）</w:t>
      </w:r>
    </w:p>
    <w:p w14:paraId="74D046A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firstLine="6720"/>
        <w:jc w:val="left"/>
        <w:textAlignment w:val="baseline"/>
        <w:rPr>
          <w:rFonts w:ascii="微软雅黑" w:hAnsi="微软雅黑" w:eastAsia="微软雅黑" w:cs="Times New Roman"/>
          <w:b w:val="0"/>
          <w:i w:val="0"/>
          <w:caps w:val="0"/>
          <w:color w:val="auto"/>
          <w:spacing w:val="0"/>
          <w:w w:val="100"/>
          <w:kern w:val="0"/>
          <w:sz w:val="24"/>
          <w:szCs w:val="24"/>
          <w:highlight w:val="none"/>
          <w:lang w:val="en-US" w:eastAsia="zh-CN" w:bidi="ar-SA"/>
        </w:rPr>
      </w:pPr>
      <w:r>
        <w:rPr>
          <w:rFonts w:ascii="宋体" w:hAnsi="宋体" w:eastAsia="宋体" w:cs="Times New Roman"/>
          <w:b w:val="0"/>
          <w:i w:val="0"/>
          <w:caps w:val="0"/>
          <w:color w:val="auto"/>
          <w:spacing w:val="0"/>
          <w:w w:val="100"/>
          <w:kern w:val="0"/>
          <w:sz w:val="24"/>
          <w:szCs w:val="24"/>
          <w:highlight w:val="none"/>
          <w:lang w:val="en-US" w:eastAsia="zh-CN" w:bidi="ar-SA"/>
        </w:rPr>
        <w:t>编号：</w:t>
      </w:r>
    </w:p>
    <w:p w14:paraId="19C1BF1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0" w:beforeAutospacing="1" w:after="100" w:afterAutospacing="1" w:line="240" w:lineRule="auto"/>
        <w:ind w:left="0" w:right="0" w:firstLine="420"/>
        <w:jc w:val="left"/>
        <w:textAlignment w:val="baseline"/>
        <w:rPr>
          <w:rFonts w:ascii="微软雅黑" w:hAnsi="微软雅黑" w:eastAsia="微软雅黑" w:cs="Times New Roman"/>
          <w:b w:val="0"/>
          <w:i w:val="0"/>
          <w:caps w:val="0"/>
          <w:color w:val="auto"/>
          <w:spacing w:val="0"/>
          <w:w w:val="100"/>
          <w:kern w:val="0"/>
          <w:sz w:val="24"/>
          <w:szCs w:val="24"/>
          <w:highlight w:val="none"/>
          <w:lang w:val="en-US" w:eastAsia="zh-CN" w:bidi="ar-SA"/>
        </w:rPr>
      </w:pPr>
      <w:r>
        <w:rPr>
          <w:rFonts w:ascii="宋体" w:hAnsi="宋体" w:eastAsia="宋体" w:cs="Times New Roman"/>
          <w:b w:val="0"/>
          <w:i w:val="0"/>
          <w:caps w:val="0"/>
          <w:color w:val="auto"/>
          <w:spacing w:val="0"/>
          <w:w w:val="100"/>
          <w:kern w:val="0"/>
          <w:sz w:val="24"/>
          <w:szCs w:val="24"/>
          <w:highlight w:val="none"/>
          <w:u w:val="single" w:color="000000"/>
          <w:lang w:val="en-US" w:eastAsia="zh-CN" w:bidi="ar-SA"/>
        </w:rPr>
        <w:t>           </w:t>
      </w:r>
      <w:r>
        <w:rPr>
          <w:rFonts w:ascii="宋体" w:hAnsi="宋体" w:eastAsia="宋体" w:cs="Times New Roman"/>
          <w:b w:val="0"/>
          <w:i w:val="0"/>
          <w:caps w:val="0"/>
          <w:color w:val="auto"/>
          <w:spacing w:val="0"/>
          <w:w w:val="100"/>
          <w:kern w:val="0"/>
          <w:sz w:val="24"/>
          <w:szCs w:val="24"/>
          <w:highlight w:val="none"/>
          <w:lang w:val="en-US" w:eastAsia="zh-CN" w:bidi="ar-SA"/>
        </w:rPr>
        <w:t>（采购人或采购代理机构）：</w:t>
      </w:r>
    </w:p>
    <w:p w14:paraId="29EA3030">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鉴于</w:t>
      </w:r>
      <w:r>
        <w:rPr>
          <w:color w:val="auto"/>
          <w:sz w:val="24"/>
          <w:szCs w:val="24"/>
          <w:highlight w:val="none"/>
          <w:u w:val="single"/>
          <w:lang w:val="en-US" w:eastAsia="zh-CN"/>
        </w:rPr>
        <w:t>               </w:t>
      </w:r>
      <w:r>
        <w:rPr>
          <w:color w:val="auto"/>
          <w:sz w:val="24"/>
          <w:szCs w:val="24"/>
          <w:highlight w:val="none"/>
          <w:lang w:val="en-US" w:eastAsia="zh-CN"/>
        </w:rPr>
        <w:t>（以下简称“</w:t>
      </w:r>
      <w:r>
        <w:rPr>
          <w:rFonts w:hint="eastAsia" w:ascii="Times New Roman" w:eastAsia="宋体"/>
          <w:color w:val="auto"/>
          <w:sz w:val="24"/>
          <w:szCs w:val="24"/>
          <w:highlight w:val="none"/>
          <w:lang w:val="en-US" w:eastAsia="zh-CN"/>
        </w:rPr>
        <w:t>供应商</w:t>
      </w:r>
      <w:r>
        <w:rPr>
          <w:color w:val="auto"/>
          <w:sz w:val="24"/>
          <w:szCs w:val="24"/>
          <w:highlight w:val="none"/>
          <w:lang w:val="en-US" w:eastAsia="zh-CN"/>
        </w:rPr>
        <w:t>”）拟参加编号为</w:t>
      </w:r>
      <w:r>
        <w:rPr>
          <w:color w:val="auto"/>
          <w:sz w:val="24"/>
          <w:szCs w:val="24"/>
          <w:highlight w:val="none"/>
          <w:u w:val="single"/>
          <w:lang w:val="en-US" w:eastAsia="zh-CN"/>
        </w:rPr>
        <w:t>            </w:t>
      </w:r>
      <w:r>
        <w:rPr>
          <w:color w:val="auto"/>
          <w:sz w:val="24"/>
          <w:szCs w:val="24"/>
          <w:highlight w:val="none"/>
          <w:lang w:val="en-US" w:eastAsia="zh-CN"/>
        </w:rPr>
        <w:t>的</w:t>
      </w:r>
      <w:r>
        <w:rPr>
          <w:color w:val="auto"/>
          <w:sz w:val="24"/>
          <w:szCs w:val="24"/>
          <w:highlight w:val="none"/>
          <w:u w:val="single"/>
          <w:lang w:val="en-US" w:eastAsia="zh-CN"/>
        </w:rPr>
        <w:t>          </w:t>
      </w:r>
      <w:r>
        <w:rPr>
          <w:color w:val="auto"/>
          <w:sz w:val="24"/>
          <w:szCs w:val="24"/>
          <w:highlight w:val="none"/>
          <w:lang w:val="en-US" w:eastAsia="zh-CN"/>
        </w:rPr>
        <w:t>项目（以下简称“本项目”）</w:t>
      </w:r>
      <w:r>
        <w:rPr>
          <w:rFonts w:hint="eastAsia" w:ascii="Times New Roman" w:eastAsia="宋体"/>
          <w:color w:val="auto"/>
          <w:sz w:val="24"/>
          <w:szCs w:val="24"/>
          <w:highlight w:val="none"/>
          <w:lang w:val="en-US" w:eastAsia="zh-CN"/>
        </w:rPr>
        <w:t>谈判</w:t>
      </w:r>
      <w:r>
        <w:rPr>
          <w:color w:val="auto"/>
          <w:sz w:val="24"/>
          <w:szCs w:val="24"/>
          <w:highlight w:val="none"/>
          <w:lang w:val="en-US" w:eastAsia="zh-CN"/>
        </w:rPr>
        <w:t>，根据本项目</w:t>
      </w:r>
      <w:r>
        <w:rPr>
          <w:rFonts w:hint="eastAsia" w:ascii="Times New Roman" w:eastAsia="宋体"/>
          <w:color w:val="auto"/>
          <w:sz w:val="24"/>
          <w:szCs w:val="24"/>
          <w:highlight w:val="none"/>
          <w:lang w:val="en-US" w:eastAsia="zh-CN"/>
        </w:rPr>
        <w:t>竞争性谈判</w:t>
      </w:r>
      <w:r>
        <w:rPr>
          <w:color w:val="auto"/>
          <w:sz w:val="24"/>
          <w:szCs w:val="24"/>
          <w:highlight w:val="none"/>
          <w:lang w:val="en-US" w:eastAsia="zh-CN"/>
        </w:rPr>
        <w:t>，供应商参加</w:t>
      </w:r>
      <w:r>
        <w:rPr>
          <w:rFonts w:hint="eastAsia" w:ascii="Times New Roman" w:eastAsia="宋体"/>
          <w:color w:val="auto"/>
          <w:sz w:val="24"/>
          <w:szCs w:val="24"/>
          <w:highlight w:val="none"/>
          <w:lang w:val="en-US" w:eastAsia="zh-CN"/>
        </w:rPr>
        <w:t>谈判</w:t>
      </w:r>
      <w:r>
        <w:rPr>
          <w:color w:val="auto"/>
          <w:sz w:val="24"/>
          <w:szCs w:val="24"/>
          <w:highlight w:val="none"/>
          <w:lang w:val="en-US" w:eastAsia="zh-CN"/>
        </w:rPr>
        <w:t>时应向你方交纳</w:t>
      </w:r>
      <w:r>
        <w:rPr>
          <w:rFonts w:hint="eastAsia" w:ascii="Times New Roman" w:eastAsia="宋体"/>
          <w:color w:val="auto"/>
          <w:sz w:val="24"/>
          <w:szCs w:val="24"/>
          <w:highlight w:val="none"/>
          <w:lang w:val="en-US" w:eastAsia="zh-CN"/>
        </w:rPr>
        <w:t>谈判</w:t>
      </w:r>
      <w:r>
        <w:rPr>
          <w:color w:val="auto"/>
          <w:sz w:val="24"/>
          <w:szCs w:val="24"/>
          <w:highlight w:val="none"/>
          <w:lang w:val="en-US" w:eastAsia="zh-CN"/>
        </w:rPr>
        <w:t>保证金，且可以投标担保函的形式交纳</w:t>
      </w:r>
      <w:r>
        <w:rPr>
          <w:rFonts w:hint="eastAsia" w:ascii="Times New Roman" w:eastAsia="宋体"/>
          <w:color w:val="auto"/>
          <w:sz w:val="24"/>
          <w:szCs w:val="24"/>
          <w:highlight w:val="none"/>
          <w:lang w:val="en-US" w:eastAsia="zh-CN"/>
        </w:rPr>
        <w:t>谈判</w:t>
      </w:r>
      <w:r>
        <w:rPr>
          <w:color w:val="auto"/>
          <w:sz w:val="24"/>
          <w:szCs w:val="24"/>
          <w:highlight w:val="none"/>
          <w:lang w:val="en-US" w:eastAsia="zh-CN"/>
        </w:rPr>
        <w:t>保证金。应供应商的申请，我方以保证的方式向你方提供如下</w:t>
      </w:r>
      <w:r>
        <w:rPr>
          <w:rFonts w:hint="eastAsia" w:ascii="Times New Roman" w:eastAsia="宋体"/>
          <w:color w:val="auto"/>
          <w:sz w:val="24"/>
          <w:szCs w:val="24"/>
          <w:highlight w:val="none"/>
          <w:lang w:val="en-US" w:eastAsia="zh-CN"/>
        </w:rPr>
        <w:t>谈判</w:t>
      </w:r>
      <w:r>
        <w:rPr>
          <w:color w:val="auto"/>
          <w:sz w:val="24"/>
          <w:szCs w:val="24"/>
          <w:highlight w:val="none"/>
          <w:lang w:val="en-US" w:eastAsia="zh-CN"/>
        </w:rPr>
        <w:t>保证金担保：</w:t>
      </w:r>
    </w:p>
    <w:p w14:paraId="67A835FD">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一、保证责任的情形及保证金额</w:t>
      </w:r>
    </w:p>
    <w:p w14:paraId="132A0A11">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（一）在</w:t>
      </w:r>
      <w:r>
        <w:rPr>
          <w:rFonts w:hint="eastAsia" w:ascii="Times New Roman" w:eastAsia="宋体"/>
          <w:color w:val="auto"/>
          <w:sz w:val="24"/>
          <w:szCs w:val="24"/>
          <w:highlight w:val="none"/>
          <w:lang w:val="en-US" w:eastAsia="zh-CN"/>
        </w:rPr>
        <w:t>供应商</w:t>
      </w:r>
      <w:r>
        <w:rPr>
          <w:color w:val="auto"/>
          <w:sz w:val="24"/>
          <w:szCs w:val="24"/>
          <w:highlight w:val="none"/>
          <w:lang w:val="en-US" w:eastAsia="zh-CN"/>
        </w:rPr>
        <w:t>出现下列情形之一时，我方承担保证责任：</w:t>
      </w:r>
    </w:p>
    <w:p w14:paraId="472FCD38">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1．</w:t>
      </w:r>
      <w:r>
        <w:rPr>
          <w:rFonts w:hint="eastAsia" w:ascii="Times New Roman" w:eastAsia="宋体"/>
          <w:color w:val="auto"/>
          <w:sz w:val="24"/>
          <w:szCs w:val="24"/>
          <w:highlight w:val="none"/>
          <w:lang w:val="en-US" w:eastAsia="zh-CN"/>
        </w:rPr>
        <w:t>成交</w:t>
      </w:r>
      <w:r>
        <w:rPr>
          <w:color w:val="auto"/>
          <w:sz w:val="24"/>
          <w:szCs w:val="24"/>
          <w:highlight w:val="none"/>
          <w:lang w:val="en-US" w:eastAsia="zh-CN"/>
        </w:rPr>
        <w:t>后</w:t>
      </w:r>
      <w:r>
        <w:rPr>
          <w:rFonts w:hint="eastAsia" w:ascii="Times New Roman" w:eastAsia="宋体"/>
          <w:color w:val="auto"/>
          <w:sz w:val="24"/>
          <w:szCs w:val="24"/>
          <w:highlight w:val="none"/>
          <w:lang w:val="en-US" w:eastAsia="zh-CN"/>
        </w:rPr>
        <w:t>供应商</w:t>
      </w:r>
      <w:r>
        <w:rPr>
          <w:color w:val="auto"/>
          <w:sz w:val="24"/>
          <w:szCs w:val="24"/>
          <w:highlight w:val="none"/>
          <w:lang w:val="en-US" w:eastAsia="zh-CN"/>
        </w:rPr>
        <w:t>无正当理由不与采购人或者采购代理机构签订《政府采购合同》；</w:t>
      </w:r>
    </w:p>
    <w:p w14:paraId="18DD835B">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2．</w:t>
      </w:r>
      <w:r>
        <w:rPr>
          <w:rFonts w:hint="eastAsia" w:ascii="Times New Roman" w:eastAsia="宋体"/>
          <w:color w:val="auto"/>
          <w:sz w:val="24"/>
          <w:szCs w:val="24"/>
          <w:highlight w:val="none"/>
          <w:lang w:val="en-US" w:eastAsia="zh-CN"/>
        </w:rPr>
        <w:t>竞争性谈判</w:t>
      </w:r>
      <w:r>
        <w:rPr>
          <w:color w:val="auto"/>
          <w:sz w:val="24"/>
          <w:szCs w:val="24"/>
          <w:highlight w:val="none"/>
          <w:lang w:val="en-US" w:eastAsia="zh-CN"/>
        </w:rPr>
        <w:t>规定的</w:t>
      </w:r>
      <w:r>
        <w:rPr>
          <w:rFonts w:hint="eastAsia" w:ascii="Times New Roman" w:eastAsia="宋体"/>
          <w:color w:val="auto"/>
          <w:sz w:val="24"/>
          <w:szCs w:val="24"/>
          <w:highlight w:val="none"/>
          <w:lang w:val="en-US" w:eastAsia="zh-CN"/>
        </w:rPr>
        <w:t>供应商</w:t>
      </w:r>
      <w:r>
        <w:rPr>
          <w:color w:val="auto"/>
          <w:sz w:val="24"/>
          <w:szCs w:val="24"/>
          <w:highlight w:val="none"/>
          <w:lang w:val="en-US" w:eastAsia="zh-CN"/>
        </w:rPr>
        <w:t>应当缴纳保证金的其他情形。</w:t>
      </w:r>
    </w:p>
    <w:p w14:paraId="4277F8D6">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rFonts w:ascii="宋体" w:hAnsi="宋体" w:eastAsia="宋体"/>
          <w:b w:val="0"/>
          <w:i w:val="0"/>
          <w:caps w:val="0"/>
          <w:color w:val="auto"/>
          <w:spacing w:val="0"/>
          <w:w w:val="100"/>
          <w:kern w:val="2"/>
          <w:sz w:val="24"/>
          <w:szCs w:val="24"/>
          <w:highlight w:val="none"/>
          <w:lang w:val="en-US" w:eastAsia="zh-CN" w:bidi="ar-SA"/>
        </w:rPr>
        <w:t>（二）我方承担保证责任的最高金额为人民币</w:t>
      </w:r>
      <w:r>
        <w:rPr>
          <w:rFonts w:ascii="宋体" w:hAnsi="宋体" w:eastAsia="宋体"/>
          <w:b w:val="0"/>
          <w:i w:val="0"/>
          <w:caps w:val="0"/>
          <w:color w:val="auto"/>
          <w:spacing w:val="0"/>
          <w:w w:val="100"/>
          <w:kern w:val="2"/>
          <w:sz w:val="24"/>
          <w:szCs w:val="24"/>
          <w:highlight w:val="none"/>
          <w:u w:val="single" w:color="000000"/>
          <w:lang w:val="en-US" w:eastAsia="zh-CN" w:bidi="ar-SA"/>
        </w:rPr>
        <w:t>      </w:t>
      </w:r>
      <w:r>
        <w:rPr>
          <w:rFonts w:ascii="宋体" w:hAnsi="宋体" w:eastAsia="宋体"/>
          <w:b w:val="0"/>
          <w:i w:val="0"/>
          <w:caps w:val="0"/>
          <w:color w:val="auto"/>
          <w:spacing w:val="0"/>
          <w:w w:val="100"/>
          <w:kern w:val="2"/>
          <w:sz w:val="24"/>
          <w:szCs w:val="24"/>
          <w:highlight w:val="none"/>
          <w:lang w:val="en-US" w:eastAsia="zh-CN" w:bidi="ar-SA"/>
        </w:rPr>
        <w:t>元（大写</w:t>
      </w:r>
      <w:r>
        <w:rPr>
          <w:rFonts w:ascii="宋体" w:hAnsi="宋体" w:eastAsia="宋体"/>
          <w:b w:val="0"/>
          <w:i w:val="0"/>
          <w:caps w:val="0"/>
          <w:color w:val="auto"/>
          <w:spacing w:val="0"/>
          <w:w w:val="100"/>
          <w:kern w:val="2"/>
          <w:sz w:val="24"/>
          <w:szCs w:val="24"/>
          <w:highlight w:val="none"/>
          <w:u w:val="single" w:color="000000"/>
          <w:lang w:val="en-US" w:eastAsia="zh-CN" w:bidi="ar-SA"/>
        </w:rPr>
        <w:t>      </w:t>
      </w:r>
      <w:r>
        <w:rPr>
          <w:rFonts w:ascii="宋体" w:hAnsi="宋体" w:eastAsia="宋体"/>
          <w:b w:val="0"/>
          <w:i w:val="0"/>
          <w:caps w:val="0"/>
          <w:color w:val="auto"/>
          <w:spacing w:val="0"/>
          <w:w w:val="100"/>
          <w:kern w:val="2"/>
          <w:sz w:val="24"/>
          <w:szCs w:val="24"/>
          <w:highlight w:val="none"/>
          <w:lang w:val="en-US" w:eastAsia="zh-CN" w:bidi="ar-SA"/>
        </w:rPr>
        <w:t>），即本项</w:t>
      </w:r>
      <w:r>
        <w:rPr>
          <w:color w:val="auto"/>
          <w:sz w:val="24"/>
          <w:szCs w:val="24"/>
          <w:highlight w:val="none"/>
          <w:lang w:val="en-US" w:eastAsia="zh-CN"/>
        </w:rPr>
        <w:t>目的</w:t>
      </w:r>
      <w:r>
        <w:rPr>
          <w:rFonts w:hint="eastAsia" w:ascii="Times New Roman" w:eastAsia="宋体"/>
          <w:color w:val="auto"/>
          <w:sz w:val="24"/>
          <w:szCs w:val="24"/>
          <w:highlight w:val="none"/>
          <w:lang w:val="en-US" w:eastAsia="zh-CN"/>
        </w:rPr>
        <w:t>谈判</w:t>
      </w:r>
      <w:r>
        <w:rPr>
          <w:color w:val="auto"/>
          <w:sz w:val="24"/>
          <w:szCs w:val="24"/>
          <w:highlight w:val="none"/>
          <w:lang w:val="en-US" w:eastAsia="zh-CN"/>
        </w:rPr>
        <w:t>保证金金额。</w:t>
      </w:r>
    </w:p>
    <w:p w14:paraId="530741F3">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二、保证的方式及保证期间</w:t>
      </w:r>
    </w:p>
    <w:p w14:paraId="4E364607">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我方保证的方式为：连带责任保证。</w:t>
      </w:r>
    </w:p>
    <w:p w14:paraId="346D4CDA">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我方的保证期间为：自本保函生效之日起</w:t>
      </w:r>
      <w:r>
        <w:rPr>
          <w:color w:val="auto"/>
          <w:sz w:val="24"/>
          <w:szCs w:val="24"/>
          <w:highlight w:val="none"/>
          <w:u w:val="single"/>
          <w:lang w:val="en-US" w:eastAsia="zh-CN"/>
        </w:rPr>
        <w:t>   </w:t>
      </w:r>
      <w:r>
        <w:rPr>
          <w:rFonts w:hint="eastAsia" w:ascii="Times New Roman" w:eastAsia="宋体"/>
          <w:color w:val="auto"/>
          <w:sz w:val="24"/>
          <w:szCs w:val="24"/>
          <w:highlight w:val="none"/>
          <w:u w:val="single"/>
          <w:lang w:val="en-US" w:eastAsia="zh-CN"/>
        </w:rPr>
        <w:t xml:space="preserve"> </w:t>
      </w:r>
      <w:r>
        <w:rPr>
          <w:color w:val="auto"/>
          <w:sz w:val="24"/>
          <w:szCs w:val="24"/>
          <w:highlight w:val="none"/>
          <w:u w:val="single"/>
          <w:lang w:val="en-US" w:eastAsia="zh-CN"/>
        </w:rPr>
        <w:t> </w:t>
      </w:r>
      <w:r>
        <w:rPr>
          <w:color w:val="auto"/>
          <w:sz w:val="24"/>
          <w:szCs w:val="24"/>
          <w:highlight w:val="none"/>
          <w:lang w:val="en-US" w:eastAsia="zh-CN"/>
        </w:rPr>
        <w:t>个月止。</w:t>
      </w:r>
    </w:p>
    <w:p w14:paraId="74AF5A22">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三、承担保证责任的程序</w:t>
      </w:r>
    </w:p>
    <w:p w14:paraId="08119D2D">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1．你方要求我方承担保证责任的，应在本保函保证期间内向我方发出书面索赔通知。索赔通知应写明要求索赔的金额，支付款项应到达的账号，并附有证明</w:t>
      </w:r>
      <w:r>
        <w:rPr>
          <w:rFonts w:hint="eastAsia" w:ascii="Times New Roman" w:eastAsia="宋体"/>
          <w:color w:val="auto"/>
          <w:sz w:val="24"/>
          <w:szCs w:val="24"/>
          <w:highlight w:val="none"/>
          <w:lang w:val="en-US" w:eastAsia="zh-CN"/>
        </w:rPr>
        <w:t>供应商</w:t>
      </w:r>
      <w:r>
        <w:rPr>
          <w:color w:val="auto"/>
          <w:sz w:val="24"/>
          <w:szCs w:val="24"/>
          <w:highlight w:val="none"/>
          <w:lang w:val="en-US" w:eastAsia="zh-CN"/>
        </w:rPr>
        <w:t>发生我方应承担保证责任情形的事实材料。</w:t>
      </w:r>
    </w:p>
    <w:p w14:paraId="7481A88D">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2．我方在收到索赔通知及相关证明材料后，在</w:t>
      </w:r>
      <w:r>
        <w:rPr>
          <w:color w:val="auto"/>
          <w:sz w:val="24"/>
          <w:szCs w:val="24"/>
          <w:highlight w:val="none"/>
          <w:u w:val="single"/>
          <w:lang w:val="en-US" w:eastAsia="zh-CN"/>
        </w:rPr>
        <w:t> </w:t>
      </w:r>
      <w:r>
        <w:rPr>
          <w:rFonts w:hint="eastAsia" w:ascii="Times New Roman" w:eastAsia="宋体"/>
          <w:color w:val="auto"/>
          <w:sz w:val="24"/>
          <w:szCs w:val="24"/>
          <w:highlight w:val="none"/>
          <w:u w:val="single"/>
          <w:lang w:val="en-US" w:eastAsia="zh-CN"/>
        </w:rPr>
        <w:t xml:space="preserve"> </w:t>
      </w:r>
      <w:r>
        <w:rPr>
          <w:color w:val="auto"/>
          <w:sz w:val="24"/>
          <w:szCs w:val="24"/>
          <w:highlight w:val="none"/>
          <w:u w:val="single"/>
          <w:lang w:val="en-US" w:eastAsia="zh-CN"/>
        </w:rPr>
        <w:t>  </w:t>
      </w:r>
      <w:r>
        <w:rPr>
          <w:color w:val="auto"/>
          <w:sz w:val="24"/>
          <w:szCs w:val="24"/>
          <w:highlight w:val="none"/>
          <w:lang w:val="en-US" w:eastAsia="zh-CN"/>
        </w:rPr>
        <w:t>个工作日内进行审查，符合应承担保证责任情形的，我方应按照你方的要求代</w:t>
      </w:r>
      <w:r>
        <w:rPr>
          <w:rFonts w:hint="eastAsia" w:ascii="Times New Roman" w:eastAsia="宋体"/>
          <w:color w:val="auto"/>
          <w:sz w:val="24"/>
          <w:szCs w:val="24"/>
          <w:highlight w:val="none"/>
          <w:lang w:val="en-US" w:eastAsia="zh-CN"/>
        </w:rPr>
        <w:t>供应商</w:t>
      </w:r>
      <w:r>
        <w:rPr>
          <w:color w:val="auto"/>
          <w:sz w:val="24"/>
          <w:szCs w:val="24"/>
          <w:highlight w:val="none"/>
          <w:lang w:val="en-US" w:eastAsia="zh-CN"/>
        </w:rPr>
        <w:t>向你方支付</w:t>
      </w:r>
      <w:r>
        <w:rPr>
          <w:rFonts w:hint="eastAsia" w:ascii="Times New Roman" w:eastAsia="宋体"/>
          <w:color w:val="auto"/>
          <w:sz w:val="24"/>
          <w:szCs w:val="24"/>
          <w:highlight w:val="none"/>
          <w:lang w:val="en-US" w:eastAsia="zh-CN"/>
        </w:rPr>
        <w:t>谈判</w:t>
      </w:r>
      <w:r>
        <w:rPr>
          <w:color w:val="auto"/>
          <w:sz w:val="24"/>
          <w:szCs w:val="24"/>
          <w:highlight w:val="none"/>
          <w:lang w:val="en-US" w:eastAsia="zh-CN"/>
        </w:rPr>
        <w:t>保证金。</w:t>
      </w:r>
    </w:p>
    <w:p w14:paraId="5ABAAD93">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四、保证责任的终止</w:t>
      </w:r>
    </w:p>
    <w:p w14:paraId="204F89D5">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1．保证期间届满你方未向我方书面主张保证责任的，自保证期间届满次日起，我方保证责任自动终止。</w:t>
      </w:r>
    </w:p>
    <w:p w14:paraId="19FD73D7">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2．我方按照本保函向你方履行了保证责任后，自我方向你方支付款项（支付款项从我方账户划出）之日起，保证责任终止。</w:t>
      </w:r>
    </w:p>
    <w:p w14:paraId="49679BC4">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3．按照法律法规的规定或出现我方保证责任终止的其它情形的，我方在本保函项下的保证责任亦终止。</w:t>
      </w:r>
    </w:p>
    <w:p w14:paraId="6909D2E6">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五、免责条款</w:t>
      </w:r>
    </w:p>
    <w:p w14:paraId="20BD8B3A">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1．依照法律规定或你方与</w:t>
      </w:r>
      <w:r>
        <w:rPr>
          <w:rFonts w:hint="eastAsia" w:ascii="Times New Roman" w:eastAsia="宋体"/>
          <w:color w:val="auto"/>
          <w:sz w:val="24"/>
          <w:szCs w:val="24"/>
          <w:highlight w:val="none"/>
          <w:lang w:val="en-US" w:eastAsia="zh-CN"/>
        </w:rPr>
        <w:t>供应商</w:t>
      </w:r>
      <w:r>
        <w:rPr>
          <w:color w:val="auto"/>
          <w:sz w:val="24"/>
          <w:szCs w:val="24"/>
          <w:highlight w:val="none"/>
          <w:lang w:val="en-US" w:eastAsia="zh-CN"/>
        </w:rPr>
        <w:t>的另行约定，全部或者部分免除</w:t>
      </w:r>
      <w:r>
        <w:rPr>
          <w:rFonts w:hint="eastAsia" w:ascii="Times New Roman" w:eastAsia="宋体"/>
          <w:color w:val="auto"/>
          <w:sz w:val="24"/>
          <w:szCs w:val="24"/>
          <w:highlight w:val="none"/>
          <w:lang w:val="en-US" w:eastAsia="zh-CN"/>
        </w:rPr>
        <w:t>供应商谈判</w:t>
      </w:r>
      <w:r>
        <w:rPr>
          <w:color w:val="auto"/>
          <w:sz w:val="24"/>
          <w:szCs w:val="24"/>
          <w:highlight w:val="none"/>
          <w:lang w:val="en-US" w:eastAsia="zh-CN"/>
        </w:rPr>
        <w:t>保证金义务时，我方亦免除相应的保证责任。</w:t>
      </w:r>
    </w:p>
    <w:p w14:paraId="470DB3E8">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2．因你方原因致使</w:t>
      </w:r>
      <w:r>
        <w:rPr>
          <w:rFonts w:hint="eastAsia" w:ascii="Times New Roman" w:eastAsia="宋体"/>
          <w:color w:val="auto"/>
          <w:sz w:val="24"/>
          <w:szCs w:val="24"/>
          <w:highlight w:val="none"/>
          <w:lang w:val="en-US" w:eastAsia="zh-CN"/>
        </w:rPr>
        <w:t>供应商</w:t>
      </w:r>
      <w:r>
        <w:rPr>
          <w:color w:val="auto"/>
          <w:sz w:val="24"/>
          <w:szCs w:val="24"/>
          <w:highlight w:val="none"/>
          <w:lang w:val="en-US" w:eastAsia="zh-CN"/>
        </w:rPr>
        <w:t>发生本保函第一条第（一）款约定情形的，我方不承担保证责任。</w:t>
      </w:r>
    </w:p>
    <w:p w14:paraId="68C6EAF0">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3．因不可抗力造成</w:t>
      </w:r>
      <w:r>
        <w:rPr>
          <w:rFonts w:hint="eastAsia" w:ascii="Times New Roman" w:eastAsia="宋体"/>
          <w:color w:val="auto"/>
          <w:sz w:val="24"/>
          <w:szCs w:val="24"/>
          <w:highlight w:val="none"/>
          <w:lang w:val="en-US" w:eastAsia="zh-CN"/>
        </w:rPr>
        <w:t>供应商</w:t>
      </w:r>
      <w:r>
        <w:rPr>
          <w:color w:val="auto"/>
          <w:sz w:val="24"/>
          <w:szCs w:val="24"/>
          <w:highlight w:val="none"/>
          <w:lang w:val="en-US" w:eastAsia="zh-CN"/>
        </w:rPr>
        <w:t>发生本保函第一条约定情形的，我方不承担保证责任。</w:t>
      </w:r>
    </w:p>
    <w:p w14:paraId="452000BF">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4．你方或其他有权机关对</w:t>
      </w:r>
      <w:r>
        <w:rPr>
          <w:rFonts w:hint="eastAsia" w:ascii="Times New Roman" w:eastAsia="宋体"/>
          <w:color w:val="auto"/>
          <w:sz w:val="24"/>
          <w:szCs w:val="24"/>
          <w:highlight w:val="none"/>
          <w:lang w:val="en-US" w:eastAsia="zh-CN"/>
        </w:rPr>
        <w:t>竞争性谈判</w:t>
      </w:r>
      <w:r>
        <w:rPr>
          <w:color w:val="auto"/>
          <w:sz w:val="24"/>
          <w:szCs w:val="24"/>
          <w:highlight w:val="none"/>
          <w:lang w:val="en-US" w:eastAsia="zh-CN"/>
        </w:rPr>
        <w:t>进行任何澄清或修改，加重我方保证责任的，我方对加重部分不承担保证责任，但该澄清或修改经我方事先书面同意的除外。</w:t>
      </w:r>
    </w:p>
    <w:p w14:paraId="2ED8C886">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六、争议的解决</w:t>
      </w:r>
    </w:p>
    <w:p w14:paraId="0A26910B">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因本保函发生的纠纷，由你我双方协商解决，协商不成的，通过诉讼程序解决，诉讼管辖地法院为</w:t>
      </w:r>
      <w:r>
        <w:rPr>
          <w:color w:val="auto"/>
          <w:sz w:val="24"/>
          <w:szCs w:val="24"/>
          <w:highlight w:val="none"/>
          <w:u w:val="single"/>
          <w:lang w:val="en-US" w:eastAsia="zh-CN"/>
        </w:rPr>
        <w:t>          </w:t>
      </w:r>
      <w:r>
        <w:rPr>
          <w:color w:val="auto"/>
          <w:sz w:val="24"/>
          <w:szCs w:val="24"/>
          <w:highlight w:val="none"/>
          <w:lang w:val="en-US" w:eastAsia="zh-CN"/>
        </w:rPr>
        <w:t>法院。</w:t>
      </w:r>
    </w:p>
    <w:p w14:paraId="5FDE156B">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七、保函的生效</w:t>
      </w:r>
    </w:p>
    <w:p w14:paraId="5EAF2F3A">
      <w:pPr>
        <w:keepNext w:val="0"/>
        <w:keepLines w:val="0"/>
        <w:pageBreakBefore w:val="0"/>
        <w:widowControl w:val="0"/>
        <w:kinsoku/>
        <w:wordWrap/>
        <w:overflowPunct/>
        <w:topLinePunct w:val="0"/>
        <w:autoSpaceDE/>
        <w:autoSpaceDN/>
        <w:bidi w:val="0"/>
        <w:adjustRightInd/>
        <w:snapToGrid/>
        <w:spacing w:line="440" w:lineRule="exact"/>
        <w:ind w:firstLine="500" w:firstLineChars="200"/>
        <w:textAlignment w:val="auto"/>
        <w:rPr>
          <w:color w:val="auto"/>
          <w:sz w:val="24"/>
          <w:szCs w:val="24"/>
          <w:highlight w:val="none"/>
          <w:lang w:val="en-US" w:eastAsia="zh-CN"/>
        </w:rPr>
      </w:pPr>
      <w:r>
        <w:rPr>
          <w:color w:val="auto"/>
          <w:sz w:val="24"/>
          <w:szCs w:val="24"/>
          <w:highlight w:val="none"/>
          <w:lang w:val="en-US" w:eastAsia="zh-CN"/>
        </w:rPr>
        <w:t>本保函自我方加盖公章之日起生效。</w:t>
      </w:r>
    </w:p>
    <w:p w14:paraId="62B20F83">
      <w:pPr>
        <w:widowControl/>
        <w:pBdr>
          <w:top w:val="none" w:color="auto" w:sz="0" w:space="0"/>
          <w:left w:val="none" w:color="auto" w:sz="0" w:space="0"/>
          <w:bottom w:val="none" w:color="auto" w:sz="0" w:space="0"/>
          <w:right w:val="none" w:color="auto" w:sz="0" w:space="0"/>
        </w:pBdr>
        <w:shd w:val="clear" w:color="auto" w:fill="FFFFFF"/>
        <w:snapToGrid/>
        <w:spacing w:before="100" w:beforeAutospacing="1" w:after="100" w:afterAutospacing="1" w:line="450" w:lineRule="atLeast"/>
        <w:ind w:left="0" w:right="0" w:firstLine="5565"/>
        <w:jc w:val="left"/>
        <w:textAlignment w:val="baseline"/>
        <w:outlineLvl w:val="9"/>
        <w:rPr>
          <w:rFonts w:ascii="宋体" w:hAnsi="宋体" w:eastAsia="宋体" w:cs="Times New Roman"/>
          <w:b w:val="0"/>
          <w:i w:val="0"/>
          <w:caps w:val="0"/>
          <w:color w:val="auto"/>
          <w:spacing w:val="0"/>
          <w:w w:val="100"/>
          <w:kern w:val="0"/>
          <w:sz w:val="24"/>
          <w:szCs w:val="24"/>
          <w:highlight w:val="none"/>
          <w:lang w:val="en-US" w:eastAsia="zh-CN" w:bidi="ar-SA"/>
        </w:rPr>
      </w:pPr>
    </w:p>
    <w:p w14:paraId="5B6BF345">
      <w:pPr>
        <w:widowControl/>
        <w:pBdr>
          <w:top w:val="none" w:color="auto" w:sz="0" w:space="0"/>
          <w:left w:val="none" w:color="auto" w:sz="0" w:space="0"/>
          <w:bottom w:val="none" w:color="auto" w:sz="0" w:space="0"/>
          <w:right w:val="none" w:color="auto" w:sz="0" w:space="0"/>
        </w:pBdr>
        <w:shd w:val="clear" w:color="auto" w:fill="FFFFFF"/>
        <w:snapToGrid/>
        <w:spacing w:before="100" w:beforeAutospacing="1" w:after="100" w:afterAutospacing="1" w:line="450" w:lineRule="atLeast"/>
        <w:ind w:left="0" w:right="0" w:firstLine="5565"/>
        <w:jc w:val="left"/>
        <w:textAlignment w:val="baseline"/>
        <w:outlineLvl w:val="9"/>
        <w:rPr>
          <w:rFonts w:ascii="宋体" w:hAnsi="宋体" w:eastAsia="宋体" w:cs="Times New Roman"/>
          <w:b w:val="0"/>
          <w:i w:val="0"/>
          <w:caps w:val="0"/>
          <w:color w:val="auto"/>
          <w:spacing w:val="0"/>
          <w:w w:val="100"/>
          <w:kern w:val="0"/>
          <w:sz w:val="24"/>
          <w:szCs w:val="24"/>
          <w:highlight w:val="none"/>
          <w:lang w:val="en-US" w:eastAsia="zh-CN" w:bidi="ar-SA"/>
        </w:rPr>
      </w:pPr>
      <w:r>
        <w:rPr>
          <w:rFonts w:ascii="宋体" w:hAnsi="宋体" w:eastAsia="宋体" w:cs="Times New Roman"/>
          <w:b w:val="0"/>
          <w:i w:val="0"/>
          <w:caps w:val="0"/>
          <w:color w:val="auto"/>
          <w:spacing w:val="0"/>
          <w:w w:val="100"/>
          <w:kern w:val="0"/>
          <w:sz w:val="24"/>
          <w:szCs w:val="24"/>
          <w:highlight w:val="none"/>
          <w:lang w:val="en-US" w:eastAsia="zh-CN" w:bidi="ar-SA"/>
        </w:rPr>
        <w:t>保证人：（公章）</w:t>
      </w:r>
    </w:p>
    <w:p w14:paraId="0C1935A1">
      <w:pPr>
        <w:widowControl w:val="0"/>
        <w:spacing w:before="240" w:after="60"/>
        <w:jc w:val="center"/>
        <w:outlineLvl w:val="9"/>
        <w:rPr>
          <w:rFonts w:ascii="宋体" w:hAnsi="宋体" w:eastAsia="宋体" w:cs="Times New Roman"/>
          <w:b w:val="0"/>
          <w:bCs/>
          <w:i w:val="0"/>
          <w:caps w:val="0"/>
          <w:color w:val="auto"/>
          <w:spacing w:val="0"/>
          <w:w w:val="100"/>
          <w:kern w:val="0"/>
          <w:sz w:val="24"/>
          <w:szCs w:val="24"/>
          <w:highlight w:val="none"/>
          <w:lang w:val="en-US" w:eastAsia="zh-CN" w:bidi="ar-SA"/>
        </w:rPr>
      </w:pPr>
      <w:r>
        <w:rPr>
          <w:rFonts w:hint="eastAsia" w:ascii="宋体" w:hAnsi="宋体" w:eastAsia="宋体" w:cs="Times New Roman"/>
          <w:b w:val="0"/>
          <w:bCs/>
          <w:i w:val="0"/>
          <w:caps w:val="0"/>
          <w:color w:val="auto"/>
          <w:spacing w:val="0"/>
          <w:w w:val="100"/>
          <w:kern w:val="0"/>
          <w:sz w:val="24"/>
          <w:szCs w:val="24"/>
          <w:highlight w:val="none"/>
          <w:lang w:val="en-US" w:eastAsia="zh-CN" w:bidi="ar-SA"/>
        </w:rPr>
        <w:t xml:space="preserve">                                    </w:t>
      </w:r>
      <w:r>
        <w:rPr>
          <w:rFonts w:ascii="宋体" w:hAnsi="宋体" w:eastAsia="宋体" w:cs="Times New Roman"/>
          <w:b w:val="0"/>
          <w:bCs/>
          <w:i w:val="0"/>
          <w:caps w:val="0"/>
          <w:color w:val="auto"/>
          <w:spacing w:val="0"/>
          <w:w w:val="100"/>
          <w:kern w:val="0"/>
          <w:sz w:val="24"/>
          <w:szCs w:val="24"/>
          <w:highlight w:val="none"/>
          <w:lang w:val="en-US" w:eastAsia="zh-CN" w:bidi="ar-SA"/>
        </w:rPr>
        <w:t>年  月   日</w:t>
      </w:r>
    </w:p>
    <w:p w14:paraId="13F0C6B9">
      <w:pPr>
        <w:pStyle w:val="47"/>
        <w:ind w:left="0" w:leftChars="0" w:firstLine="0" w:firstLineChars="0"/>
        <w:rPr>
          <w:color w:val="auto"/>
          <w:sz w:val="24"/>
          <w:szCs w:val="24"/>
          <w:highlight w:val="none"/>
        </w:rPr>
      </w:pPr>
    </w:p>
    <w:p w14:paraId="25FAEEE5">
      <w:pPr>
        <w:pStyle w:val="47"/>
        <w:rPr>
          <w:color w:val="auto"/>
          <w:sz w:val="24"/>
          <w:szCs w:val="24"/>
          <w:highlight w:val="none"/>
        </w:rPr>
      </w:pPr>
    </w:p>
    <w:p w14:paraId="3B5F2301">
      <w:pPr>
        <w:pStyle w:val="47"/>
        <w:rPr>
          <w:color w:val="auto"/>
          <w:sz w:val="24"/>
          <w:szCs w:val="24"/>
          <w:highlight w:val="none"/>
        </w:rPr>
      </w:pPr>
    </w:p>
    <w:p w14:paraId="7FA36491">
      <w:pPr>
        <w:pStyle w:val="47"/>
        <w:rPr>
          <w:color w:val="auto"/>
          <w:sz w:val="24"/>
          <w:szCs w:val="24"/>
          <w:highlight w:val="none"/>
        </w:rPr>
      </w:pPr>
    </w:p>
    <w:p w14:paraId="6CD75B0C">
      <w:pPr>
        <w:pStyle w:val="47"/>
        <w:rPr>
          <w:color w:val="auto"/>
          <w:sz w:val="24"/>
          <w:szCs w:val="24"/>
          <w:highlight w:val="none"/>
        </w:rPr>
      </w:pPr>
    </w:p>
    <w:p w14:paraId="627792BB">
      <w:pPr>
        <w:pStyle w:val="47"/>
        <w:rPr>
          <w:color w:val="auto"/>
          <w:sz w:val="24"/>
          <w:szCs w:val="24"/>
          <w:highlight w:val="none"/>
        </w:rPr>
      </w:pPr>
    </w:p>
    <w:p w14:paraId="2DBAB610">
      <w:pPr>
        <w:pStyle w:val="47"/>
        <w:ind w:left="0" w:leftChars="0" w:firstLine="0" w:firstLineChars="0"/>
        <w:rPr>
          <w:color w:val="auto"/>
          <w:sz w:val="24"/>
          <w:szCs w:val="24"/>
          <w:highlight w:val="none"/>
        </w:rPr>
      </w:pPr>
    </w:p>
    <w:p w14:paraId="461FA839">
      <w:pPr>
        <w:pageBreakBefore w:val="0"/>
        <w:wordWrap/>
        <w:overflowPunct/>
        <w:topLinePunct w:val="0"/>
        <w:bidi w:val="0"/>
        <w:spacing w:line="520" w:lineRule="exact"/>
        <w:outlineLvl w:val="9"/>
        <w:rPr>
          <w:rFonts w:hint="eastAsia" w:ascii="宋体" w:hAnsi="宋体"/>
          <w:b/>
          <w:bCs/>
          <w:color w:val="auto"/>
          <w:sz w:val="24"/>
          <w:szCs w:val="24"/>
          <w:highlight w:val="none"/>
        </w:rPr>
      </w:pPr>
      <w:r>
        <w:rPr>
          <w:rFonts w:hint="eastAsia" w:ascii="宋体" w:hAnsi="宋体"/>
          <w:b/>
          <w:bCs/>
          <w:color w:val="auto"/>
          <w:sz w:val="24"/>
          <w:szCs w:val="24"/>
          <w:highlight w:val="none"/>
        </w:rPr>
        <w:t>附件</w:t>
      </w:r>
      <w:r>
        <w:rPr>
          <w:rFonts w:hint="eastAsia" w:ascii="宋体" w:hAnsi="宋体"/>
          <w:b/>
          <w:bCs/>
          <w:color w:val="auto"/>
          <w:sz w:val="24"/>
          <w:szCs w:val="24"/>
          <w:highlight w:val="none"/>
          <w:lang w:val="en-US" w:eastAsia="zh-CN"/>
        </w:rPr>
        <w:t>8</w:t>
      </w:r>
      <w:r>
        <w:rPr>
          <w:rFonts w:hint="eastAsia" w:ascii="宋体" w:hAnsi="宋体"/>
          <w:b/>
          <w:bCs/>
          <w:color w:val="auto"/>
          <w:sz w:val="24"/>
          <w:szCs w:val="24"/>
          <w:highlight w:val="none"/>
        </w:rPr>
        <w:t>：</w:t>
      </w:r>
    </w:p>
    <w:p w14:paraId="3FD41437">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eastAsia" w:ascii="宋体" w:hAnsi="宋体" w:eastAsia="宋体" w:cs="宋体"/>
          <w:color w:val="000000"/>
          <w:spacing w:val="0"/>
          <w:sz w:val="24"/>
          <w:szCs w:val="24"/>
          <w:u w:val="single"/>
          <w:lang w:val="en-US" w:eastAsia="zh-CN"/>
        </w:rPr>
      </w:pPr>
      <w:r>
        <w:rPr>
          <w:rFonts w:hint="eastAsia" w:ascii="宋体" w:hAnsi="宋体" w:eastAsia="宋体" w:cs="宋体"/>
          <w:b/>
          <w:bCs/>
          <w:color w:val="000000"/>
          <w:spacing w:val="0"/>
          <w:sz w:val="24"/>
          <w:szCs w:val="24"/>
          <w:lang w:val="en-US" w:eastAsia="zh-CN"/>
        </w:rPr>
        <w:t>交易保证金信用承诺书</w:t>
      </w:r>
    </w:p>
    <w:p w14:paraId="2EFAA1AA">
      <w:pPr>
        <w:keepNext w:val="0"/>
        <w:keepLines w:val="0"/>
        <w:pageBreakBefore w:val="0"/>
        <w:widowControl w:val="0"/>
        <w:kinsoku/>
        <w:wordWrap/>
        <w:overflowPunct/>
        <w:topLinePunct w:val="0"/>
        <w:autoSpaceDE/>
        <w:autoSpaceDN/>
        <w:bidi w:val="0"/>
        <w:adjustRightInd/>
        <w:snapToGrid/>
        <w:spacing w:line="520" w:lineRule="exact"/>
        <w:ind w:right="0" w:firstLine="500" w:firstLineChars="200"/>
        <w:jc w:val="both"/>
        <w:textAlignment w:val="auto"/>
        <w:rPr>
          <w:rFonts w:hint="eastAsia" w:ascii="宋体" w:hAnsi="宋体" w:eastAsia="宋体" w:cs="宋体"/>
          <w:color w:val="000000"/>
          <w:spacing w:val="0"/>
          <w:sz w:val="24"/>
          <w:szCs w:val="24"/>
          <w:u w:val="single"/>
          <w:lang w:val="en-US" w:eastAsia="zh-CN"/>
        </w:rPr>
      </w:pPr>
      <w:r>
        <w:rPr>
          <w:rFonts w:hint="eastAsia" w:ascii="宋体" w:hAnsi="宋体" w:eastAsia="宋体" w:cs="宋体"/>
          <w:color w:val="000000"/>
          <w:spacing w:val="0"/>
          <w:sz w:val="24"/>
          <w:szCs w:val="24"/>
          <w:u w:val="single"/>
          <w:lang w:val="en-US" w:eastAsia="zh-CN"/>
        </w:rPr>
        <w:t>（招标采购单位名称）：</w:t>
      </w:r>
    </w:p>
    <w:p w14:paraId="3C6D5D23">
      <w:pPr>
        <w:keepNext w:val="0"/>
        <w:keepLines w:val="0"/>
        <w:pageBreakBefore w:val="0"/>
        <w:widowControl w:val="0"/>
        <w:kinsoku/>
        <w:wordWrap/>
        <w:overflowPunct/>
        <w:topLinePunct w:val="0"/>
        <w:autoSpaceDE/>
        <w:autoSpaceDN/>
        <w:bidi w:val="0"/>
        <w:adjustRightInd/>
        <w:snapToGrid/>
        <w:spacing w:line="520" w:lineRule="exact"/>
        <w:ind w:right="0" w:firstLine="50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为维护公平、公正、公开的招标采购市场秩序，树立诚实守信的投标人供应商形象，我单位自愿作出以下承诺：</w:t>
      </w:r>
    </w:p>
    <w:p w14:paraId="19FEE45D">
      <w:pPr>
        <w:keepNext w:val="0"/>
        <w:keepLines w:val="0"/>
        <w:pageBreakBefore w:val="0"/>
        <w:widowControl w:val="0"/>
        <w:kinsoku/>
        <w:wordWrap/>
        <w:overflowPunct/>
        <w:topLinePunct w:val="0"/>
        <w:autoSpaceDE/>
        <w:autoSpaceDN/>
        <w:bidi w:val="0"/>
        <w:adjustRightInd/>
        <w:snapToGrid/>
        <w:spacing w:line="520" w:lineRule="exact"/>
        <w:ind w:right="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单位名称：</w:t>
      </w:r>
      <w:r>
        <w:rPr>
          <w:rFonts w:hint="eastAsia" w:ascii="宋体" w:hAnsi="宋体" w:eastAsia="宋体" w:cs="宋体"/>
          <w:color w:val="000000"/>
          <w:spacing w:val="0"/>
          <w:sz w:val="24"/>
          <w:szCs w:val="24"/>
          <w:u w:val="single"/>
          <w:lang w:val="en-US" w:eastAsia="zh-CN"/>
        </w:rPr>
        <w:t xml:space="preserve">                                    </w:t>
      </w:r>
      <w:r>
        <w:rPr>
          <w:rFonts w:hint="eastAsia" w:ascii="宋体" w:hAnsi="宋体" w:eastAsia="宋体" w:cs="宋体"/>
          <w:color w:val="000000"/>
          <w:spacing w:val="0"/>
          <w:sz w:val="24"/>
          <w:szCs w:val="24"/>
          <w:lang w:val="en-US" w:eastAsia="zh-CN"/>
        </w:rPr>
        <w:t xml:space="preserve"> </w:t>
      </w:r>
      <w:r>
        <w:rPr>
          <w:rFonts w:hint="eastAsia" w:ascii="宋体" w:hAnsi="宋体" w:eastAsia="宋体" w:cs="宋体"/>
          <w:color w:val="000000"/>
          <w:spacing w:val="0"/>
          <w:sz w:val="24"/>
          <w:szCs w:val="24"/>
          <w:lang w:val="en-US" w:eastAsia="zh-CN"/>
        </w:rPr>
        <w:tab/>
      </w:r>
      <w:r>
        <w:rPr>
          <w:rFonts w:hint="eastAsia" w:ascii="宋体" w:hAnsi="宋体" w:eastAsia="宋体" w:cs="宋体"/>
          <w:color w:val="000000"/>
          <w:spacing w:val="0"/>
          <w:sz w:val="24"/>
          <w:szCs w:val="24"/>
          <w:lang w:val="en-US" w:eastAsia="zh-CN"/>
        </w:rPr>
        <w:t xml:space="preserve"> </w:t>
      </w:r>
    </w:p>
    <w:p w14:paraId="02C96063">
      <w:pPr>
        <w:keepNext w:val="0"/>
        <w:keepLines w:val="0"/>
        <w:pageBreakBefore w:val="0"/>
        <w:widowControl w:val="0"/>
        <w:kinsoku/>
        <w:wordWrap/>
        <w:overflowPunct/>
        <w:topLinePunct w:val="0"/>
        <w:autoSpaceDE/>
        <w:autoSpaceDN/>
        <w:bidi w:val="0"/>
        <w:adjustRightInd/>
        <w:snapToGrid/>
        <w:spacing w:line="520" w:lineRule="exact"/>
        <w:ind w:right="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统一社会信用代码：</w:t>
      </w:r>
      <w:r>
        <w:rPr>
          <w:rFonts w:hint="eastAsia" w:ascii="宋体" w:hAnsi="宋体" w:eastAsia="宋体" w:cs="宋体"/>
          <w:color w:val="000000"/>
          <w:spacing w:val="0"/>
          <w:sz w:val="24"/>
          <w:szCs w:val="24"/>
          <w:u w:val="single"/>
          <w:lang w:val="en-US" w:eastAsia="zh-CN"/>
        </w:rPr>
        <w:t xml:space="preserve">                            </w:t>
      </w:r>
      <w:r>
        <w:rPr>
          <w:rFonts w:hint="eastAsia" w:ascii="宋体" w:hAnsi="宋体" w:eastAsia="宋体" w:cs="宋体"/>
          <w:color w:val="000000"/>
          <w:spacing w:val="0"/>
          <w:sz w:val="24"/>
          <w:szCs w:val="24"/>
          <w:lang w:val="en-US" w:eastAsia="zh-CN"/>
        </w:rPr>
        <w:tab/>
      </w:r>
      <w:r>
        <w:rPr>
          <w:rFonts w:hint="eastAsia" w:ascii="宋体" w:hAnsi="宋体" w:eastAsia="宋体" w:cs="宋体"/>
          <w:color w:val="000000"/>
          <w:spacing w:val="0"/>
          <w:sz w:val="24"/>
          <w:szCs w:val="24"/>
          <w:lang w:val="en-US" w:eastAsia="zh-CN"/>
        </w:rPr>
        <w:tab/>
      </w:r>
      <w:r>
        <w:rPr>
          <w:rFonts w:hint="eastAsia" w:ascii="宋体" w:hAnsi="宋体" w:eastAsia="宋体" w:cs="宋体"/>
          <w:color w:val="000000"/>
          <w:spacing w:val="0"/>
          <w:sz w:val="24"/>
          <w:szCs w:val="24"/>
          <w:lang w:val="en-US" w:eastAsia="zh-CN"/>
        </w:rPr>
        <w:tab/>
      </w:r>
      <w:r>
        <w:rPr>
          <w:rFonts w:hint="eastAsia" w:ascii="宋体" w:hAnsi="宋体" w:eastAsia="宋体" w:cs="宋体"/>
          <w:color w:val="000000"/>
          <w:spacing w:val="0"/>
          <w:sz w:val="24"/>
          <w:szCs w:val="24"/>
          <w:lang w:val="en-US" w:eastAsia="zh-CN"/>
        </w:rPr>
        <w:t xml:space="preserve"> </w:t>
      </w:r>
    </w:p>
    <w:p w14:paraId="63BC501B">
      <w:pPr>
        <w:keepNext w:val="0"/>
        <w:keepLines w:val="0"/>
        <w:pageBreakBefore w:val="0"/>
        <w:widowControl w:val="0"/>
        <w:kinsoku/>
        <w:wordWrap/>
        <w:overflowPunct/>
        <w:topLinePunct w:val="0"/>
        <w:autoSpaceDE/>
        <w:autoSpaceDN/>
        <w:bidi w:val="0"/>
        <w:adjustRightInd/>
        <w:snapToGrid/>
        <w:spacing w:line="520" w:lineRule="exact"/>
        <w:ind w:right="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法定代表人：</w:t>
      </w:r>
      <w:r>
        <w:rPr>
          <w:rFonts w:hint="eastAsia" w:ascii="宋体" w:hAnsi="宋体" w:eastAsia="宋体" w:cs="宋体"/>
          <w:color w:val="000000"/>
          <w:spacing w:val="0"/>
          <w:sz w:val="24"/>
          <w:szCs w:val="24"/>
          <w:u w:val="single"/>
          <w:lang w:val="en-US" w:eastAsia="zh-CN"/>
        </w:rPr>
        <w:t xml:space="preserve">                                  </w:t>
      </w:r>
      <w:r>
        <w:rPr>
          <w:rFonts w:hint="eastAsia" w:ascii="宋体" w:hAnsi="宋体" w:eastAsia="宋体" w:cs="宋体"/>
          <w:color w:val="000000"/>
          <w:spacing w:val="0"/>
          <w:sz w:val="24"/>
          <w:szCs w:val="24"/>
          <w:lang w:val="en-US" w:eastAsia="zh-CN"/>
        </w:rPr>
        <w:tab/>
      </w:r>
      <w:r>
        <w:rPr>
          <w:rFonts w:hint="eastAsia" w:ascii="宋体" w:hAnsi="宋体" w:eastAsia="宋体" w:cs="宋体"/>
          <w:color w:val="000000"/>
          <w:spacing w:val="0"/>
          <w:sz w:val="24"/>
          <w:szCs w:val="24"/>
          <w:lang w:val="en-US" w:eastAsia="zh-CN"/>
        </w:rPr>
        <w:tab/>
      </w:r>
      <w:r>
        <w:rPr>
          <w:rFonts w:hint="eastAsia" w:ascii="宋体" w:hAnsi="宋体" w:eastAsia="宋体" w:cs="宋体"/>
          <w:color w:val="000000"/>
          <w:spacing w:val="0"/>
          <w:sz w:val="24"/>
          <w:szCs w:val="24"/>
          <w:lang w:val="en-US" w:eastAsia="zh-CN"/>
        </w:rPr>
        <w:t xml:space="preserve"> </w:t>
      </w:r>
    </w:p>
    <w:p w14:paraId="75354456">
      <w:pPr>
        <w:keepNext w:val="0"/>
        <w:keepLines w:val="0"/>
        <w:pageBreakBefore w:val="0"/>
        <w:widowControl w:val="0"/>
        <w:kinsoku/>
        <w:wordWrap/>
        <w:overflowPunct/>
        <w:topLinePunct w:val="0"/>
        <w:autoSpaceDE/>
        <w:autoSpaceDN/>
        <w:bidi w:val="0"/>
        <w:adjustRightInd/>
        <w:snapToGrid/>
        <w:spacing w:line="520" w:lineRule="exact"/>
        <w:ind w:right="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地址和联系电话：</w:t>
      </w:r>
      <w:r>
        <w:rPr>
          <w:rFonts w:hint="eastAsia" w:ascii="宋体" w:hAnsi="宋体" w:eastAsia="宋体" w:cs="宋体"/>
          <w:color w:val="000000"/>
          <w:spacing w:val="0"/>
          <w:sz w:val="24"/>
          <w:szCs w:val="24"/>
          <w:u w:val="single"/>
          <w:lang w:val="en-US" w:eastAsia="zh-CN"/>
        </w:rPr>
        <w:t xml:space="preserve">                              </w:t>
      </w:r>
      <w:r>
        <w:rPr>
          <w:rFonts w:hint="eastAsia" w:ascii="宋体" w:hAnsi="宋体" w:eastAsia="宋体" w:cs="宋体"/>
          <w:color w:val="000000"/>
          <w:spacing w:val="0"/>
          <w:sz w:val="24"/>
          <w:szCs w:val="24"/>
          <w:lang w:val="en-US" w:eastAsia="zh-CN"/>
        </w:rPr>
        <w:t xml:space="preserve">                                   </w:t>
      </w:r>
    </w:p>
    <w:p w14:paraId="089276AE">
      <w:pPr>
        <w:keepNext w:val="0"/>
        <w:keepLines w:val="0"/>
        <w:pageBreakBefore w:val="0"/>
        <w:widowControl w:val="0"/>
        <w:kinsoku/>
        <w:wordWrap/>
        <w:overflowPunct/>
        <w:topLinePunct w:val="0"/>
        <w:autoSpaceDE/>
        <w:autoSpaceDN/>
        <w:bidi w:val="0"/>
        <w:adjustRightInd/>
        <w:snapToGrid/>
        <w:spacing w:line="520" w:lineRule="exact"/>
        <w:ind w:right="0" w:firstLine="50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一、我单位具备承担招标采购项目的能力，自愿参加</w:t>
      </w:r>
      <w:r>
        <w:rPr>
          <w:rFonts w:hint="eastAsia" w:ascii="宋体" w:hAnsi="宋体" w:eastAsia="宋体" w:cs="宋体"/>
          <w:color w:val="000000"/>
          <w:spacing w:val="0"/>
          <w:sz w:val="24"/>
          <w:szCs w:val="24"/>
          <w:u w:val="single"/>
          <w:lang w:val="en-US" w:eastAsia="zh-CN"/>
        </w:rPr>
        <w:t>（         项目名称）</w:t>
      </w:r>
      <w:r>
        <w:rPr>
          <w:rFonts w:hint="eastAsia" w:ascii="宋体" w:hAnsi="宋体" w:eastAsia="宋体" w:cs="宋体"/>
          <w:color w:val="000000"/>
          <w:spacing w:val="0"/>
          <w:sz w:val="24"/>
          <w:szCs w:val="24"/>
          <w:u w:val="none"/>
          <w:lang w:val="en-US" w:eastAsia="zh-CN"/>
        </w:rPr>
        <w:t>招标采购</w:t>
      </w:r>
      <w:r>
        <w:rPr>
          <w:rFonts w:hint="eastAsia" w:ascii="宋体" w:hAnsi="宋体" w:eastAsia="宋体" w:cs="宋体"/>
          <w:color w:val="000000"/>
          <w:spacing w:val="0"/>
          <w:sz w:val="24"/>
          <w:szCs w:val="24"/>
          <w:lang w:val="en-US" w:eastAsia="zh-CN"/>
        </w:rPr>
        <w:t>活动，严格遵守《中华人民共和国招标投标法》《中华人民共和国政府采购法》及相关法律法规，依法守信，诚信履约，自觉执行招标采购活动的各项规定。</w:t>
      </w:r>
    </w:p>
    <w:p w14:paraId="044210CE">
      <w:pPr>
        <w:keepNext w:val="0"/>
        <w:keepLines w:val="0"/>
        <w:pageBreakBefore w:val="0"/>
        <w:widowControl w:val="0"/>
        <w:kinsoku/>
        <w:wordWrap/>
        <w:overflowPunct/>
        <w:topLinePunct w:val="0"/>
        <w:autoSpaceDE/>
        <w:autoSpaceDN/>
        <w:bidi w:val="0"/>
        <w:adjustRightInd/>
        <w:snapToGrid/>
        <w:spacing w:line="520" w:lineRule="exact"/>
        <w:ind w:right="0" w:firstLine="50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二、按照国家公共信用查询结果，我单位属于国家公共信用评价的无违规违法不良信用记录企业。</w:t>
      </w:r>
    </w:p>
    <w:p w14:paraId="39F4B84B">
      <w:pPr>
        <w:keepNext w:val="0"/>
        <w:keepLines w:val="0"/>
        <w:pageBreakBefore w:val="0"/>
        <w:widowControl w:val="0"/>
        <w:kinsoku/>
        <w:wordWrap/>
        <w:overflowPunct/>
        <w:topLinePunct w:val="0"/>
        <w:autoSpaceDE/>
        <w:autoSpaceDN/>
        <w:bidi w:val="0"/>
        <w:adjustRightInd/>
        <w:snapToGrid/>
        <w:spacing w:line="520" w:lineRule="exact"/>
        <w:ind w:firstLine="500" w:firstLineChars="200"/>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三、我单位如有发生下述任何一种违约行为，自愿承担相关法律责任，5年内自动放弃在宝鸡市项目招标采购中使用“保证金信用承诺书”资格</w:t>
      </w:r>
      <w:r>
        <w:rPr>
          <w:rFonts w:hint="eastAsia" w:ascii="宋体" w:hAnsi="宋体" w:eastAsia="宋体" w:cs="宋体"/>
          <w:color w:val="000000"/>
          <w:spacing w:val="7"/>
          <w:sz w:val="24"/>
          <w:szCs w:val="24"/>
          <w:lang w:eastAsia="zh-CN"/>
        </w:rPr>
        <w:t>。</w:t>
      </w:r>
      <w:r>
        <w:rPr>
          <w:rFonts w:hint="eastAsia" w:ascii="宋体" w:hAnsi="宋体" w:eastAsia="宋体" w:cs="宋体"/>
          <w:color w:val="000000"/>
          <w:spacing w:val="0"/>
          <w:sz w:val="24"/>
          <w:szCs w:val="24"/>
          <w:lang w:val="en-US" w:eastAsia="zh-CN"/>
        </w:rPr>
        <w:t>并于收到招标人采购人书面通知7个工作日内，将文件规定的投标保证金足额缴纳至招标人指定账户予以没收，作为处罚。如若拒交，招标人采购人优先选择市公共资源交易中心认可的宝鸡商事纠纷信用调解中心进行调解或仲裁或诉讼。交易中心有权取消失信主体在宝鸡参与招标采购、进场交易等权益。</w:t>
      </w:r>
    </w:p>
    <w:p w14:paraId="5B311D01">
      <w:pPr>
        <w:keepNext w:val="0"/>
        <w:keepLines w:val="0"/>
        <w:pageBreakBefore w:val="0"/>
        <w:widowControl w:val="0"/>
        <w:kinsoku/>
        <w:wordWrap/>
        <w:overflowPunct/>
        <w:topLinePunct w:val="0"/>
        <w:autoSpaceDE/>
        <w:autoSpaceDN/>
        <w:bidi w:val="0"/>
        <w:adjustRightInd/>
        <w:snapToGrid/>
        <w:spacing w:line="520" w:lineRule="exact"/>
        <w:ind w:right="0" w:firstLine="50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（一）在招标采购文件中规定的有效期内撤销投标采购文件；</w:t>
      </w:r>
    </w:p>
    <w:p w14:paraId="4DD7359E">
      <w:pPr>
        <w:keepNext w:val="0"/>
        <w:keepLines w:val="0"/>
        <w:pageBreakBefore w:val="0"/>
        <w:widowControl w:val="0"/>
        <w:kinsoku/>
        <w:wordWrap/>
        <w:overflowPunct/>
        <w:topLinePunct w:val="0"/>
        <w:autoSpaceDE/>
        <w:autoSpaceDN/>
        <w:bidi w:val="0"/>
        <w:adjustRightInd/>
        <w:snapToGrid/>
        <w:spacing w:line="520" w:lineRule="exact"/>
        <w:ind w:right="0" w:firstLine="50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（二）中标后在规定期限内无正当理由不与招标人采购人签订合同，或者未按招标采购文件规定提交履约保证金；</w:t>
      </w:r>
    </w:p>
    <w:p w14:paraId="5E52C6BF">
      <w:pPr>
        <w:keepNext w:val="0"/>
        <w:keepLines w:val="0"/>
        <w:pageBreakBefore w:val="0"/>
        <w:widowControl w:val="0"/>
        <w:kinsoku/>
        <w:wordWrap/>
        <w:overflowPunct/>
        <w:topLinePunct w:val="0"/>
        <w:autoSpaceDE/>
        <w:autoSpaceDN/>
        <w:bidi w:val="0"/>
        <w:adjustRightInd/>
        <w:snapToGrid/>
        <w:spacing w:line="520" w:lineRule="exact"/>
        <w:ind w:right="0" w:firstLine="50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（三）未按照宝鸡市公共资源交易规定，及时足额缴纳进场交易服务费，或仍有拖欠交易服务费；</w:t>
      </w:r>
    </w:p>
    <w:p w14:paraId="58FACED5">
      <w:pPr>
        <w:keepNext w:val="0"/>
        <w:keepLines w:val="0"/>
        <w:pageBreakBefore w:val="0"/>
        <w:widowControl w:val="0"/>
        <w:kinsoku/>
        <w:wordWrap/>
        <w:overflowPunct/>
        <w:topLinePunct w:val="0"/>
        <w:autoSpaceDE/>
        <w:autoSpaceDN/>
        <w:bidi w:val="0"/>
        <w:adjustRightInd/>
        <w:snapToGrid/>
        <w:spacing w:line="520" w:lineRule="exact"/>
        <w:ind w:right="0" w:firstLine="50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（四）行政监管机构认定投标采购人有串通投标或弄虚作假等违法违纪行为；</w:t>
      </w:r>
    </w:p>
    <w:p w14:paraId="7A3F01B7">
      <w:pPr>
        <w:keepNext w:val="0"/>
        <w:keepLines w:val="0"/>
        <w:pageBreakBefore w:val="0"/>
        <w:widowControl w:val="0"/>
        <w:kinsoku/>
        <w:wordWrap/>
        <w:overflowPunct/>
        <w:topLinePunct w:val="0"/>
        <w:autoSpaceDE/>
        <w:autoSpaceDN/>
        <w:bidi w:val="0"/>
        <w:adjustRightInd/>
        <w:snapToGrid/>
        <w:spacing w:line="520" w:lineRule="exact"/>
        <w:ind w:right="0" w:firstLine="50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（五）法律法规规定的其他情形。</w:t>
      </w:r>
    </w:p>
    <w:p w14:paraId="63B5AA2D">
      <w:pPr>
        <w:keepNext w:val="0"/>
        <w:keepLines w:val="0"/>
        <w:pageBreakBefore w:val="0"/>
        <w:widowControl w:val="0"/>
        <w:kinsoku/>
        <w:wordWrap/>
        <w:overflowPunct/>
        <w:topLinePunct w:val="0"/>
        <w:autoSpaceDE/>
        <w:autoSpaceDN/>
        <w:bidi w:val="0"/>
        <w:adjustRightInd/>
        <w:snapToGrid/>
        <w:spacing w:line="520" w:lineRule="exact"/>
        <w:ind w:right="0" w:firstLine="50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四、同意将承诺和失诺信息纳入宝鸡市公共资源交易领域信用记录并归集至信用中国（陕西宝鸡）等信用平台合规应用。</w:t>
      </w:r>
    </w:p>
    <w:p w14:paraId="180E2E1C">
      <w:pPr>
        <w:keepNext w:val="0"/>
        <w:keepLines w:val="0"/>
        <w:pageBreakBefore w:val="0"/>
        <w:widowControl w:val="0"/>
        <w:kinsoku/>
        <w:wordWrap/>
        <w:overflowPunct/>
        <w:topLinePunct w:val="0"/>
        <w:autoSpaceDE/>
        <w:autoSpaceDN/>
        <w:bidi w:val="0"/>
        <w:adjustRightInd/>
        <w:snapToGrid/>
        <w:spacing w:line="520" w:lineRule="exact"/>
        <w:ind w:right="0" w:firstLine="50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特此承诺。</w:t>
      </w:r>
    </w:p>
    <w:p w14:paraId="536A9C97">
      <w:pPr>
        <w:keepNext w:val="0"/>
        <w:keepLines w:val="0"/>
        <w:pageBreakBefore w:val="0"/>
        <w:widowControl w:val="0"/>
        <w:kinsoku/>
        <w:wordWrap/>
        <w:overflowPunct/>
        <w:topLinePunct w:val="0"/>
        <w:autoSpaceDE/>
        <w:autoSpaceDN/>
        <w:bidi w:val="0"/>
        <w:adjustRightInd/>
        <w:snapToGrid/>
        <w:spacing w:line="520" w:lineRule="exact"/>
        <w:ind w:right="0" w:firstLine="50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附件：</w:t>
      </w:r>
      <w:r>
        <w:rPr>
          <w:rFonts w:hint="eastAsia" w:ascii="宋体" w:hAnsi="宋体" w:eastAsia="宋体" w:cs="宋体"/>
          <w:sz w:val="24"/>
          <w:szCs w:val="24"/>
          <w:lang w:val="en-US" w:eastAsia="zh-CN"/>
        </w:rPr>
        <w:t>“信用中国”网站信用报告</w:t>
      </w:r>
    </w:p>
    <w:p w14:paraId="08E95E4E">
      <w:pPr>
        <w:keepNext w:val="0"/>
        <w:keepLines w:val="0"/>
        <w:pageBreakBefore w:val="0"/>
        <w:widowControl w:val="0"/>
        <w:kinsoku/>
        <w:wordWrap/>
        <w:overflowPunct/>
        <w:topLinePunct w:val="0"/>
        <w:autoSpaceDE/>
        <w:autoSpaceDN/>
        <w:bidi w:val="0"/>
        <w:adjustRightInd/>
        <w:snapToGrid/>
        <w:spacing w:line="520" w:lineRule="exact"/>
        <w:ind w:right="0"/>
        <w:jc w:val="both"/>
        <w:textAlignment w:val="auto"/>
        <w:rPr>
          <w:rFonts w:hint="eastAsia" w:ascii="宋体" w:hAnsi="宋体" w:eastAsia="宋体" w:cs="宋体"/>
          <w:color w:val="000000"/>
          <w:spacing w:val="0"/>
          <w:sz w:val="24"/>
          <w:szCs w:val="24"/>
          <w:lang w:val="en-US" w:eastAsia="zh-CN"/>
        </w:rPr>
      </w:pPr>
    </w:p>
    <w:p w14:paraId="708F5823">
      <w:pPr>
        <w:keepNext w:val="0"/>
        <w:keepLines w:val="0"/>
        <w:pageBreakBefore w:val="0"/>
        <w:widowControl w:val="0"/>
        <w:kinsoku/>
        <w:wordWrap/>
        <w:overflowPunct/>
        <w:topLinePunct w:val="0"/>
        <w:autoSpaceDE/>
        <w:autoSpaceDN/>
        <w:bidi w:val="0"/>
        <w:adjustRightInd/>
        <w:snapToGrid/>
        <w:spacing w:line="520" w:lineRule="exact"/>
        <w:ind w:right="0"/>
        <w:jc w:val="both"/>
        <w:textAlignment w:val="auto"/>
        <w:rPr>
          <w:rFonts w:hint="eastAsia" w:ascii="宋体" w:hAnsi="宋体" w:eastAsia="宋体" w:cs="宋体"/>
          <w:color w:val="000000"/>
          <w:spacing w:val="0"/>
          <w:sz w:val="24"/>
          <w:szCs w:val="24"/>
          <w:lang w:val="en-US" w:eastAsia="zh-CN"/>
        </w:rPr>
      </w:pPr>
    </w:p>
    <w:p w14:paraId="48318E9C">
      <w:pPr>
        <w:keepNext w:val="0"/>
        <w:keepLines w:val="0"/>
        <w:pageBreakBefore w:val="0"/>
        <w:widowControl w:val="0"/>
        <w:kinsoku/>
        <w:wordWrap/>
        <w:overflowPunct/>
        <w:topLinePunct w:val="0"/>
        <w:autoSpaceDE/>
        <w:autoSpaceDN/>
        <w:bidi w:val="0"/>
        <w:adjustRightInd/>
        <w:snapToGrid/>
        <w:spacing w:line="520" w:lineRule="exact"/>
        <w:ind w:right="0"/>
        <w:jc w:val="both"/>
        <w:textAlignment w:val="auto"/>
        <w:rPr>
          <w:rFonts w:hint="eastAsia" w:ascii="宋体" w:hAnsi="宋体" w:eastAsia="宋体" w:cs="宋体"/>
          <w:color w:val="000000"/>
          <w:spacing w:val="0"/>
          <w:sz w:val="24"/>
          <w:szCs w:val="24"/>
          <w:lang w:val="en-US" w:eastAsia="zh-CN"/>
        </w:rPr>
      </w:pPr>
    </w:p>
    <w:p w14:paraId="141BA84E">
      <w:pPr>
        <w:keepNext w:val="0"/>
        <w:keepLines w:val="0"/>
        <w:pageBreakBefore w:val="0"/>
        <w:widowControl w:val="0"/>
        <w:kinsoku/>
        <w:wordWrap/>
        <w:overflowPunct/>
        <w:topLinePunct w:val="0"/>
        <w:autoSpaceDE/>
        <w:autoSpaceDN/>
        <w:bidi w:val="0"/>
        <w:adjustRightInd/>
        <w:snapToGrid/>
        <w:spacing w:line="520" w:lineRule="exact"/>
        <w:ind w:right="0" w:firstLine="250" w:firstLineChars="1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投标人供应商                       法定代表人或</w:t>
      </w:r>
    </w:p>
    <w:p w14:paraId="4F2E8A68">
      <w:pPr>
        <w:keepNext w:val="0"/>
        <w:keepLines w:val="0"/>
        <w:pageBreakBefore w:val="0"/>
        <w:widowControl w:val="0"/>
        <w:kinsoku/>
        <w:wordWrap/>
        <w:overflowPunct/>
        <w:topLinePunct w:val="0"/>
        <w:autoSpaceDE/>
        <w:autoSpaceDN/>
        <w:bidi w:val="0"/>
        <w:adjustRightInd/>
        <w:snapToGrid/>
        <w:spacing w:line="520" w:lineRule="exact"/>
        <w:ind w:right="0" w:firstLine="250" w:firstLineChars="1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单位名称：（盖章）                 授权代表：（签字或签章）</w:t>
      </w:r>
    </w:p>
    <w:p w14:paraId="7726CFC2">
      <w:pPr>
        <w:keepNext w:val="0"/>
        <w:keepLines w:val="0"/>
        <w:pageBreakBefore w:val="0"/>
        <w:widowControl w:val="0"/>
        <w:kinsoku/>
        <w:wordWrap/>
        <w:overflowPunct/>
        <w:topLinePunct w:val="0"/>
        <w:autoSpaceDE/>
        <w:autoSpaceDN/>
        <w:bidi w:val="0"/>
        <w:adjustRightInd/>
        <w:snapToGrid/>
        <w:spacing w:line="520" w:lineRule="exact"/>
        <w:ind w:right="0" w:firstLine="500" w:firstLineChars="200"/>
        <w:jc w:val="both"/>
        <w:textAlignment w:val="auto"/>
        <w:rPr>
          <w:rFonts w:hint="eastAsia" w:ascii="宋体" w:hAnsi="宋体" w:eastAsia="宋体" w:cs="宋体"/>
          <w:color w:val="000000"/>
          <w:spacing w:val="7"/>
          <w:sz w:val="24"/>
          <w:szCs w:val="24"/>
          <w:lang w:val="en-US" w:eastAsia="zh-CN"/>
        </w:rPr>
      </w:pPr>
      <w:r>
        <w:rPr>
          <w:rFonts w:hint="eastAsia" w:ascii="宋体" w:hAnsi="宋体" w:eastAsia="宋体" w:cs="宋体"/>
          <w:color w:val="000000"/>
          <w:spacing w:val="0"/>
          <w:sz w:val="24"/>
          <w:szCs w:val="24"/>
          <w:lang w:val="en-US" w:eastAsia="zh-CN"/>
        </w:rPr>
        <w:t>年    月    日                        年    月    日</w:t>
      </w:r>
    </w:p>
    <w:p w14:paraId="35B039DE">
      <w:pPr>
        <w:jc w:val="both"/>
        <w:rPr>
          <w:rFonts w:hint="eastAsia" w:ascii="宋体" w:hAnsi="宋体" w:eastAsia="宋体" w:cs="宋体"/>
          <w:sz w:val="24"/>
          <w:szCs w:val="24"/>
          <w:lang w:val="en-US" w:eastAsia="zh-CN"/>
        </w:rPr>
      </w:pPr>
    </w:p>
    <w:p w14:paraId="0F1BF334">
      <w:pPr>
        <w:ind w:firstLine="42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472565D7">
      <w:pPr>
        <w:numPr>
          <w:ilvl w:val="0"/>
          <w:numId w:val="0"/>
        </w:numPr>
        <w:ind w:leftChars="0" w:firstLine="4750" w:firstLineChars="19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w:t>
      </w:r>
    </w:p>
    <w:p w14:paraId="1F1778F9">
      <w:pPr>
        <w:numPr>
          <w:ilvl w:val="0"/>
          <w:numId w:val="0"/>
        </w:numPr>
        <w:ind w:leftChars="0"/>
        <w:rPr>
          <w:rFonts w:hint="eastAsia" w:ascii="宋体" w:hAnsi="宋体" w:eastAsia="宋体" w:cs="宋体"/>
          <w:b w:val="0"/>
          <w:bCs w:val="0"/>
          <w:sz w:val="24"/>
          <w:szCs w:val="24"/>
          <w:highlight w:val="none"/>
          <w:lang w:val="en-US" w:eastAsia="zh-CN"/>
        </w:rPr>
      </w:pPr>
    </w:p>
    <w:p w14:paraId="3A28929D">
      <w:pPr>
        <w:pStyle w:val="47"/>
        <w:rPr>
          <w:rFonts w:hint="eastAsia" w:ascii="宋体" w:hAnsi="宋体" w:eastAsia="宋体" w:cs="宋体"/>
          <w:b w:val="0"/>
          <w:bCs w:val="0"/>
          <w:color w:val="auto"/>
          <w:sz w:val="24"/>
          <w:szCs w:val="24"/>
          <w:highlight w:val="none"/>
        </w:rPr>
      </w:pPr>
    </w:p>
    <w:p w14:paraId="5C824E70">
      <w:pPr>
        <w:pStyle w:val="47"/>
        <w:rPr>
          <w:rFonts w:hint="eastAsia" w:ascii="宋体" w:hAnsi="宋体" w:eastAsia="宋体" w:cs="宋体"/>
          <w:b w:val="0"/>
          <w:bCs w:val="0"/>
          <w:color w:val="auto"/>
          <w:sz w:val="24"/>
          <w:szCs w:val="24"/>
          <w:highlight w:val="none"/>
        </w:rPr>
      </w:pPr>
    </w:p>
    <w:p w14:paraId="4A1B8EC5">
      <w:pPr>
        <w:pStyle w:val="47"/>
        <w:rPr>
          <w:rFonts w:hint="eastAsia" w:ascii="宋体" w:hAnsi="宋体" w:eastAsia="宋体" w:cs="宋体"/>
          <w:b w:val="0"/>
          <w:bCs w:val="0"/>
          <w:color w:val="auto"/>
          <w:sz w:val="24"/>
          <w:szCs w:val="24"/>
          <w:highlight w:val="none"/>
        </w:rPr>
      </w:pPr>
    </w:p>
    <w:p w14:paraId="659DCEC9">
      <w:pPr>
        <w:pStyle w:val="47"/>
        <w:rPr>
          <w:rFonts w:hint="eastAsia" w:ascii="宋体" w:hAnsi="宋体" w:eastAsia="宋体" w:cs="宋体"/>
          <w:b w:val="0"/>
          <w:bCs w:val="0"/>
          <w:color w:val="auto"/>
          <w:sz w:val="24"/>
          <w:szCs w:val="24"/>
          <w:highlight w:val="none"/>
        </w:rPr>
      </w:pPr>
    </w:p>
    <w:p w14:paraId="7E12BA69">
      <w:pPr>
        <w:pStyle w:val="47"/>
        <w:rPr>
          <w:rFonts w:hint="eastAsia" w:ascii="宋体" w:hAnsi="宋体" w:eastAsia="宋体" w:cs="宋体"/>
          <w:b w:val="0"/>
          <w:bCs w:val="0"/>
          <w:color w:val="auto"/>
          <w:sz w:val="24"/>
          <w:szCs w:val="24"/>
          <w:highlight w:val="none"/>
        </w:rPr>
      </w:pPr>
    </w:p>
    <w:p w14:paraId="10784701">
      <w:pPr>
        <w:pStyle w:val="47"/>
        <w:rPr>
          <w:rFonts w:hint="eastAsia" w:ascii="宋体" w:hAnsi="宋体" w:eastAsia="宋体" w:cs="宋体"/>
          <w:b w:val="0"/>
          <w:bCs w:val="0"/>
          <w:color w:val="auto"/>
          <w:sz w:val="24"/>
          <w:szCs w:val="24"/>
          <w:highlight w:val="none"/>
        </w:rPr>
      </w:pPr>
    </w:p>
    <w:p w14:paraId="19B63339">
      <w:pPr>
        <w:pStyle w:val="47"/>
        <w:rPr>
          <w:rFonts w:hint="eastAsia" w:ascii="宋体" w:hAnsi="宋体" w:eastAsia="宋体" w:cs="宋体"/>
          <w:b w:val="0"/>
          <w:bCs w:val="0"/>
          <w:color w:val="auto"/>
          <w:sz w:val="24"/>
          <w:szCs w:val="24"/>
          <w:highlight w:val="none"/>
        </w:rPr>
      </w:pPr>
    </w:p>
    <w:p w14:paraId="47E0F2CB">
      <w:pPr>
        <w:pStyle w:val="47"/>
        <w:rPr>
          <w:rFonts w:hint="eastAsia" w:ascii="宋体" w:hAnsi="宋体" w:eastAsia="宋体" w:cs="宋体"/>
          <w:b w:val="0"/>
          <w:bCs w:val="0"/>
          <w:color w:val="auto"/>
          <w:sz w:val="24"/>
          <w:szCs w:val="24"/>
          <w:highlight w:val="none"/>
        </w:rPr>
      </w:pPr>
    </w:p>
    <w:p w14:paraId="22187DE1">
      <w:pPr>
        <w:pStyle w:val="47"/>
        <w:rPr>
          <w:rFonts w:hint="eastAsia" w:ascii="宋体" w:hAnsi="宋体" w:eastAsia="宋体" w:cs="宋体"/>
          <w:b w:val="0"/>
          <w:bCs w:val="0"/>
          <w:color w:val="auto"/>
          <w:sz w:val="24"/>
          <w:szCs w:val="24"/>
          <w:highlight w:val="none"/>
        </w:rPr>
      </w:pPr>
    </w:p>
    <w:p w14:paraId="1A4A913D">
      <w:pPr>
        <w:pStyle w:val="47"/>
        <w:rPr>
          <w:rFonts w:hint="eastAsia" w:ascii="宋体" w:hAnsi="宋体" w:eastAsia="宋体" w:cs="宋体"/>
          <w:b w:val="0"/>
          <w:bCs w:val="0"/>
          <w:color w:val="auto"/>
          <w:sz w:val="24"/>
          <w:szCs w:val="24"/>
          <w:highlight w:val="none"/>
        </w:rPr>
      </w:pPr>
    </w:p>
    <w:p w14:paraId="615BEAAB">
      <w:pPr>
        <w:pStyle w:val="47"/>
        <w:rPr>
          <w:rFonts w:hint="eastAsia" w:ascii="宋体" w:hAnsi="宋体" w:eastAsia="宋体" w:cs="宋体"/>
          <w:b w:val="0"/>
          <w:bCs w:val="0"/>
          <w:color w:val="auto"/>
          <w:sz w:val="24"/>
          <w:szCs w:val="24"/>
          <w:highlight w:val="none"/>
        </w:rPr>
      </w:pPr>
    </w:p>
    <w:p w14:paraId="5DEEE22B">
      <w:pPr>
        <w:adjustRightInd w:val="0"/>
        <w:spacing w:line="460" w:lineRule="exact"/>
        <w:jc w:val="left"/>
        <w:rPr>
          <w:rFonts w:ascii="宋体" w:hAnsi="宋体" w:cs="宋体"/>
          <w:color w:val="auto"/>
          <w:sz w:val="24"/>
          <w:szCs w:val="24"/>
          <w:highlight w:val="none"/>
        </w:rPr>
      </w:pPr>
    </w:p>
    <w:p w14:paraId="6D2F2CED">
      <w:pPr>
        <w:pStyle w:val="18"/>
        <w:rPr>
          <w:rFonts w:ascii="宋体" w:hAnsi="宋体" w:cs="宋体"/>
          <w:color w:val="auto"/>
          <w:sz w:val="24"/>
          <w:szCs w:val="24"/>
          <w:highlight w:val="none"/>
        </w:rPr>
      </w:pPr>
    </w:p>
    <w:p w14:paraId="5D64A7EB">
      <w:pPr>
        <w:spacing w:line="360" w:lineRule="auto"/>
        <w:rPr>
          <w:rFonts w:ascii="宋体" w:hAnsi="宋体" w:eastAsia="宋体"/>
          <w:sz w:val="24"/>
          <w:szCs w:val="24"/>
          <w:highlight w:val="none"/>
        </w:rPr>
      </w:pPr>
      <w:r>
        <w:rPr>
          <w:rFonts w:hint="eastAsia" w:ascii="宋体" w:hAnsi="宋体" w:cs="宋体"/>
          <w:b/>
          <w:sz w:val="24"/>
          <w:szCs w:val="24"/>
          <w:highlight w:val="none"/>
        </w:rPr>
        <w:t>附件</w:t>
      </w:r>
      <w:r>
        <w:rPr>
          <w:rFonts w:hint="eastAsia" w:ascii="宋体" w:hAnsi="宋体" w:cs="宋体"/>
          <w:b/>
          <w:sz w:val="24"/>
          <w:szCs w:val="24"/>
          <w:highlight w:val="none"/>
          <w:lang w:val="en-US" w:eastAsia="zh-CN"/>
        </w:rPr>
        <w:t>9</w:t>
      </w:r>
      <w:r>
        <w:rPr>
          <w:rFonts w:ascii="宋体" w:hAnsi="宋体" w:eastAsia="宋体"/>
          <w:sz w:val="24"/>
          <w:szCs w:val="24"/>
          <w:highlight w:val="none"/>
        </w:rPr>
        <w:t>：</w:t>
      </w:r>
    </w:p>
    <w:p w14:paraId="5B589101">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项目责任监理师</w:t>
      </w:r>
      <w:r>
        <w:rPr>
          <w:rFonts w:hint="eastAsia" w:ascii="宋体" w:hAnsi="宋体" w:eastAsia="宋体" w:cs="宋体"/>
          <w:b w:val="0"/>
          <w:bCs w:val="0"/>
          <w:color w:val="auto"/>
          <w:sz w:val="24"/>
          <w:szCs w:val="24"/>
          <w:highlight w:val="none"/>
        </w:rPr>
        <w:t>简历表</w:t>
      </w:r>
    </w:p>
    <w:p w14:paraId="159CB1BE">
      <w:pPr>
        <w:keepNext w:val="0"/>
        <w:keepLines w:val="0"/>
        <w:pageBreakBefore w:val="0"/>
        <w:widowControl w:val="0"/>
        <w:kinsoku/>
        <w:wordWrap/>
        <w:overflowPunct/>
        <w:topLinePunct w:val="0"/>
        <w:autoSpaceDE/>
        <w:autoSpaceDN/>
        <w:bidi w:val="0"/>
        <w:adjustRightInd w:val="0"/>
        <w:snapToGrid w:val="0"/>
        <w:spacing w:line="480" w:lineRule="exact"/>
        <w:ind w:firstLine="50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表后</w:t>
      </w:r>
      <w:r>
        <w:rPr>
          <w:rFonts w:hint="eastAsia" w:ascii="宋体" w:hAnsi="宋体" w:eastAsia="宋体" w:cs="宋体"/>
          <w:b w:val="0"/>
          <w:bCs w:val="0"/>
          <w:color w:val="auto"/>
          <w:sz w:val="24"/>
          <w:szCs w:val="24"/>
          <w:highlight w:val="none"/>
        </w:rPr>
        <w:t>应附文物保护工程</w:t>
      </w:r>
      <w:r>
        <w:rPr>
          <w:rFonts w:hint="eastAsia" w:ascii="宋体" w:hAnsi="宋体" w:eastAsia="宋体" w:cs="宋体"/>
          <w:b w:val="0"/>
          <w:bCs w:val="0"/>
          <w:color w:val="auto"/>
          <w:sz w:val="24"/>
          <w:szCs w:val="24"/>
          <w:highlight w:val="none"/>
          <w:lang w:val="en-US" w:eastAsia="zh-CN"/>
        </w:rPr>
        <w:t>责任监理师</w:t>
      </w:r>
      <w:r>
        <w:rPr>
          <w:rFonts w:hint="eastAsia" w:ascii="宋体" w:hAnsi="宋体" w:eastAsia="宋体" w:cs="宋体"/>
          <w:b w:val="0"/>
          <w:bCs w:val="0"/>
          <w:color w:val="auto"/>
          <w:sz w:val="24"/>
          <w:szCs w:val="24"/>
          <w:highlight w:val="none"/>
        </w:rPr>
        <w:t>执业资格</w:t>
      </w:r>
      <w:r>
        <w:rPr>
          <w:rFonts w:hint="eastAsia" w:ascii="宋体" w:hAnsi="宋体" w:cs="宋体"/>
          <w:b w:val="0"/>
          <w:bCs w:val="0"/>
          <w:color w:val="auto"/>
          <w:sz w:val="24"/>
          <w:szCs w:val="24"/>
          <w:highlight w:val="none"/>
          <w:lang w:eastAsia="zh-CN"/>
        </w:rPr>
        <w:t>证书</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身份证、</w:t>
      </w:r>
      <w:r>
        <w:rPr>
          <w:rFonts w:hint="eastAsia" w:ascii="宋体" w:hAnsi="宋体" w:eastAsia="宋体" w:cs="宋体"/>
          <w:color w:val="auto"/>
          <w:sz w:val="24"/>
          <w:szCs w:val="24"/>
          <w:highlight w:val="none"/>
          <w:lang w:eastAsia="zh-CN"/>
        </w:rPr>
        <w:t>社保缴纳证明、</w:t>
      </w:r>
      <w:r>
        <w:rPr>
          <w:rFonts w:hint="eastAsia" w:ascii="宋体" w:hAnsi="宋体" w:eastAsia="宋体" w:cs="宋体"/>
          <w:b w:val="0"/>
          <w:bCs w:val="0"/>
          <w:color w:val="auto"/>
          <w:sz w:val="24"/>
          <w:szCs w:val="24"/>
          <w:highlight w:val="none"/>
          <w:lang w:val="en-US" w:eastAsia="zh-CN"/>
        </w:rPr>
        <w:t>毕业证（如有）</w:t>
      </w:r>
      <w:r>
        <w:rPr>
          <w:rFonts w:hint="eastAsia" w:ascii="宋体" w:hAnsi="宋体" w:eastAsia="宋体" w:cs="宋体"/>
          <w:b w:val="0"/>
          <w:bCs w:val="0"/>
          <w:color w:val="auto"/>
          <w:sz w:val="24"/>
          <w:szCs w:val="24"/>
          <w:highlight w:val="none"/>
        </w:rPr>
        <w:t>以及</w:t>
      </w:r>
      <w:r>
        <w:rPr>
          <w:rFonts w:hint="eastAsia" w:ascii="宋体" w:hAnsi="宋体" w:eastAsia="宋体" w:cs="宋体"/>
          <w:b w:val="0"/>
          <w:bCs w:val="0"/>
          <w:color w:val="auto"/>
          <w:sz w:val="24"/>
          <w:szCs w:val="24"/>
          <w:highlight w:val="none"/>
          <w:lang w:val="en-US" w:eastAsia="zh-CN"/>
        </w:rPr>
        <w:t>其</w:t>
      </w:r>
      <w:r>
        <w:rPr>
          <w:rFonts w:hint="eastAsia" w:ascii="宋体" w:hAnsi="宋体" w:eastAsia="宋体" w:cs="宋体"/>
          <w:b w:val="0"/>
          <w:bCs w:val="0"/>
          <w:color w:val="auto"/>
          <w:sz w:val="24"/>
          <w:szCs w:val="24"/>
          <w:highlight w:val="none"/>
        </w:rPr>
        <w:t>未担任其他</w:t>
      </w:r>
      <w:r>
        <w:rPr>
          <w:rFonts w:hint="eastAsia" w:ascii="宋体" w:hAnsi="宋体" w:eastAsia="宋体" w:cs="宋体"/>
          <w:b w:val="0"/>
          <w:bCs w:val="0"/>
          <w:color w:val="auto"/>
          <w:sz w:val="24"/>
          <w:szCs w:val="24"/>
          <w:highlight w:val="none"/>
          <w:lang w:eastAsia="zh-CN"/>
        </w:rPr>
        <w:t>在建</w:t>
      </w:r>
      <w:r>
        <w:rPr>
          <w:rFonts w:hint="eastAsia" w:ascii="宋体" w:hAnsi="宋体" w:eastAsia="宋体" w:cs="宋体"/>
          <w:b w:val="0"/>
          <w:bCs w:val="0"/>
          <w:color w:val="auto"/>
          <w:sz w:val="24"/>
          <w:szCs w:val="24"/>
          <w:highlight w:val="none"/>
        </w:rPr>
        <w:t>建设工程项目</w:t>
      </w:r>
      <w:r>
        <w:rPr>
          <w:rFonts w:hint="eastAsia" w:ascii="宋体" w:hAnsi="宋体" w:eastAsia="宋体" w:cs="宋体"/>
          <w:b w:val="0"/>
          <w:bCs w:val="0"/>
          <w:color w:val="auto"/>
          <w:sz w:val="24"/>
          <w:szCs w:val="24"/>
          <w:highlight w:val="none"/>
          <w:lang w:val="en-US" w:eastAsia="zh-CN"/>
        </w:rPr>
        <w:t>的</w:t>
      </w:r>
      <w:r>
        <w:rPr>
          <w:rFonts w:hint="eastAsia" w:ascii="宋体" w:hAnsi="宋体" w:eastAsia="宋体" w:cs="宋体"/>
          <w:color w:val="auto"/>
          <w:sz w:val="24"/>
          <w:szCs w:val="24"/>
          <w:highlight w:val="none"/>
          <w:shd w:val="clear" w:color="auto" w:fill="FFFFFF"/>
          <w:lang w:val="en-US" w:eastAsia="zh-CN"/>
        </w:rPr>
        <w:t>项目负责人</w:t>
      </w:r>
      <w:r>
        <w:rPr>
          <w:rFonts w:hint="eastAsia" w:ascii="宋体" w:hAnsi="宋体" w:eastAsia="宋体" w:cs="宋体"/>
          <w:b w:val="0"/>
          <w:bCs w:val="0"/>
          <w:color w:val="auto"/>
          <w:sz w:val="24"/>
          <w:szCs w:val="24"/>
          <w:highlight w:val="none"/>
          <w:lang w:eastAsia="zh-CN"/>
        </w:rPr>
        <w:t>和</w:t>
      </w:r>
      <w:r>
        <w:rPr>
          <w:rFonts w:hint="eastAsia" w:ascii="宋体" w:hAnsi="宋体" w:eastAsia="宋体" w:cs="宋体"/>
          <w:b w:val="0"/>
          <w:bCs w:val="0"/>
          <w:color w:val="auto"/>
          <w:sz w:val="24"/>
          <w:szCs w:val="24"/>
          <w:highlight w:val="none"/>
          <w:lang w:val="en-US" w:eastAsia="zh-CN"/>
        </w:rPr>
        <w:t>无不良记录的</w:t>
      </w:r>
      <w:r>
        <w:rPr>
          <w:rFonts w:hint="eastAsia" w:ascii="宋体" w:hAnsi="宋体" w:eastAsia="宋体" w:cs="宋体"/>
          <w:b w:val="0"/>
          <w:bCs w:val="0"/>
          <w:color w:val="auto"/>
          <w:sz w:val="24"/>
          <w:szCs w:val="24"/>
          <w:highlight w:val="none"/>
        </w:rPr>
        <w:t>承诺书。</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150"/>
        <w:gridCol w:w="614"/>
        <w:gridCol w:w="1371"/>
        <w:gridCol w:w="1358"/>
        <w:gridCol w:w="7"/>
        <w:gridCol w:w="619"/>
        <w:gridCol w:w="1418"/>
        <w:gridCol w:w="141"/>
        <w:gridCol w:w="1276"/>
      </w:tblGrid>
      <w:tr w14:paraId="4061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60" w:type="dxa"/>
            <w:noWrap w:val="0"/>
            <w:vAlign w:val="center"/>
          </w:tcPr>
          <w:p w14:paraId="48C4EB02">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764" w:type="dxa"/>
            <w:gridSpan w:val="2"/>
            <w:noWrap w:val="0"/>
            <w:vAlign w:val="center"/>
          </w:tcPr>
          <w:p w14:paraId="475079CD">
            <w:pPr>
              <w:spacing w:line="360" w:lineRule="auto"/>
              <w:jc w:val="center"/>
              <w:rPr>
                <w:rFonts w:hint="eastAsia" w:ascii="宋体" w:hAnsi="宋体" w:eastAsia="宋体" w:cs="宋体"/>
                <w:color w:val="auto"/>
                <w:sz w:val="24"/>
                <w:szCs w:val="24"/>
                <w:highlight w:val="none"/>
              </w:rPr>
            </w:pPr>
          </w:p>
        </w:tc>
        <w:tc>
          <w:tcPr>
            <w:tcW w:w="1371" w:type="dxa"/>
            <w:noWrap w:val="0"/>
            <w:vAlign w:val="center"/>
          </w:tcPr>
          <w:p w14:paraId="011EDAC2">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365" w:type="dxa"/>
            <w:gridSpan w:val="2"/>
            <w:noWrap w:val="0"/>
            <w:vAlign w:val="center"/>
          </w:tcPr>
          <w:p w14:paraId="6DE0D335">
            <w:pPr>
              <w:spacing w:line="360" w:lineRule="auto"/>
              <w:jc w:val="center"/>
              <w:rPr>
                <w:rFonts w:hint="eastAsia" w:ascii="宋体" w:hAnsi="宋体" w:eastAsia="宋体" w:cs="宋体"/>
                <w:color w:val="auto"/>
                <w:sz w:val="24"/>
                <w:szCs w:val="24"/>
                <w:highlight w:val="none"/>
              </w:rPr>
            </w:pPr>
          </w:p>
        </w:tc>
        <w:tc>
          <w:tcPr>
            <w:tcW w:w="2037" w:type="dxa"/>
            <w:gridSpan w:val="2"/>
            <w:noWrap w:val="0"/>
            <w:vAlign w:val="center"/>
          </w:tcPr>
          <w:p w14:paraId="4F13A54E">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  业</w:t>
            </w:r>
          </w:p>
        </w:tc>
        <w:tc>
          <w:tcPr>
            <w:tcW w:w="1417" w:type="dxa"/>
            <w:gridSpan w:val="2"/>
            <w:noWrap w:val="0"/>
            <w:vAlign w:val="center"/>
          </w:tcPr>
          <w:p w14:paraId="493BC3FD">
            <w:pPr>
              <w:spacing w:line="360" w:lineRule="auto"/>
              <w:jc w:val="center"/>
              <w:rPr>
                <w:rFonts w:hint="eastAsia" w:ascii="宋体" w:hAnsi="宋体" w:eastAsia="宋体" w:cs="宋体"/>
                <w:color w:val="auto"/>
                <w:sz w:val="24"/>
                <w:szCs w:val="24"/>
                <w:highlight w:val="none"/>
              </w:rPr>
            </w:pPr>
          </w:p>
        </w:tc>
      </w:tr>
      <w:tr w14:paraId="1426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260" w:type="dxa"/>
            <w:noWrap w:val="0"/>
            <w:vAlign w:val="center"/>
          </w:tcPr>
          <w:p w14:paraId="37920B17">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764" w:type="dxa"/>
            <w:gridSpan w:val="2"/>
            <w:noWrap w:val="0"/>
            <w:vAlign w:val="center"/>
          </w:tcPr>
          <w:p w14:paraId="7A0DD971">
            <w:pPr>
              <w:spacing w:line="400" w:lineRule="exact"/>
              <w:jc w:val="center"/>
              <w:rPr>
                <w:rFonts w:hint="eastAsia" w:ascii="宋体" w:hAnsi="宋体" w:eastAsia="宋体" w:cs="宋体"/>
                <w:color w:val="auto"/>
                <w:sz w:val="24"/>
                <w:szCs w:val="24"/>
                <w:highlight w:val="none"/>
              </w:rPr>
            </w:pPr>
          </w:p>
        </w:tc>
        <w:tc>
          <w:tcPr>
            <w:tcW w:w="1371" w:type="dxa"/>
            <w:noWrap w:val="0"/>
            <w:vAlign w:val="center"/>
          </w:tcPr>
          <w:p w14:paraId="7CA2AAAE">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365" w:type="dxa"/>
            <w:gridSpan w:val="2"/>
            <w:noWrap w:val="0"/>
            <w:vAlign w:val="center"/>
          </w:tcPr>
          <w:p w14:paraId="638EACF2">
            <w:pPr>
              <w:spacing w:line="400" w:lineRule="exact"/>
              <w:jc w:val="center"/>
              <w:rPr>
                <w:rFonts w:hint="eastAsia" w:ascii="宋体" w:hAnsi="宋体" w:eastAsia="宋体" w:cs="宋体"/>
                <w:color w:val="auto"/>
                <w:sz w:val="24"/>
                <w:szCs w:val="24"/>
                <w:highlight w:val="none"/>
              </w:rPr>
            </w:pPr>
          </w:p>
        </w:tc>
        <w:tc>
          <w:tcPr>
            <w:tcW w:w="2037" w:type="dxa"/>
            <w:gridSpan w:val="2"/>
            <w:noWrap w:val="0"/>
            <w:vAlign w:val="center"/>
          </w:tcPr>
          <w:p w14:paraId="0DC400BE">
            <w:pPr>
              <w:spacing w:line="0"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拟在本</w:t>
            </w:r>
            <w:r>
              <w:rPr>
                <w:rFonts w:hint="eastAsia" w:ascii="宋体" w:hAnsi="宋体" w:eastAsia="宋体" w:cs="宋体"/>
                <w:color w:val="auto"/>
                <w:sz w:val="24"/>
                <w:szCs w:val="24"/>
                <w:highlight w:val="none"/>
                <w:lang w:eastAsia="zh-CN"/>
              </w:rPr>
              <w:t>项目</w:t>
            </w:r>
          </w:p>
          <w:p w14:paraId="6B3D06E2">
            <w:pPr>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工程任职 </w:t>
            </w:r>
          </w:p>
        </w:tc>
        <w:tc>
          <w:tcPr>
            <w:tcW w:w="1417" w:type="dxa"/>
            <w:gridSpan w:val="2"/>
            <w:noWrap w:val="0"/>
            <w:vAlign w:val="top"/>
          </w:tcPr>
          <w:p w14:paraId="7BB0E501">
            <w:pPr>
              <w:spacing w:line="360" w:lineRule="auto"/>
              <w:rPr>
                <w:rFonts w:hint="eastAsia" w:ascii="宋体" w:hAnsi="宋体" w:eastAsia="宋体" w:cs="宋体"/>
                <w:color w:val="auto"/>
                <w:sz w:val="24"/>
                <w:szCs w:val="24"/>
                <w:highlight w:val="none"/>
              </w:rPr>
            </w:pPr>
          </w:p>
        </w:tc>
      </w:tr>
      <w:tr w14:paraId="57E5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260" w:type="dxa"/>
            <w:noWrap w:val="0"/>
            <w:vAlign w:val="center"/>
          </w:tcPr>
          <w:p w14:paraId="04843A06">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工作年限</w:t>
            </w:r>
          </w:p>
        </w:tc>
        <w:tc>
          <w:tcPr>
            <w:tcW w:w="3135" w:type="dxa"/>
            <w:gridSpan w:val="3"/>
            <w:noWrap w:val="0"/>
            <w:vAlign w:val="center"/>
          </w:tcPr>
          <w:p w14:paraId="6C619D39">
            <w:pPr>
              <w:spacing w:line="400" w:lineRule="exact"/>
              <w:jc w:val="center"/>
              <w:rPr>
                <w:rFonts w:hint="eastAsia" w:ascii="宋体" w:hAnsi="宋体" w:eastAsia="宋体" w:cs="宋体"/>
                <w:color w:val="auto"/>
                <w:sz w:val="24"/>
                <w:szCs w:val="24"/>
                <w:highlight w:val="none"/>
              </w:rPr>
            </w:pPr>
          </w:p>
        </w:tc>
        <w:tc>
          <w:tcPr>
            <w:tcW w:w="1358" w:type="dxa"/>
            <w:noWrap w:val="0"/>
            <w:vAlign w:val="center"/>
          </w:tcPr>
          <w:p w14:paraId="7D131DED">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类似施工经验年限</w:t>
            </w:r>
          </w:p>
        </w:tc>
        <w:tc>
          <w:tcPr>
            <w:tcW w:w="3461" w:type="dxa"/>
            <w:gridSpan w:val="5"/>
            <w:noWrap w:val="0"/>
            <w:vAlign w:val="center"/>
          </w:tcPr>
          <w:p w14:paraId="361F7FC3">
            <w:pPr>
              <w:spacing w:line="360" w:lineRule="auto"/>
              <w:jc w:val="center"/>
              <w:rPr>
                <w:rFonts w:hint="eastAsia" w:ascii="宋体" w:hAnsi="宋体" w:eastAsia="宋体" w:cs="宋体"/>
                <w:color w:val="auto"/>
                <w:sz w:val="24"/>
                <w:szCs w:val="24"/>
                <w:highlight w:val="none"/>
                <w:u w:val="single"/>
              </w:rPr>
            </w:pPr>
          </w:p>
        </w:tc>
      </w:tr>
      <w:tr w14:paraId="08E3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260" w:type="dxa"/>
            <w:noWrap w:val="0"/>
            <w:vAlign w:val="center"/>
          </w:tcPr>
          <w:p w14:paraId="693BD68B">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7954" w:type="dxa"/>
            <w:gridSpan w:val="9"/>
            <w:noWrap w:val="0"/>
            <w:vAlign w:val="center"/>
          </w:tcPr>
          <w:p w14:paraId="7F2F2606">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月毕业于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学校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专业，学制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tc>
      </w:tr>
      <w:tr w14:paraId="0132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14" w:type="dxa"/>
            <w:gridSpan w:val="10"/>
            <w:noWrap w:val="0"/>
            <w:vAlign w:val="center"/>
          </w:tcPr>
          <w:p w14:paraId="11A974DA">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    历</w:t>
            </w:r>
          </w:p>
        </w:tc>
      </w:tr>
      <w:tr w14:paraId="2112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410" w:type="dxa"/>
            <w:gridSpan w:val="2"/>
            <w:noWrap w:val="0"/>
            <w:vAlign w:val="center"/>
          </w:tcPr>
          <w:p w14:paraId="175E2B30">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p>
        </w:tc>
        <w:tc>
          <w:tcPr>
            <w:tcW w:w="3969" w:type="dxa"/>
            <w:gridSpan w:val="5"/>
            <w:noWrap w:val="0"/>
            <w:vAlign w:val="center"/>
          </w:tcPr>
          <w:p w14:paraId="4625A8AB">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参加过的类似工程项目名称</w:t>
            </w:r>
          </w:p>
        </w:tc>
        <w:tc>
          <w:tcPr>
            <w:tcW w:w="1559" w:type="dxa"/>
            <w:gridSpan w:val="2"/>
            <w:noWrap w:val="0"/>
            <w:vAlign w:val="center"/>
          </w:tcPr>
          <w:p w14:paraId="196342FF">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1276" w:type="dxa"/>
            <w:noWrap w:val="0"/>
            <w:vAlign w:val="center"/>
          </w:tcPr>
          <w:p w14:paraId="1F212075">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14:paraId="24BC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410" w:type="dxa"/>
            <w:gridSpan w:val="2"/>
            <w:noWrap w:val="0"/>
            <w:vAlign w:val="top"/>
          </w:tcPr>
          <w:p w14:paraId="2C8BF1F2">
            <w:pPr>
              <w:spacing w:line="360" w:lineRule="auto"/>
              <w:rPr>
                <w:rFonts w:hint="eastAsia" w:ascii="宋体" w:hAnsi="宋体" w:eastAsia="宋体" w:cs="宋体"/>
                <w:color w:val="auto"/>
                <w:sz w:val="24"/>
                <w:szCs w:val="24"/>
                <w:highlight w:val="none"/>
              </w:rPr>
            </w:pPr>
          </w:p>
        </w:tc>
        <w:tc>
          <w:tcPr>
            <w:tcW w:w="3969" w:type="dxa"/>
            <w:gridSpan w:val="5"/>
            <w:noWrap w:val="0"/>
            <w:vAlign w:val="top"/>
          </w:tcPr>
          <w:p w14:paraId="1E7110BD">
            <w:pPr>
              <w:spacing w:line="360" w:lineRule="auto"/>
              <w:rPr>
                <w:rFonts w:hint="eastAsia" w:ascii="宋体" w:hAnsi="宋体" w:eastAsia="宋体" w:cs="宋体"/>
                <w:color w:val="auto"/>
                <w:sz w:val="24"/>
                <w:szCs w:val="24"/>
                <w:highlight w:val="none"/>
              </w:rPr>
            </w:pPr>
          </w:p>
        </w:tc>
        <w:tc>
          <w:tcPr>
            <w:tcW w:w="1559" w:type="dxa"/>
            <w:gridSpan w:val="2"/>
            <w:noWrap w:val="0"/>
            <w:vAlign w:val="top"/>
          </w:tcPr>
          <w:p w14:paraId="1A4A388D">
            <w:pPr>
              <w:spacing w:line="360" w:lineRule="auto"/>
              <w:rPr>
                <w:rFonts w:hint="eastAsia" w:ascii="宋体" w:hAnsi="宋体" w:eastAsia="宋体" w:cs="宋体"/>
                <w:color w:val="auto"/>
                <w:sz w:val="24"/>
                <w:szCs w:val="24"/>
                <w:highlight w:val="none"/>
              </w:rPr>
            </w:pPr>
          </w:p>
        </w:tc>
        <w:tc>
          <w:tcPr>
            <w:tcW w:w="1276" w:type="dxa"/>
            <w:noWrap w:val="0"/>
            <w:vAlign w:val="top"/>
          </w:tcPr>
          <w:p w14:paraId="0A058839">
            <w:pPr>
              <w:spacing w:line="360" w:lineRule="auto"/>
              <w:rPr>
                <w:rFonts w:hint="eastAsia" w:ascii="宋体" w:hAnsi="宋体" w:eastAsia="宋体" w:cs="宋体"/>
                <w:color w:val="auto"/>
                <w:sz w:val="24"/>
                <w:szCs w:val="24"/>
                <w:highlight w:val="none"/>
              </w:rPr>
            </w:pPr>
          </w:p>
        </w:tc>
      </w:tr>
      <w:tr w14:paraId="3406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410" w:type="dxa"/>
            <w:gridSpan w:val="2"/>
            <w:noWrap w:val="0"/>
            <w:vAlign w:val="top"/>
          </w:tcPr>
          <w:p w14:paraId="7B703481">
            <w:pPr>
              <w:spacing w:line="360" w:lineRule="auto"/>
              <w:rPr>
                <w:rFonts w:hint="eastAsia" w:ascii="宋体" w:hAnsi="宋体" w:eastAsia="宋体" w:cs="宋体"/>
                <w:color w:val="auto"/>
                <w:sz w:val="24"/>
                <w:szCs w:val="24"/>
                <w:highlight w:val="none"/>
              </w:rPr>
            </w:pPr>
          </w:p>
        </w:tc>
        <w:tc>
          <w:tcPr>
            <w:tcW w:w="3969" w:type="dxa"/>
            <w:gridSpan w:val="5"/>
            <w:noWrap w:val="0"/>
            <w:vAlign w:val="top"/>
          </w:tcPr>
          <w:p w14:paraId="18744146">
            <w:pPr>
              <w:spacing w:line="360" w:lineRule="auto"/>
              <w:rPr>
                <w:rFonts w:hint="eastAsia" w:ascii="宋体" w:hAnsi="宋体" w:eastAsia="宋体" w:cs="宋体"/>
                <w:color w:val="auto"/>
                <w:sz w:val="24"/>
                <w:szCs w:val="24"/>
                <w:highlight w:val="none"/>
              </w:rPr>
            </w:pPr>
          </w:p>
        </w:tc>
        <w:tc>
          <w:tcPr>
            <w:tcW w:w="1559" w:type="dxa"/>
            <w:gridSpan w:val="2"/>
            <w:noWrap w:val="0"/>
            <w:vAlign w:val="top"/>
          </w:tcPr>
          <w:p w14:paraId="79E01B9F">
            <w:pPr>
              <w:spacing w:line="360" w:lineRule="auto"/>
              <w:rPr>
                <w:rFonts w:hint="eastAsia" w:ascii="宋体" w:hAnsi="宋体" w:eastAsia="宋体" w:cs="宋体"/>
                <w:color w:val="auto"/>
                <w:sz w:val="24"/>
                <w:szCs w:val="24"/>
                <w:highlight w:val="none"/>
              </w:rPr>
            </w:pPr>
          </w:p>
        </w:tc>
        <w:tc>
          <w:tcPr>
            <w:tcW w:w="1276" w:type="dxa"/>
            <w:noWrap w:val="0"/>
            <w:vAlign w:val="top"/>
          </w:tcPr>
          <w:p w14:paraId="5AC1CB23">
            <w:pPr>
              <w:spacing w:line="360" w:lineRule="auto"/>
              <w:rPr>
                <w:rFonts w:hint="eastAsia" w:ascii="宋体" w:hAnsi="宋体" w:eastAsia="宋体" w:cs="宋体"/>
                <w:color w:val="auto"/>
                <w:sz w:val="24"/>
                <w:szCs w:val="24"/>
                <w:highlight w:val="none"/>
              </w:rPr>
            </w:pPr>
          </w:p>
        </w:tc>
      </w:tr>
      <w:tr w14:paraId="54D5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410" w:type="dxa"/>
            <w:gridSpan w:val="2"/>
            <w:noWrap w:val="0"/>
            <w:vAlign w:val="top"/>
          </w:tcPr>
          <w:p w14:paraId="763E297A">
            <w:pPr>
              <w:spacing w:line="360" w:lineRule="auto"/>
              <w:rPr>
                <w:rFonts w:hint="eastAsia" w:ascii="宋体" w:hAnsi="宋体" w:eastAsia="宋体" w:cs="宋体"/>
                <w:color w:val="auto"/>
                <w:sz w:val="24"/>
                <w:szCs w:val="24"/>
                <w:highlight w:val="none"/>
              </w:rPr>
            </w:pPr>
          </w:p>
        </w:tc>
        <w:tc>
          <w:tcPr>
            <w:tcW w:w="3969" w:type="dxa"/>
            <w:gridSpan w:val="5"/>
            <w:noWrap w:val="0"/>
            <w:vAlign w:val="top"/>
          </w:tcPr>
          <w:p w14:paraId="115612F1">
            <w:pPr>
              <w:spacing w:line="360" w:lineRule="auto"/>
              <w:rPr>
                <w:rFonts w:hint="eastAsia" w:ascii="宋体" w:hAnsi="宋体" w:eastAsia="宋体" w:cs="宋体"/>
                <w:color w:val="auto"/>
                <w:sz w:val="24"/>
                <w:szCs w:val="24"/>
                <w:highlight w:val="none"/>
              </w:rPr>
            </w:pPr>
          </w:p>
        </w:tc>
        <w:tc>
          <w:tcPr>
            <w:tcW w:w="1559" w:type="dxa"/>
            <w:gridSpan w:val="2"/>
            <w:noWrap w:val="0"/>
            <w:vAlign w:val="top"/>
          </w:tcPr>
          <w:p w14:paraId="5F2D2367">
            <w:pPr>
              <w:spacing w:line="360" w:lineRule="auto"/>
              <w:rPr>
                <w:rFonts w:hint="eastAsia" w:ascii="宋体" w:hAnsi="宋体" w:eastAsia="宋体" w:cs="宋体"/>
                <w:color w:val="auto"/>
                <w:sz w:val="24"/>
                <w:szCs w:val="24"/>
                <w:highlight w:val="none"/>
              </w:rPr>
            </w:pPr>
          </w:p>
        </w:tc>
        <w:tc>
          <w:tcPr>
            <w:tcW w:w="1276" w:type="dxa"/>
            <w:noWrap w:val="0"/>
            <w:vAlign w:val="top"/>
          </w:tcPr>
          <w:p w14:paraId="7C352178">
            <w:pPr>
              <w:spacing w:line="360" w:lineRule="auto"/>
              <w:rPr>
                <w:rFonts w:hint="eastAsia" w:ascii="宋体" w:hAnsi="宋体" w:eastAsia="宋体" w:cs="宋体"/>
                <w:color w:val="auto"/>
                <w:sz w:val="24"/>
                <w:szCs w:val="24"/>
                <w:highlight w:val="none"/>
              </w:rPr>
            </w:pPr>
          </w:p>
        </w:tc>
      </w:tr>
      <w:tr w14:paraId="45FE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410" w:type="dxa"/>
            <w:gridSpan w:val="2"/>
            <w:noWrap w:val="0"/>
            <w:vAlign w:val="top"/>
          </w:tcPr>
          <w:p w14:paraId="76188981">
            <w:pPr>
              <w:spacing w:line="360" w:lineRule="auto"/>
              <w:rPr>
                <w:rFonts w:hint="eastAsia" w:ascii="宋体" w:hAnsi="宋体" w:eastAsia="宋体" w:cs="宋体"/>
                <w:color w:val="auto"/>
                <w:sz w:val="24"/>
                <w:szCs w:val="24"/>
                <w:highlight w:val="none"/>
              </w:rPr>
            </w:pPr>
          </w:p>
        </w:tc>
        <w:tc>
          <w:tcPr>
            <w:tcW w:w="3969" w:type="dxa"/>
            <w:gridSpan w:val="5"/>
            <w:noWrap w:val="0"/>
            <w:vAlign w:val="top"/>
          </w:tcPr>
          <w:p w14:paraId="09699357">
            <w:pPr>
              <w:spacing w:line="360" w:lineRule="auto"/>
              <w:rPr>
                <w:rFonts w:hint="eastAsia" w:ascii="宋体" w:hAnsi="宋体" w:eastAsia="宋体" w:cs="宋体"/>
                <w:color w:val="auto"/>
                <w:sz w:val="24"/>
                <w:szCs w:val="24"/>
                <w:highlight w:val="none"/>
              </w:rPr>
            </w:pPr>
          </w:p>
        </w:tc>
        <w:tc>
          <w:tcPr>
            <w:tcW w:w="1559" w:type="dxa"/>
            <w:gridSpan w:val="2"/>
            <w:noWrap w:val="0"/>
            <w:vAlign w:val="top"/>
          </w:tcPr>
          <w:p w14:paraId="36E8F9BC">
            <w:pPr>
              <w:spacing w:line="360" w:lineRule="auto"/>
              <w:rPr>
                <w:rFonts w:hint="eastAsia" w:ascii="宋体" w:hAnsi="宋体" w:eastAsia="宋体" w:cs="宋体"/>
                <w:color w:val="auto"/>
                <w:sz w:val="24"/>
                <w:szCs w:val="24"/>
                <w:highlight w:val="none"/>
              </w:rPr>
            </w:pPr>
          </w:p>
        </w:tc>
        <w:tc>
          <w:tcPr>
            <w:tcW w:w="1276" w:type="dxa"/>
            <w:noWrap w:val="0"/>
            <w:vAlign w:val="top"/>
          </w:tcPr>
          <w:p w14:paraId="70204495">
            <w:pPr>
              <w:spacing w:line="360" w:lineRule="auto"/>
              <w:rPr>
                <w:rFonts w:hint="eastAsia" w:ascii="宋体" w:hAnsi="宋体" w:eastAsia="宋体" w:cs="宋体"/>
                <w:color w:val="auto"/>
                <w:sz w:val="24"/>
                <w:szCs w:val="24"/>
                <w:highlight w:val="none"/>
              </w:rPr>
            </w:pPr>
          </w:p>
        </w:tc>
      </w:tr>
      <w:tr w14:paraId="35D2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410" w:type="dxa"/>
            <w:gridSpan w:val="2"/>
            <w:noWrap w:val="0"/>
            <w:vAlign w:val="top"/>
          </w:tcPr>
          <w:p w14:paraId="704AB235">
            <w:pPr>
              <w:spacing w:line="360" w:lineRule="auto"/>
              <w:rPr>
                <w:rFonts w:hint="eastAsia" w:ascii="宋体" w:hAnsi="宋体" w:eastAsia="宋体" w:cs="宋体"/>
                <w:color w:val="auto"/>
                <w:sz w:val="24"/>
                <w:szCs w:val="24"/>
                <w:highlight w:val="none"/>
              </w:rPr>
            </w:pPr>
          </w:p>
        </w:tc>
        <w:tc>
          <w:tcPr>
            <w:tcW w:w="3969" w:type="dxa"/>
            <w:gridSpan w:val="5"/>
            <w:noWrap w:val="0"/>
            <w:vAlign w:val="top"/>
          </w:tcPr>
          <w:p w14:paraId="5450F29F">
            <w:pPr>
              <w:spacing w:line="360" w:lineRule="auto"/>
              <w:rPr>
                <w:rFonts w:hint="eastAsia" w:ascii="宋体" w:hAnsi="宋体" w:eastAsia="宋体" w:cs="宋体"/>
                <w:color w:val="auto"/>
                <w:sz w:val="24"/>
                <w:szCs w:val="24"/>
                <w:highlight w:val="none"/>
              </w:rPr>
            </w:pPr>
          </w:p>
        </w:tc>
        <w:tc>
          <w:tcPr>
            <w:tcW w:w="1559" w:type="dxa"/>
            <w:gridSpan w:val="2"/>
            <w:noWrap w:val="0"/>
            <w:vAlign w:val="top"/>
          </w:tcPr>
          <w:p w14:paraId="4B535AD3">
            <w:pPr>
              <w:spacing w:line="360" w:lineRule="auto"/>
              <w:rPr>
                <w:rFonts w:hint="eastAsia" w:ascii="宋体" w:hAnsi="宋体" w:eastAsia="宋体" w:cs="宋体"/>
                <w:color w:val="auto"/>
                <w:sz w:val="24"/>
                <w:szCs w:val="24"/>
                <w:highlight w:val="none"/>
              </w:rPr>
            </w:pPr>
          </w:p>
        </w:tc>
        <w:tc>
          <w:tcPr>
            <w:tcW w:w="1276" w:type="dxa"/>
            <w:noWrap w:val="0"/>
            <w:vAlign w:val="top"/>
          </w:tcPr>
          <w:p w14:paraId="38D22182">
            <w:pPr>
              <w:spacing w:line="360" w:lineRule="auto"/>
              <w:rPr>
                <w:rFonts w:hint="eastAsia" w:ascii="宋体" w:hAnsi="宋体" w:eastAsia="宋体" w:cs="宋体"/>
                <w:color w:val="auto"/>
                <w:sz w:val="24"/>
                <w:szCs w:val="24"/>
                <w:highlight w:val="none"/>
              </w:rPr>
            </w:pPr>
          </w:p>
        </w:tc>
      </w:tr>
      <w:tr w14:paraId="553B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410" w:type="dxa"/>
            <w:gridSpan w:val="2"/>
            <w:noWrap w:val="0"/>
            <w:vAlign w:val="center"/>
          </w:tcPr>
          <w:p w14:paraId="7D9F3B9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获奖情况</w:t>
            </w:r>
          </w:p>
        </w:tc>
        <w:tc>
          <w:tcPr>
            <w:tcW w:w="6804" w:type="dxa"/>
            <w:gridSpan w:val="8"/>
            <w:noWrap w:val="0"/>
            <w:vAlign w:val="top"/>
          </w:tcPr>
          <w:p w14:paraId="67829CCB">
            <w:pPr>
              <w:spacing w:line="360" w:lineRule="auto"/>
              <w:rPr>
                <w:rFonts w:hint="eastAsia" w:ascii="宋体" w:hAnsi="宋体" w:eastAsia="宋体" w:cs="宋体"/>
                <w:color w:val="auto"/>
                <w:sz w:val="24"/>
                <w:szCs w:val="24"/>
                <w:highlight w:val="none"/>
              </w:rPr>
            </w:pPr>
          </w:p>
        </w:tc>
      </w:tr>
      <w:tr w14:paraId="2C31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2410" w:type="dxa"/>
            <w:gridSpan w:val="2"/>
            <w:noWrap w:val="0"/>
            <w:vAlign w:val="center"/>
          </w:tcPr>
          <w:p w14:paraId="3F60C20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说明在岗情况 </w:t>
            </w:r>
          </w:p>
        </w:tc>
        <w:tc>
          <w:tcPr>
            <w:tcW w:w="6804" w:type="dxa"/>
            <w:gridSpan w:val="8"/>
            <w:noWrap w:val="0"/>
            <w:vAlign w:val="center"/>
          </w:tcPr>
          <w:p w14:paraId="4830B880">
            <w:pPr>
              <w:pStyle w:val="95"/>
              <w:jc w:val="both"/>
              <w:rPr>
                <w:rFonts w:hint="eastAsia" w:ascii="宋体" w:hAnsi="宋体" w:eastAsia="宋体" w:cs="宋体"/>
                <w:color w:val="auto"/>
                <w:sz w:val="24"/>
                <w:szCs w:val="24"/>
                <w:highlight w:val="none"/>
              </w:rPr>
            </w:pPr>
          </w:p>
          <w:p w14:paraId="06CF737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0CB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exact"/>
          <w:jc w:val="center"/>
        </w:trPr>
        <w:tc>
          <w:tcPr>
            <w:tcW w:w="2410" w:type="dxa"/>
            <w:gridSpan w:val="2"/>
            <w:noWrap w:val="0"/>
            <w:vAlign w:val="center"/>
          </w:tcPr>
          <w:p w14:paraId="6B75B7C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804" w:type="dxa"/>
            <w:gridSpan w:val="8"/>
            <w:noWrap w:val="0"/>
            <w:vAlign w:val="center"/>
          </w:tcPr>
          <w:p w14:paraId="788B2865">
            <w:pPr>
              <w:spacing w:line="360" w:lineRule="auto"/>
              <w:rPr>
                <w:rFonts w:hint="eastAsia" w:ascii="宋体" w:hAnsi="宋体" w:eastAsia="宋体" w:cs="宋体"/>
                <w:color w:val="auto"/>
                <w:sz w:val="24"/>
                <w:szCs w:val="24"/>
                <w:highlight w:val="none"/>
              </w:rPr>
            </w:pPr>
          </w:p>
        </w:tc>
      </w:tr>
    </w:tbl>
    <w:p w14:paraId="2A6A7CF4">
      <w:pPr>
        <w:rPr>
          <w:rFonts w:hint="eastAsia" w:ascii="宋体" w:hAnsi="宋体" w:eastAsia="宋体" w:cs="宋体"/>
          <w:b w:val="0"/>
          <w:bCs w:val="0"/>
          <w:color w:val="auto"/>
          <w:sz w:val="24"/>
          <w:szCs w:val="24"/>
          <w:highlight w:val="none"/>
        </w:rPr>
      </w:pPr>
    </w:p>
    <w:p w14:paraId="56F99A77">
      <w:pPr>
        <w:jc w:val="center"/>
        <w:rPr>
          <w:rFonts w:hint="eastAsia" w:ascii="宋体" w:hAnsi="宋体" w:eastAsia="宋体" w:cs="宋体"/>
          <w:b w:val="0"/>
          <w:bCs w:val="0"/>
          <w:color w:val="auto"/>
          <w:sz w:val="24"/>
          <w:szCs w:val="24"/>
          <w:highlight w:val="none"/>
        </w:rPr>
      </w:pPr>
      <w:bookmarkStart w:id="85" w:name="_Toc2438_WPSOffice_Level2"/>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lang w:val="en-US" w:eastAsia="zh-CN"/>
        </w:rPr>
        <w:t>项目责任监理师无在建</w:t>
      </w:r>
      <w:r>
        <w:rPr>
          <w:rFonts w:hint="eastAsia" w:ascii="宋体" w:hAnsi="宋体" w:eastAsia="宋体" w:cs="宋体"/>
          <w:b/>
          <w:bCs/>
          <w:color w:val="auto"/>
          <w:sz w:val="24"/>
          <w:szCs w:val="24"/>
          <w:highlight w:val="none"/>
        </w:rPr>
        <w:t>承诺书</w:t>
      </w:r>
      <w:bookmarkEnd w:id="85"/>
    </w:p>
    <w:p w14:paraId="531C2DB5">
      <w:pPr>
        <w:spacing w:line="500" w:lineRule="exact"/>
        <w:rPr>
          <w:rFonts w:hint="eastAsia" w:ascii="宋体" w:hAnsi="宋体" w:eastAsia="宋体" w:cs="宋体"/>
          <w:b w:val="0"/>
          <w:bCs w:val="0"/>
          <w:color w:val="auto"/>
          <w:sz w:val="24"/>
          <w:szCs w:val="24"/>
          <w:highlight w:val="none"/>
          <w:u w:val="single"/>
        </w:rPr>
      </w:pPr>
    </w:p>
    <w:p w14:paraId="097E987F">
      <w:pPr>
        <w:spacing w:line="5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rPr>
        <w:t>名称）：</w:t>
      </w:r>
    </w:p>
    <w:p w14:paraId="57D35CBC">
      <w:pPr>
        <w:spacing w:line="500" w:lineRule="exact"/>
        <w:rPr>
          <w:rFonts w:hint="eastAsia" w:ascii="宋体" w:hAnsi="宋体" w:eastAsia="宋体" w:cs="宋体"/>
          <w:b w:val="0"/>
          <w:bCs w:val="0"/>
          <w:color w:val="auto"/>
          <w:sz w:val="24"/>
          <w:szCs w:val="24"/>
          <w:highlight w:val="none"/>
        </w:rPr>
      </w:pPr>
    </w:p>
    <w:p w14:paraId="4F0C5694">
      <w:pPr>
        <w:spacing w:line="500" w:lineRule="exact"/>
        <w:ind w:firstLine="50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我方在此声明，我方拟派往</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（项目名称）（以下简称“本工程”）的</w:t>
      </w:r>
      <w:r>
        <w:rPr>
          <w:rFonts w:hint="eastAsia" w:ascii="宋体" w:hAnsi="宋体" w:eastAsia="宋体" w:cs="宋体"/>
          <w:b w:val="0"/>
          <w:bCs w:val="0"/>
          <w:color w:val="auto"/>
          <w:sz w:val="24"/>
          <w:szCs w:val="24"/>
          <w:highlight w:val="none"/>
          <w:lang w:val="en-US" w:eastAsia="zh-CN"/>
        </w:rPr>
        <w:t>项目责任监理师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项目责任监理师</w:t>
      </w:r>
      <w:r>
        <w:rPr>
          <w:rFonts w:hint="eastAsia" w:ascii="宋体" w:hAnsi="宋体" w:eastAsia="宋体" w:cs="宋体"/>
          <w:b w:val="0"/>
          <w:bCs w:val="0"/>
          <w:color w:val="auto"/>
          <w:sz w:val="24"/>
          <w:szCs w:val="24"/>
          <w:highlight w:val="none"/>
        </w:rPr>
        <w:t>姓名）现阶段没有担任任何</w:t>
      </w:r>
      <w:r>
        <w:rPr>
          <w:rFonts w:hint="eastAsia" w:ascii="宋体" w:hAnsi="宋体" w:eastAsia="宋体" w:cs="宋体"/>
          <w:b w:val="0"/>
          <w:bCs w:val="0"/>
          <w:color w:val="auto"/>
          <w:sz w:val="24"/>
          <w:szCs w:val="24"/>
          <w:highlight w:val="none"/>
          <w:lang w:eastAsia="zh-CN"/>
        </w:rPr>
        <w:t>在建</w:t>
      </w:r>
      <w:r>
        <w:rPr>
          <w:rFonts w:hint="eastAsia" w:ascii="宋体" w:hAnsi="宋体" w:eastAsia="宋体" w:cs="宋体"/>
          <w:b w:val="0"/>
          <w:bCs w:val="0"/>
          <w:color w:val="auto"/>
          <w:sz w:val="24"/>
          <w:szCs w:val="24"/>
          <w:highlight w:val="none"/>
        </w:rPr>
        <w:t>建设工程项目的</w:t>
      </w:r>
      <w:r>
        <w:rPr>
          <w:rFonts w:hint="eastAsia" w:ascii="宋体" w:hAnsi="宋体" w:eastAsia="宋体" w:cs="宋体"/>
          <w:b w:val="0"/>
          <w:bCs w:val="0"/>
          <w:color w:val="auto"/>
          <w:sz w:val="24"/>
          <w:szCs w:val="24"/>
          <w:highlight w:val="none"/>
          <w:lang w:val="en-US" w:eastAsia="zh-CN"/>
        </w:rPr>
        <w:t>项目责任监理师</w:t>
      </w:r>
      <w:r>
        <w:rPr>
          <w:rFonts w:hint="eastAsia" w:ascii="宋体" w:hAnsi="宋体" w:eastAsia="宋体" w:cs="宋体"/>
          <w:b w:val="0"/>
          <w:bCs w:val="0"/>
          <w:color w:val="auto"/>
          <w:sz w:val="24"/>
          <w:szCs w:val="24"/>
          <w:highlight w:val="none"/>
          <w:lang w:eastAsia="zh-CN"/>
        </w:rPr>
        <w:t>，为本单位在职人员</w:t>
      </w:r>
      <w:r>
        <w:rPr>
          <w:rFonts w:hint="eastAsia" w:ascii="宋体" w:hAnsi="宋体" w:eastAsia="宋体" w:cs="宋体"/>
          <w:b w:val="0"/>
          <w:bCs w:val="0"/>
          <w:color w:val="auto"/>
          <w:sz w:val="24"/>
          <w:szCs w:val="24"/>
          <w:highlight w:val="none"/>
          <w:lang w:val="en-US" w:eastAsia="zh-CN"/>
        </w:rPr>
        <w:t>且无不良记录</w:t>
      </w:r>
      <w:r>
        <w:rPr>
          <w:rFonts w:hint="eastAsia" w:ascii="宋体" w:hAnsi="宋体" w:eastAsia="宋体" w:cs="宋体"/>
          <w:b w:val="0"/>
          <w:bCs w:val="0"/>
          <w:color w:val="auto"/>
          <w:sz w:val="24"/>
          <w:szCs w:val="24"/>
          <w:highlight w:val="none"/>
        </w:rPr>
        <w:t>。</w:t>
      </w:r>
    </w:p>
    <w:p w14:paraId="299468E2">
      <w:pPr>
        <w:spacing w:line="500" w:lineRule="exact"/>
        <w:ind w:firstLine="50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我方保证上述信息的真实和准确，并愿意承担因我方就此弄虚作假所引起的一切法律后果。</w:t>
      </w:r>
    </w:p>
    <w:p w14:paraId="75D913D9">
      <w:pPr>
        <w:spacing w:line="500" w:lineRule="exact"/>
        <w:rPr>
          <w:rFonts w:hint="eastAsia" w:ascii="宋体" w:hAnsi="宋体" w:eastAsia="宋体" w:cs="宋体"/>
          <w:b w:val="0"/>
          <w:bCs w:val="0"/>
          <w:color w:val="auto"/>
          <w:sz w:val="24"/>
          <w:szCs w:val="24"/>
          <w:highlight w:val="none"/>
        </w:rPr>
      </w:pPr>
    </w:p>
    <w:p w14:paraId="428E0C18">
      <w:pPr>
        <w:spacing w:line="500" w:lineRule="exact"/>
        <w:ind w:firstLine="500" w:firstLineChars="20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特此承诺</w:t>
      </w:r>
    </w:p>
    <w:p w14:paraId="62E323AC">
      <w:pPr>
        <w:spacing w:line="500" w:lineRule="exact"/>
        <w:ind w:firstLine="500" w:firstLineChars="200"/>
        <w:jc w:val="both"/>
        <w:rPr>
          <w:rFonts w:hint="eastAsia" w:ascii="宋体" w:hAnsi="宋体" w:eastAsia="宋体" w:cs="宋体"/>
          <w:b w:val="0"/>
          <w:bCs w:val="0"/>
          <w:color w:val="auto"/>
          <w:sz w:val="24"/>
          <w:szCs w:val="24"/>
          <w:highlight w:val="none"/>
        </w:rPr>
      </w:pPr>
    </w:p>
    <w:p w14:paraId="0E44B1D7">
      <w:pPr>
        <w:spacing w:line="500" w:lineRule="exact"/>
        <w:jc w:val="both"/>
        <w:rPr>
          <w:rFonts w:hint="eastAsia" w:ascii="宋体" w:hAnsi="宋体" w:eastAsia="宋体" w:cs="宋体"/>
          <w:b w:val="0"/>
          <w:bCs w:val="0"/>
          <w:color w:val="auto"/>
          <w:sz w:val="24"/>
          <w:szCs w:val="24"/>
          <w:highlight w:val="none"/>
        </w:rPr>
      </w:pPr>
    </w:p>
    <w:p w14:paraId="4B661CB8">
      <w:pPr>
        <w:spacing w:after="480"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（公章）</w:t>
      </w:r>
    </w:p>
    <w:p w14:paraId="5FFDB132">
      <w:pPr>
        <w:spacing w:after="480" w:line="20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eastAsia="zh-CN"/>
        </w:rPr>
        <w:t>委托代理人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签字或盖章</w:t>
      </w:r>
      <w:r>
        <w:rPr>
          <w:rFonts w:hint="eastAsia" w:ascii="宋体" w:hAnsi="宋体" w:eastAsia="宋体" w:cs="宋体"/>
          <w:color w:val="auto"/>
          <w:kern w:val="0"/>
          <w:sz w:val="24"/>
          <w:szCs w:val="24"/>
          <w:highlight w:val="none"/>
        </w:rPr>
        <w:t>)</w:t>
      </w:r>
    </w:p>
    <w:p w14:paraId="2C30E327">
      <w:pPr>
        <w:spacing w:after="480"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bookmarkEnd w:id="27"/>
    <w:bookmarkEnd w:id="28"/>
    <w:p w14:paraId="28AB0109">
      <w:pPr>
        <w:pStyle w:val="18"/>
        <w:rPr>
          <w:rFonts w:hint="eastAsia" w:ascii="宋体" w:hAnsi="宋体" w:eastAsia="宋体" w:cs="宋体"/>
          <w:color w:val="auto"/>
          <w:sz w:val="24"/>
          <w:szCs w:val="24"/>
          <w:highlight w:val="none"/>
          <w:lang w:val="en-US" w:eastAsia="zh-CN"/>
        </w:rPr>
      </w:pPr>
    </w:p>
    <w:p w14:paraId="18044B56">
      <w:pPr>
        <w:pStyle w:val="18"/>
        <w:rPr>
          <w:rFonts w:hint="eastAsia" w:ascii="宋体" w:hAnsi="宋体" w:eastAsia="宋体" w:cs="宋体"/>
          <w:color w:val="auto"/>
          <w:sz w:val="24"/>
          <w:szCs w:val="24"/>
          <w:highlight w:val="none"/>
          <w:lang w:val="en-US" w:eastAsia="zh-CN"/>
        </w:rPr>
      </w:pPr>
    </w:p>
    <w:p w14:paraId="666A2F32">
      <w:pPr>
        <w:pStyle w:val="18"/>
        <w:rPr>
          <w:rFonts w:hint="eastAsia" w:ascii="宋体" w:hAnsi="宋体" w:eastAsia="宋体" w:cs="宋体"/>
          <w:color w:val="auto"/>
          <w:sz w:val="24"/>
          <w:szCs w:val="24"/>
          <w:highlight w:val="none"/>
          <w:lang w:val="en-US" w:eastAsia="zh-CN"/>
        </w:rPr>
      </w:pPr>
    </w:p>
    <w:p w14:paraId="3527D0F5">
      <w:pPr>
        <w:pStyle w:val="18"/>
        <w:rPr>
          <w:rFonts w:hint="eastAsia" w:ascii="宋体" w:hAnsi="宋体" w:eastAsia="宋体" w:cs="宋体"/>
          <w:color w:val="auto"/>
          <w:sz w:val="24"/>
          <w:szCs w:val="24"/>
          <w:highlight w:val="none"/>
          <w:lang w:val="en-US" w:eastAsia="zh-CN"/>
        </w:rPr>
      </w:pPr>
    </w:p>
    <w:p w14:paraId="3F0289F7">
      <w:pPr>
        <w:pStyle w:val="18"/>
        <w:rPr>
          <w:rFonts w:hint="eastAsia" w:ascii="宋体" w:hAnsi="宋体" w:eastAsia="宋体" w:cs="宋体"/>
          <w:color w:val="auto"/>
          <w:sz w:val="24"/>
          <w:szCs w:val="24"/>
          <w:highlight w:val="none"/>
          <w:lang w:val="en-US" w:eastAsia="zh-CN"/>
        </w:rPr>
      </w:pPr>
    </w:p>
    <w:p w14:paraId="3489C6CB">
      <w:pPr>
        <w:pStyle w:val="18"/>
        <w:rPr>
          <w:rFonts w:hint="eastAsia" w:ascii="宋体" w:hAnsi="宋体" w:eastAsia="宋体" w:cs="宋体"/>
          <w:color w:val="auto"/>
          <w:sz w:val="24"/>
          <w:szCs w:val="24"/>
          <w:highlight w:val="none"/>
          <w:lang w:val="en-US" w:eastAsia="zh-CN"/>
        </w:rPr>
      </w:pPr>
    </w:p>
    <w:p w14:paraId="1AFBCF32">
      <w:pPr>
        <w:pStyle w:val="18"/>
        <w:rPr>
          <w:rFonts w:hint="eastAsia" w:ascii="宋体" w:hAnsi="宋体" w:eastAsia="宋体" w:cs="宋体"/>
          <w:color w:val="auto"/>
          <w:sz w:val="24"/>
          <w:szCs w:val="24"/>
          <w:highlight w:val="none"/>
          <w:lang w:val="en-US" w:eastAsia="zh-CN"/>
        </w:rPr>
      </w:pPr>
    </w:p>
    <w:p w14:paraId="41D49DDC">
      <w:pPr>
        <w:pStyle w:val="18"/>
        <w:rPr>
          <w:rFonts w:hint="eastAsia" w:ascii="宋体" w:hAnsi="宋体" w:eastAsia="宋体" w:cs="宋体"/>
          <w:color w:val="auto"/>
          <w:sz w:val="24"/>
          <w:szCs w:val="24"/>
          <w:highlight w:val="none"/>
          <w:lang w:val="en-US" w:eastAsia="zh-CN"/>
        </w:rPr>
      </w:pPr>
    </w:p>
    <w:p w14:paraId="5B569BF0">
      <w:pPr>
        <w:pStyle w:val="18"/>
        <w:rPr>
          <w:rFonts w:hint="eastAsia" w:ascii="宋体" w:hAnsi="宋体" w:eastAsia="宋体" w:cs="宋体"/>
          <w:color w:val="auto"/>
          <w:sz w:val="24"/>
          <w:szCs w:val="24"/>
          <w:highlight w:val="none"/>
          <w:lang w:val="en-US" w:eastAsia="zh-CN"/>
        </w:rPr>
      </w:pPr>
    </w:p>
    <w:p w14:paraId="37011E21">
      <w:pPr>
        <w:pStyle w:val="18"/>
        <w:rPr>
          <w:rFonts w:hint="eastAsia" w:ascii="宋体" w:hAnsi="宋体" w:eastAsia="宋体" w:cs="宋体"/>
          <w:color w:val="auto"/>
          <w:sz w:val="24"/>
          <w:szCs w:val="24"/>
          <w:highlight w:val="none"/>
          <w:lang w:val="en-US" w:eastAsia="zh-CN"/>
        </w:rPr>
      </w:pPr>
    </w:p>
    <w:p w14:paraId="1B27D441">
      <w:pPr>
        <w:pStyle w:val="18"/>
        <w:rPr>
          <w:rFonts w:hint="eastAsia" w:ascii="宋体" w:hAnsi="宋体" w:eastAsia="宋体" w:cs="宋体"/>
          <w:color w:val="auto"/>
          <w:sz w:val="24"/>
          <w:szCs w:val="24"/>
          <w:highlight w:val="none"/>
          <w:lang w:val="en-US" w:eastAsia="zh-CN"/>
        </w:rPr>
      </w:pPr>
    </w:p>
    <w:p w14:paraId="1FA09CE0">
      <w:pPr>
        <w:pStyle w:val="18"/>
        <w:rPr>
          <w:rFonts w:hint="eastAsia" w:ascii="宋体" w:hAnsi="宋体" w:eastAsia="宋体" w:cs="宋体"/>
          <w:color w:val="auto"/>
          <w:sz w:val="24"/>
          <w:szCs w:val="24"/>
          <w:highlight w:val="none"/>
          <w:lang w:val="en-US" w:eastAsia="zh-CN"/>
        </w:rPr>
      </w:pPr>
    </w:p>
    <w:p w14:paraId="40E2B261">
      <w:pPr>
        <w:spacing w:line="360" w:lineRule="auto"/>
        <w:rPr>
          <w:rFonts w:hint="eastAsia" w:ascii="宋体" w:hAnsi="宋体" w:eastAsia="宋体" w:cs="宋体"/>
          <w:b/>
          <w:sz w:val="24"/>
          <w:szCs w:val="24"/>
          <w:highlight w:val="none"/>
          <w:lang w:val="en-US" w:eastAsia="zh-CN"/>
        </w:rPr>
      </w:pPr>
      <w:r>
        <w:rPr>
          <w:rFonts w:hint="eastAsia" w:ascii="宋体" w:hAnsi="宋体" w:cs="宋体"/>
          <w:b/>
          <w:sz w:val="24"/>
          <w:szCs w:val="24"/>
          <w:highlight w:val="none"/>
        </w:rPr>
        <w:t>附件</w:t>
      </w:r>
      <w:r>
        <w:rPr>
          <w:rFonts w:hint="eastAsia" w:ascii="宋体" w:hAnsi="宋体" w:cs="宋体"/>
          <w:b/>
          <w:sz w:val="24"/>
          <w:szCs w:val="24"/>
          <w:highlight w:val="none"/>
          <w:lang w:val="en-US" w:eastAsia="zh-CN"/>
        </w:rPr>
        <w:t>10</w:t>
      </w:r>
      <w:r>
        <w:rPr>
          <w:rFonts w:ascii="宋体" w:hAnsi="宋体" w:eastAsia="宋体"/>
          <w:sz w:val="24"/>
          <w:szCs w:val="24"/>
          <w:highlight w:val="none"/>
        </w:rPr>
        <w:t>：</w:t>
      </w:r>
    </w:p>
    <w:p w14:paraId="02932367">
      <w:pPr>
        <w:tabs>
          <w:tab w:val="left" w:pos="210"/>
        </w:tabs>
        <w:spacing w:line="360" w:lineRule="auto"/>
        <w:jc w:val="center"/>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en-US" w:eastAsia="zh-CN"/>
        </w:rPr>
        <w:t>非联合体磋商声明</w:t>
      </w:r>
    </w:p>
    <w:p w14:paraId="2171203C">
      <w:pPr>
        <w:pStyle w:val="10"/>
        <w:spacing w:line="360" w:lineRule="auto"/>
        <w:jc w:val="left"/>
        <w:rPr>
          <w:rFonts w:hint="eastAsia" w:ascii="宋体" w:hAnsi="宋体" w:eastAsia="宋体" w:cs="宋体"/>
          <w:i/>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i/>
          <w:color w:val="auto"/>
          <w:sz w:val="24"/>
          <w:szCs w:val="24"/>
          <w:highlight w:val="none"/>
          <w:u w:val="single"/>
        </w:rPr>
        <w:t xml:space="preserve"> </w:t>
      </w:r>
      <w:r>
        <w:rPr>
          <w:rFonts w:hint="eastAsia" w:ascii="宋体" w:hAnsi="宋体" w:eastAsia="宋体" w:cs="宋体"/>
          <w:i/>
          <w:color w:val="auto"/>
          <w:sz w:val="24"/>
          <w:szCs w:val="24"/>
          <w:highlight w:val="none"/>
          <w:u w:val="single"/>
          <w:lang w:val="en-US" w:eastAsia="zh-CN"/>
        </w:rPr>
        <w:t xml:space="preserve">           </w:t>
      </w:r>
      <w:r>
        <w:rPr>
          <w:rFonts w:hint="eastAsia" w:ascii="宋体" w:hAnsi="宋体" w:eastAsia="宋体" w:cs="宋体"/>
          <w:i/>
          <w:color w:val="auto"/>
          <w:sz w:val="24"/>
          <w:szCs w:val="24"/>
          <w:highlight w:val="none"/>
          <w:u w:val="single"/>
        </w:rPr>
        <w:t xml:space="preserve"> </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人名称</w:t>
      </w:r>
      <w:r>
        <w:rPr>
          <w:rFonts w:hint="eastAsia" w:ascii="宋体" w:hAnsi="宋体" w:eastAsia="宋体" w:cs="宋体"/>
          <w:color w:val="auto"/>
          <w:sz w:val="24"/>
          <w:szCs w:val="24"/>
          <w:highlight w:val="none"/>
          <w:lang w:eastAsia="zh-CN"/>
        </w:rPr>
        <w:t>）</w:t>
      </w:r>
    </w:p>
    <w:p w14:paraId="486DCAC7">
      <w:pPr>
        <w:pStyle w:val="24"/>
        <w:spacing w:after="0" w:afterLines="0" w:afterAutospacing="0"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我公司保证本项目为非联合体</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w:t>
      </w:r>
    </w:p>
    <w:p w14:paraId="13643A9A">
      <w:pPr>
        <w:pStyle w:val="24"/>
        <w:spacing w:after="0" w:afterLines="0" w:afterAutospacing="0"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我公司若违反上述保证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或本声明陈述与事实不符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经查实</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我公司愿意接受公开通报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并承担由此带来的法律后果。</w:t>
      </w:r>
    </w:p>
    <w:p w14:paraId="2B45CDB2">
      <w:pPr>
        <w:pStyle w:val="24"/>
        <w:spacing w:after="450" w:afterLines="0" w:afterAutospacing="0" w:line="360" w:lineRule="auto"/>
        <w:ind w:firstLine="75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19DF3B6C">
      <w:pPr>
        <w:pStyle w:val="24"/>
        <w:spacing w:after="450" w:afterLines="0" w:afterAutospacing="0" w:line="360" w:lineRule="auto"/>
        <w:rPr>
          <w:rFonts w:hint="eastAsia" w:ascii="宋体" w:hAnsi="宋体" w:eastAsia="宋体" w:cs="宋体"/>
          <w:color w:val="auto"/>
          <w:sz w:val="24"/>
          <w:szCs w:val="24"/>
          <w:highlight w:val="none"/>
        </w:rPr>
      </w:pPr>
    </w:p>
    <w:p w14:paraId="07E7CCAB">
      <w:pPr>
        <w:spacing w:after="480" w:line="360" w:lineRule="auto"/>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供应商名称：</w:t>
      </w:r>
      <w:r>
        <w:rPr>
          <w:rFonts w:hint="eastAsia" w:ascii="宋体" w:hAnsi="宋体" w:cs="宋体"/>
          <w:sz w:val="24"/>
          <w:szCs w:val="24"/>
          <w:highlight w:val="none"/>
          <w:u w:val="single"/>
        </w:rPr>
        <w:t xml:space="preserve">                          </w:t>
      </w:r>
      <w:r>
        <w:rPr>
          <w:rFonts w:hint="eastAsia" w:ascii="宋体" w:hAnsi="宋体" w:cs="宋体"/>
          <w:sz w:val="24"/>
          <w:szCs w:val="24"/>
          <w:highlight w:val="none"/>
          <w:lang w:eastAsia="zh-CN"/>
        </w:rPr>
        <w:t>（</w:t>
      </w:r>
      <w:r>
        <w:rPr>
          <w:rFonts w:hint="eastAsia" w:ascii="宋体" w:hAnsi="宋体" w:cs="宋体"/>
          <w:sz w:val="24"/>
          <w:szCs w:val="24"/>
          <w:highlight w:val="none"/>
        </w:rPr>
        <w:t>公章</w:t>
      </w:r>
      <w:r>
        <w:rPr>
          <w:rFonts w:hint="eastAsia" w:ascii="宋体" w:hAnsi="宋体" w:cs="宋体"/>
          <w:sz w:val="24"/>
          <w:szCs w:val="24"/>
          <w:highlight w:val="none"/>
          <w:lang w:eastAsia="zh-CN"/>
        </w:rPr>
        <w:t>）</w:t>
      </w:r>
    </w:p>
    <w:p w14:paraId="62EACB42">
      <w:pPr>
        <w:spacing w:after="480" w:line="360" w:lineRule="auto"/>
        <w:jc w:val="left"/>
        <w:rPr>
          <w:rFonts w:hint="eastAsia" w:ascii="宋体" w:hAnsi="宋体" w:cs="宋体"/>
          <w:sz w:val="24"/>
          <w:szCs w:val="24"/>
          <w:highlight w:val="none"/>
        </w:rPr>
      </w:pPr>
      <w:r>
        <w:rPr>
          <w:rFonts w:hint="eastAsia" w:ascii="宋体" w:hAnsi="宋体" w:cs="宋体"/>
          <w:sz w:val="24"/>
          <w:szCs w:val="24"/>
          <w:highlight w:val="none"/>
        </w:rPr>
        <w:t>法定代表人或委托代理人：</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(签字或盖章)</w:t>
      </w:r>
    </w:p>
    <w:p w14:paraId="0F34CD69">
      <w:pPr>
        <w:pageBreakBefore w:val="0"/>
        <w:widowControl/>
        <w:wordWrap/>
        <w:overflowPunct/>
        <w:topLinePunct w:val="0"/>
        <w:bidi w:val="0"/>
        <w:snapToGrid w:val="0"/>
        <w:spacing w:line="360" w:lineRule="auto"/>
        <w:jc w:val="left"/>
        <w:outlineLvl w:val="9"/>
        <w:rPr>
          <w:rFonts w:hint="eastAsia" w:ascii="宋体" w:hAnsi="宋体" w:cs="宋体"/>
          <w:color w:val="auto"/>
          <w:sz w:val="24"/>
          <w:szCs w:val="24"/>
          <w:highlight w:val="none"/>
          <w:lang w:eastAsia="zh-CN"/>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7D461A27">
      <w:pPr>
        <w:pStyle w:val="18"/>
        <w:rPr>
          <w:rFonts w:hint="eastAsia" w:ascii="宋体" w:hAnsi="宋体" w:eastAsia="宋体" w:cs="宋体"/>
          <w:color w:val="auto"/>
          <w:sz w:val="24"/>
          <w:szCs w:val="24"/>
          <w:highlight w:val="none"/>
          <w:lang w:val="en-US" w:eastAsia="zh-CN"/>
        </w:rPr>
      </w:pPr>
    </w:p>
    <w:p w14:paraId="4D5F0EF2">
      <w:pPr>
        <w:pStyle w:val="18"/>
        <w:rPr>
          <w:rFonts w:hint="eastAsia" w:ascii="宋体" w:hAnsi="宋体" w:eastAsia="宋体" w:cs="宋体"/>
          <w:color w:val="auto"/>
          <w:sz w:val="24"/>
          <w:szCs w:val="24"/>
          <w:highlight w:val="none"/>
          <w:lang w:val="en-US" w:eastAsia="zh-CN"/>
        </w:rPr>
      </w:pPr>
    </w:p>
    <w:p w14:paraId="1F337A0F">
      <w:pPr>
        <w:pStyle w:val="18"/>
        <w:rPr>
          <w:rFonts w:hint="eastAsia" w:ascii="宋体" w:hAnsi="宋体" w:eastAsia="宋体" w:cs="宋体"/>
          <w:color w:val="auto"/>
          <w:sz w:val="24"/>
          <w:szCs w:val="24"/>
          <w:highlight w:val="none"/>
          <w:lang w:val="en-US" w:eastAsia="zh-CN"/>
        </w:rPr>
      </w:pPr>
    </w:p>
    <w:p w14:paraId="763C5C10">
      <w:pPr>
        <w:pStyle w:val="18"/>
        <w:rPr>
          <w:rFonts w:hint="eastAsia" w:ascii="宋体" w:hAnsi="宋体" w:eastAsia="宋体" w:cs="宋体"/>
          <w:color w:val="auto"/>
          <w:sz w:val="24"/>
          <w:szCs w:val="24"/>
          <w:highlight w:val="none"/>
          <w:lang w:val="en-US" w:eastAsia="zh-CN"/>
        </w:rPr>
      </w:pPr>
    </w:p>
    <w:p w14:paraId="54A022C9">
      <w:pPr>
        <w:pStyle w:val="18"/>
        <w:rPr>
          <w:rFonts w:hint="eastAsia" w:ascii="宋体" w:hAnsi="宋体" w:eastAsia="宋体" w:cs="宋体"/>
          <w:color w:val="auto"/>
          <w:sz w:val="24"/>
          <w:szCs w:val="24"/>
          <w:highlight w:val="none"/>
          <w:lang w:val="en-US" w:eastAsia="zh-CN"/>
        </w:rPr>
      </w:pPr>
    </w:p>
    <w:p w14:paraId="32640010">
      <w:pPr>
        <w:pStyle w:val="18"/>
        <w:rPr>
          <w:rFonts w:hint="eastAsia" w:ascii="宋体" w:hAnsi="宋体" w:eastAsia="宋体" w:cs="宋体"/>
          <w:color w:val="auto"/>
          <w:sz w:val="24"/>
          <w:szCs w:val="24"/>
          <w:highlight w:val="none"/>
          <w:lang w:val="en-US" w:eastAsia="zh-CN"/>
        </w:rPr>
      </w:pPr>
    </w:p>
    <w:sectPr>
      <w:headerReference r:id="rId5" w:type="first"/>
      <w:pgSz w:w="11906" w:h="16838"/>
      <w:pgMar w:top="1440" w:right="1587" w:bottom="1361" w:left="1587" w:header="992" w:footer="1134" w:gutter="0"/>
      <w:pgNumType w:fmt="decimal"/>
      <w:cols w:space="0" w:num="1"/>
      <w:rtlGutter w:val="0"/>
      <w:docGrid w:type="linesAndChars" w:linePitch="401"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enlo">
    <w:altName w:val="Segoe Print"/>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Noto Sans Mono CJK JP Regular">
    <w:altName w:val="Segoe Print"/>
    <w:panose1 w:val="00000000000000000000"/>
    <w:charset w:val="00"/>
    <w:family w:val="swiss"/>
    <w:pitch w:val="default"/>
    <w:sig w:usb0="00000000" w:usb1="00000000" w:usb2="00000000" w:usb3="00000000" w:csb0="00000000" w:csb1="00000000"/>
  </w:font>
  <w:font w:name="仿宋_GB2312">
    <w:panose1 w:val="02010609030101010101"/>
    <w:charset w:val="86"/>
    <w:family w:val="roma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华文中宋">
    <w:altName w:val="宋体"/>
    <w:panose1 w:val="02010600040101010101"/>
    <w:charset w:val="86"/>
    <w:family w:val="auto"/>
    <w:pitch w:val="default"/>
    <w:sig w:usb0="00000000" w:usb1="00000000" w:usb2="00000000" w:usb3="00000000" w:csb0="0004009F" w:csb1="DFD70000"/>
  </w:font>
  <w:font w:name="方正楷体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8CF81">
    <w:pPr>
      <w:pStyle w:val="19"/>
      <w:widowControl w:val="0"/>
      <w:pBdr>
        <w:bottom w:val="single" w:color="auto" w:sz="6" w:space="1"/>
      </w:pBdr>
      <w:tabs>
        <w:tab w:val="left" w:pos="755"/>
        <w:tab w:val="center" w:pos="4153"/>
        <w:tab w:val="center" w:pos="4559"/>
        <w:tab w:val="right" w:pos="8306"/>
      </w:tabs>
      <w:snapToGrid w:val="0"/>
      <w:spacing w:before="0" w:beforeAutospacing="0" w:after="0" w:afterAutospacing="0" w:line="264" w:lineRule="auto"/>
      <w:jc w:val="both"/>
      <w:rPr>
        <w:rFonts w:hint="eastAsia"/>
        <w:b/>
        <w:iCs/>
        <w:sz w:val="18"/>
        <w:szCs w:val="18"/>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7EAF7">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957EAF7">
                    <w:pPr>
                      <w:pStyle w:val="18"/>
                    </w:pPr>
                    <w:r>
                      <w:fldChar w:fldCharType="begin"/>
                    </w:r>
                    <w:r>
                      <w:instrText xml:space="preserve"> PAGE  \* MERGEFORMAT </w:instrText>
                    </w:r>
                    <w:r>
                      <w:fldChar w:fldCharType="separate"/>
                    </w:r>
                    <w:r>
                      <w:t>1</w:t>
                    </w:r>
                    <w:r>
                      <w:fldChar w:fldCharType="end"/>
                    </w:r>
                  </w:p>
                </w:txbxContent>
              </v:textbox>
            </v:shape>
          </w:pict>
        </mc:Fallback>
      </mc:AlternateContent>
    </w:r>
  </w:p>
  <w:p w14:paraId="321150AA">
    <w:pPr>
      <w:pStyle w:val="19"/>
      <w:widowControl w:val="0"/>
      <w:pBdr>
        <w:bottom w:val="single" w:color="auto" w:sz="6" w:space="1"/>
      </w:pBdr>
      <w:tabs>
        <w:tab w:val="left" w:pos="755"/>
        <w:tab w:val="center" w:pos="4153"/>
        <w:tab w:val="center" w:pos="4559"/>
        <w:tab w:val="right" w:pos="8306"/>
      </w:tabs>
      <w:snapToGrid w:val="0"/>
      <w:spacing w:before="0" w:beforeAutospacing="0" w:after="0" w:afterAutospacing="0" w:line="264" w:lineRule="auto"/>
      <w:jc w:val="both"/>
    </w:pPr>
    <w:r>
      <w:rPr>
        <w:rFonts w:hint="eastAsia"/>
        <w:b/>
        <w:iCs/>
        <w:sz w:val="18"/>
        <w:szCs w:val="18"/>
        <w:lang w:eastAsia="zh-CN"/>
      </w:rPr>
      <w:t>陕西华信项目管理有限公司</w:t>
    </w:r>
    <w:r>
      <w:rPr>
        <w:rFonts w:hint="eastAsia"/>
        <w:b/>
        <w:iCs/>
        <w:sz w:val="18"/>
        <w:szCs w:val="18"/>
      </w:rPr>
      <w:t xml:space="preserve">                              </w:t>
    </w:r>
    <w:r>
      <w:rPr>
        <w:rFonts w:hint="eastAsia"/>
        <w:b/>
        <w:iCs/>
        <w:sz w:val="18"/>
        <w:szCs w:val="18"/>
        <w:lang w:val="en-US" w:eastAsia="zh-CN"/>
      </w:rPr>
      <w:t xml:space="preserve">   </w:t>
    </w:r>
    <w:r>
      <w:rPr>
        <w:rFonts w:hint="eastAsia"/>
        <w:b/>
        <w:iCs/>
        <w:sz w:val="18"/>
        <w:szCs w:val="18"/>
      </w:rPr>
      <w:t xml:space="preserve">                联系电话：0917-3606086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2F115">
    <w:pPr>
      <w:pBdr>
        <w:bottom w:val="single" w:color="auto" w:sz="4" w:space="0"/>
      </w:pBdr>
      <w:spacing w:line="264" w:lineRule="auto"/>
      <w:jc w:val="left"/>
      <w:rPr>
        <w:rFonts w:ascii="宋体" w:hAnsi="宋体" w:cs="宋体"/>
        <w:b/>
        <w:bCs/>
        <w:sz w:val="18"/>
        <w:szCs w:val="18"/>
      </w:rPr>
    </w:pPr>
    <w:r>
      <w:rPr>
        <w:rFonts w:hint="eastAsia" w:ascii="宋体" w:hAnsi="宋体" w:cs="宋体"/>
        <w:b/>
        <w:bCs/>
        <w:sz w:val="18"/>
        <w:szCs w:val="18"/>
        <w:lang w:eastAsia="zh-CN"/>
      </w:rPr>
      <w:t>秦雍城遗址秦公一号大墓祭祀坑保护展示工程监理（三次）</w:t>
    </w:r>
    <w:r>
      <w:rPr>
        <w:rFonts w:hint="eastAsia" w:ascii="宋体" w:hAnsi="宋体" w:cs="宋体"/>
        <w:b/>
        <w:bCs/>
        <w:sz w:val="18"/>
        <w:szCs w:val="18"/>
        <w:lang w:val="en-US" w:eastAsia="zh-CN"/>
      </w:rPr>
      <w:t xml:space="preserve">                             </w:t>
    </w:r>
    <w:r>
      <w:rPr>
        <w:rFonts w:hint="eastAsia" w:ascii="宋体" w:hAnsi="宋体" w:cs="宋体"/>
        <w:b/>
        <w:bCs/>
        <w:sz w:val="18"/>
        <w:szCs w:val="18"/>
      </w:rPr>
      <w:t>竞争性磋商文件</w:t>
    </w:r>
  </w:p>
  <w:p w14:paraId="516F084D">
    <w:pPr>
      <w:pStyle w:val="5"/>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05227">
    <w:pPr>
      <w:pStyle w:val="19"/>
    </w:pPr>
    <w:r>
      <w:rPr>
        <w:rFonts w:hint="eastAsia"/>
        <w:sz w:val="18"/>
        <w:szCs w:val="18"/>
        <w:u w:val="single"/>
      </w:rPr>
      <w:t>宝鸡市天然林资源保护工程2018年飞播造林采购项目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481E78"/>
    <w:multiLevelType w:val="singleLevel"/>
    <w:tmpl w:val="1F481E78"/>
    <w:lvl w:ilvl="0" w:tentative="0">
      <w:start w:val="2"/>
      <w:numFmt w:val="chineseCounting"/>
      <w:suff w:val="space"/>
      <w:lvlText w:val="第%1部分"/>
      <w:lvlJc w:val="left"/>
      <w:rPr>
        <w:rFonts w:hint="eastAsia"/>
      </w:rPr>
    </w:lvl>
  </w:abstractNum>
  <w:abstractNum w:abstractNumId="1">
    <w:nsid w:val="5C316A00"/>
    <w:multiLevelType w:val="singleLevel"/>
    <w:tmpl w:val="5C316A00"/>
    <w:lvl w:ilvl="0" w:tentative="0">
      <w:start w:val="3"/>
      <w:numFmt w:val="chineseCounting"/>
      <w:suff w:val="space"/>
      <w:lvlText w:val="第%1部分"/>
      <w:lvlJc w:val="left"/>
      <w:rPr>
        <w:rFonts w:hint="eastAsia"/>
      </w:rPr>
    </w:lvl>
  </w:abstractNum>
  <w:abstractNum w:abstractNumId="2">
    <w:nsid w:val="5C6A668C"/>
    <w:multiLevelType w:val="singleLevel"/>
    <w:tmpl w:val="5C6A668C"/>
    <w:lvl w:ilvl="0" w:tentative="0">
      <w:start w:val="1"/>
      <w:numFmt w:val="decimal"/>
      <w:suff w:val="nothing"/>
      <w:lvlText w:val="%1、"/>
      <w:lvlJc w:val="left"/>
    </w:lvl>
  </w:abstractNum>
  <w:abstractNum w:abstractNumId="3">
    <w:nsid w:val="5D65E6F8"/>
    <w:multiLevelType w:val="singleLevel"/>
    <w:tmpl w:val="5D65E6F8"/>
    <w:lvl w:ilvl="0" w:tentative="0">
      <w:start w:val="3"/>
      <w:numFmt w:val="chineseCounting"/>
      <w:suff w:val="nothing"/>
      <w:lvlText w:val="%1、"/>
      <w:lvlJc w:val="left"/>
    </w:lvl>
  </w:abstractNum>
  <w:abstractNum w:abstractNumId="4">
    <w:nsid w:val="60EFA6C2"/>
    <w:multiLevelType w:val="singleLevel"/>
    <w:tmpl w:val="60EFA6C2"/>
    <w:lvl w:ilvl="0" w:tentative="0">
      <w:start w:val="9"/>
      <w:numFmt w:val="chineseCounting"/>
      <w:suff w:val="nothing"/>
      <w:lvlText w:val="%1、"/>
      <w:lvlJc w:val="left"/>
    </w:lvl>
  </w:abstractNum>
  <w:abstractNum w:abstractNumId="5">
    <w:nsid w:val="71480422"/>
    <w:multiLevelType w:val="singleLevel"/>
    <w:tmpl w:val="71480422"/>
    <w:lvl w:ilvl="0" w:tentative="0">
      <w:start w:val="7"/>
      <w:numFmt w:val="chineseCounting"/>
      <w:suff w:val="nothing"/>
      <w:lvlText w:val="%1、"/>
      <w:lvlJc w:val="left"/>
      <w:rPr>
        <w:rFonts w:hint="eastAsia"/>
      </w:rPr>
    </w:lvl>
  </w:abstractNum>
  <w:abstractNum w:abstractNumId="6">
    <w:nsid w:val="7476BAF0"/>
    <w:multiLevelType w:val="singleLevel"/>
    <w:tmpl w:val="7476BAF0"/>
    <w:lvl w:ilvl="0" w:tentative="0">
      <w:start w:val="2"/>
      <w:numFmt w:val="chineseCounting"/>
      <w:suff w:val="nothing"/>
      <w:lvlText w:val="%1、"/>
      <w:lvlJc w:val="left"/>
      <w:rPr>
        <w:rFonts w:hint="eastAsia"/>
      </w:rPr>
    </w:lvl>
  </w:abstractNum>
  <w:abstractNum w:abstractNumId="7">
    <w:nsid w:val="749439D9"/>
    <w:multiLevelType w:val="singleLevel"/>
    <w:tmpl w:val="749439D9"/>
    <w:lvl w:ilvl="0" w:tentative="0">
      <w:start w:val="3"/>
      <w:numFmt w:val="decimal"/>
      <w:suff w:val="nothing"/>
      <w:lvlText w:val="%1、"/>
      <w:lvlJc w:val="left"/>
    </w:lvl>
  </w:abstractNum>
  <w:num w:numId="1">
    <w:abstractNumId w:val="7"/>
  </w:num>
  <w:num w:numId="2">
    <w:abstractNumId w:val="3"/>
  </w:num>
  <w:num w:numId="3">
    <w:abstractNumId w:val="4"/>
  </w:num>
  <w:num w:numId="4">
    <w:abstractNumId w:val="1"/>
  </w:num>
  <w:num w:numId="5">
    <w:abstractNumId w:val="0"/>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HorizontalSpacing w:val="110"/>
  <w:drawingGridVerticalSpacing w:val="201"/>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YzEyZGZiZGQ2ZTRjOWZkZDE4ZGMyYTY2ZmNkNWQifQ=="/>
  </w:docVars>
  <w:rsids>
    <w:rsidRoot w:val="00CC4CAF"/>
    <w:rsid w:val="00006C1A"/>
    <w:rsid w:val="00007408"/>
    <w:rsid w:val="00010460"/>
    <w:rsid w:val="00017D73"/>
    <w:rsid w:val="000239B0"/>
    <w:rsid w:val="000E37F7"/>
    <w:rsid w:val="001070F7"/>
    <w:rsid w:val="00125161"/>
    <w:rsid w:val="00177196"/>
    <w:rsid w:val="001E2F3C"/>
    <w:rsid w:val="00215AA4"/>
    <w:rsid w:val="00274646"/>
    <w:rsid w:val="002B173A"/>
    <w:rsid w:val="002C1FBA"/>
    <w:rsid w:val="002D0171"/>
    <w:rsid w:val="002D618F"/>
    <w:rsid w:val="002E136B"/>
    <w:rsid w:val="002F13F3"/>
    <w:rsid w:val="00301CE7"/>
    <w:rsid w:val="0038611F"/>
    <w:rsid w:val="00392DEC"/>
    <w:rsid w:val="003C2BA7"/>
    <w:rsid w:val="00412ED4"/>
    <w:rsid w:val="00421F4B"/>
    <w:rsid w:val="0042343F"/>
    <w:rsid w:val="00450971"/>
    <w:rsid w:val="00463A90"/>
    <w:rsid w:val="00464485"/>
    <w:rsid w:val="00484C5A"/>
    <w:rsid w:val="00490B57"/>
    <w:rsid w:val="004B2ADF"/>
    <w:rsid w:val="004D5212"/>
    <w:rsid w:val="004D525A"/>
    <w:rsid w:val="004E4010"/>
    <w:rsid w:val="004E7A49"/>
    <w:rsid w:val="005068CB"/>
    <w:rsid w:val="005232DC"/>
    <w:rsid w:val="00526576"/>
    <w:rsid w:val="00592368"/>
    <w:rsid w:val="005B0C16"/>
    <w:rsid w:val="005C4D2E"/>
    <w:rsid w:val="005C73ED"/>
    <w:rsid w:val="005E23BC"/>
    <w:rsid w:val="0060610D"/>
    <w:rsid w:val="00610248"/>
    <w:rsid w:val="00614DFE"/>
    <w:rsid w:val="0069280A"/>
    <w:rsid w:val="00692FA7"/>
    <w:rsid w:val="006D1416"/>
    <w:rsid w:val="006D6AC7"/>
    <w:rsid w:val="00764A61"/>
    <w:rsid w:val="00767EA9"/>
    <w:rsid w:val="007763BA"/>
    <w:rsid w:val="007A032A"/>
    <w:rsid w:val="007B711C"/>
    <w:rsid w:val="00806562"/>
    <w:rsid w:val="008B6CBF"/>
    <w:rsid w:val="008F40B6"/>
    <w:rsid w:val="00911B09"/>
    <w:rsid w:val="009527F8"/>
    <w:rsid w:val="009C2786"/>
    <w:rsid w:val="009E414B"/>
    <w:rsid w:val="00A1737F"/>
    <w:rsid w:val="00A2291D"/>
    <w:rsid w:val="00A30C30"/>
    <w:rsid w:val="00AC36EB"/>
    <w:rsid w:val="00AE7C64"/>
    <w:rsid w:val="00B60DAD"/>
    <w:rsid w:val="00B72845"/>
    <w:rsid w:val="00B81040"/>
    <w:rsid w:val="00B87A8B"/>
    <w:rsid w:val="00B96012"/>
    <w:rsid w:val="00BA016B"/>
    <w:rsid w:val="00BE4520"/>
    <w:rsid w:val="00C2176B"/>
    <w:rsid w:val="00C45F79"/>
    <w:rsid w:val="00C61452"/>
    <w:rsid w:val="00CC4CAF"/>
    <w:rsid w:val="00CE2A3B"/>
    <w:rsid w:val="00D22E21"/>
    <w:rsid w:val="00D348C5"/>
    <w:rsid w:val="00D53B92"/>
    <w:rsid w:val="00D7103D"/>
    <w:rsid w:val="00D9784E"/>
    <w:rsid w:val="00DB20F7"/>
    <w:rsid w:val="00DC29DB"/>
    <w:rsid w:val="00DC4FA6"/>
    <w:rsid w:val="00DD33B4"/>
    <w:rsid w:val="00DF6DDD"/>
    <w:rsid w:val="00EC1629"/>
    <w:rsid w:val="00F03EDC"/>
    <w:rsid w:val="00F71A3C"/>
    <w:rsid w:val="00F72EAC"/>
    <w:rsid w:val="00FB6B6F"/>
    <w:rsid w:val="00FC1D3D"/>
    <w:rsid w:val="00FC2315"/>
    <w:rsid w:val="01170993"/>
    <w:rsid w:val="01213882"/>
    <w:rsid w:val="01407F6E"/>
    <w:rsid w:val="01514167"/>
    <w:rsid w:val="016319F5"/>
    <w:rsid w:val="01696926"/>
    <w:rsid w:val="016E4246"/>
    <w:rsid w:val="0197052D"/>
    <w:rsid w:val="019D6EAE"/>
    <w:rsid w:val="01A0487B"/>
    <w:rsid w:val="01A45D5E"/>
    <w:rsid w:val="01A47BF6"/>
    <w:rsid w:val="01A664E4"/>
    <w:rsid w:val="01A75C15"/>
    <w:rsid w:val="01A854A9"/>
    <w:rsid w:val="01B6221C"/>
    <w:rsid w:val="01C04E49"/>
    <w:rsid w:val="01CB45F1"/>
    <w:rsid w:val="01DB1C83"/>
    <w:rsid w:val="01E46D89"/>
    <w:rsid w:val="01EC5220"/>
    <w:rsid w:val="02032971"/>
    <w:rsid w:val="020557F6"/>
    <w:rsid w:val="021F4265"/>
    <w:rsid w:val="022017A1"/>
    <w:rsid w:val="0227311A"/>
    <w:rsid w:val="022E0064"/>
    <w:rsid w:val="02333023"/>
    <w:rsid w:val="02490F8C"/>
    <w:rsid w:val="024E69EC"/>
    <w:rsid w:val="0252745F"/>
    <w:rsid w:val="0264611C"/>
    <w:rsid w:val="0281282A"/>
    <w:rsid w:val="02812BE4"/>
    <w:rsid w:val="028247F4"/>
    <w:rsid w:val="02842421"/>
    <w:rsid w:val="02973996"/>
    <w:rsid w:val="029C1321"/>
    <w:rsid w:val="02A429BD"/>
    <w:rsid w:val="02A76009"/>
    <w:rsid w:val="02C44E0D"/>
    <w:rsid w:val="02C80459"/>
    <w:rsid w:val="02D67282"/>
    <w:rsid w:val="02DF39F5"/>
    <w:rsid w:val="030C0030"/>
    <w:rsid w:val="030E402E"/>
    <w:rsid w:val="0312659B"/>
    <w:rsid w:val="03156176"/>
    <w:rsid w:val="03174178"/>
    <w:rsid w:val="031E451D"/>
    <w:rsid w:val="0336133D"/>
    <w:rsid w:val="033B50CF"/>
    <w:rsid w:val="033C766C"/>
    <w:rsid w:val="033F1A97"/>
    <w:rsid w:val="03412D5E"/>
    <w:rsid w:val="03456615"/>
    <w:rsid w:val="034D55B5"/>
    <w:rsid w:val="03661A20"/>
    <w:rsid w:val="03724869"/>
    <w:rsid w:val="037B196F"/>
    <w:rsid w:val="03971FC1"/>
    <w:rsid w:val="03A74512"/>
    <w:rsid w:val="03AA229F"/>
    <w:rsid w:val="03AF5194"/>
    <w:rsid w:val="03B666BF"/>
    <w:rsid w:val="03BA76EC"/>
    <w:rsid w:val="03C57974"/>
    <w:rsid w:val="03D512BE"/>
    <w:rsid w:val="03D8267E"/>
    <w:rsid w:val="03DF1EFE"/>
    <w:rsid w:val="03EA47E3"/>
    <w:rsid w:val="03F4702C"/>
    <w:rsid w:val="03F964F5"/>
    <w:rsid w:val="03FF6B44"/>
    <w:rsid w:val="04043713"/>
    <w:rsid w:val="040E27E3"/>
    <w:rsid w:val="041553B6"/>
    <w:rsid w:val="04163C33"/>
    <w:rsid w:val="0421710D"/>
    <w:rsid w:val="042E35B7"/>
    <w:rsid w:val="0431202E"/>
    <w:rsid w:val="04331CBE"/>
    <w:rsid w:val="045227AD"/>
    <w:rsid w:val="045457B0"/>
    <w:rsid w:val="045E36B4"/>
    <w:rsid w:val="045F22DA"/>
    <w:rsid w:val="04854128"/>
    <w:rsid w:val="04974587"/>
    <w:rsid w:val="049A5E25"/>
    <w:rsid w:val="04A60329"/>
    <w:rsid w:val="04AC3107"/>
    <w:rsid w:val="04B8274F"/>
    <w:rsid w:val="04C2712A"/>
    <w:rsid w:val="04CB5FDF"/>
    <w:rsid w:val="04CF2C86"/>
    <w:rsid w:val="04D33374"/>
    <w:rsid w:val="04DF7CDC"/>
    <w:rsid w:val="04E43544"/>
    <w:rsid w:val="04E543EA"/>
    <w:rsid w:val="04EC79F8"/>
    <w:rsid w:val="04ED224C"/>
    <w:rsid w:val="04F5309E"/>
    <w:rsid w:val="04F574FF"/>
    <w:rsid w:val="04FA6E7C"/>
    <w:rsid w:val="05001C56"/>
    <w:rsid w:val="05026888"/>
    <w:rsid w:val="050634BB"/>
    <w:rsid w:val="05250D19"/>
    <w:rsid w:val="05404C1F"/>
    <w:rsid w:val="054B35C3"/>
    <w:rsid w:val="054D733B"/>
    <w:rsid w:val="056E2C6A"/>
    <w:rsid w:val="05720D5E"/>
    <w:rsid w:val="057448C8"/>
    <w:rsid w:val="05AC22B4"/>
    <w:rsid w:val="05B42F17"/>
    <w:rsid w:val="05CA5B14"/>
    <w:rsid w:val="05CB200E"/>
    <w:rsid w:val="05D7671D"/>
    <w:rsid w:val="05E27A84"/>
    <w:rsid w:val="05E75EEA"/>
    <w:rsid w:val="05F5558A"/>
    <w:rsid w:val="05FC4F8F"/>
    <w:rsid w:val="05FD0DA1"/>
    <w:rsid w:val="05FD2B10"/>
    <w:rsid w:val="06080AC0"/>
    <w:rsid w:val="062736E9"/>
    <w:rsid w:val="062E2CC9"/>
    <w:rsid w:val="06361B7E"/>
    <w:rsid w:val="064E7AF0"/>
    <w:rsid w:val="06676AD1"/>
    <w:rsid w:val="06701F65"/>
    <w:rsid w:val="069B7C96"/>
    <w:rsid w:val="06AB73BF"/>
    <w:rsid w:val="06B81950"/>
    <w:rsid w:val="06D632C6"/>
    <w:rsid w:val="06DA075B"/>
    <w:rsid w:val="06DF6124"/>
    <w:rsid w:val="06E064E1"/>
    <w:rsid w:val="06E8731C"/>
    <w:rsid w:val="06F31FC3"/>
    <w:rsid w:val="06F832D7"/>
    <w:rsid w:val="06FC502C"/>
    <w:rsid w:val="070103DE"/>
    <w:rsid w:val="07015208"/>
    <w:rsid w:val="071007FF"/>
    <w:rsid w:val="071F77C1"/>
    <w:rsid w:val="0721638A"/>
    <w:rsid w:val="073E243A"/>
    <w:rsid w:val="074971FC"/>
    <w:rsid w:val="074D2287"/>
    <w:rsid w:val="0750451D"/>
    <w:rsid w:val="075E3305"/>
    <w:rsid w:val="076B40F1"/>
    <w:rsid w:val="077733B9"/>
    <w:rsid w:val="07794418"/>
    <w:rsid w:val="07837090"/>
    <w:rsid w:val="079877D7"/>
    <w:rsid w:val="079C7DEE"/>
    <w:rsid w:val="07AC39F2"/>
    <w:rsid w:val="07B0770E"/>
    <w:rsid w:val="07B90811"/>
    <w:rsid w:val="07BE7355"/>
    <w:rsid w:val="07C564AF"/>
    <w:rsid w:val="07CD31CF"/>
    <w:rsid w:val="07CD6512"/>
    <w:rsid w:val="07D12112"/>
    <w:rsid w:val="07E51AAD"/>
    <w:rsid w:val="07EC2E3C"/>
    <w:rsid w:val="07F053D2"/>
    <w:rsid w:val="07F75933"/>
    <w:rsid w:val="07FB1BA1"/>
    <w:rsid w:val="080344DF"/>
    <w:rsid w:val="080E437A"/>
    <w:rsid w:val="08154FB8"/>
    <w:rsid w:val="08193D30"/>
    <w:rsid w:val="081C75AA"/>
    <w:rsid w:val="0834274B"/>
    <w:rsid w:val="08346591"/>
    <w:rsid w:val="08381BDD"/>
    <w:rsid w:val="08395955"/>
    <w:rsid w:val="083C630F"/>
    <w:rsid w:val="083E012B"/>
    <w:rsid w:val="085B3B1D"/>
    <w:rsid w:val="085D6BED"/>
    <w:rsid w:val="086F1377"/>
    <w:rsid w:val="08790072"/>
    <w:rsid w:val="087B3CF2"/>
    <w:rsid w:val="088A7F5F"/>
    <w:rsid w:val="089A4646"/>
    <w:rsid w:val="089D7C92"/>
    <w:rsid w:val="08B64EB9"/>
    <w:rsid w:val="08BD38E6"/>
    <w:rsid w:val="08BF5E5A"/>
    <w:rsid w:val="08C2594B"/>
    <w:rsid w:val="08D0541F"/>
    <w:rsid w:val="08DA7138"/>
    <w:rsid w:val="08DF6C72"/>
    <w:rsid w:val="08EF5C01"/>
    <w:rsid w:val="090E293E"/>
    <w:rsid w:val="09141F34"/>
    <w:rsid w:val="091D7025"/>
    <w:rsid w:val="0934769D"/>
    <w:rsid w:val="093B7660"/>
    <w:rsid w:val="09447B54"/>
    <w:rsid w:val="09465820"/>
    <w:rsid w:val="09604267"/>
    <w:rsid w:val="09683DD7"/>
    <w:rsid w:val="09722AF2"/>
    <w:rsid w:val="09811362"/>
    <w:rsid w:val="09814270"/>
    <w:rsid w:val="09853466"/>
    <w:rsid w:val="098615E3"/>
    <w:rsid w:val="098E048B"/>
    <w:rsid w:val="09976DD7"/>
    <w:rsid w:val="099E7038"/>
    <w:rsid w:val="09A43480"/>
    <w:rsid w:val="09A80CAA"/>
    <w:rsid w:val="09A9206E"/>
    <w:rsid w:val="09B2734A"/>
    <w:rsid w:val="09C37BCC"/>
    <w:rsid w:val="09DB7F9E"/>
    <w:rsid w:val="09E53A74"/>
    <w:rsid w:val="09E54FD9"/>
    <w:rsid w:val="09EB2C7F"/>
    <w:rsid w:val="09ED651E"/>
    <w:rsid w:val="0A077070"/>
    <w:rsid w:val="0A0D5C51"/>
    <w:rsid w:val="0A14667A"/>
    <w:rsid w:val="0A181B98"/>
    <w:rsid w:val="0A1B473E"/>
    <w:rsid w:val="0A1F0DB5"/>
    <w:rsid w:val="0A254A77"/>
    <w:rsid w:val="0A287185"/>
    <w:rsid w:val="0A2D39EA"/>
    <w:rsid w:val="0A517390"/>
    <w:rsid w:val="0A636DBC"/>
    <w:rsid w:val="0A6749FB"/>
    <w:rsid w:val="0A747118"/>
    <w:rsid w:val="0A825391"/>
    <w:rsid w:val="0A831DF6"/>
    <w:rsid w:val="0A8402B4"/>
    <w:rsid w:val="0A865C04"/>
    <w:rsid w:val="0A9E0F73"/>
    <w:rsid w:val="0A9E5F43"/>
    <w:rsid w:val="0AA90B70"/>
    <w:rsid w:val="0ACA3906"/>
    <w:rsid w:val="0AD41064"/>
    <w:rsid w:val="0ADA1DDA"/>
    <w:rsid w:val="0ADE5D3C"/>
    <w:rsid w:val="0ADF710F"/>
    <w:rsid w:val="0AE615B8"/>
    <w:rsid w:val="0AFA13CC"/>
    <w:rsid w:val="0B04049C"/>
    <w:rsid w:val="0B091CD7"/>
    <w:rsid w:val="0B1B61BF"/>
    <w:rsid w:val="0B2C4CAA"/>
    <w:rsid w:val="0B303D7B"/>
    <w:rsid w:val="0B3B00BD"/>
    <w:rsid w:val="0B3E13E6"/>
    <w:rsid w:val="0B427051"/>
    <w:rsid w:val="0B5605CC"/>
    <w:rsid w:val="0B764972"/>
    <w:rsid w:val="0B770C6E"/>
    <w:rsid w:val="0B8909A2"/>
    <w:rsid w:val="0B8E420A"/>
    <w:rsid w:val="0B9644C6"/>
    <w:rsid w:val="0BAB01A9"/>
    <w:rsid w:val="0BB23E19"/>
    <w:rsid w:val="0BB84B38"/>
    <w:rsid w:val="0BC87381"/>
    <w:rsid w:val="0BF33ED5"/>
    <w:rsid w:val="0BF47119"/>
    <w:rsid w:val="0C09717E"/>
    <w:rsid w:val="0C0D5145"/>
    <w:rsid w:val="0C200C8C"/>
    <w:rsid w:val="0C2030B4"/>
    <w:rsid w:val="0C2661F0"/>
    <w:rsid w:val="0C30706F"/>
    <w:rsid w:val="0C454A57"/>
    <w:rsid w:val="0C670CE3"/>
    <w:rsid w:val="0C741652"/>
    <w:rsid w:val="0C7D0506"/>
    <w:rsid w:val="0C995DA8"/>
    <w:rsid w:val="0CAC5995"/>
    <w:rsid w:val="0CAD06C0"/>
    <w:rsid w:val="0CBF1239"/>
    <w:rsid w:val="0CD7547E"/>
    <w:rsid w:val="0CE82EDE"/>
    <w:rsid w:val="0CF14A50"/>
    <w:rsid w:val="0CFD33F5"/>
    <w:rsid w:val="0D0758F2"/>
    <w:rsid w:val="0D137D29"/>
    <w:rsid w:val="0D142033"/>
    <w:rsid w:val="0D1F2C3E"/>
    <w:rsid w:val="0D2173DF"/>
    <w:rsid w:val="0D3C699B"/>
    <w:rsid w:val="0D4032E2"/>
    <w:rsid w:val="0D4C1C87"/>
    <w:rsid w:val="0D562B05"/>
    <w:rsid w:val="0D570FEC"/>
    <w:rsid w:val="0D5E021D"/>
    <w:rsid w:val="0D5F7257"/>
    <w:rsid w:val="0D696526"/>
    <w:rsid w:val="0D6B4803"/>
    <w:rsid w:val="0D74056D"/>
    <w:rsid w:val="0D9C3DBC"/>
    <w:rsid w:val="0DA060E0"/>
    <w:rsid w:val="0DA9532B"/>
    <w:rsid w:val="0DB717F6"/>
    <w:rsid w:val="0DBA3094"/>
    <w:rsid w:val="0DBA7912"/>
    <w:rsid w:val="0DBC505E"/>
    <w:rsid w:val="0DBF0A93"/>
    <w:rsid w:val="0DC45CC1"/>
    <w:rsid w:val="0DC81F65"/>
    <w:rsid w:val="0DD95A5E"/>
    <w:rsid w:val="0DED5218"/>
    <w:rsid w:val="0DF70BE2"/>
    <w:rsid w:val="0E0D58BA"/>
    <w:rsid w:val="0E15627F"/>
    <w:rsid w:val="0E271CC8"/>
    <w:rsid w:val="0E370B89"/>
    <w:rsid w:val="0E4D3F08"/>
    <w:rsid w:val="0E4F1A2E"/>
    <w:rsid w:val="0E5C3B8E"/>
    <w:rsid w:val="0E67321C"/>
    <w:rsid w:val="0E8611C8"/>
    <w:rsid w:val="0EA90EA5"/>
    <w:rsid w:val="0EB13AC4"/>
    <w:rsid w:val="0ECD370A"/>
    <w:rsid w:val="0ED0649E"/>
    <w:rsid w:val="0EEB0A9E"/>
    <w:rsid w:val="0EEC3721"/>
    <w:rsid w:val="0EF32D02"/>
    <w:rsid w:val="0EF34AB0"/>
    <w:rsid w:val="0EF92F32"/>
    <w:rsid w:val="0EFD06DF"/>
    <w:rsid w:val="0F0166D2"/>
    <w:rsid w:val="0F116511"/>
    <w:rsid w:val="0F256C33"/>
    <w:rsid w:val="0F344EBA"/>
    <w:rsid w:val="0F3D5D2B"/>
    <w:rsid w:val="0F5C232E"/>
    <w:rsid w:val="0F6167BF"/>
    <w:rsid w:val="0F6A2898"/>
    <w:rsid w:val="0F6E05DA"/>
    <w:rsid w:val="0F707EAE"/>
    <w:rsid w:val="0F740FBB"/>
    <w:rsid w:val="0F8F6E31"/>
    <w:rsid w:val="0FAF6E95"/>
    <w:rsid w:val="0FBB0301"/>
    <w:rsid w:val="0FCD00EA"/>
    <w:rsid w:val="0FDF5034"/>
    <w:rsid w:val="0FDF5A8D"/>
    <w:rsid w:val="0FE51F22"/>
    <w:rsid w:val="0FEE5277"/>
    <w:rsid w:val="10030D22"/>
    <w:rsid w:val="101C17D2"/>
    <w:rsid w:val="10386F42"/>
    <w:rsid w:val="103D1528"/>
    <w:rsid w:val="103D3157"/>
    <w:rsid w:val="10474F91"/>
    <w:rsid w:val="105172FF"/>
    <w:rsid w:val="1062398C"/>
    <w:rsid w:val="106642C9"/>
    <w:rsid w:val="10686DD7"/>
    <w:rsid w:val="10687B56"/>
    <w:rsid w:val="106D567A"/>
    <w:rsid w:val="106E3315"/>
    <w:rsid w:val="10863702"/>
    <w:rsid w:val="1090632E"/>
    <w:rsid w:val="10922A8F"/>
    <w:rsid w:val="109354FA"/>
    <w:rsid w:val="10A2678D"/>
    <w:rsid w:val="10AC760C"/>
    <w:rsid w:val="10AD4338"/>
    <w:rsid w:val="10D605A3"/>
    <w:rsid w:val="10DF0AE1"/>
    <w:rsid w:val="10E01064"/>
    <w:rsid w:val="10F16DCD"/>
    <w:rsid w:val="10FA1CC3"/>
    <w:rsid w:val="110034B4"/>
    <w:rsid w:val="11056D1C"/>
    <w:rsid w:val="11072A94"/>
    <w:rsid w:val="11091B32"/>
    <w:rsid w:val="112E5E1C"/>
    <w:rsid w:val="11366ED6"/>
    <w:rsid w:val="113D4105"/>
    <w:rsid w:val="114B1630"/>
    <w:rsid w:val="117155B0"/>
    <w:rsid w:val="117206B4"/>
    <w:rsid w:val="117479FE"/>
    <w:rsid w:val="118B6533"/>
    <w:rsid w:val="118C4D48"/>
    <w:rsid w:val="11923B66"/>
    <w:rsid w:val="119B411B"/>
    <w:rsid w:val="11A622AD"/>
    <w:rsid w:val="11AB78C4"/>
    <w:rsid w:val="11AB7A7B"/>
    <w:rsid w:val="11BD6AEA"/>
    <w:rsid w:val="11BF677D"/>
    <w:rsid w:val="11C1726D"/>
    <w:rsid w:val="11C20769"/>
    <w:rsid w:val="11C269BB"/>
    <w:rsid w:val="11C664AC"/>
    <w:rsid w:val="11C72224"/>
    <w:rsid w:val="11CF51B5"/>
    <w:rsid w:val="11D16BFE"/>
    <w:rsid w:val="11DC7C15"/>
    <w:rsid w:val="11E676CC"/>
    <w:rsid w:val="11EA5BD7"/>
    <w:rsid w:val="11EF4EF2"/>
    <w:rsid w:val="11F72D1F"/>
    <w:rsid w:val="11FC011F"/>
    <w:rsid w:val="120F7938"/>
    <w:rsid w:val="121A22C1"/>
    <w:rsid w:val="122B27B2"/>
    <w:rsid w:val="122F22A3"/>
    <w:rsid w:val="123553DF"/>
    <w:rsid w:val="12372F05"/>
    <w:rsid w:val="123D5259"/>
    <w:rsid w:val="12432891"/>
    <w:rsid w:val="12497710"/>
    <w:rsid w:val="12614B09"/>
    <w:rsid w:val="12647E42"/>
    <w:rsid w:val="12697205"/>
    <w:rsid w:val="12774467"/>
    <w:rsid w:val="12800054"/>
    <w:rsid w:val="128066B3"/>
    <w:rsid w:val="1283439D"/>
    <w:rsid w:val="12850115"/>
    <w:rsid w:val="1288550F"/>
    <w:rsid w:val="1289033F"/>
    <w:rsid w:val="12916DD7"/>
    <w:rsid w:val="129610E9"/>
    <w:rsid w:val="12A5526E"/>
    <w:rsid w:val="12A80DE8"/>
    <w:rsid w:val="12B50183"/>
    <w:rsid w:val="12C329EB"/>
    <w:rsid w:val="12D77F6F"/>
    <w:rsid w:val="12D8352A"/>
    <w:rsid w:val="12EC0194"/>
    <w:rsid w:val="12F17567"/>
    <w:rsid w:val="12FC7876"/>
    <w:rsid w:val="12FD414F"/>
    <w:rsid w:val="13132485"/>
    <w:rsid w:val="134A6C68"/>
    <w:rsid w:val="134F24D1"/>
    <w:rsid w:val="134F572E"/>
    <w:rsid w:val="135D2E40"/>
    <w:rsid w:val="13623FB2"/>
    <w:rsid w:val="13633DC0"/>
    <w:rsid w:val="136E3246"/>
    <w:rsid w:val="138D1F2E"/>
    <w:rsid w:val="139B74C4"/>
    <w:rsid w:val="13AD6ACD"/>
    <w:rsid w:val="13D21C0B"/>
    <w:rsid w:val="13D6674E"/>
    <w:rsid w:val="13D707EA"/>
    <w:rsid w:val="13DF1AA7"/>
    <w:rsid w:val="13E16164"/>
    <w:rsid w:val="13E23345"/>
    <w:rsid w:val="13E96481"/>
    <w:rsid w:val="13EF42E9"/>
    <w:rsid w:val="13F72CCB"/>
    <w:rsid w:val="14072DAB"/>
    <w:rsid w:val="14096E9F"/>
    <w:rsid w:val="14186821"/>
    <w:rsid w:val="14285D42"/>
    <w:rsid w:val="143015EC"/>
    <w:rsid w:val="143B0C44"/>
    <w:rsid w:val="143D767C"/>
    <w:rsid w:val="14442D6E"/>
    <w:rsid w:val="145044F6"/>
    <w:rsid w:val="14535FF1"/>
    <w:rsid w:val="1464669F"/>
    <w:rsid w:val="146766F1"/>
    <w:rsid w:val="146F686E"/>
    <w:rsid w:val="14757D15"/>
    <w:rsid w:val="147E4E1C"/>
    <w:rsid w:val="14883EEC"/>
    <w:rsid w:val="14A15885"/>
    <w:rsid w:val="14A83FDB"/>
    <w:rsid w:val="14AA3E63"/>
    <w:rsid w:val="14AB3737"/>
    <w:rsid w:val="14AF1479"/>
    <w:rsid w:val="14B4083D"/>
    <w:rsid w:val="14CD2900"/>
    <w:rsid w:val="14D54BBF"/>
    <w:rsid w:val="14D662AF"/>
    <w:rsid w:val="14E84001"/>
    <w:rsid w:val="14E86739"/>
    <w:rsid w:val="14F86ACE"/>
    <w:rsid w:val="150B2427"/>
    <w:rsid w:val="151511E8"/>
    <w:rsid w:val="15155054"/>
    <w:rsid w:val="15267261"/>
    <w:rsid w:val="153320AA"/>
    <w:rsid w:val="153C08B8"/>
    <w:rsid w:val="1549013A"/>
    <w:rsid w:val="15526F8E"/>
    <w:rsid w:val="15565D98"/>
    <w:rsid w:val="155D1B37"/>
    <w:rsid w:val="1562473D"/>
    <w:rsid w:val="15756801"/>
    <w:rsid w:val="158B40A5"/>
    <w:rsid w:val="15B55150"/>
    <w:rsid w:val="15B671AA"/>
    <w:rsid w:val="15B917A0"/>
    <w:rsid w:val="15ED6FA8"/>
    <w:rsid w:val="15F7649F"/>
    <w:rsid w:val="15FB78B0"/>
    <w:rsid w:val="15FC0B98"/>
    <w:rsid w:val="160A130A"/>
    <w:rsid w:val="161A0B74"/>
    <w:rsid w:val="16221D47"/>
    <w:rsid w:val="16296EE5"/>
    <w:rsid w:val="162B4B2F"/>
    <w:rsid w:val="162E461F"/>
    <w:rsid w:val="164C5E0B"/>
    <w:rsid w:val="164F287E"/>
    <w:rsid w:val="16556050"/>
    <w:rsid w:val="16577C71"/>
    <w:rsid w:val="165F0C7D"/>
    <w:rsid w:val="1660571F"/>
    <w:rsid w:val="16664F66"/>
    <w:rsid w:val="16840758"/>
    <w:rsid w:val="169C5A39"/>
    <w:rsid w:val="169D5674"/>
    <w:rsid w:val="16A27A48"/>
    <w:rsid w:val="16B0772A"/>
    <w:rsid w:val="16B66CD7"/>
    <w:rsid w:val="16B85C0D"/>
    <w:rsid w:val="16BB0D7D"/>
    <w:rsid w:val="16BE10EA"/>
    <w:rsid w:val="16F027C1"/>
    <w:rsid w:val="16F2564D"/>
    <w:rsid w:val="1711641B"/>
    <w:rsid w:val="171637FB"/>
    <w:rsid w:val="17236603"/>
    <w:rsid w:val="172D4054"/>
    <w:rsid w:val="17316C46"/>
    <w:rsid w:val="17382525"/>
    <w:rsid w:val="174947AD"/>
    <w:rsid w:val="17562080"/>
    <w:rsid w:val="175A4747"/>
    <w:rsid w:val="17663359"/>
    <w:rsid w:val="1777001B"/>
    <w:rsid w:val="17870100"/>
    <w:rsid w:val="17884203"/>
    <w:rsid w:val="1789232F"/>
    <w:rsid w:val="178C52A3"/>
    <w:rsid w:val="17AC6144"/>
    <w:rsid w:val="17B24A9E"/>
    <w:rsid w:val="17B47C5E"/>
    <w:rsid w:val="17BA261C"/>
    <w:rsid w:val="17CF1E32"/>
    <w:rsid w:val="17D04B49"/>
    <w:rsid w:val="17D86F39"/>
    <w:rsid w:val="17E370E8"/>
    <w:rsid w:val="17EC02EE"/>
    <w:rsid w:val="17F23D35"/>
    <w:rsid w:val="17FC29C5"/>
    <w:rsid w:val="180F0D38"/>
    <w:rsid w:val="18104655"/>
    <w:rsid w:val="181F78FD"/>
    <w:rsid w:val="18270727"/>
    <w:rsid w:val="183879D7"/>
    <w:rsid w:val="183D5637"/>
    <w:rsid w:val="18421E3D"/>
    <w:rsid w:val="184A430E"/>
    <w:rsid w:val="185E3AC2"/>
    <w:rsid w:val="186368A9"/>
    <w:rsid w:val="186500A0"/>
    <w:rsid w:val="186A0D13"/>
    <w:rsid w:val="18743FD5"/>
    <w:rsid w:val="187A6B8C"/>
    <w:rsid w:val="188F3F48"/>
    <w:rsid w:val="189746FE"/>
    <w:rsid w:val="18A4613D"/>
    <w:rsid w:val="18A94431"/>
    <w:rsid w:val="18B05857"/>
    <w:rsid w:val="18B82353"/>
    <w:rsid w:val="18C43019"/>
    <w:rsid w:val="18D629CF"/>
    <w:rsid w:val="18F43551"/>
    <w:rsid w:val="18FE470A"/>
    <w:rsid w:val="18FE6843"/>
    <w:rsid w:val="18FF686F"/>
    <w:rsid w:val="1901601B"/>
    <w:rsid w:val="19212219"/>
    <w:rsid w:val="192817FA"/>
    <w:rsid w:val="192C753C"/>
    <w:rsid w:val="194A5C14"/>
    <w:rsid w:val="19512441"/>
    <w:rsid w:val="19520A60"/>
    <w:rsid w:val="1968302A"/>
    <w:rsid w:val="196A4FDF"/>
    <w:rsid w:val="196C5B8A"/>
    <w:rsid w:val="196E2E33"/>
    <w:rsid w:val="197A14FD"/>
    <w:rsid w:val="198527A8"/>
    <w:rsid w:val="199D44BE"/>
    <w:rsid w:val="19AA0461"/>
    <w:rsid w:val="19AD7F51"/>
    <w:rsid w:val="19B16593"/>
    <w:rsid w:val="19BC5917"/>
    <w:rsid w:val="19D238D5"/>
    <w:rsid w:val="19D674A8"/>
    <w:rsid w:val="19D706F0"/>
    <w:rsid w:val="19D73D1C"/>
    <w:rsid w:val="19DA19B7"/>
    <w:rsid w:val="19DD7E55"/>
    <w:rsid w:val="19E41BC5"/>
    <w:rsid w:val="19E75211"/>
    <w:rsid w:val="19EB5F20"/>
    <w:rsid w:val="19FF582A"/>
    <w:rsid w:val="1A144C89"/>
    <w:rsid w:val="1A1E49AB"/>
    <w:rsid w:val="1A231FC1"/>
    <w:rsid w:val="1A4A57A0"/>
    <w:rsid w:val="1A512EB2"/>
    <w:rsid w:val="1A5B06B3"/>
    <w:rsid w:val="1A611B05"/>
    <w:rsid w:val="1A69031C"/>
    <w:rsid w:val="1A7365DD"/>
    <w:rsid w:val="1A7A5313"/>
    <w:rsid w:val="1A7C004F"/>
    <w:rsid w:val="1A7D5170"/>
    <w:rsid w:val="1A7F6B4C"/>
    <w:rsid w:val="1A8E1E46"/>
    <w:rsid w:val="1A9A30A0"/>
    <w:rsid w:val="1AA9696A"/>
    <w:rsid w:val="1AB44174"/>
    <w:rsid w:val="1ABA23EB"/>
    <w:rsid w:val="1ABD5F72"/>
    <w:rsid w:val="1ACF1846"/>
    <w:rsid w:val="1AD06CA0"/>
    <w:rsid w:val="1AD11A1D"/>
    <w:rsid w:val="1AEF00FC"/>
    <w:rsid w:val="1AFC093E"/>
    <w:rsid w:val="1AFC6A9A"/>
    <w:rsid w:val="1AFF5D54"/>
    <w:rsid w:val="1B0C34DA"/>
    <w:rsid w:val="1B1961F1"/>
    <w:rsid w:val="1B214753"/>
    <w:rsid w:val="1B270F3C"/>
    <w:rsid w:val="1B334486"/>
    <w:rsid w:val="1B3C71E1"/>
    <w:rsid w:val="1B5D794B"/>
    <w:rsid w:val="1B6509DB"/>
    <w:rsid w:val="1B654CEF"/>
    <w:rsid w:val="1B7549F6"/>
    <w:rsid w:val="1B7D5023"/>
    <w:rsid w:val="1B8418E9"/>
    <w:rsid w:val="1B870811"/>
    <w:rsid w:val="1B897AA0"/>
    <w:rsid w:val="1B9618C7"/>
    <w:rsid w:val="1BA13B34"/>
    <w:rsid w:val="1BAF1D5E"/>
    <w:rsid w:val="1BC7354C"/>
    <w:rsid w:val="1BC752FA"/>
    <w:rsid w:val="1BD25A4D"/>
    <w:rsid w:val="1BD34A02"/>
    <w:rsid w:val="1BDD2D6F"/>
    <w:rsid w:val="1C026332"/>
    <w:rsid w:val="1C16002F"/>
    <w:rsid w:val="1C1A561B"/>
    <w:rsid w:val="1C2E7C02"/>
    <w:rsid w:val="1C2F10F1"/>
    <w:rsid w:val="1C3D380E"/>
    <w:rsid w:val="1C514F6E"/>
    <w:rsid w:val="1C650A0C"/>
    <w:rsid w:val="1C657632"/>
    <w:rsid w:val="1C711A15"/>
    <w:rsid w:val="1C796D6B"/>
    <w:rsid w:val="1C7C124E"/>
    <w:rsid w:val="1C892F66"/>
    <w:rsid w:val="1C8C6B4A"/>
    <w:rsid w:val="1C9F13BF"/>
    <w:rsid w:val="1CC04689"/>
    <w:rsid w:val="1CDC31C3"/>
    <w:rsid w:val="1CE52911"/>
    <w:rsid w:val="1CF27EA6"/>
    <w:rsid w:val="1CFB24BF"/>
    <w:rsid w:val="1CFB7948"/>
    <w:rsid w:val="1D0D3755"/>
    <w:rsid w:val="1D1125A5"/>
    <w:rsid w:val="1D114F24"/>
    <w:rsid w:val="1D24052A"/>
    <w:rsid w:val="1D352737"/>
    <w:rsid w:val="1D3772D2"/>
    <w:rsid w:val="1D4110DC"/>
    <w:rsid w:val="1D482C53"/>
    <w:rsid w:val="1D55083D"/>
    <w:rsid w:val="1D594AE3"/>
    <w:rsid w:val="1D6C3890"/>
    <w:rsid w:val="1D7400C6"/>
    <w:rsid w:val="1D8B31B3"/>
    <w:rsid w:val="1D8F16F3"/>
    <w:rsid w:val="1D9C27B6"/>
    <w:rsid w:val="1DA65BF0"/>
    <w:rsid w:val="1DAF4298"/>
    <w:rsid w:val="1DB117AF"/>
    <w:rsid w:val="1DB26C50"/>
    <w:rsid w:val="1DC22CE4"/>
    <w:rsid w:val="1DC72492"/>
    <w:rsid w:val="1DCA10D2"/>
    <w:rsid w:val="1DCC57A4"/>
    <w:rsid w:val="1DD87121"/>
    <w:rsid w:val="1DDA2DED"/>
    <w:rsid w:val="1DDB6C11"/>
    <w:rsid w:val="1DED6542"/>
    <w:rsid w:val="1DFB00FB"/>
    <w:rsid w:val="1E026ABD"/>
    <w:rsid w:val="1E057174"/>
    <w:rsid w:val="1E271508"/>
    <w:rsid w:val="1E2A6014"/>
    <w:rsid w:val="1E2C58E8"/>
    <w:rsid w:val="1E320A25"/>
    <w:rsid w:val="1E3B1FCF"/>
    <w:rsid w:val="1E3D5D47"/>
    <w:rsid w:val="1E4C5F8A"/>
    <w:rsid w:val="1E625FFA"/>
    <w:rsid w:val="1E652BA8"/>
    <w:rsid w:val="1E661CB9"/>
    <w:rsid w:val="1E8C282B"/>
    <w:rsid w:val="1EA447D8"/>
    <w:rsid w:val="1EC73863"/>
    <w:rsid w:val="1EC975DB"/>
    <w:rsid w:val="1ED17B45"/>
    <w:rsid w:val="1ED55F80"/>
    <w:rsid w:val="1ED575C5"/>
    <w:rsid w:val="1EE73F05"/>
    <w:rsid w:val="1EEE424D"/>
    <w:rsid w:val="1EF26CF0"/>
    <w:rsid w:val="1EF61864"/>
    <w:rsid w:val="1F0A56E0"/>
    <w:rsid w:val="1F0E1492"/>
    <w:rsid w:val="1F132604"/>
    <w:rsid w:val="1F1D49B9"/>
    <w:rsid w:val="1F2831B5"/>
    <w:rsid w:val="1F2B2DFC"/>
    <w:rsid w:val="1F316F2E"/>
    <w:rsid w:val="1F3478BC"/>
    <w:rsid w:val="1F3A7A36"/>
    <w:rsid w:val="1F42110A"/>
    <w:rsid w:val="1F4602B5"/>
    <w:rsid w:val="1F462871"/>
    <w:rsid w:val="1F4E188E"/>
    <w:rsid w:val="1F503858"/>
    <w:rsid w:val="1F5163BA"/>
    <w:rsid w:val="1F533349"/>
    <w:rsid w:val="1F555936"/>
    <w:rsid w:val="1F6D25F2"/>
    <w:rsid w:val="1F751428"/>
    <w:rsid w:val="1F7801DF"/>
    <w:rsid w:val="1F7848ED"/>
    <w:rsid w:val="1F923E71"/>
    <w:rsid w:val="1F971487"/>
    <w:rsid w:val="1F9A37F3"/>
    <w:rsid w:val="1F9B53E2"/>
    <w:rsid w:val="1F9B6D5D"/>
    <w:rsid w:val="1FA5322E"/>
    <w:rsid w:val="1FA871F0"/>
    <w:rsid w:val="1FAE6D39"/>
    <w:rsid w:val="1FB634D8"/>
    <w:rsid w:val="1FC318EC"/>
    <w:rsid w:val="1FD60202"/>
    <w:rsid w:val="1FDA1374"/>
    <w:rsid w:val="1FDE0EEE"/>
    <w:rsid w:val="1FED72F9"/>
    <w:rsid w:val="1FFB7655"/>
    <w:rsid w:val="2000527E"/>
    <w:rsid w:val="200F363E"/>
    <w:rsid w:val="20190EBF"/>
    <w:rsid w:val="201E6CA8"/>
    <w:rsid w:val="203171E6"/>
    <w:rsid w:val="204010E1"/>
    <w:rsid w:val="2045579A"/>
    <w:rsid w:val="204F58BE"/>
    <w:rsid w:val="20675088"/>
    <w:rsid w:val="2073491C"/>
    <w:rsid w:val="20994D8B"/>
    <w:rsid w:val="209F56B6"/>
    <w:rsid w:val="20A6371A"/>
    <w:rsid w:val="20CE712B"/>
    <w:rsid w:val="20CF0BFF"/>
    <w:rsid w:val="20DA0C86"/>
    <w:rsid w:val="20DD32CE"/>
    <w:rsid w:val="20E2136C"/>
    <w:rsid w:val="20EF154A"/>
    <w:rsid w:val="20F01DC5"/>
    <w:rsid w:val="20FD2B51"/>
    <w:rsid w:val="20FF4477"/>
    <w:rsid w:val="21045795"/>
    <w:rsid w:val="21117017"/>
    <w:rsid w:val="21134B3E"/>
    <w:rsid w:val="21152CF2"/>
    <w:rsid w:val="21221E4B"/>
    <w:rsid w:val="21294361"/>
    <w:rsid w:val="21527AB8"/>
    <w:rsid w:val="216830DB"/>
    <w:rsid w:val="216E63D5"/>
    <w:rsid w:val="2175353F"/>
    <w:rsid w:val="219B38DA"/>
    <w:rsid w:val="21A63C04"/>
    <w:rsid w:val="21B55BF5"/>
    <w:rsid w:val="21BF0821"/>
    <w:rsid w:val="21BF4CC5"/>
    <w:rsid w:val="21CD63FC"/>
    <w:rsid w:val="21FA6E67"/>
    <w:rsid w:val="22001D39"/>
    <w:rsid w:val="220158CE"/>
    <w:rsid w:val="2216220D"/>
    <w:rsid w:val="221768AF"/>
    <w:rsid w:val="222350FA"/>
    <w:rsid w:val="2234120F"/>
    <w:rsid w:val="223B559F"/>
    <w:rsid w:val="223F1340"/>
    <w:rsid w:val="22474108"/>
    <w:rsid w:val="22556256"/>
    <w:rsid w:val="226513C9"/>
    <w:rsid w:val="226E2973"/>
    <w:rsid w:val="22745AB0"/>
    <w:rsid w:val="228F5D58"/>
    <w:rsid w:val="2297439E"/>
    <w:rsid w:val="22A719E1"/>
    <w:rsid w:val="22A90FBC"/>
    <w:rsid w:val="22C32593"/>
    <w:rsid w:val="22D16A5E"/>
    <w:rsid w:val="22DE117B"/>
    <w:rsid w:val="22E75D72"/>
    <w:rsid w:val="22E973A0"/>
    <w:rsid w:val="22ED755A"/>
    <w:rsid w:val="22F97D63"/>
    <w:rsid w:val="23091052"/>
    <w:rsid w:val="230D7DB3"/>
    <w:rsid w:val="2318213C"/>
    <w:rsid w:val="232C758D"/>
    <w:rsid w:val="23363C60"/>
    <w:rsid w:val="233B0C88"/>
    <w:rsid w:val="23423C47"/>
    <w:rsid w:val="23447230"/>
    <w:rsid w:val="23470D96"/>
    <w:rsid w:val="234B6811"/>
    <w:rsid w:val="234C4978"/>
    <w:rsid w:val="236553F8"/>
    <w:rsid w:val="237621BD"/>
    <w:rsid w:val="23782621"/>
    <w:rsid w:val="237C2E6E"/>
    <w:rsid w:val="238C0BD7"/>
    <w:rsid w:val="238E0DF3"/>
    <w:rsid w:val="239115E0"/>
    <w:rsid w:val="239F2F21"/>
    <w:rsid w:val="23A24E43"/>
    <w:rsid w:val="23B51AD2"/>
    <w:rsid w:val="23BA4F38"/>
    <w:rsid w:val="23CE2F9E"/>
    <w:rsid w:val="23D46AA6"/>
    <w:rsid w:val="23E04C09"/>
    <w:rsid w:val="23F27D7B"/>
    <w:rsid w:val="23FA0237"/>
    <w:rsid w:val="24057F9F"/>
    <w:rsid w:val="24071097"/>
    <w:rsid w:val="241D7111"/>
    <w:rsid w:val="242157C3"/>
    <w:rsid w:val="24281CA6"/>
    <w:rsid w:val="242D23BA"/>
    <w:rsid w:val="24316A9D"/>
    <w:rsid w:val="24332BA3"/>
    <w:rsid w:val="243674C1"/>
    <w:rsid w:val="243B5CDB"/>
    <w:rsid w:val="243F258D"/>
    <w:rsid w:val="246E5FFB"/>
    <w:rsid w:val="24735F47"/>
    <w:rsid w:val="24736C9D"/>
    <w:rsid w:val="247436F5"/>
    <w:rsid w:val="24781E26"/>
    <w:rsid w:val="247973AD"/>
    <w:rsid w:val="2480073C"/>
    <w:rsid w:val="248136B6"/>
    <w:rsid w:val="248B0E8F"/>
    <w:rsid w:val="248E1E3E"/>
    <w:rsid w:val="24A651C9"/>
    <w:rsid w:val="24B36508"/>
    <w:rsid w:val="24BE60EE"/>
    <w:rsid w:val="24CA5E5B"/>
    <w:rsid w:val="24CC1BD3"/>
    <w:rsid w:val="24D46CDA"/>
    <w:rsid w:val="24D6521F"/>
    <w:rsid w:val="24D75606"/>
    <w:rsid w:val="24E54A43"/>
    <w:rsid w:val="24E65979"/>
    <w:rsid w:val="24EB3F9D"/>
    <w:rsid w:val="24EE7669"/>
    <w:rsid w:val="24F476D0"/>
    <w:rsid w:val="25070E5D"/>
    <w:rsid w:val="250A4715"/>
    <w:rsid w:val="250F2B5C"/>
    <w:rsid w:val="25212957"/>
    <w:rsid w:val="2521744F"/>
    <w:rsid w:val="252B3B3E"/>
    <w:rsid w:val="253367DC"/>
    <w:rsid w:val="25510C03"/>
    <w:rsid w:val="25533F44"/>
    <w:rsid w:val="25626093"/>
    <w:rsid w:val="257858B7"/>
    <w:rsid w:val="257948FD"/>
    <w:rsid w:val="258424AE"/>
    <w:rsid w:val="25850D9A"/>
    <w:rsid w:val="25867FD4"/>
    <w:rsid w:val="258B72C9"/>
    <w:rsid w:val="258E2212"/>
    <w:rsid w:val="25904D1D"/>
    <w:rsid w:val="259B3D60"/>
    <w:rsid w:val="25A14E0E"/>
    <w:rsid w:val="25A22934"/>
    <w:rsid w:val="25A55F80"/>
    <w:rsid w:val="25A71CF8"/>
    <w:rsid w:val="25B04B74"/>
    <w:rsid w:val="25B46194"/>
    <w:rsid w:val="25BB4204"/>
    <w:rsid w:val="25BB779D"/>
    <w:rsid w:val="25BF7042"/>
    <w:rsid w:val="25CB3C39"/>
    <w:rsid w:val="25D01861"/>
    <w:rsid w:val="25D7082F"/>
    <w:rsid w:val="25DC7BF4"/>
    <w:rsid w:val="25E944BB"/>
    <w:rsid w:val="2602138D"/>
    <w:rsid w:val="26190DE7"/>
    <w:rsid w:val="262230EA"/>
    <w:rsid w:val="262B2929"/>
    <w:rsid w:val="26347640"/>
    <w:rsid w:val="26404D5A"/>
    <w:rsid w:val="264D464E"/>
    <w:rsid w:val="26526108"/>
    <w:rsid w:val="26553451"/>
    <w:rsid w:val="265E2CFF"/>
    <w:rsid w:val="267A740D"/>
    <w:rsid w:val="268843DA"/>
    <w:rsid w:val="268C0024"/>
    <w:rsid w:val="26A3532D"/>
    <w:rsid w:val="26AC78F0"/>
    <w:rsid w:val="26AD11F3"/>
    <w:rsid w:val="26CD39E1"/>
    <w:rsid w:val="26E548EE"/>
    <w:rsid w:val="26EB3E67"/>
    <w:rsid w:val="26F7280B"/>
    <w:rsid w:val="26FE003E"/>
    <w:rsid w:val="27076DEA"/>
    <w:rsid w:val="271C2272"/>
    <w:rsid w:val="271F53A2"/>
    <w:rsid w:val="272279E4"/>
    <w:rsid w:val="27313A2F"/>
    <w:rsid w:val="27380B25"/>
    <w:rsid w:val="27444731"/>
    <w:rsid w:val="27464DB6"/>
    <w:rsid w:val="27616C96"/>
    <w:rsid w:val="276674C4"/>
    <w:rsid w:val="276807C8"/>
    <w:rsid w:val="277373C9"/>
    <w:rsid w:val="277E3271"/>
    <w:rsid w:val="279A6F49"/>
    <w:rsid w:val="27A504B9"/>
    <w:rsid w:val="27A72484"/>
    <w:rsid w:val="27B01BE5"/>
    <w:rsid w:val="27B6759B"/>
    <w:rsid w:val="27C04E4C"/>
    <w:rsid w:val="27C951EA"/>
    <w:rsid w:val="27D012B2"/>
    <w:rsid w:val="27D40DA9"/>
    <w:rsid w:val="27D45A8A"/>
    <w:rsid w:val="27E56B08"/>
    <w:rsid w:val="27E700F7"/>
    <w:rsid w:val="27EE2546"/>
    <w:rsid w:val="28002F15"/>
    <w:rsid w:val="280077EF"/>
    <w:rsid w:val="281E566B"/>
    <w:rsid w:val="28291287"/>
    <w:rsid w:val="28335AC5"/>
    <w:rsid w:val="28433CF3"/>
    <w:rsid w:val="28597768"/>
    <w:rsid w:val="286E7AFE"/>
    <w:rsid w:val="2883361C"/>
    <w:rsid w:val="28877A2A"/>
    <w:rsid w:val="289449F8"/>
    <w:rsid w:val="289F2D43"/>
    <w:rsid w:val="28A22115"/>
    <w:rsid w:val="28A2738B"/>
    <w:rsid w:val="28A30E9D"/>
    <w:rsid w:val="28A70EDF"/>
    <w:rsid w:val="28B07116"/>
    <w:rsid w:val="28C64C12"/>
    <w:rsid w:val="28D472A8"/>
    <w:rsid w:val="29017971"/>
    <w:rsid w:val="290F6532"/>
    <w:rsid w:val="291E0523"/>
    <w:rsid w:val="292D4878"/>
    <w:rsid w:val="294837F2"/>
    <w:rsid w:val="2950560D"/>
    <w:rsid w:val="2953641F"/>
    <w:rsid w:val="29687B15"/>
    <w:rsid w:val="296F5223"/>
    <w:rsid w:val="297C48CC"/>
    <w:rsid w:val="29845C3D"/>
    <w:rsid w:val="29853F68"/>
    <w:rsid w:val="29B13146"/>
    <w:rsid w:val="29B449E4"/>
    <w:rsid w:val="29B81A52"/>
    <w:rsid w:val="29BF1D06"/>
    <w:rsid w:val="29C565CD"/>
    <w:rsid w:val="29C97866"/>
    <w:rsid w:val="29CB5F17"/>
    <w:rsid w:val="29CE5AA6"/>
    <w:rsid w:val="29D11A3A"/>
    <w:rsid w:val="29D320C8"/>
    <w:rsid w:val="29D37560"/>
    <w:rsid w:val="29D71CDA"/>
    <w:rsid w:val="29E05310"/>
    <w:rsid w:val="29E96D83"/>
    <w:rsid w:val="29F90E19"/>
    <w:rsid w:val="29FA4AED"/>
    <w:rsid w:val="2A047719"/>
    <w:rsid w:val="2A0E2346"/>
    <w:rsid w:val="2A1C7FFC"/>
    <w:rsid w:val="2A30050E"/>
    <w:rsid w:val="2A377AEF"/>
    <w:rsid w:val="2A4A5234"/>
    <w:rsid w:val="2A4D402C"/>
    <w:rsid w:val="2A503B06"/>
    <w:rsid w:val="2A50485B"/>
    <w:rsid w:val="2A5306A1"/>
    <w:rsid w:val="2A530D85"/>
    <w:rsid w:val="2A551849"/>
    <w:rsid w:val="2A742AF1"/>
    <w:rsid w:val="2A810D8D"/>
    <w:rsid w:val="2A832D34"/>
    <w:rsid w:val="2A840A3B"/>
    <w:rsid w:val="2A8E16D9"/>
    <w:rsid w:val="2AAD1F21"/>
    <w:rsid w:val="2AB33022"/>
    <w:rsid w:val="2AC033A1"/>
    <w:rsid w:val="2AC1059A"/>
    <w:rsid w:val="2AC60DAA"/>
    <w:rsid w:val="2ACB46DB"/>
    <w:rsid w:val="2ACE33E0"/>
    <w:rsid w:val="2AD204C9"/>
    <w:rsid w:val="2AD43590"/>
    <w:rsid w:val="2ADD33A7"/>
    <w:rsid w:val="2AE12DFE"/>
    <w:rsid w:val="2AF145AE"/>
    <w:rsid w:val="2AF32945"/>
    <w:rsid w:val="2B0B1774"/>
    <w:rsid w:val="2B114E54"/>
    <w:rsid w:val="2B12230A"/>
    <w:rsid w:val="2B1A4D1A"/>
    <w:rsid w:val="2B1B1410"/>
    <w:rsid w:val="2B246999"/>
    <w:rsid w:val="2B35597A"/>
    <w:rsid w:val="2B392383"/>
    <w:rsid w:val="2B4F358C"/>
    <w:rsid w:val="2B6518BA"/>
    <w:rsid w:val="2B713C76"/>
    <w:rsid w:val="2B897DCB"/>
    <w:rsid w:val="2BA41B71"/>
    <w:rsid w:val="2BC73905"/>
    <w:rsid w:val="2BC972DD"/>
    <w:rsid w:val="2BD30028"/>
    <w:rsid w:val="2BDB5215"/>
    <w:rsid w:val="2BE35DED"/>
    <w:rsid w:val="2BEE3AF0"/>
    <w:rsid w:val="2BF5221D"/>
    <w:rsid w:val="2C071743"/>
    <w:rsid w:val="2C20079F"/>
    <w:rsid w:val="2C3818FC"/>
    <w:rsid w:val="2C416A03"/>
    <w:rsid w:val="2C442301"/>
    <w:rsid w:val="2C62044C"/>
    <w:rsid w:val="2C66382B"/>
    <w:rsid w:val="2C6642B0"/>
    <w:rsid w:val="2C69423F"/>
    <w:rsid w:val="2C6F7D95"/>
    <w:rsid w:val="2C762C9A"/>
    <w:rsid w:val="2C7E4394"/>
    <w:rsid w:val="2C7E7C57"/>
    <w:rsid w:val="2C8114F5"/>
    <w:rsid w:val="2C8645C2"/>
    <w:rsid w:val="2C952861"/>
    <w:rsid w:val="2C970D19"/>
    <w:rsid w:val="2C987FDB"/>
    <w:rsid w:val="2C9E3E55"/>
    <w:rsid w:val="2CAF6062"/>
    <w:rsid w:val="2CB410F0"/>
    <w:rsid w:val="2CC16D52"/>
    <w:rsid w:val="2CC72403"/>
    <w:rsid w:val="2CD45325"/>
    <w:rsid w:val="2CD72F13"/>
    <w:rsid w:val="2CDC672B"/>
    <w:rsid w:val="2CF3386C"/>
    <w:rsid w:val="2CF972DD"/>
    <w:rsid w:val="2D0443FA"/>
    <w:rsid w:val="2D0A26EE"/>
    <w:rsid w:val="2D377E06"/>
    <w:rsid w:val="2D3837CB"/>
    <w:rsid w:val="2D4374B1"/>
    <w:rsid w:val="2D621714"/>
    <w:rsid w:val="2D632999"/>
    <w:rsid w:val="2D857A8D"/>
    <w:rsid w:val="2D8E1A56"/>
    <w:rsid w:val="2D92328E"/>
    <w:rsid w:val="2D9A6CC4"/>
    <w:rsid w:val="2D9D2FCF"/>
    <w:rsid w:val="2DC341F2"/>
    <w:rsid w:val="2DCA2A28"/>
    <w:rsid w:val="2DCA5054"/>
    <w:rsid w:val="2DDC31F3"/>
    <w:rsid w:val="2DE03FF9"/>
    <w:rsid w:val="2DE77045"/>
    <w:rsid w:val="2DE91E1F"/>
    <w:rsid w:val="2DF07F51"/>
    <w:rsid w:val="2DF81D70"/>
    <w:rsid w:val="2DFA7A1D"/>
    <w:rsid w:val="2DFD467B"/>
    <w:rsid w:val="2DFE26D1"/>
    <w:rsid w:val="2E06372E"/>
    <w:rsid w:val="2E114AFB"/>
    <w:rsid w:val="2E115D58"/>
    <w:rsid w:val="2E1E7515"/>
    <w:rsid w:val="2E220AB6"/>
    <w:rsid w:val="2E271C28"/>
    <w:rsid w:val="2E2A0629"/>
    <w:rsid w:val="2E2E1209"/>
    <w:rsid w:val="2E3A195C"/>
    <w:rsid w:val="2E553329"/>
    <w:rsid w:val="2E581D26"/>
    <w:rsid w:val="2E5D19FC"/>
    <w:rsid w:val="2E672107"/>
    <w:rsid w:val="2E6916C2"/>
    <w:rsid w:val="2E7D3F3E"/>
    <w:rsid w:val="2E89643F"/>
    <w:rsid w:val="2E8C4181"/>
    <w:rsid w:val="2E9509F9"/>
    <w:rsid w:val="2E954B63"/>
    <w:rsid w:val="2EAE7D96"/>
    <w:rsid w:val="2EB83F3E"/>
    <w:rsid w:val="2EBF4557"/>
    <w:rsid w:val="2EE73592"/>
    <w:rsid w:val="2EF76246"/>
    <w:rsid w:val="2EFA558F"/>
    <w:rsid w:val="2EFB2F47"/>
    <w:rsid w:val="2F143AA7"/>
    <w:rsid w:val="2F16083D"/>
    <w:rsid w:val="2F172BD5"/>
    <w:rsid w:val="2F1E75E5"/>
    <w:rsid w:val="2F2907EA"/>
    <w:rsid w:val="2F3228FD"/>
    <w:rsid w:val="2F4C014C"/>
    <w:rsid w:val="2F511653"/>
    <w:rsid w:val="2F554C0B"/>
    <w:rsid w:val="2F705BD5"/>
    <w:rsid w:val="2F813402"/>
    <w:rsid w:val="2F837F37"/>
    <w:rsid w:val="2FA7396C"/>
    <w:rsid w:val="2FB35BE2"/>
    <w:rsid w:val="2FCB323B"/>
    <w:rsid w:val="2FCC2A87"/>
    <w:rsid w:val="2FD83B6E"/>
    <w:rsid w:val="2FD923D7"/>
    <w:rsid w:val="2FDC6A42"/>
    <w:rsid w:val="2FE37DD1"/>
    <w:rsid w:val="30032221"/>
    <w:rsid w:val="3007256D"/>
    <w:rsid w:val="300C7328"/>
    <w:rsid w:val="3013580A"/>
    <w:rsid w:val="30275F10"/>
    <w:rsid w:val="302C42F4"/>
    <w:rsid w:val="30336FAA"/>
    <w:rsid w:val="304276FE"/>
    <w:rsid w:val="304901DB"/>
    <w:rsid w:val="30516D96"/>
    <w:rsid w:val="305B3547"/>
    <w:rsid w:val="305F401C"/>
    <w:rsid w:val="309A0DD7"/>
    <w:rsid w:val="30A94E34"/>
    <w:rsid w:val="30BA6FBF"/>
    <w:rsid w:val="30C05CA6"/>
    <w:rsid w:val="30C33B6D"/>
    <w:rsid w:val="30C916BD"/>
    <w:rsid w:val="30D53BBD"/>
    <w:rsid w:val="30E031C8"/>
    <w:rsid w:val="30FA0A5F"/>
    <w:rsid w:val="30FE230E"/>
    <w:rsid w:val="3103697D"/>
    <w:rsid w:val="310C4FF2"/>
    <w:rsid w:val="311F6D58"/>
    <w:rsid w:val="312242B0"/>
    <w:rsid w:val="31251EA8"/>
    <w:rsid w:val="3126612C"/>
    <w:rsid w:val="312863E3"/>
    <w:rsid w:val="313C794F"/>
    <w:rsid w:val="314D3BF0"/>
    <w:rsid w:val="318163CA"/>
    <w:rsid w:val="31975B1D"/>
    <w:rsid w:val="31AE6391"/>
    <w:rsid w:val="31B604CA"/>
    <w:rsid w:val="31C75BFC"/>
    <w:rsid w:val="31D07B9E"/>
    <w:rsid w:val="31D245A1"/>
    <w:rsid w:val="31D75713"/>
    <w:rsid w:val="31E22A36"/>
    <w:rsid w:val="31E43039"/>
    <w:rsid w:val="31E542D4"/>
    <w:rsid w:val="31F84007"/>
    <w:rsid w:val="32027363"/>
    <w:rsid w:val="322272D6"/>
    <w:rsid w:val="322873E6"/>
    <w:rsid w:val="322E5C7B"/>
    <w:rsid w:val="325D6B90"/>
    <w:rsid w:val="326A1758"/>
    <w:rsid w:val="32781E72"/>
    <w:rsid w:val="32803FFD"/>
    <w:rsid w:val="3292442B"/>
    <w:rsid w:val="329E6973"/>
    <w:rsid w:val="32A35736"/>
    <w:rsid w:val="32AD019A"/>
    <w:rsid w:val="32B00BC3"/>
    <w:rsid w:val="32BD2B5B"/>
    <w:rsid w:val="32CA3BA5"/>
    <w:rsid w:val="32E36C79"/>
    <w:rsid w:val="33064D4D"/>
    <w:rsid w:val="330821EE"/>
    <w:rsid w:val="330D3AE3"/>
    <w:rsid w:val="331875E8"/>
    <w:rsid w:val="3321290D"/>
    <w:rsid w:val="332262AA"/>
    <w:rsid w:val="3341378C"/>
    <w:rsid w:val="33414803"/>
    <w:rsid w:val="334A08F2"/>
    <w:rsid w:val="334A4B35"/>
    <w:rsid w:val="336E20A7"/>
    <w:rsid w:val="33713B30"/>
    <w:rsid w:val="3373005D"/>
    <w:rsid w:val="33752C9E"/>
    <w:rsid w:val="33956BE0"/>
    <w:rsid w:val="33B757FC"/>
    <w:rsid w:val="33B90385"/>
    <w:rsid w:val="33C00B55"/>
    <w:rsid w:val="33E05C30"/>
    <w:rsid w:val="33FC7A80"/>
    <w:rsid w:val="340944AF"/>
    <w:rsid w:val="340D6BC9"/>
    <w:rsid w:val="340F5638"/>
    <w:rsid w:val="341A36D8"/>
    <w:rsid w:val="342033A2"/>
    <w:rsid w:val="342D5ABF"/>
    <w:rsid w:val="343C6393"/>
    <w:rsid w:val="34444BF7"/>
    <w:rsid w:val="345A019D"/>
    <w:rsid w:val="345C70E9"/>
    <w:rsid w:val="34620237"/>
    <w:rsid w:val="34781263"/>
    <w:rsid w:val="348C361F"/>
    <w:rsid w:val="34A84049"/>
    <w:rsid w:val="34BB131C"/>
    <w:rsid w:val="34BF265C"/>
    <w:rsid w:val="34C44675"/>
    <w:rsid w:val="34D92C74"/>
    <w:rsid w:val="34DB6652"/>
    <w:rsid w:val="34E55763"/>
    <w:rsid w:val="34E97C37"/>
    <w:rsid w:val="3523747F"/>
    <w:rsid w:val="353D61D5"/>
    <w:rsid w:val="3540170E"/>
    <w:rsid w:val="3546508A"/>
    <w:rsid w:val="354B26A0"/>
    <w:rsid w:val="354D6418"/>
    <w:rsid w:val="355973DE"/>
    <w:rsid w:val="355D23D3"/>
    <w:rsid w:val="3571342D"/>
    <w:rsid w:val="35792033"/>
    <w:rsid w:val="357D4142"/>
    <w:rsid w:val="357F234A"/>
    <w:rsid w:val="35B9536A"/>
    <w:rsid w:val="35B95A91"/>
    <w:rsid w:val="35C344B8"/>
    <w:rsid w:val="35C67AEF"/>
    <w:rsid w:val="35CB38BF"/>
    <w:rsid w:val="35CC7116"/>
    <w:rsid w:val="35CF1417"/>
    <w:rsid w:val="35D004FB"/>
    <w:rsid w:val="35EA010B"/>
    <w:rsid w:val="35EF127D"/>
    <w:rsid w:val="35F5260C"/>
    <w:rsid w:val="36107446"/>
    <w:rsid w:val="361D6955"/>
    <w:rsid w:val="36304F04"/>
    <w:rsid w:val="36417D96"/>
    <w:rsid w:val="3651018A"/>
    <w:rsid w:val="365E6C9B"/>
    <w:rsid w:val="366654B3"/>
    <w:rsid w:val="36696795"/>
    <w:rsid w:val="36746EE3"/>
    <w:rsid w:val="368D09BB"/>
    <w:rsid w:val="36965B9D"/>
    <w:rsid w:val="36965FCF"/>
    <w:rsid w:val="36A71B58"/>
    <w:rsid w:val="36BB5604"/>
    <w:rsid w:val="36C26992"/>
    <w:rsid w:val="36C46BAE"/>
    <w:rsid w:val="36C50230"/>
    <w:rsid w:val="36D668E1"/>
    <w:rsid w:val="36D76648"/>
    <w:rsid w:val="36D84827"/>
    <w:rsid w:val="36E96615"/>
    <w:rsid w:val="36EE3349"/>
    <w:rsid w:val="36F17277"/>
    <w:rsid w:val="36F823B4"/>
    <w:rsid w:val="37184804"/>
    <w:rsid w:val="371B2546"/>
    <w:rsid w:val="372F1B4E"/>
    <w:rsid w:val="373250B7"/>
    <w:rsid w:val="37331F9F"/>
    <w:rsid w:val="374B3082"/>
    <w:rsid w:val="37527E8E"/>
    <w:rsid w:val="37555A58"/>
    <w:rsid w:val="375A12C0"/>
    <w:rsid w:val="375A47F3"/>
    <w:rsid w:val="376F6185"/>
    <w:rsid w:val="37737C8C"/>
    <w:rsid w:val="37863748"/>
    <w:rsid w:val="3787172B"/>
    <w:rsid w:val="378B147A"/>
    <w:rsid w:val="378F2A4A"/>
    <w:rsid w:val="37A159A5"/>
    <w:rsid w:val="37A74543"/>
    <w:rsid w:val="37B20112"/>
    <w:rsid w:val="37B95FE7"/>
    <w:rsid w:val="37C624B2"/>
    <w:rsid w:val="37CD1A92"/>
    <w:rsid w:val="37D57FE8"/>
    <w:rsid w:val="37D777FA"/>
    <w:rsid w:val="37ED3EE3"/>
    <w:rsid w:val="38013286"/>
    <w:rsid w:val="38302F45"/>
    <w:rsid w:val="383513E6"/>
    <w:rsid w:val="383B5237"/>
    <w:rsid w:val="38477A9B"/>
    <w:rsid w:val="384E47B8"/>
    <w:rsid w:val="3851621F"/>
    <w:rsid w:val="385914E3"/>
    <w:rsid w:val="387B14EE"/>
    <w:rsid w:val="387E162E"/>
    <w:rsid w:val="387F3F4B"/>
    <w:rsid w:val="3895301B"/>
    <w:rsid w:val="38970149"/>
    <w:rsid w:val="38B602A5"/>
    <w:rsid w:val="38C5276A"/>
    <w:rsid w:val="38DF1B57"/>
    <w:rsid w:val="38E1420B"/>
    <w:rsid w:val="38E250CA"/>
    <w:rsid w:val="38F169D9"/>
    <w:rsid w:val="38FA7B02"/>
    <w:rsid w:val="38FE47A2"/>
    <w:rsid w:val="39034C5B"/>
    <w:rsid w:val="390F457D"/>
    <w:rsid w:val="3910135E"/>
    <w:rsid w:val="391A1D33"/>
    <w:rsid w:val="391D25A6"/>
    <w:rsid w:val="394B266A"/>
    <w:rsid w:val="395913AA"/>
    <w:rsid w:val="3965182D"/>
    <w:rsid w:val="3971469F"/>
    <w:rsid w:val="39754190"/>
    <w:rsid w:val="398D0EA8"/>
    <w:rsid w:val="39A60B04"/>
    <w:rsid w:val="39B8407C"/>
    <w:rsid w:val="39C331D0"/>
    <w:rsid w:val="39C46AC8"/>
    <w:rsid w:val="39C72511"/>
    <w:rsid w:val="39CD7B28"/>
    <w:rsid w:val="39D92970"/>
    <w:rsid w:val="39DE3826"/>
    <w:rsid w:val="39E34348"/>
    <w:rsid w:val="39EA6BA2"/>
    <w:rsid w:val="39F33306"/>
    <w:rsid w:val="39F919A2"/>
    <w:rsid w:val="3A052B1D"/>
    <w:rsid w:val="3A0C7B2A"/>
    <w:rsid w:val="3A137505"/>
    <w:rsid w:val="3A171766"/>
    <w:rsid w:val="3A274171"/>
    <w:rsid w:val="3A4456FE"/>
    <w:rsid w:val="3A477A25"/>
    <w:rsid w:val="3A523486"/>
    <w:rsid w:val="3A5F1FAE"/>
    <w:rsid w:val="3A631E3C"/>
    <w:rsid w:val="3A654204"/>
    <w:rsid w:val="3A6A2926"/>
    <w:rsid w:val="3A6B7341"/>
    <w:rsid w:val="3A836AA6"/>
    <w:rsid w:val="3A8B2678"/>
    <w:rsid w:val="3A976388"/>
    <w:rsid w:val="3A9776C5"/>
    <w:rsid w:val="3AA22920"/>
    <w:rsid w:val="3AA9720B"/>
    <w:rsid w:val="3AB20569"/>
    <w:rsid w:val="3AB946D1"/>
    <w:rsid w:val="3ABA5BEF"/>
    <w:rsid w:val="3AC16026"/>
    <w:rsid w:val="3AC25509"/>
    <w:rsid w:val="3ACC6972"/>
    <w:rsid w:val="3AE10456"/>
    <w:rsid w:val="3AE26872"/>
    <w:rsid w:val="3AE42A31"/>
    <w:rsid w:val="3AEC0D6E"/>
    <w:rsid w:val="3B12224B"/>
    <w:rsid w:val="3B183024"/>
    <w:rsid w:val="3B2A0FAA"/>
    <w:rsid w:val="3B3346EF"/>
    <w:rsid w:val="3B3F2CB9"/>
    <w:rsid w:val="3B816DFE"/>
    <w:rsid w:val="3B986CC2"/>
    <w:rsid w:val="3B9C63BD"/>
    <w:rsid w:val="3BA32A84"/>
    <w:rsid w:val="3BB23479"/>
    <w:rsid w:val="3BB67459"/>
    <w:rsid w:val="3BD72EE0"/>
    <w:rsid w:val="3BE02A19"/>
    <w:rsid w:val="3BE61375"/>
    <w:rsid w:val="3BE76FCB"/>
    <w:rsid w:val="3BFF46C2"/>
    <w:rsid w:val="3C007A17"/>
    <w:rsid w:val="3C084498"/>
    <w:rsid w:val="3C1140D6"/>
    <w:rsid w:val="3C406CD7"/>
    <w:rsid w:val="3C5E0F0B"/>
    <w:rsid w:val="3C6127A9"/>
    <w:rsid w:val="3C667DC0"/>
    <w:rsid w:val="3C673152"/>
    <w:rsid w:val="3C761AAA"/>
    <w:rsid w:val="3C7C3A87"/>
    <w:rsid w:val="3C7C75E3"/>
    <w:rsid w:val="3C90134F"/>
    <w:rsid w:val="3C9E29F3"/>
    <w:rsid w:val="3CAD3347"/>
    <w:rsid w:val="3CB54DFF"/>
    <w:rsid w:val="3CBB5E66"/>
    <w:rsid w:val="3CBE6A74"/>
    <w:rsid w:val="3CBF5793"/>
    <w:rsid w:val="3CCB7D90"/>
    <w:rsid w:val="3CE623E8"/>
    <w:rsid w:val="3CEE7DA8"/>
    <w:rsid w:val="3CF20388"/>
    <w:rsid w:val="3CF71A07"/>
    <w:rsid w:val="3CFF454C"/>
    <w:rsid w:val="3D043AB0"/>
    <w:rsid w:val="3D0D50A8"/>
    <w:rsid w:val="3D1725FA"/>
    <w:rsid w:val="3D29359D"/>
    <w:rsid w:val="3D2D2451"/>
    <w:rsid w:val="3D34306A"/>
    <w:rsid w:val="3D3C5A85"/>
    <w:rsid w:val="3D3D07C4"/>
    <w:rsid w:val="3D5207D6"/>
    <w:rsid w:val="3D6D517E"/>
    <w:rsid w:val="3D7038AA"/>
    <w:rsid w:val="3D8338C9"/>
    <w:rsid w:val="3D8E3A72"/>
    <w:rsid w:val="3D91044A"/>
    <w:rsid w:val="3D96543E"/>
    <w:rsid w:val="3DA34F88"/>
    <w:rsid w:val="3DA70690"/>
    <w:rsid w:val="3DB37D06"/>
    <w:rsid w:val="3DBD7EB3"/>
    <w:rsid w:val="3DBF00CF"/>
    <w:rsid w:val="3DC84DB5"/>
    <w:rsid w:val="3DCF6FFB"/>
    <w:rsid w:val="3DE6565C"/>
    <w:rsid w:val="3DE71FB5"/>
    <w:rsid w:val="3E034378"/>
    <w:rsid w:val="3E043D34"/>
    <w:rsid w:val="3E1D467A"/>
    <w:rsid w:val="3E1F6665"/>
    <w:rsid w:val="3E1F7D81"/>
    <w:rsid w:val="3E205457"/>
    <w:rsid w:val="3E286A08"/>
    <w:rsid w:val="3E295549"/>
    <w:rsid w:val="3E2D58AA"/>
    <w:rsid w:val="3E467648"/>
    <w:rsid w:val="3E7E3AE6"/>
    <w:rsid w:val="3E815385"/>
    <w:rsid w:val="3E8B7547"/>
    <w:rsid w:val="3E99447C"/>
    <w:rsid w:val="3EB96F38"/>
    <w:rsid w:val="3EC74EFD"/>
    <w:rsid w:val="3EC93558"/>
    <w:rsid w:val="3ED36E3C"/>
    <w:rsid w:val="3EF13450"/>
    <w:rsid w:val="3EF618CF"/>
    <w:rsid w:val="3EFC2F2E"/>
    <w:rsid w:val="3F0A46BC"/>
    <w:rsid w:val="3F0A649A"/>
    <w:rsid w:val="3F1735F3"/>
    <w:rsid w:val="3F23526A"/>
    <w:rsid w:val="3F270535"/>
    <w:rsid w:val="3F2842B5"/>
    <w:rsid w:val="3F285800"/>
    <w:rsid w:val="3F406FEE"/>
    <w:rsid w:val="3F46203E"/>
    <w:rsid w:val="3F4B4C6D"/>
    <w:rsid w:val="3F507AC8"/>
    <w:rsid w:val="3F696545"/>
    <w:rsid w:val="3F707630"/>
    <w:rsid w:val="3F8821D9"/>
    <w:rsid w:val="3F8A2017"/>
    <w:rsid w:val="3F8F0017"/>
    <w:rsid w:val="3F8F1519"/>
    <w:rsid w:val="3F921271"/>
    <w:rsid w:val="3F9F1F66"/>
    <w:rsid w:val="3FA03D8D"/>
    <w:rsid w:val="3FB27A85"/>
    <w:rsid w:val="3FB672B0"/>
    <w:rsid w:val="3FD108D2"/>
    <w:rsid w:val="3FE536F1"/>
    <w:rsid w:val="40181D19"/>
    <w:rsid w:val="401B7113"/>
    <w:rsid w:val="401E255A"/>
    <w:rsid w:val="40330901"/>
    <w:rsid w:val="403A795B"/>
    <w:rsid w:val="404B5C4A"/>
    <w:rsid w:val="404E573A"/>
    <w:rsid w:val="40552625"/>
    <w:rsid w:val="40644F5E"/>
    <w:rsid w:val="40722880"/>
    <w:rsid w:val="40764061"/>
    <w:rsid w:val="40787DF5"/>
    <w:rsid w:val="407A02DD"/>
    <w:rsid w:val="407B0F85"/>
    <w:rsid w:val="407F44F4"/>
    <w:rsid w:val="40801A13"/>
    <w:rsid w:val="40836795"/>
    <w:rsid w:val="40886F9C"/>
    <w:rsid w:val="408D613D"/>
    <w:rsid w:val="40907AE3"/>
    <w:rsid w:val="4093314D"/>
    <w:rsid w:val="40A52127"/>
    <w:rsid w:val="40AA0BC3"/>
    <w:rsid w:val="40B57568"/>
    <w:rsid w:val="40B84762"/>
    <w:rsid w:val="40D20119"/>
    <w:rsid w:val="40DE49B2"/>
    <w:rsid w:val="40E417AA"/>
    <w:rsid w:val="40F110AB"/>
    <w:rsid w:val="40F64F8B"/>
    <w:rsid w:val="40F710AA"/>
    <w:rsid w:val="41092C03"/>
    <w:rsid w:val="41155E0F"/>
    <w:rsid w:val="411816AA"/>
    <w:rsid w:val="41344930"/>
    <w:rsid w:val="41444F9A"/>
    <w:rsid w:val="41474664"/>
    <w:rsid w:val="414D59F2"/>
    <w:rsid w:val="41563B79"/>
    <w:rsid w:val="41565FB7"/>
    <w:rsid w:val="416238F5"/>
    <w:rsid w:val="416F5968"/>
    <w:rsid w:val="4176014F"/>
    <w:rsid w:val="41801923"/>
    <w:rsid w:val="419929E5"/>
    <w:rsid w:val="41A6630B"/>
    <w:rsid w:val="41B53970"/>
    <w:rsid w:val="41BB6E00"/>
    <w:rsid w:val="41C07F72"/>
    <w:rsid w:val="420626EA"/>
    <w:rsid w:val="4226071D"/>
    <w:rsid w:val="423B542A"/>
    <w:rsid w:val="42477A9C"/>
    <w:rsid w:val="424961B9"/>
    <w:rsid w:val="425761C4"/>
    <w:rsid w:val="42622E05"/>
    <w:rsid w:val="426B3DAA"/>
    <w:rsid w:val="427951E7"/>
    <w:rsid w:val="42802FA7"/>
    <w:rsid w:val="428216CB"/>
    <w:rsid w:val="428E5C09"/>
    <w:rsid w:val="42900A73"/>
    <w:rsid w:val="42A23B9D"/>
    <w:rsid w:val="42A33D39"/>
    <w:rsid w:val="42AF6990"/>
    <w:rsid w:val="42B12CEF"/>
    <w:rsid w:val="42C76B3B"/>
    <w:rsid w:val="42CD6DEA"/>
    <w:rsid w:val="42DD44D7"/>
    <w:rsid w:val="42FC76D0"/>
    <w:rsid w:val="42FE51F6"/>
    <w:rsid w:val="430000BC"/>
    <w:rsid w:val="430E70E7"/>
    <w:rsid w:val="431A7501"/>
    <w:rsid w:val="43236A0A"/>
    <w:rsid w:val="432B2E30"/>
    <w:rsid w:val="43326C4D"/>
    <w:rsid w:val="43342619"/>
    <w:rsid w:val="433910EF"/>
    <w:rsid w:val="43474BC4"/>
    <w:rsid w:val="436C2C68"/>
    <w:rsid w:val="43744567"/>
    <w:rsid w:val="437650CD"/>
    <w:rsid w:val="438C45B0"/>
    <w:rsid w:val="439C056B"/>
    <w:rsid w:val="43AA3BF4"/>
    <w:rsid w:val="43C1772C"/>
    <w:rsid w:val="43C31B79"/>
    <w:rsid w:val="43C62ABB"/>
    <w:rsid w:val="43E71543"/>
    <w:rsid w:val="43F06E3E"/>
    <w:rsid w:val="43F46EF9"/>
    <w:rsid w:val="43F928D0"/>
    <w:rsid w:val="43F979A6"/>
    <w:rsid w:val="43FC3972"/>
    <w:rsid w:val="43FD7808"/>
    <w:rsid w:val="44065D43"/>
    <w:rsid w:val="441118C9"/>
    <w:rsid w:val="4416031D"/>
    <w:rsid w:val="441B7FB2"/>
    <w:rsid w:val="441C69EE"/>
    <w:rsid w:val="442230BD"/>
    <w:rsid w:val="44333333"/>
    <w:rsid w:val="44446CF0"/>
    <w:rsid w:val="444C27A6"/>
    <w:rsid w:val="445D5F4C"/>
    <w:rsid w:val="44640F6A"/>
    <w:rsid w:val="44695CE3"/>
    <w:rsid w:val="446E1F07"/>
    <w:rsid w:val="446E63AB"/>
    <w:rsid w:val="4474540B"/>
    <w:rsid w:val="4477156B"/>
    <w:rsid w:val="448221BC"/>
    <w:rsid w:val="448B2728"/>
    <w:rsid w:val="44A66CC7"/>
    <w:rsid w:val="44B26298"/>
    <w:rsid w:val="44BA11D1"/>
    <w:rsid w:val="44C4354C"/>
    <w:rsid w:val="44C47D79"/>
    <w:rsid w:val="44C77869"/>
    <w:rsid w:val="44D21C58"/>
    <w:rsid w:val="44D512AE"/>
    <w:rsid w:val="44D93E23"/>
    <w:rsid w:val="44DC3315"/>
    <w:rsid w:val="44DC50C3"/>
    <w:rsid w:val="44E86C19"/>
    <w:rsid w:val="44EA59EF"/>
    <w:rsid w:val="450502C9"/>
    <w:rsid w:val="45131232"/>
    <w:rsid w:val="451F3E67"/>
    <w:rsid w:val="4521341D"/>
    <w:rsid w:val="45230A92"/>
    <w:rsid w:val="452D1DC2"/>
    <w:rsid w:val="452F0FDD"/>
    <w:rsid w:val="45313C0C"/>
    <w:rsid w:val="45486BFC"/>
    <w:rsid w:val="454A4860"/>
    <w:rsid w:val="45521829"/>
    <w:rsid w:val="4557347D"/>
    <w:rsid w:val="45576E3F"/>
    <w:rsid w:val="455C4456"/>
    <w:rsid w:val="456338DB"/>
    <w:rsid w:val="457F2402"/>
    <w:rsid w:val="458156DF"/>
    <w:rsid w:val="458E55DD"/>
    <w:rsid w:val="45905987"/>
    <w:rsid w:val="459E681C"/>
    <w:rsid w:val="45A06EDE"/>
    <w:rsid w:val="45A51959"/>
    <w:rsid w:val="45B778DE"/>
    <w:rsid w:val="45C049E4"/>
    <w:rsid w:val="45D1711C"/>
    <w:rsid w:val="45D466E2"/>
    <w:rsid w:val="45D608E4"/>
    <w:rsid w:val="45D64A4A"/>
    <w:rsid w:val="45DD5294"/>
    <w:rsid w:val="45E61310"/>
    <w:rsid w:val="45FF10B5"/>
    <w:rsid w:val="461865CE"/>
    <w:rsid w:val="461B60BF"/>
    <w:rsid w:val="461C7DA1"/>
    <w:rsid w:val="461D3BE5"/>
    <w:rsid w:val="46245EB2"/>
    <w:rsid w:val="46276812"/>
    <w:rsid w:val="462A00B0"/>
    <w:rsid w:val="462C207A"/>
    <w:rsid w:val="46303B51"/>
    <w:rsid w:val="46373970"/>
    <w:rsid w:val="464D7CF2"/>
    <w:rsid w:val="464F7B16"/>
    <w:rsid w:val="465171C7"/>
    <w:rsid w:val="46595B26"/>
    <w:rsid w:val="4659738D"/>
    <w:rsid w:val="465B470D"/>
    <w:rsid w:val="466E61EE"/>
    <w:rsid w:val="4674757D"/>
    <w:rsid w:val="468679DC"/>
    <w:rsid w:val="468A0097"/>
    <w:rsid w:val="468E2711"/>
    <w:rsid w:val="4690085B"/>
    <w:rsid w:val="469041C1"/>
    <w:rsid w:val="46963997"/>
    <w:rsid w:val="46971BE9"/>
    <w:rsid w:val="46A0364B"/>
    <w:rsid w:val="46B05CDA"/>
    <w:rsid w:val="46B81B60"/>
    <w:rsid w:val="46B8390E"/>
    <w:rsid w:val="46C14E29"/>
    <w:rsid w:val="46D1225E"/>
    <w:rsid w:val="46D40254"/>
    <w:rsid w:val="46DD49A3"/>
    <w:rsid w:val="46EA47B6"/>
    <w:rsid w:val="46F030A7"/>
    <w:rsid w:val="46F10BCE"/>
    <w:rsid w:val="46F506BE"/>
    <w:rsid w:val="47026109"/>
    <w:rsid w:val="47044DA5"/>
    <w:rsid w:val="470F33C5"/>
    <w:rsid w:val="47194FB0"/>
    <w:rsid w:val="471A27DF"/>
    <w:rsid w:val="471D7A14"/>
    <w:rsid w:val="471E1CBC"/>
    <w:rsid w:val="47297788"/>
    <w:rsid w:val="47351225"/>
    <w:rsid w:val="474A0A94"/>
    <w:rsid w:val="474E5670"/>
    <w:rsid w:val="47634C7E"/>
    <w:rsid w:val="476F0470"/>
    <w:rsid w:val="47737835"/>
    <w:rsid w:val="477B55BD"/>
    <w:rsid w:val="477C3E4E"/>
    <w:rsid w:val="478E2120"/>
    <w:rsid w:val="47997B3E"/>
    <w:rsid w:val="479D06E0"/>
    <w:rsid w:val="479F6D77"/>
    <w:rsid w:val="47A90827"/>
    <w:rsid w:val="47AC48AF"/>
    <w:rsid w:val="47B265C4"/>
    <w:rsid w:val="47B47CF5"/>
    <w:rsid w:val="47BA5463"/>
    <w:rsid w:val="47C62FB4"/>
    <w:rsid w:val="47D33732"/>
    <w:rsid w:val="47D6364D"/>
    <w:rsid w:val="47D93B3C"/>
    <w:rsid w:val="47FE35A2"/>
    <w:rsid w:val="48050DD4"/>
    <w:rsid w:val="480768FB"/>
    <w:rsid w:val="48103857"/>
    <w:rsid w:val="481F2CD4"/>
    <w:rsid w:val="48253225"/>
    <w:rsid w:val="482570AD"/>
    <w:rsid w:val="482E032B"/>
    <w:rsid w:val="483F3188"/>
    <w:rsid w:val="4847319B"/>
    <w:rsid w:val="48477E3E"/>
    <w:rsid w:val="484F7ECF"/>
    <w:rsid w:val="485A1120"/>
    <w:rsid w:val="487321E2"/>
    <w:rsid w:val="487D3D7D"/>
    <w:rsid w:val="48825371"/>
    <w:rsid w:val="48905E42"/>
    <w:rsid w:val="48963F35"/>
    <w:rsid w:val="48AD464D"/>
    <w:rsid w:val="48B84099"/>
    <w:rsid w:val="48C20C8E"/>
    <w:rsid w:val="48C92AFB"/>
    <w:rsid w:val="48CC18F2"/>
    <w:rsid w:val="48CF271E"/>
    <w:rsid w:val="48ED63DD"/>
    <w:rsid w:val="48F15292"/>
    <w:rsid w:val="48F5127A"/>
    <w:rsid w:val="49042E3A"/>
    <w:rsid w:val="4910358D"/>
    <w:rsid w:val="49156DF5"/>
    <w:rsid w:val="49167019"/>
    <w:rsid w:val="49340FFE"/>
    <w:rsid w:val="49394CF3"/>
    <w:rsid w:val="493B5E60"/>
    <w:rsid w:val="494B21A5"/>
    <w:rsid w:val="494D658F"/>
    <w:rsid w:val="495F62C2"/>
    <w:rsid w:val="49672CEE"/>
    <w:rsid w:val="496905A5"/>
    <w:rsid w:val="496B506B"/>
    <w:rsid w:val="49781705"/>
    <w:rsid w:val="49786971"/>
    <w:rsid w:val="49805783"/>
    <w:rsid w:val="4996435E"/>
    <w:rsid w:val="49E52C6C"/>
    <w:rsid w:val="49E55CFA"/>
    <w:rsid w:val="49EC05D9"/>
    <w:rsid w:val="4A0634BE"/>
    <w:rsid w:val="4A0F7FEE"/>
    <w:rsid w:val="4A164E3C"/>
    <w:rsid w:val="4A21084E"/>
    <w:rsid w:val="4A222079"/>
    <w:rsid w:val="4A233794"/>
    <w:rsid w:val="4A242770"/>
    <w:rsid w:val="4A4A6119"/>
    <w:rsid w:val="4A4B0B2E"/>
    <w:rsid w:val="4A535C0A"/>
    <w:rsid w:val="4A617B4C"/>
    <w:rsid w:val="4A651B80"/>
    <w:rsid w:val="4A6F42D4"/>
    <w:rsid w:val="4A7045EA"/>
    <w:rsid w:val="4A7319F4"/>
    <w:rsid w:val="4A9959A0"/>
    <w:rsid w:val="4A9B4062"/>
    <w:rsid w:val="4AA523FB"/>
    <w:rsid w:val="4AAC5537"/>
    <w:rsid w:val="4ABA3972"/>
    <w:rsid w:val="4AC96346"/>
    <w:rsid w:val="4ACA72FB"/>
    <w:rsid w:val="4AF55130"/>
    <w:rsid w:val="4AFD5D93"/>
    <w:rsid w:val="4AFF7C8C"/>
    <w:rsid w:val="4B076080"/>
    <w:rsid w:val="4B0A24D0"/>
    <w:rsid w:val="4B133808"/>
    <w:rsid w:val="4B5662AC"/>
    <w:rsid w:val="4B583FFE"/>
    <w:rsid w:val="4B58576F"/>
    <w:rsid w:val="4B591B09"/>
    <w:rsid w:val="4B5E693F"/>
    <w:rsid w:val="4B681087"/>
    <w:rsid w:val="4B6B6112"/>
    <w:rsid w:val="4B730441"/>
    <w:rsid w:val="4B742092"/>
    <w:rsid w:val="4B77228B"/>
    <w:rsid w:val="4B8147C9"/>
    <w:rsid w:val="4B881E1A"/>
    <w:rsid w:val="4B893ACB"/>
    <w:rsid w:val="4B895879"/>
    <w:rsid w:val="4B8A1BE1"/>
    <w:rsid w:val="4B920BD1"/>
    <w:rsid w:val="4BB27155"/>
    <w:rsid w:val="4BC879AB"/>
    <w:rsid w:val="4BE96317"/>
    <w:rsid w:val="4BF54CBC"/>
    <w:rsid w:val="4BFA0524"/>
    <w:rsid w:val="4C0F2222"/>
    <w:rsid w:val="4C106693"/>
    <w:rsid w:val="4C1C2105"/>
    <w:rsid w:val="4C2537F3"/>
    <w:rsid w:val="4C366097"/>
    <w:rsid w:val="4C390085"/>
    <w:rsid w:val="4C3C28EB"/>
    <w:rsid w:val="4C556884"/>
    <w:rsid w:val="4C602A7D"/>
    <w:rsid w:val="4C7416EF"/>
    <w:rsid w:val="4C7756E3"/>
    <w:rsid w:val="4C784C27"/>
    <w:rsid w:val="4C880541"/>
    <w:rsid w:val="4C942ED8"/>
    <w:rsid w:val="4C9D6A1E"/>
    <w:rsid w:val="4CAD5597"/>
    <w:rsid w:val="4CB24455"/>
    <w:rsid w:val="4CB75AA4"/>
    <w:rsid w:val="4CC44A4F"/>
    <w:rsid w:val="4CCE1EDF"/>
    <w:rsid w:val="4CD62D3F"/>
    <w:rsid w:val="4CDD7C2A"/>
    <w:rsid w:val="4CDF7BAA"/>
    <w:rsid w:val="4CE36A6B"/>
    <w:rsid w:val="4D00261D"/>
    <w:rsid w:val="4D113D78"/>
    <w:rsid w:val="4D13667F"/>
    <w:rsid w:val="4D137AF0"/>
    <w:rsid w:val="4D1E67FE"/>
    <w:rsid w:val="4D207BF4"/>
    <w:rsid w:val="4D223E09"/>
    <w:rsid w:val="4D297313"/>
    <w:rsid w:val="4D2F79B7"/>
    <w:rsid w:val="4D3254B2"/>
    <w:rsid w:val="4D382ECC"/>
    <w:rsid w:val="4D3D18C9"/>
    <w:rsid w:val="4D476BE6"/>
    <w:rsid w:val="4D4E159F"/>
    <w:rsid w:val="4D565DAC"/>
    <w:rsid w:val="4D704F42"/>
    <w:rsid w:val="4D7560B4"/>
    <w:rsid w:val="4D860F94"/>
    <w:rsid w:val="4D93556F"/>
    <w:rsid w:val="4DA16835"/>
    <w:rsid w:val="4DA17EA2"/>
    <w:rsid w:val="4DA92202"/>
    <w:rsid w:val="4DB0533F"/>
    <w:rsid w:val="4DC263F8"/>
    <w:rsid w:val="4DD70B1D"/>
    <w:rsid w:val="4DDD7F17"/>
    <w:rsid w:val="4DDF79D2"/>
    <w:rsid w:val="4DE34F7D"/>
    <w:rsid w:val="4DF45322"/>
    <w:rsid w:val="4DF96AF2"/>
    <w:rsid w:val="4E01203E"/>
    <w:rsid w:val="4E030C83"/>
    <w:rsid w:val="4E1834F6"/>
    <w:rsid w:val="4E257ADB"/>
    <w:rsid w:val="4E277BA4"/>
    <w:rsid w:val="4E2875CB"/>
    <w:rsid w:val="4E2D66F2"/>
    <w:rsid w:val="4E3338D9"/>
    <w:rsid w:val="4E45017D"/>
    <w:rsid w:val="4E48525F"/>
    <w:rsid w:val="4E51661F"/>
    <w:rsid w:val="4E5F5281"/>
    <w:rsid w:val="4E670CAB"/>
    <w:rsid w:val="4E6A7BE3"/>
    <w:rsid w:val="4E7070ED"/>
    <w:rsid w:val="4E766588"/>
    <w:rsid w:val="4E7C3473"/>
    <w:rsid w:val="4E7F34CE"/>
    <w:rsid w:val="4EA317FA"/>
    <w:rsid w:val="4EB37F55"/>
    <w:rsid w:val="4EB7039E"/>
    <w:rsid w:val="4ED11A10"/>
    <w:rsid w:val="4ED4505D"/>
    <w:rsid w:val="4F11377E"/>
    <w:rsid w:val="4F1B0EDE"/>
    <w:rsid w:val="4F1B712F"/>
    <w:rsid w:val="4F1C1ADF"/>
    <w:rsid w:val="4F343D4D"/>
    <w:rsid w:val="4F3B15C7"/>
    <w:rsid w:val="4F3B7B0F"/>
    <w:rsid w:val="4F4C553B"/>
    <w:rsid w:val="4F583EE0"/>
    <w:rsid w:val="4F5D5052"/>
    <w:rsid w:val="4F680B3E"/>
    <w:rsid w:val="4F6852A3"/>
    <w:rsid w:val="4F7D2F66"/>
    <w:rsid w:val="4F7E624E"/>
    <w:rsid w:val="4F870321"/>
    <w:rsid w:val="4F882033"/>
    <w:rsid w:val="4F894099"/>
    <w:rsid w:val="4F9C0BB7"/>
    <w:rsid w:val="4F9F5278"/>
    <w:rsid w:val="4FAD0541"/>
    <w:rsid w:val="4FCB6634"/>
    <w:rsid w:val="4FCD0624"/>
    <w:rsid w:val="4FD441EB"/>
    <w:rsid w:val="4FE45773"/>
    <w:rsid w:val="4FEB23B1"/>
    <w:rsid w:val="4FF400D6"/>
    <w:rsid w:val="5014648E"/>
    <w:rsid w:val="501F67AB"/>
    <w:rsid w:val="502F5667"/>
    <w:rsid w:val="503F1C88"/>
    <w:rsid w:val="504176F1"/>
    <w:rsid w:val="504306EC"/>
    <w:rsid w:val="50467E77"/>
    <w:rsid w:val="504D50C7"/>
    <w:rsid w:val="5058203A"/>
    <w:rsid w:val="50591CBD"/>
    <w:rsid w:val="505A77E4"/>
    <w:rsid w:val="505F0C0E"/>
    <w:rsid w:val="506A3ECB"/>
    <w:rsid w:val="508B5BEF"/>
    <w:rsid w:val="509217B9"/>
    <w:rsid w:val="509A32B8"/>
    <w:rsid w:val="50A70C7B"/>
    <w:rsid w:val="50A7185F"/>
    <w:rsid w:val="50B213CE"/>
    <w:rsid w:val="50C569C4"/>
    <w:rsid w:val="50CA6717"/>
    <w:rsid w:val="50CF1823"/>
    <w:rsid w:val="50D60111"/>
    <w:rsid w:val="50E53551"/>
    <w:rsid w:val="50E61077"/>
    <w:rsid w:val="50F10148"/>
    <w:rsid w:val="51015F44"/>
    <w:rsid w:val="5101794A"/>
    <w:rsid w:val="5121403D"/>
    <w:rsid w:val="51312870"/>
    <w:rsid w:val="51313F38"/>
    <w:rsid w:val="51482AA7"/>
    <w:rsid w:val="51497F84"/>
    <w:rsid w:val="51554CEC"/>
    <w:rsid w:val="515A365A"/>
    <w:rsid w:val="51610E18"/>
    <w:rsid w:val="51713037"/>
    <w:rsid w:val="517A35EB"/>
    <w:rsid w:val="517B150C"/>
    <w:rsid w:val="517D3614"/>
    <w:rsid w:val="51865905"/>
    <w:rsid w:val="519531C9"/>
    <w:rsid w:val="519611B1"/>
    <w:rsid w:val="51CB1859"/>
    <w:rsid w:val="51D35EFC"/>
    <w:rsid w:val="51EB2DE9"/>
    <w:rsid w:val="51EB7411"/>
    <w:rsid w:val="51F6353C"/>
    <w:rsid w:val="51FD2B1C"/>
    <w:rsid w:val="52021EE1"/>
    <w:rsid w:val="5212481A"/>
    <w:rsid w:val="52151DD7"/>
    <w:rsid w:val="522A10C7"/>
    <w:rsid w:val="52323AC7"/>
    <w:rsid w:val="523825C6"/>
    <w:rsid w:val="524B6014"/>
    <w:rsid w:val="524C0432"/>
    <w:rsid w:val="525317C1"/>
    <w:rsid w:val="52551D53"/>
    <w:rsid w:val="525564B4"/>
    <w:rsid w:val="525722EF"/>
    <w:rsid w:val="5265261A"/>
    <w:rsid w:val="52667A5B"/>
    <w:rsid w:val="5268540F"/>
    <w:rsid w:val="526A527D"/>
    <w:rsid w:val="526A78DC"/>
    <w:rsid w:val="526F368F"/>
    <w:rsid w:val="527840D0"/>
    <w:rsid w:val="528462EE"/>
    <w:rsid w:val="52905C40"/>
    <w:rsid w:val="5299285F"/>
    <w:rsid w:val="529A036B"/>
    <w:rsid w:val="52B60D93"/>
    <w:rsid w:val="52BC0CDF"/>
    <w:rsid w:val="52DA02E2"/>
    <w:rsid w:val="52EA7D7E"/>
    <w:rsid w:val="52FB63DB"/>
    <w:rsid w:val="52FC7176"/>
    <w:rsid w:val="53024853"/>
    <w:rsid w:val="530D6D8F"/>
    <w:rsid w:val="532A7941"/>
    <w:rsid w:val="532E7431"/>
    <w:rsid w:val="533662E6"/>
    <w:rsid w:val="535567FE"/>
    <w:rsid w:val="53597BB2"/>
    <w:rsid w:val="53715570"/>
    <w:rsid w:val="537F49A3"/>
    <w:rsid w:val="538708F0"/>
    <w:rsid w:val="53874D93"/>
    <w:rsid w:val="53C35376"/>
    <w:rsid w:val="53D21AF2"/>
    <w:rsid w:val="53DD083C"/>
    <w:rsid w:val="53DE27BD"/>
    <w:rsid w:val="53F046E7"/>
    <w:rsid w:val="53F32429"/>
    <w:rsid w:val="53F44796"/>
    <w:rsid w:val="540C5299"/>
    <w:rsid w:val="541320FE"/>
    <w:rsid w:val="54176117"/>
    <w:rsid w:val="54197654"/>
    <w:rsid w:val="541F4271"/>
    <w:rsid w:val="54224EAD"/>
    <w:rsid w:val="542B13C7"/>
    <w:rsid w:val="54356DA6"/>
    <w:rsid w:val="543A0058"/>
    <w:rsid w:val="543A1E06"/>
    <w:rsid w:val="54434FD7"/>
    <w:rsid w:val="54561F7B"/>
    <w:rsid w:val="545B6278"/>
    <w:rsid w:val="546602C6"/>
    <w:rsid w:val="54713EA0"/>
    <w:rsid w:val="54824D3D"/>
    <w:rsid w:val="54944209"/>
    <w:rsid w:val="54972DB4"/>
    <w:rsid w:val="549904BF"/>
    <w:rsid w:val="54A279A6"/>
    <w:rsid w:val="54A33426"/>
    <w:rsid w:val="54B01D2F"/>
    <w:rsid w:val="54B76E62"/>
    <w:rsid w:val="54CD2C7A"/>
    <w:rsid w:val="54DF3807"/>
    <w:rsid w:val="54E909F1"/>
    <w:rsid w:val="54FD5270"/>
    <w:rsid w:val="5503044A"/>
    <w:rsid w:val="551268DF"/>
    <w:rsid w:val="55183F10"/>
    <w:rsid w:val="55185914"/>
    <w:rsid w:val="551E7032"/>
    <w:rsid w:val="55236D18"/>
    <w:rsid w:val="553C326E"/>
    <w:rsid w:val="553E3AC2"/>
    <w:rsid w:val="555D2250"/>
    <w:rsid w:val="556464E4"/>
    <w:rsid w:val="55766E6E"/>
    <w:rsid w:val="55951955"/>
    <w:rsid w:val="55CF1A02"/>
    <w:rsid w:val="55E4051E"/>
    <w:rsid w:val="55E77190"/>
    <w:rsid w:val="55F12998"/>
    <w:rsid w:val="560003E0"/>
    <w:rsid w:val="560444F2"/>
    <w:rsid w:val="56091982"/>
    <w:rsid w:val="562107AD"/>
    <w:rsid w:val="5621502B"/>
    <w:rsid w:val="562504E6"/>
    <w:rsid w:val="56336EDF"/>
    <w:rsid w:val="5640698A"/>
    <w:rsid w:val="56554CD5"/>
    <w:rsid w:val="56560C80"/>
    <w:rsid w:val="565C2FEF"/>
    <w:rsid w:val="565D002E"/>
    <w:rsid w:val="56743689"/>
    <w:rsid w:val="56751D3C"/>
    <w:rsid w:val="567B1497"/>
    <w:rsid w:val="56941CA1"/>
    <w:rsid w:val="569B21FF"/>
    <w:rsid w:val="56A812A9"/>
    <w:rsid w:val="56B04601"/>
    <w:rsid w:val="56CA1AB0"/>
    <w:rsid w:val="56CB3F8D"/>
    <w:rsid w:val="56DA167E"/>
    <w:rsid w:val="56E524FD"/>
    <w:rsid w:val="56E950F1"/>
    <w:rsid w:val="56F55043"/>
    <w:rsid w:val="56FB2419"/>
    <w:rsid w:val="56FC4431"/>
    <w:rsid w:val="570B042B"/>
    <w:rsid w:val="570D55B0"/>
    <w:rsid w:val="57103D74"/>
    <w:rsid w:val="571E156B"/>
    <w:rsid w:val="57211FCC"/>
    <w:rsid w:val="57256DF6"/>
    <w:rsid w:val="57315CFB"/>
    <w:rsid w:val="573C7C43"/>
    <w:rsid w:val="574216FD"/>
    <w:rsid w:val="57464ECD"/>
    <w:rsid w:val="57465E01"/>
    <w:rsid w:val="5748483A"/>
    <w:rsid w:val="57563275"/>
    <w:rsid w:val="57596A47"/>
    <w:rsid w:val="575A7BA9"/>
    <w:rsid w:val="575E405D"/>
    <w:rsid w:val="576A656C"/>
    <w:rsid w:val="57770C61"/>
    <w:rsid w:val="5795078A"/>
    <w:rsid w:val="57A06424"/>
    <w:rsid w:val="57AD4D6A"/>
    <w:rsid w:val="57B733F2"/>
    <w:rsid w:val="57BD0D84"/>
    <w:rsid w:val="57BF71EB"/>
    <w:rsid w:val="57C739B1"/>
    <w:rsid w:val="57C77E54"/>
    <w:rsid w:val="57CD320D"/>
    <w:rsid w:val="57D936E4"/>
    <w:rsid w:val="57DD5A1F"/>
    <w:rsid w:val="57FC4C18"/>
    <w:rsid w:val="580A1AEF"/>
    <w:rsid w:val="58156E12"/>
    <w:rsid w:val="58201313"/>
    <w:rsid w:val="58274FF5"/>
    <w:rsid w:val="58286EF5"/>
    <w:rsid w:val="58301BAD"/>
    <w:rsid w:val="58353010"/>
    <w:rsid w:val="584B4D97"/>
    <w:rsid w:val="585711D8"/>
    <w:rsid w:val="58743095"/>
    <w:rsid w:val="58744C70"/>
    <w:rsid w:val="5877248A"/>
    <w:rsid w:val="587D601E"/>
    <w:rsid w:val="58881D26"/>
    <w:rsid w:val="58896FC2"/>
    <w:rsid w:val="58A545FC"/>
    <w:rsid w:val="58AB5080"/>
    <w:rsid w:val="58B71C77"/>
    <w:rsid w:val="58D514A9"/>
    <w:rsid w:val="58EA3962"/>
    <w:rsid w:val="58EB5E3D"/>
    <w:rsid w:val="58EB7B73"/>
    <w:rsid w:val="58F96531"/>
    <w:rsid w:val="5900361E"/>
    <w:rsid w:val="590C2C90"/>
    <w:rsid w:val="590F403E"/>
    <w:rsid w:val="59114B24"/>
    <w:rsid w:val="59152614"/>
    <w:rsid w:val="59160E0A"/>
    <w:rsid w:val="5919394F"/>
    <w:rsid w:val="59226D18"/>
    <w:rsid w:val="592941F7"/>
    <w:rsid w:val="592F38B6"/>
    <w:rsid w:val="593212FE"/>
    <w:rsid w:val="593C1922"/>
    <w:rsid w:val="594B23BF"/>
    <w:rsid w:val="59513E7A"/>
    <w:rsid w:val="59554FEC"/>
    <w:rsid w:val="59566050"/>
    <w:rsid w:val="595A733C"/>
    <w:rsid w:val="595F5A47"/>
    <w:rsid w:val="596040BD"/>
    <w:rsid w:val="59635769"/>
    <w:rsid w:val="596D5D86"/>
    <w:rsid w:val="596F60AE"/>
    <w:rsid w:val="597C6416"/>
    <w:rsid w:val="59802C75"/>
    <w:rsid w:val="59837DAB"/>
    <w:rsid w:val="59875AED"/>
    <w:rsid w:val="59A37467"/>
    <w:rsid w:val="59A55F73"/>
    <w:rsid w:val="59AA6DF1"/>
    <w:rsid w:val="59B03207"/>
    <w:rsid w:val="59B96C7F"/>
    <w:rsid w:val="59E545C2"/>
    <w:rsid w:val="59E571DE"/>
    <w:rsid w:val="5A0709DC"/>
    <w:rsid w:val="5A0A63C5"/>
    <w:rsid w:val="5A197D2A"/>
    <w:rsid w:val="5A1D32C5"/>
    <w:rsid w:val="5A2813B3"/>
    <w:rsid w:val="5A392A90"/>
    <w:rsid w:val="5A403EEE"/>
    <w:rsid w:val="5A4F6E3E"/>
    <w:rsid w:val="5A614DED"/>
    <w:rsid w:val="5A9547EE"/>
    <w:rsid w:val="5A9933ED"/>
    <w:rsid w:val="5A9D6C4B"/>
    <w:rsid w:val="5AA1673B"/>
    <w:rsid w:val="5AA75D1B"/>
    <w:rsid w:val="5AA96DDE"/>
    <w:rsid w:val="5AB84533"/>
    <w:rsid w:val="5AC43120"/>
    <w:rsid w:val="5ACD2276"/>
    <w:rsid w:val="5ACD5782"/>
    <w:rsid w:val="5AD23072"/>
    <w:rsid w:val="5AD52888"/>
    <w:rsid w:val="5AD76600"/>
    <w:rsid w:val="5ADB7531"/>
    <w:rsid w:val="5ADD58FA"/>
    <w:rsid w:val="5AF62098"/>
    <w:rsid w:val="5B037E41"/>
    <w:rsid w:val="5B085C69"/>
    <w:rsid w:val="5B13515F"/>
    <w:rsid w:val="5B1454AD"/>
    <w:rsid w:val="5B167227"/>
    <w:rsid w:val="5B19469E"/>
    <w:rsid w:val="5B344348"/>
    <w:rsid w:val="5B35230F"/>
    <w:rsid w:val="5B3550D5"/>
    <w:rsid w:val="5B591DBE"/>
    <w:rsid w:val="5B653C0C"/>
    <w:rsid w:val="5B850431"/>
    <w:rsid w:val="5B9A1907"/>
    <w:rsid w:val="5B9F42F7"/>
    <w:rsid w:val="5BA17B64"/>
    <w:rsid w:val="5BA7342B"/>
    <w:rsid w:val="5BAE4BEB"/>
    <w:rsid w:val="5BAF4E87"/>
    <w:rsid w:val="5BE87EEB"/>
    <w:rsid w:val="5C0A4223"/>
    <w:rsid w:val="5C1D0043"/>
    <w:rsid w:val="5C2771CB"/>
    <w:rsid w:val="5C2B7207"/>
    <w:rsid w:val="5C381321"/>
    <w:rsid w:val="5C423F4D"/>
    <w:rsid w:val="5C602626"/>
    <w:rsid w:val="5C9554CE"/>
    <w:rsid w:val="5C9B540C"/>
    <w:rsid w:val="5C9D1777"/>
    <w:rsid w:val="5CA73DB1"/>
    <w:rsid w:val="5CB71F09"/>
    <w:rsid w:val="5CBA24FB"/>
    <w:rsid w:val="5CCA2903"/>
    <w:rsid w:val="5CDA6D2F"/>
    <w:rsid w:val="5CE045E7"/>
    <w:rsid w:val="5CF57313"/>
    <w:rsid w:val="5CFF2BFB"/>
    <w:rsid w:val="5D004E59"/>
    <w:rsid w:val="5D095C42"/>
    <w:rsid w:val="5D1458EA"/>
    <w:rsid w:val="5D155870"/>
    <w:rsid w:val="5D177188"/>
    <w:rsid w:val="5D2C71A4"/>
    <w:rsid w:val="5D303DA6"/>
    <w:rsid w:val="5D347D3A"/>
    <w:rsid w:val="5D5A7075"/>
    <w:rsid w:val="5D622A3D"/>
    <w:rsid w:val="5D647EF4"/>
    <w:rsid w:val="5D706898"/>
    <w:rsid w:val="5D885B02"/>
    <w:rsid w:val="5D8873D2"/>
    <w:rsid w:val="5D8C1025"/>
    <w:rsid w:val="5D8F31C2"/>
    <w:rsid w:val="5D9A56C3"/>
    <w:rsid w:val="5DA14CA4"/>
    <w:rsid w:val="5DA54794"/>
    <w:rsid w:val="5DA60554"/>
    <w:rsid w:val="5DA72E39"/>
    <w:rsid w:val="5DA77FF1"/>
    <w:rsid w:val="5DC55B45"/>
    <w:rsid w:val="5DDF5471"/>
    <w:rsid w:val="5DE74DAC"/>
    <w:rsid w:val="5DEE7186"/>
    <w:rsid w:val="5DF80D95"/>
    <w:rsid w:val="5E032599"/>
    <w:rsid w:val="5E13452C"/>
    <w:rsid w:val="5E341674"/>
    <w:rsid w:val="5E36685D"/>
    <w:rsid w:val="5E3C557C"/>
    <w:rsid w:val="5E56783C"/>
    <w:rsid w:val="5E677792"/>
    <w:rsid w:val="5E7F1D9F"/>
    <w:rsid w:val="5E843C16"/>
    <w:rsid w:val="5E875029"/>
    <w:rsid w:val="5EA34F33"/>
    <w:rsid w:val="5EAC0797"/>
    <w:rsid w:val="5EB012FF"/>
    <w:rsid w:val="5EBD78BB"/>
    <w:rsid w:val="5EC01E35"/>
    <w:rsid w:val="5EC40C8B"/>
    <w:rsid w:val="5EDF3CD6"/>
    <w:rsid w:val="5EE7269C"/>
    <w:rsid w:val="5EEB3DEA"/>
    <w:rsid w:val="5EF03AC3"/>
    <w:rsid w:val="5F076D88"/>
    <w:rsid w:val="5F092881"/>
    <w:rsid w:val="5F0B4ACB"/>
    <w:rsid w:val="5F116014"/>
    <w:rsid w:val="5F181622"/>
    <w:rsid w:val="5F3758C0"/>
    <w:rsid w:val="5F381638"/>
    <w:rsid w:val="5F385A23"/>
    <w:rsid w:val="5F3A53B0"/>
    <w:rsid w:val="5F440FE2"/>
    <w:rsid w:val="5F465B03"/>
    <w:rsid w:val="5F4E2554"/>
    <w:rsid w:val="5F50072F"/>
    <w:rsid w:val="5F521F5F"/>
    <w:rsid w:val="5F533C9F"/>
    <w:rsid w:val="5F5C70D4"/>
    <w:rsid w:val="5F61039C"/>
    <w:rsid w:val="5F7051D5"/>
    <w:rsid w:val="5F753D56"/>
    <w:rsid w:val="5F7822C5"/>
    <w:rsid w:val="5F7B33D2"/>
    <w:rsid w:val="5F7D7F1C"/>
    <w:rsid w:val="5F7E5D77"/>
    <w:rsid w:val="5F8315F3"/>
    <w:rsid w:val="5F893C41"/>
    <w:rsid w:val="5F93686E"/>
    <w:rsid w:val="5F971162"/>
    <w:rsid w:val="5F9A6462"/>
    <w:rsid w:val="5F9A70E8"/>
    <w:rsid w:val="5FA91C27"/>
    <w:rsid w:val="5FAD5B82"/>
    <w:rsid w:val="5FB6431D"/>
    <w:rsid w:val="5FB94527"/>
    <w:rsid w:val="5FBA6515"/>
    <w:rsid w:val="5FC52ECB"/>
    <w:rsid w:val="5FC829BC"/>
    <w:rsid w:val="5FC92290"/>
    <w:rsid w:val="5FD64980"/>
    <w:rsid w:val="5FFB4B3F"/>
    <w:rsid w:val="6015448F"/>
    <w:rsid w:val="60350FB3"/>
    <w:rsid w:val="603D18E6"/>
    <w:rsid w:val="603E2C7E"/>
    <w:rsid w:val="604364E6"/>
    <w:rsid w:val="60593614"/>
    <w:rsid w:val="606E3563"/>
    <w:rsid w:val="606F4BE5"/>
    <w:rsid w:val="607144A7"/>
    <w:rsid w:val="60762418"/>
    <w:rsid w:val="607A6A02"/>
    <w:rsid w:val="607B3775"/>
    <w:rsid w:val="607E7CEA"/>
    <w:rsid w:val="608621E5"/>
    <w:rsid w:val="609118DB"/>
    <w:rsid w:val="609A7614"/>
    <w:rsid w:val="60A56859"/>
    <w:rsid w:val="60AA6949"/>
    <w:rsid w:val="60C137A7"/>
    <w:rsid w:val="60C34820"/>
    <w:rsid w:val="60E76BE7"/>
    <w:rsid w:val="60EF5D26"/>
    <w:rsid w:val="60F670B5"/>
    <w:rsid w:val="60FA10EF"/>
    <w:rsid w:val="60FE28E7"/>
    <w:rsid w:val="60FF065F"/>
    <w:rsid w:val="61081859"/>
    <w:rsid w:val="61207560"/>
    <w:rsid w:val="614853BC"/>
    <w:rsid w:val="614912FF"/>
    <w:rsid w:val="61593820"/>
    <w:rsid w:val="616217F9"/>
    <w:rsid w:val="61626A84"/>
    <w:rsid w:val="617A1A94"/>
    <w:rsid w:val="61815613"/>
    <w:rsid w:val="618943CD"/>
    <w:rsid w:val="61897F29"/>
    <w:rsid w:val="619306EF"/>
    <w:rsid w:val="61953A5D"/>
    <w:rsid w:val="61AE21E0"/>
    <w:rsid w:val="61AE54A0"/>
    <w:rsid w:val="61C035F6"/>
    <w:rsid w:val="61D31A05"/>
    <w:rsid w:val="61D40544"/>
    <w:rsid w:val="61E433B1"/>
    <w:rsid w:val="61EA3E09"/>
    <w:rsid w:val="61F145C5"/>
    <w:rsid w:val="61F74F7D"/>
    <w:rsid w:val="62065A1D"/>
    <w:rsid w:val="62122D8C"/>
    <w:rsid w:val="62141C74"/>
    <w:rsid w:val="62196D16"/>
    <w:rsid w:val="62326812"/>
    <w:rsid w:val="62451313"/>
    <w:rsid w:val="62533FDE"/>
    <w:rsid w:val="625631A4"/>
    <w:rsid w:val="6257089B"/>
    <w:rsid w:val="626B5593"/>
    <w:rsid w:val="62782C5E"/>
    <w:rsid w:val="628B0454"/>
    <w:rsid w:val="628D3A49"/>
    <w:rsid w:val="62B56907"/>
    <w:rsid w:val="62C955F2"/>
    <w:rsid w:val="62CE02E9"/>
    <w:rsid w:val="62D614CA"/>
    <w:rsid w:val="62D75BCF"/>
    <w:rsid w:val="62DD22DA"/>
    <w:rsid w:val="62E278F0"/>
    <w:rsid w:val="62FA7330"/>
    <w:rsid w:val="630B0B17"/>
    <w:rsid w:val="630B32EB"/>
    <w:rsid w:val="631657EC"/>
    <w:rsid w:val="631A352E"/>
    <w:rsid w:val="631B4BC7"/>
    <w:rsid w:val="632B5D35"/>
    <w:rsid w:val="6332300E"/>
    <w:rsid w:val="63350368"/>
    <w:rsid w:val="6347772F"/>
    <w:rsid w:val="636C077E"/>
    <w:rsid w:val="637E78D3"/>
    <w:rsid w:val="638667FA"/>
    <w:rsid w:val="63AD2615"/>
    <w:rsid w:val="63B45D4F"/>
    <w:rsid w:val="63B92B2F"/>
    <w:rsid w:val="63BE65AF"/>
    <w:rsid w:val="63C416EC"/>
    <w:rsid w:val="63D46F56"/>
    <w:rsid w:val="64151F48"/>
    <w:rsid w:val="641536BE"/>
    <w:rsid w:val="64175CC0"/>
    <w:rsid w:val="641C5512"/>
    <w:rsid w:val="642566BF"/>
    <w:rsid w:val="64262541"/>
    <w:rsid w:val="64267CB1"/>
    <w:rsid w:val="642A77A1"/>
    <w:rsid w:val="64322AF9"/>
    <w:rsid w:val="64432611"/>
    <w:rsid w:val="644F7208"/>
    <w:rsid w:val="64575A22"/>
    <w:rsid w:val="64760C38"/>
    <w:rsid w:val="64767005"/>
    <w:rsid w:val="6482294B"/>
    <w:rsid w:val="6488214C"/>
    <w:rsid w:val="648B075A"/>
    <w:rsid w:val="649B4D9E"/>
    <w:rsid w:val="64C319A4"/>
    <w:rsid w:val="64C73242"/>
    <w:rsid w:val="64D771FD"/>
    <w:rsid w:val="64DC353E"/>
    <w:rsid w:val="64E932B4"/>
    <w:rsid w:val="64F349A6"/>
    <w:rsid w:val="651657E5"/>
    <w:rsid w:val="651A6E4E"/>
    <w:rsid w:val="651B43AF"/>
    <w:rsid w:val="6525725C"/>
    <w:rsid w:val="652C7549"/>
    <w:rsid w:val="6534676F"/>
    <w:rsid w:val="654A79CF"/>
    <w:rsid w:val="654D1694"/>
    <w:rsid w:val="654F3237"/>
    <w:rsid w:val="6554084E"/>
    <w:rsid w:val="6555080E"/>
    <w:rsid w:val="655F34E4"/>
    <w:rsid w:val="656942F9"/>
    <w:rsid w:val="656E5DB3"/>
    <w:rsid w:val="65785AF0"/>
    <w:rsid w:val="65815AE7"/>
    <w:rsid w:val="658172A3"/>
    <w:rsid w:val="65907AD8"/>
    <w:rsid w:val="65A417D5"/>
    <w:rsid w:val="65A51C6F"/>
    <w:rsid w:val="65A63496"/>
    <w:rsid w:val="65B17A4E"/>
    <w:rsid w:val="65B772F5"/>
    <w:rsid w:val="65C821F8"/>
    <w:rsid w:val="65D06126"/>
    <w:rsid w:val="65E2783E"/>
    <w:rsid w:val="65EE47FE"/>
    <w:rsid w:val="66057F9E"/>
    <w:rsid w:val="660D2ED6"/>
    <w:rsid w:val="660D737A"/>
    <w:rsid w:val="66216982"/>
    <w:rsid w:val="66287D10"/>
    <w:rsid w:val="66326DE1"/>
    <w:rsid w:val="6635242D"/>
    <w:rsid w:val="6648757E"/>
    <w:rsid w:val="664D4166"/>
    <w:rsid w:val="666B22F3"/>
    <w:rsid w:val="6695111E"/>
    <w:rsid w:val="66A32E5A"/>
    <w:rsid w:val="66A6365F"/>
    <w:rsid w:val="66A84D09"/>
    <w:rsid w:val="66B71094"/>
    <w:rsid w:val="66CD452C"/>
    <w:rsid w:val="66D165FA"/>
    <w:rsid w:val="66D734E4"/>
    <w:rsid w:val="6712276E"/>
    <w:rsid w:val="6716400D"/>
    <w:rsid w:val="67226E55"/>
    <w:rsid w:val="67316939"/>
    <w:rsid w:val="67354F74"/>
    <w:rsid w:val="67386679"/>
    <w:rsid w:val="673B6F12"/>
    <w:rsid w:val="67425DBD"/>
    <w:rsid w:val="674767F4"/>
    <w:rsid w:val="674943E2"/>
    <w:rsid w:val="674C133A"/>
    <w:rsid w:val="674E7C4A"/>
    <w:rsid w:val="67504D09"/>
    <w:rsid w:val="675E2572"/>
    <w:rsid w:val="677149E0"/>
    <w:rsid w:val="677B6476"/>
    <w:rsid w:val="67865CBA"/>
    <w:rsid w:val="678D1A9B"/>
    <w:rsid w:val="678F07BF"/>
    <w:rsid w:val="6796514D"/>
    <w:rsid w:val="679D5205"/>
    <w:rsid w:val="67A22AE5"/>
    <w:rsid w:val="67AF788F"/>
    <w:rsid w:val="67B93CC5"/>
    <w:rsid w:val="67BE25B5"/>
    <w:rsid w:val="67C31A41"/>
    <w:rsid w:val="67CA3270"/>
    <w:rsid w:val="67CF0F6E"/>
    <w:rsid w:val="67DA7596"/>
    <w:rsid w:val="67EA58A6"/>
    <w:rsid w:val="67F24A7A"/>
    <w:rsid w:val="67FD341E"/>
    <w:rsid w:val="68092E60"/>
    <w:rsid w:val="680D4873"/>
    <w:rsid w:val="680E6086"/>
    <w:rsid w:val="6814245C"/>
    <w:rsid w:val="68161EA5"/>
    <w:rsid w:val="68166882"/>
    <w:rsid w:val="68354966"/>
    <w:rsid w:val="684E77D6"/>
    <w:rsid w:val="68525518"/>
    <w:rsid w:val="685272C6"/>
    <w:rsid w:val="68534F68"/>
    <w:rsid w:val="68707784"/>
    <w:rsid w:val="688E4077"/>
    <w:rsid w:val="68917941"/>
    <w:rsid w:val="68A5091F"/>
    <w:rsid w:val="68B8214D"/>
    <w:rsid w:val="68CF0257"/>
    <w:rsid w:val="68D62BFA"/>
    <w:rsid w:val="68D904B7"/>
    <w:rsid w:val="68F1024C"/>
    <w:rsid w:val="68F115C1"/>
    <w:rsid w:val="69006D22"/>
    <w:rsid w:val="691427CE"/>
    <w:rsid w:val="6916723A"/>
    <w:rsid w:val="69171D65"/>
    <w:rsid w:val="692C3FBB"/>
    <w:rsid w:val="692C5D69"/>
    <w:rsid w:val="692E7D33"/>
    <w:rsid w:val="693162EB"/>
    <w:rsid w:val="69380593"/>
    <w:rsid w:val="6941748B"/>
    <w:rsid w:val="69470DF5"/>
    <w:rsid w:val="694C01BA"/>
    <w:rsid w:val="694C3976"/>
    <w:rsid w:val="6954335B"/>
    <w:rsid w:val="69740DF6"/>
    <w:rsid w:val="697E3764"/>
    <w:rsid w:val="697F7722"/>
    <w:rsid w:val="698C3DA0"/>
    <w:rsid w:val="698D0A4F"/>
    <w:rsid w:val="69993B89"/>
    <w:rsid w:val="699E2CB8"/>
    <w:rsid w:val="69AE2C22"/>
    <w:rsid w:val="69AF0748"/>
    <w:rsid w:val="69AF07DF"/>
    <w:rsid w:val="69C15DD3"/>
    <w:rsid w:val="69C266CE"/>
    <w:rsid w:val="69C67F6C"/>
    <w:rsid w:val="69CB0216"/>
    <w:rsid w:val="69E96322"/>
    <w:rsid w:val="69EA1511"/>
    <w:rsid w:val="69FA24DD"/>
    <w:rsid w:val="6A01722F"/>
    <w:rsid w:val="6A100D9B"/>
    <w:rsid w:val="6A153B47"/>
    <w:rsid w:val="6A1862EE"/>
    <w:rsid w:val="6A1B12A1"/>
    <w:rsid w:val="6A1D1B56"/>
    <w:rsid w:val="6A356179"/>
    <w:rsid w:val="6A395CB7"/>
    <w:rsid w:val="6A397A8A"/>
    <w:rsid w:val="6A48228E"/>
    <w:rsid w:val="6A4B66C3"/>
    <w:rsid w:val="6A4C01A2"/>
    <w:rsid w:val="6A4C5F97"/>
    <w:rsid w:val="6A572089"/>
    <w:rsid w:val="6A5F2917"/>
    <w:rsid w:val="6A656347"/>
    <w:rsid w:val="6A684C1D"/>
    <w:rsid w:val="6A717FEA"/>
    <w:rsid w:val="6A7C062B"/>
    <w:rsid w:val="6A883473"/>
    <w:rsid w:val="6A8E65B0"/>
    <w:rsid w:val="6A900014"/>
    <w:rsid w:val="6A9718E1"/>
    <w:rsid w:val="6A9D2766"/>
    <w:rsid w:val="6AA452AE"/>
    <w:rsid w:val="6AA87EC6"/>
    <w:rsid w:val="6AAE53DC"/>
    <w:rsid w:val="6AAF2372"/>
    <w:rsid w:val="6AB3048C"/>
    <w:rsid w:val="6AB75B07"/>
    <w:rsid w:val="6AC24EB3"/>
    <w:rsid w:val="6AC95471"/>
    <w:rsid w:val="6ACC2753"/>
    <w:rsid w:val="6AD00976"/>
    <w:rsid w:val="6AD25B4B"/>
    <w:rsid w:val="6AD40467"/>
    <w:rsid w:val="6AD541DF"/>
    <w:rsid w:val="6ADE3093"/>
    <w:rsid w:val="6AE86979"/>
    <w:rsid w:val="6AF64BE0"/>
    <w:rsid w:val="6AF74155"/>
    <w:rsid w:val="6B0931D0"/>
    <w:rsid w:val="6B2A266B"/>
    <w:rsid w:val="6B503A9E"/>
    <w:rsid w:val="6B59096C"/>
    <w:rsid w:val="6B601CFA"/>
    <w:rsid w:val="6B633598"/>
    <w:rsid w:val="6B686E01"/>
    <w:rsid w:val="6B6D2A72"/>
    <w:rsid w:val="6B7349C4"/>
    <w:rsid w:val="6B74611D"/>
    <w:rsid w:val="6B7632CC"/>
    <w:rsid w:val="6B7B542F"/>
    <w:rsid w:val="6B7E4876"/>
    <w:rsid w:val="6BA674B7"/>
    <w:rsid w:val="6BAD7EB1"/>
    <w:rsid w:val="6BAF26B4"/>
    <w:rsid w:val="6BB118FD"/>
    <w:rsid w:val="6BDC3657"/>
    <w:rsid w:val="6BE13E2B"/>
    <w:rsid w:val="6BE55913"/>
    <w:rsid w:val="6BE725CE"/>
    <w:rsid w:val="6BF506A7"/>
    <w:rsid w:val="6BFE3CEE"/>
    <w:rsid w:val="6C044D7B"/>
    <w:rsid w:val="6C1A00FB"/>
    <w:rsid w:val="6C1A459F"/>
    <w:rsid w:val="6C2531EC"/>
    <w:rsid w:val="6C301CB5"/>
    <w:rsid w:val="6C313697"/>
    <w:rsid w:val="6C461C90"/>
    <w:rsid w:val="6C5609AE"/>
    <w:rsid w:val="6C69212A"/>
    <w:rsid w:val="6C6B0957"/>
    <w:rsid w:val="6C890723"/>
    <w:rsid w:val="6C9E5AF3"/>
    <w:rsid w:val="6CA81596"/>
    <w:rsid w:val="6CCD5647"/>
    <w:rsid w:val="6CCE6C3B"/>
    <w:rsid w:val="6CDD7D34"/>
    <w:rsid w:val="6CDF1345"/>
    <w:rsid w:val="6CEE3336"/>
    <w:rsid w:val="6CF87747"/>
    <w:rsid w:val="6D056FFD"/>
    <w:rsid w:val="6D126BDF"/>
    <w:rsid w:val="6D20190C"/>
    <w:rsid w:val="6D267E2D"/>
    <w:rsid w:val="6D2D3E5E"/>
    <w:rsid w:val="6D323B6A"/>
    <w:rsid w:val="6D3451EC"/>
    <w:rsid w:val="6D3B491B"/>
    <w:rsid w:val="6D5E2269"/>
    <w:rsid w:val="6D7411C9"/>
    <w:rsid w:val="6D815F81"/>
    <w:rsid w:val="6D9738BB"/>
    <w:rsid w:val="6DCF664F"/>
    <w:rsid w:val="6DD15131"/>
    <w:rsid w:val="6DDC6AC5"/>
    <w:rsid w:val="6DF22019"/>
    <w:rsid w:val="6E06524E"/>
    <w:rsid w:val="6E122120"/>
    <w:rsid w:val="6E27137F"/>
    <w:rsid w:val="6E2B2829"/>
    <w:rsid w:val="6E5C7266"/>
    <w:rsid w:val="6E6A0184"/>
    <w:rsid w:val="6E6F5C6F"/>
    <w:rsid w:val="6E700F4D"/>
    <w:rsid w:val="6E7936C1"/>
    <w:rsid w:val="6E7A1786"/>
    <w:rsid w:val="6E7E4DF3"/>
    <w:rsid w:val="6E865F1C"/>
    <w:rsid w:val="6E895A0C"/>
    <w:rsid w:val="6E8D057F"/>
    <w:rsid w:val="6E8F7FD8"/>
    <w:rsid w:val="6E9E3D45"/>
    <w:rsid w:val="6EA0446F"/>
    <w:rsid w:val="6EA6211A"/>
    <w:rsid w:val="6EB3554C"/>
    <w:rsid w:val="6EB56801"/>
    <w:rsid w:val="6EB76D80"/>
    <w:rsid w:val="6EDD3662"/>
    <w:rsid w:val="6EE13152"/>
    <w:rsid w:val="6EEB7B21"/>
    <w:rsid w:val="6EFD5AB2"/>
    <w:rsid w:val="6F1654F2"/>
    <w:rsid w:val="6F192BB7"/>
    <w:rsid w:val="6F285BDD"/>
    <w:rsid w:val="6F2968A7"/>
    <w:rsid w:val="6F2B56B7"/>
    <w:rsid w:val="6F2F65B3"/>
    <w:rsid w:val="6F382D90"/>
    <w:rsid w:val="6F3F60CB"/>
    <w:rsid w:val="6F481423"/>
    <w:rsid w:val="6F4D37EC"/>
    <w:rsid w:val="6F54260F"/>
    <w:rsid w:val="6F5867BA"/>
    <w:rsid w:val="6F6124E5"/>
    <w:rsid w:val="6F7A1C90"/>
    <w:rsid w:val="6F891CC2"/>
    <w:rsid w:val="6F9251B8"/>
    <w:rsid w:val="6F9C52CB"/>
    <w:rsid w:val="6FAC0CA8"/>
    <w:rsid w:val="6FB90004"/>
    <w:rsid w:val="6FD75642"/>
    <w:rsid w:val="6FDC07CF"/>
    <w:rsid w:val="6FDD7DBD"/>
    <w:rsid w:val="6FE76038"/>
    <w:rsid w:val="6FEF6244"/>
    <w:rsid w:val="6FFB7A15"/>
    <w:rsid w:val="70154F16"/>
    <w:rsid w:val="702F13E2"/>
    <w:rsid w:val="703F2826"/>
    <w:rsid w:val="704F3058"/>
    <w:rsid w:val="70506568"/>
    <w:rsid w:val="706A35C0"/>
    <w:rsid w:val="708030C3"/>
    <w:rsid w:val="708807CB"/>
    <w:rsid w:val="70897852"/>
    <w:rsid w:val="708D6526"/>
    <w:rsid w:val="70903135"/>
    <w:rsid w:val="70AE175A"/>
    <w:rsid w:val="70B27A2E"/>
    <w:rsid w:val="70BD199D"/>
    <w:rsid w:val="70C85057"/>
    <w:rsid w:val="70CD7E32"/>
    <w:rsid w:val="70D311C0"/>
    <w:rsid w:val="70DA254F"/>
    <w:rsid w:val="70DF3CE9"/>
    <w:rsid w:val="70DF7B9B"/>
    <w:rsid w:val="710E02D9"/>
    <w:rsid w:val="7112583B"/>
    <w:rsid w:val="711723B5"/>
    <w:rsid w:val="711A294B"/>
    <w:rsid w:val="71211E57"/>
    <w:rsid w:val="712A25D3"/>
    <w:rsid w:val="712A2879"/>
    <w:rsid w:val="71324139"/>
    <w:rsid w:val="713F6856"/>
    <w:rsid w:val="715075E1"/>
    <w:rsid w:val="715250DA"/>
    <w:rsid w:val="71564B52"/>
    <w:rsid w:val="7157078A"/>
    <w:rsid w:val="717209D9"/>
    <w:rsid w:val="717D0A91"/>
    <w:rsid w:val="7189187F"/>
    <w:rsid w:val="718970BB"/>
    <w:rsid w:val="71900938"/>
    <w:rsid w:val="719200DC"/>
    <w:rsid w:val="71A477F6"/>
    <w:rsid w:val="71C9204B"/>
    <w:rsid w:val="71CA611F"/>
    <w:rsid w:val="71DA3C4A"/>
    <w:rsid w:val="71E13831"/>
    <w:rsid w:val="71F31B1A"/>
    <w:rsid w:val="72191323"/>
    <w:rsid w:val="721B50BA"/>
    <w:rsid w:val="722842CA"/>
    <w:rsid w:val="72337769"/>
    <w:rsid w:val="723E118C"/>
    <w:rsid w:val="72435ED2"/>
    <w:rsid w:val="725105EF"/>
    <w:rsid w:val="72594FCC"/>
    <w:rsid w:val="72607257"/>
    <w:rsid w:val="72625F45"/>
    <w:rsid w:val="726814B0"/>
    <w:rsid w:val="72824C4C"/>
    <w:rsid w:val="728E539F"/>
    <w:rsid w:val="72B312A9"/>
    <w:rsid w:val="72BA2638"/>
    <w:rsid w:val="72BE2B3E"/>
    <w:rsid w:val="72E105B2"/>
    <w:rsid w:val="72E83351"/>
    <w:rsid w:val="72EA3982"/>
    <w:rsid w:val="72EB395C"/>
    <w:rsid w:val="73011C04"/>
    <w:rsid w:val="730833A3"/>
    <w:rsid w:val="730A700C"/>
    <w:rsid w:val="730D43BA"/>
    <w:rsid w:val="732D2E0A"/>
    <w:rsid w:val="73440153"/>
    <w:rsid w:val="734B7734"/>
    <w:rsid w:val="734E6B9E"/>
    <w:rsid w:val="735A6894"/>
    <w:rsid w:val="7364026D"/>
    <w:rsid w:val="73700F48"/>
    <w:rsid w:val="739C1D3D"/>
    <w:rsid w:val="73AE76E0"/>
    <w:rsid w:val="73D2575F"/>
    <w:rsid w:val="73D634A1"/>
    <w:rsid w:val="73DD0F17"/>
    <w:rsid w:val="73F26870"/>
    <w:rsid w:val="73F9660C"/>
    <w:rsid w:val="73FC458A"/>
    <w:rsid w:val="74176FCB"/>
    <w:rsid w:val="74331A9D"/>
    <w:rsid w:val="744770FD"/>
    <w:rsid w:val="744F7A10"/>
    <w:rsid w:val="74506029"/>
    <w:rsid w:val="74610C71"/>
    <w:rsid w:val="746E23E4"/>
    <w:rsid w:val="747024DD"/>
    <w:rsid w:val="748B05FB"/>
    <w:rsid w:val="74A47C04"/>
    <w:rsid w:val="74A65DEB"/>
    <w:rsid w:val="74AB7552"/>
    <w:rsid w:val="74C20DE8"/>
    <w:rsid w:val="74D514A1"/>
    <w:rsid w:val="74D80649"/>
    <w:rsid w:val="74DD0860"/>
    <w:rsid w:val="74FD2095"/>
    <w:rsid w:val="74FE5E9E"/>
    <w:rsid w:val="74FE758F"/>
    <w:rsid w:val="75045150"/>
    <w:rsid w:val="7516544D"/>
    <w:rsid w:val="753921CB"/>
    <w:rsid w:val="753A0C44"/>
    <w:rsid w:val="753D4E5A"/>
    <w:rsid w:val="75414D78"/>
    <w:rsid w:val="75422471"/>
    <w:rsid w:val="754F5D1D"/>
    <w:rsid w:val="75502EA8"/>
    <w:rsid w:val="756B594D"/>
    <w:rsid w:val="756D0933"/>
    <w:rsid w:val="756D7B65"/>
    <w:rsid w:val="75706FDE"/>
    <w:rsid w:val="75834F63"/>
    <w:rsid w:val="75921B12"/>
    <w:rsid w:val="759E3B4B"/>
    <w:rsid w:val="75A31924"/>
    <w:rsid w:val="75AB7C69"/>
    <w:rsid w:val="75AD0232"/>
    <w:rsid w:val="75B44542"/>
    <w:rsid w:val="75B8128C"/>
    <w:rsid w:val="75BA2E02"/>
    <w:rsid w:val="75C8506C"/>
    <w:rsid w:val="75E66582"/>
    <w:rsid w:val="75F3382B"/>
    <w:rsid w:val="76040E1E"/>
    <w:rsid w:val="76182EF5"/>
    <w:rsid w:val="7621652A"/>
    <w:rsid w:val="762A3631"/>
    <w:rsid w:val="762B5A60"/>
    <w:rsid w:val="76377A11"/>
    <w:rsid w:val="763D037D"/>
    <w:rsid w:val="764E4D8C"/>
    <w:rsid w:val="765A6FB0"/>
    <w:rsid w:val="76636D5D"/>
    <w:rsid w:val="766762A2"/>
    <w:rsid w:val="766A10B5"/>
    <w:rsid w:val="76925AC3"/>
    <w:rsid w:val="76926135"/>
    <w:rsid w:val="76934353"/>
    <w:rsid w:val="769B0A1B"/>
    <w:rsid w:val="769F134A"/>
    <w:rsid w:val="76A07661"/>
    <w:rsid w:val="76A60744"/>
    <w:rsid w:val="76A6398B"/>
    <w:rsid w:val="76B43911"/>
    <w:rsid w:val="76C54F44"/>
    <w:rsid w:val="76E2201B"/>
    <w:rsid w:val="76E3555D"/>
    <w:rsid w:val="76E41A31"/>
    <w:rsid w:val="76EC6B38"/>
    <w:rsid w:val="771753F8"/>
    <w:rsid w:val="77185787"/>
    <w:rsid w:val="77273E4B"/>
    <w:rsid w:val="77274381"/>
    <w:rsid w:val="77306FF7"/>
    <w:rsid w:val="77446974"/>
    <w:rsid w:val="77461862"/>
    <w:rsid w:val="775F34D3"/>
    <w:rsid w:val="775F730A"/>
    <w:rsid w:val="77626DFA"/>
    <w:rsid w:val="776D1116"/>
    <w:rsid w:val="77732237"/>
    <w:rsid w:val="777623C8"/>
    <w:rsid w:val="77767917"/>
    <w:rsid w:val="777E1FB8"/>
    <w:rsid w:val="77810EB3"/>
    <w:rsid w:val="77862AE9"/>
    <w:rsid w:val="778D20C9"/>
    <w:rsid w:val="779B1FD9"/>
    <w:rsid w:val="77A1790C"/>
    <w:rsid w:val="77A219EE"/>
    <w:rsid w:val="77B00EC4"/>
    <w:rsid w:val="77C63819"/>
    <w:rsid w:val="77C67389"/>
    <w:rsid w:val="77DA64AE"/>
    <w:rsid w:val="77DE7597"/>
    <w:rsid w:val="77E51F05"/>
    <w:rsid w:val="77E975D5"/>
    <w:rsid w:val="77F25274"/>
    <w:rsid w:val="77F55EC0"/>
    <w:rsid w:val="78197E01"/>
    <w:rsid w:val="781A76D5"/>
    <w:rsid w:val="78280CF7"/>
    <w:rsid w:val="783E5301"/>
    <w:rsid w:val="78547948"/>
    <w:rsid w:val="78556207"/>
    <w:rsid w:val="78577CC9"/>
    <w:rsid w:val="78680440"/>
    <w:rsid w:val="787F7A15"/>
    <w:rsid w:val="788A2AAC"/>
    <w:rsid w:val="788F544B"/>
    <w:rsid w:val="78970D25"/>
    <w:rsid w:val="78A804E6"/>
    <w:rsid w:val="78B66174"/>
    <w:rsid w:val="78C40993"/>
    <w:rsid w:val="78C67592"/>
    <w:rsid w:val="78CE3246"/>
    <w:rsid w:val="78D735E5"/>
    <w:rsid w:val="78E55CCA"/>
    <w:rsid w:val="78F341AE"/>
    <w:rsid w:val="78FB5758"/>
    <w:rsid w:val="79053EE1"/>
    <w:rsid w:val="790A315A"/>
    <w:rsid w:val="79167DB5"/>
    <w:rsid w:val="792425B9"/>
    <w:rsid w:val="792720A9"/>
    <w:rsid w:val="79291E47"/>
    <w:rsid w:val="792C3B64"/>
    <w:rsid w:val="792F1162"/>
    <w:rsid w:val="792F6A07"/>
    <w:rsid w:val="79386064"/>
    <w:rsid w:val="794013BD"/>
    <w:rsid w:val="7940316B"/>
    <w:rsid w:val="79421168"/>
    <w:rsid w:val="79426EE3"/>
    <w:rsid w:val="794C38BE"/>
    <w:rsid w:val="794D3C77"/>
    <w:rsid w:val="794D76AB"/>
    <w:rsid w:val="796B643A"/>
    <w:rsid w:val="79701338"/>
    <w:rsid w:val="79747C31"/>
    <w:rsid w:val="797A48CF"/>
    <w:rsid w:val="797A58C2"/>
    <w:rsid w:val="797E3E84"/>
    <w:rsid w:val="79813968"/>
    <w:rsid w:val="798D0A54"/>
    <w:rsid w:val="799628F8"/>
    <w:rsid w:val="799D5C9D"/>
    <w:rsid w:val="79A100AE"/>
    <w:rsid w:val="79A47B9E"/>
    <w:rsid w:val="79A67472"/>
    <w:rsid w:val="79BD2A0E"/>
    <w:rsid w:val="79C92A1A"/>
    <w:rsid w:val="79D20267"/>
    <w:rsid w:val="79F41932"/>
    <w:rsid w:val="79F65A4A"/>
    <w:rsid w:val="7A00611B"/>
    <w:rsid w:val="7A0628BA"/>
    <w:rsid w:val="7A0650F3"/>
    <w:rsid w:val="7A0A5C53"/>
    <w:rsid w:val="7A113F66"/>
    <w:rsid w:val="7A1978C8"/>
    <w:rsid w:val="7A1B7E60"/>
    <w:rsid w:val="7A1E69AD"/>
    <w:rsid w:val="7A38744E"/>
    <w:rsid w:val="7A5B1F99"/>
    <w:rsid w:val="7A6304DA"/>
    <w:rsid w:val="7A702D65"/>
    <w:rsid w:val="7A7B26AD"/>
    <w:rsid w:val="7A94551C"/>
    <w:rsid w:val="7AA94C6A"/>
    <w:rsid w:val="7AAF2356"/>
    <w:rsid w:val="7AB23BF5"/>
    <w:rsid w:val="7AB4097C"/>
    <w:rsid w:val="7ABE5F26"/>
    <w:rsid w:val="7AE41523"/>
    <w:rsid w:val="7AF33D44"/>
    <w:rsid w:val="7AF42AF7"/>
    <w:rsid w:val="7AF4420D"/>
    <w:rsid w:val="7AF54A3B"/>
    <w:rsid w:val="7B046089"/>
    <w:rsid w:val="7B3064EE"/>
    <w:rsid w:val="7B340AAD"/>
    <w:rsid w:val="7B3A2568"/>
    <w:rsid w:val="7B4115BF"/>
    <w:rsid w:val="7B486A3B"/>
    <w:rsid w:val="7B4F7695"/>
    <w:rsid w:val="7B624910"/>
    <w:rsid w:val="7B783090"/>
    <w:rsid w:val="7B886D4A"/>
    <w:rsid w:val="7B8C2698"/>
    <w:rsid w:val="7B9652C4"/>
    <w:rsid w:val="7B9859C3"/>
    <w:rsid w:val="7B990664"/>
    <w:rsid w:val="7B9E687C"/>
    <w:rsid w:val="7BAC73DE"/>
    <w:rsid w:val="7BC12E2F"/>
    <w:rsid w:val="7BC938EC"/>
    <w:rsid w:val="7BD36518"/>
    <w:rsid w:val="7BE2533C"/>
    <w:rsid w:val="7BEE5100"/>
    <w:rsid w:val="7C035347"/>
    <w:rsid w:val="7C0767C6"/>
    <w:rsid w:val="7C0B180E"/>
    <w:rsid w:val="7C14587C"/>
    <w:rsid w:val="7C181E8D"/>
    <w:rsid w:val="7C19262D"/>
    <w:rsid w:val="7C336FB7"/>
    <w:rsid w:val="7C4A7BB4"/>
    <w:rsid w:val="7C58454B"/>
    <w:rsid w:val="7C5C751F"/>
    <w:rsid w:val="7C5D69FE"/>
    <w:rsid w:val="7C5F5139"/>
    <w:rsid w:val="7C6158D2"/>
    <w:rsid w:val="7C650193"/>
    <w:rsid w:val="7C831CEC"/>
    <w:rsid w:val="7C8810B1"/>
    <w:rsid w:val="7C993B28"/>
    <w:rsid w:val="7CB228BE"/>
    <w:rsid w:val="7CB52D2C"/>
    <w:rsid w:val="7CC26415"/>
    <w:rsid w:val="7CC35034"/>
    <w:rsid w:val="7CCD11BA"/>
    <w:rsid w:val="7D0746CC"/>
    <w:rsid w:val="7D1058D6"/>
    <w:rsid w:val="7D1D03C3"/>
    <w:rsid w:val="7D1F37BA"/>
    <w:rsid w:val="7D490AD4"/>
    <w:rsid w:val="7D535567"/>
    <w:rsid w:val="7D6273A6"/>
    <w:rsid w:val="7D6427A9"/>
    <w:rsid w:val="7D697134"/>
    <w:rsid w:val="7D702795"/>
    <w:rsid w:val="7D727D71"/>
    <w:rsid w:val="7D99010C"/>
    <w:rsid w:val="7D9A1279"/>
    <w:rsid w:val="7DA261A2"/>
    <w:rsid w:val="7DB65C8E"/>
    <w:rsid w:val="7DDB1ED2"/>
    <w:rsid w:val="7DDD542C"/>
    <w:rsid w:val="7DE84107"/>
    <w:rsid w:val="7DF13E73"/>
    <w:rsid w:val="7DF21DA0"/>
    <w:rsid w:val="7E044CC8"/>
    <w:rsid w:val="7E111E0F"/>
    <w:rsid w:val="7E2117BD"/>
    <w:rsid w:val="7E364A52"/>
    <w:rsid w:val="7E3B0B09"/>
    <w:rsid w:val="7E411E9B"/>
    <w:rsid w:val="7E4E4224"/>
    <w:rsid w:val="7E5178E1"/>
    <w:rsid w:val="7E541DFA"/>
    <w:rsid w:val="7E6B0570"/>
    <w:rsid w:val="7E71138C"/>
    <w:rsid w:val="7E836594"/>
    <w:rsid w:val="7E99763E"/>
    <w:rsid w:val="7EA63A70"/>
    <w:rsid w:val="7EA73B12"/>
    <w:rsid w:val="7EB01D37"/>
    <w:rsid w:val="7EB97C47"/>
    <w:rsid w:val="7EBB0912"/>
    <w:rsid w:val="7ED87FC7"/>
    <w:rsid w:val="7EE84089"/>
    <w:rsid w:val="7EEE0C91"/>
    <w:rsid w:val="7F090FD1"/>
    <w:rsid w:val="7F1326C2"/>
    <w:rsid w:val="7F1C1F84"/>
    <w:rsid w:val="7F2D4191"/>
    <w:rsid w:val="7F3472CE"/>
    <w:rsid w:val="7F365FC4"/>
    <w:rsid w:val="7F567BAB"/>
    <w:rsid w:val="7F596D35"/>
    <w:rsid w:val="7F6556D9"/>
    <w:rsid w:val="7F67399C"/>
    <w:rsid w:val="7F6C4CBA"/>
    <w:rsid w:val="7F6C769E"/>
    <w:rsid w:val="7F6F6558"/>
    <w:rsid w:val="7F706297"/>
    <w:rsid w:val="7F737DF6"/>
    <w:rsid w:val="7F76500E"/>
    <w:rsid w:val="7F7B5E1A"/>
    <w:rsid w:val="7F7D7FCA"/>
    <w:rsid w:val="7F872246"/>
    <w:rsid w:val="7F8D1710"/>
    <w:rsid w:val="7F9B559F"/>
    <w:rsid w:val="7FA266A9"/>
    <w:rsid w:val="7FA93818"/>
    <w:rsid w:val="7FB75C0F"/>
    <w:rsid w:val="7FC24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qFormat="1" w:uiPriority="99" w:semiHidden="0" w:name="Body Text 3"/>
    <w:lsdException w:qFormat="1" w:unhideWhenUsed="0" w:uiPriority="0" w:semiHidden="0"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keepNext/>
      <w:keepLines/>
      <w:spacing w:line="576" w:lineRule="auto"/>
      <w:outlineLvl w:val="0"/>
    </w:pPr>
    <w:rPr>
      <w:b/>
      <w:kern w:val="44"/>
      <w:sz w:val="44"/>
    </w:rPr>
  </w:style>
  <w:style w:type="paragraph" w:styleId="3">
    <w:name w:val="heading 2"/>
    <w:basedOn w:val="1"/>
    <w:autoRedefine/>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autoRedefine/>
    <w:unhideWhenUsed/>
    <w:qFormat/>
    <w:uiPriority w:val="9"/>
    <w:pPr>
      <w:spacing w:before="100" w:beforeAutospacing="1" w:after="100" w:afterAutospacing="1"/>
      <w:jc w:val="left"/>
      <w:outlineLvl w:val="2"/>
    </w:pPr>
    <w:rPr>
      <w:rFonts w:ascii="宋体" w:hAnsi="宋体"/>
      <w:b/>
      <w:kern w:val="0"/>
      <w:sz w:val="27"/>
      <w:szCs w:val="27"/>
    </w:rPr>
  </w:style>
  <w:style w:type="character" w:default="1" w:styleId="31">
    <w:name w:val="Default Paragraph Font"/>
    <w:autoRedefine/>
    <w:unhideWhenUsed/>
    <w:qFormat/>
    <w:uiPriority w:val="1"/>
  </w:style>
  <w:style w:type="table" w:default="1" w:styleId="29">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firstLineChars="200"/>
    </w:pPr>
  </w:style>
  <w:style w:type="paragraph" w:styleId="6">
    <w:name w:val="toc 4"/>
    <w:basedOn w:val="1"/>
    <w:next w:val="1"/>
    <w:qFormat/>
    <w:uiPriority w:val="0"/>
    <w:pPr>
      <w:ind w:left="1260" w:leftChars="600"/>
    </w:pPr>
  </w:style>
  <w:style w:type="paragraph" w:styleId="7">
    <w:name w:val="annotation text"/>
    <w:basedOn w:val="1"/>
    <w:link w:val="70"/>
    <w:autoRedefine/>
    <w:unhideWhenUsed/>
    <w:qFormat/>
    <w:uiPriority w:val="99"/>
    <w:pPr>
      <w:jc w:val="left"/>
    </w:pPr>
  </w:style>
  <w:style w:type="paragraph" w:styleId="8">
    <w:name w:val="Body Text 3"/>
    <w:basedOn w:val="1"/>
    <w:autoRedefine/>
    <w:unhideWhenUsed/>
    <w:qFormat/>
    <w:uiPriority w:val="99"/>
    <w:rPr>
      <w:rFonts w:ascii="宋体"/>
      <w:sz w:val="24"/>
      <w:szCs w:val="20"/>
    </w:rPr>
  </w:style>
  <w:style w:type="paragraph" w:styleId="9">
    <w:name w:val="Body Text"/>
    <w:basedOn w:val="1"/>
    <w:next w:val="10"/>
    <w:link w:val="62"/>
    <w:autoRedefine/>
    <w:unhideWhenUsed/>
    <w:qFormat/>
    <w:uiPriority w:val="99"/>
    <w:pPr>
      <w:widowControl/>
      <w:spacing w:before="100" w:beforeAutospacing="1" w:after="100" w:afterAutospacing="1" w:line="285" w:lineRule="atLeast"/>
      <w:jc w:val="left"/>
    </w:pPr>
    <w:rPr>
      <w:rFonts w:ascii="宋体" w:hAnsi="宋体" w:cs="宋体"/>
      <w:color w:val="000000"/>
      <w:kern w:val="0"/>
      <w:sz w:val="16"/>
      <w:szCs w:val="16"/>
    </w:rPr>
  </w:style>
  <w:style w:type="paragraph" w:styleId="10">
    <w:name w:val="Body Text 2"/>
    <w:basedOn w:val="1"/>
    <w:link w:val="49"/>
    <w:autoRedefine/>
    <w:unhideWhenUsed/>
    <w:qFormat/>
    <w:uiPriority w:val="99"/>
    <w:pPr>
      <w:widowControl/>
      <w:spacing w:before="100" w:beforeAutospacing="1" w:after="100" w:afterAutospacing="1" w:line="285" w:lineRule="atLeast"/>
      <w:jc w:val="left"/>
    </w:pPr>
    <w:rPr>
      <w:rFonts w:ascii="宋体" w:hAnsi="宋体" w:cs="宋体"/>
      <w:color w:val="000000"/>
      <w:kern w:val="0"/>
      <w:sz w:val="16"/>
      <w:szCs w:val="16"/>
    </w:rPr>
  </w:style>
  <w:style w:type="paragraph" w:styleId="11">
    <w:name w:val="Body Text Indent"/>
    <w:basedOn w:val="1"/>
    <w:next w:val="12"/>
    <w:link w:val="57"/>
    <w:autoRedefine/>
    <w:unhideWhenUsed/>
    <w:qFormat/>
    <w:uiPriority w:val="99"/>
    <w:pPr>
      <w:widowControl/>
      <w:spacing w:before="100" w:beforeAutospacing="1" w:after="100" w:afterAutospacing="1" w:line="285" w:lineRule="atLeast"/>
      <w:jc w:val="left"/>
    </w:pPr>
    <w:rPr>
      <w:rFonts w:ascii="宋体" w:hAnsi="宋体" w:cs="宋体"/>
      <w:color w:val="000000"/>
      <w:kern w:val="0"/>
      <w:sz w:val="16"/>
      <w:szCs w:val="16"/>
    </w:rPr>
  </w:style>
  <w:style w:type="paragraph" w:styleId="12">
    <w:name w:val="envelope return"/>
    <w:basedOn w:val="1"/>
    <w:autoRedefine/>
    <w:qFormat/>
    <w:uiPriority w:val="0"/>
    <w:pPr>
      <w:snapToGrid w:val="0"/>
    </w:pPr>
    <w:rPr>
      <w:rFonts w:ascii="Arial" w:hAnsi="Arial"/>
    </w:rPr>
  </w:style>
  <w:style w:type="paragraph" w:styleId="13">
    <w:name w:val="toc 3"/>
    <w:basedOn w:val="1"/>
    <w:next w:val="1"/>
    <w:autoRedefine/>
    <w:unhideWhenUsed/>
    <w:qFormat/>
    <w:uiPriority w:val="39"/>
    <w:pPr>
      <w:ind w:left="840" w:leftChars="400"/>
    </w:pPr>
  </w:style>
  <w:style w:type="paragraph" w:styleId="14">
    <w:name w:val="Plain Text"/>
    <w:basedOn w:val="1"/>
    <w:next w:val="1"/>
    <w:autoRedefine/>
    <w:qFormat/>
    <w:uiPriority w:val="0"/>
    <w:rPr>
      <w:rFonts w:ascii="宋体" w:hAnsi="Courier New"/>
      <w:szCs w:val="20"/>
    </w:rPr>
  </w:style>
  <w:style w:type="paragraph" w:styleId="15">
    <w:name w:val="Date"/>
    <w:basedOn w:val="1"/>
    <w:next w:val="1"/>
    <w:link w:val="61"/>
    <w:autoRedefine/>
    <w:unhideWhenUsed/>
    <w:qFormat/>
    <w:uiPriority w:val="99"/>
    <w:pPr>
      <w:widowControl/>
      <w:spacing w:before="100" w:beforeAutospacing="1" w:after="100" w:afterAutospacing="1" w:line="285" w:lineRule="atLeast"/>
      <w:jc w:val="left"/>
    </w:pPr>
    <w:rPr>
      <w:rFonts w:ascii="宋体" w:hAnsi="宋体" w:cs="宋体"/>
      <w:color w:val="000000"/>
      <w:kern w:val="0"/>
      <w:sz w:val="16"/>
      <w:szCs w:val="16"/>
    </w:rPr>
  </w:style>
  <w:style w:type="paragraph" w:styleId="16">
    <w:name w:val="Body Text Indent 2"/>
    <w:basedOn w:val="1"/>
    <w:autoRedefine/>
    <w:qFormat/>
    <w:uiPriority w:val="0"/>
    <w:pPr>
      <w:spacing w:line="360" w:lineRule="auto"/>
      <w:ind w:firstLine="480" w:firstLineChars="200"/>
    </w:pPr>
    <w:rPr>
      <w:rFonts w:ascii="幼圆" w:hAnsi="宋体" w:eastAsia="幼圆"/>
      <w:color w:val="FF0000"/>
      <w:sz w:val="24"/>
    </w:rPr>
  </w:style>
  <w:style w:type="paragraph" w:styleId="17">
    <w:name w:val="Balloon Text"/>
    <w:basedOn w:val="1"/>
    <w:link w:val="72"/>
    <w:autoRedefine/>
    <w:unhideWhenUsed/>
    <w:qFormat/>
    <w:uiPriority w:val="99"/>
    <w:rPr>
      <w:sz w:val="18"/>
      <w:szCs w:val="18"/>
    </w:rPr>
  </w:style>
  <w:style w:type="paragraph" w:styleId="18">
    <w:name w:val="footer"/>
    <w:basedOn w:val="1"/>
    <w:autoRedefine/>
    <w:unhideWhenUsed/>
    <w:qFormat/>
    <w:uiPriority w:val="99"/>
    <w:pPr>
      <w:tabs>
        <w:tab w:val="center" w:pos="4153"/>
        <w:tab w:val="right" w:pos="8306"/>
      </w:tabs>
      <w:snapToGrid w:val="0"/>
      <w:jc w:val="left"/>
    </w:pPr>
    <w:rPr>
      <w:sz w:val="18"/>
    </w:rPr>
  </w:style>
  <w:style w:type="paragraph" w:styleId="19">
    <w:name w:val="header"/>
    <w:basedOn w:val="1"/>
    <w:link w:val="60"/>
    <w:autoRedefine/>
    <w:unhideWhenUsed/>
    <w:qFormat/>
    <w:uiPriority w:val="99"/>
    <w:pPr>
      <w:widowControl/>
      <w:spacing w:before="100" w:beforeAutospacing="1" w:after="100" w:afterAutospacing="1" w:line="285" w:lineRule="atLeast"/>
      <w:jc w:val="left"/>
    </w:pPr>
    <w:rPr>
      <w:rFonts w:ascii="宋体" w:hAnsi="宋体" w:cs="宋体"/>
      <w:color w:val="000000"/>
      <w:kern w:val="0"/>
      <w:sz w:val="16"/>
      <w:szCs w:val="16"/>
    </w:rPr>
  </w:style>
  <w:style w:type="paragraph" w:styleId="20">
    <w:name w:val="toc 1"/>
    <w:basedOn w:val="1"/>
    <w:next w:val="1"/>
    <w:autoRedefine/>
    <w:unhideWhenUsed/>
    <w:qFormat/>
    <w:uiPriority w:val="39"/>
  </w:style>
  <w:style w:type="paragraph" w:styleId="21">
    <w:name w:val="Body Text Indent 3"/>
    <w:basedOn w:val="1"/>
    <w:link w:val="59"/>
    <w:autoRedefine/>
    <w:unhideWhenUsed/>
    <w:qFormat/>
    <w:uiPriority w:val="99"/>
    <w:pPr>
      <w:widowControl/>
      <w:spacing w:before="100" w:beforeAutospacing="1" w:after="100" w:afterAutospacing="1" w:line="285" w:lineRule="atLeast"/>
      <w:jc w:val="left"/>
    </w:pPr>
    <w:rPr>
      <w:rFonts w:ascii="宋体" w:hAnsi="宋体" w:cs="宋体"/>
      <w:color w:val="000000"/>
      <w:kern w:val="0"/>
      <w:sz w:val="16"/>
      <w:szCs w:val="16"/>
    </w:rPr>
  </w:style>
  <w:style w:type="paragraph" w:styleId="22">
    <w:name w:val="table of figures"/>
    <w:basedOn w:val="1"/>
    <w:next w:val="1"/>
    <w:autoRedefine/>
    <w:unhideWhenUsed/>
    <w:qFormat/>
    <w:uiPriority w:val="99"/>
    <w:pPr>
      <w:ind w:left="200" w:leftChars="200" w:hanging="200" w:hangingChars="200"/>
    </w:pPr>
  </w:style>
  <w:style w:type="paragraph" w:styleId="23">
    <w:name w:val="toc 2"/>
    <w:basedOn w:val="1"/>
    <w:next w:val="1"/>
    <w:autoRedefine/>
    <w:unhideWhenUsed/>
    <w:qFormat/>
    <w:uiPriority w:val="39"/>
    <w:pPr>
      <w:ind w:left="420" w:leftChars="200"/>
    </w:pPr>
  </w:style>
  <w:style w:type="paragraph" w:styleId="24">
    <w:name w:val="Normal (Web)"/>
    <w:basedOn w:val="1"/>
    <w:autoRedefine/>
    <w:unhideWhenUsed/>
    <w:qFormat/>
    <w:uiPriority w:val="99"/>
    <w:pPr>
      <w:spacing w:before="100" w:beforeAutospacing="1" w:after="100" w:afterAutospacing="1"/>
      <w:jc w:val="left"/>
    </w:pPr>
    <w:rPr>
      <w:kern w:val="0"/>
      <w:sz w:val="24"/>
    </w:rPr>
  </w:style>
  <w:style w:type="paragraph" w:styleId="25">
    <w:name w:val="Title"/>
    <w:basedOn w:val="1"/>
    <w:next w:val="1"/>
    <w:autoRedefine/>
    <w:qFormat/>
    <w:uiPriority w:val="0"/>
    <w:pPr>
      <w:widowControl/>
      <w:spacing w:before="240" w:after="60"/>
      <w:jc w:val="center"/>
      <w:outlineLvl w:val="0"/>
    </w:pPr>
    <w:rPr>
      <w:rFonts w:ascii="Cambria" w:hAnsi="Cambria" w:cs="Times New Roman"/>
      <w:b/>
      <w:bCs/>
      <w:kern w:val="28"/>
      <w:sz w:val="32"/>
      <w:szCs w:val="32"/>
    </w:rPr>
  </w:style>
  <w:style w:type="paragraph" w:styleId="26">
    <w:name w:val="annotation subject"/>
    <w:basedOn w:val="7"/>
    <w:next w:val="7"/>
    <w:link w:val="71"/>
    <w:autoRedefine/>
    <w:unhideWhenUsed/>
    <w:qFormat/>
    <w:uiPriority w:val="99"/>
    <w:rPr>
      <w:b/>
      <w:bCs/>
    </w:rPr>
  </w:style>
  <w:style w:type="paragraph" w:styleId="27">
    <w:name w:val="Body Text First Indent"/>
    <w:basedOn w:val="9"/>
    <w:autoRedefine/>
    <w:unhideWhenUsed/>
    <w:qFormat/>
    <w:uiPriority w:val="99"/>
    <w:pPr>
      <w:ind w:firstLine="420" w:firstLineChars="100"/>
    </w:pPr>
  </w:style>
  <w:style w:type="paragraph" w:styleId="28">
    <w:name w:val="Body Text First Indent 2"/>
    <w:basedOn w:val="11"/>
    <w:next w:val="9"/>
    <w:autoRedefine/>
    <w:unhideWhenUsed/>
    <w:qFormat/>
    <w:uiPriority w:val="99"/>
    <w:pPr>
      <w:spacing w:after="120"/>
      <w:ind w:left="420" w:leftChars="200" w:firstLine="420" w:firstLineChars="200"/>
    </w:pPr>
    <w:rPr>
      <w:rFonts w:ascii="Times New Roman" w:hAnsi="Times New Roman"/>
      <w:sz w:val="21"/>
    </w:rPr>
  </w:style>
  <w:style w:type="table" w:styleId="30">
    <w:name w:val="Table Grid"/>
    <w:basedOn w:val="2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autoRedefine/>
    <w:qFormat/>
    <w:uiPriority w:val="22"/>
    <w:rPr>
      <w:b/>
      <w:bCs/>
    </w:rPr>
  </w:style>
  <w:style w:type="character" w:styleId="33">
    <w:name w:val="page number"/>
    <w:basedOn w:val="31"/>
    <w:autoRedefine/>
    <w:qFormat/>
    <w:uiPriority w:val="0"/>
  </w:style>
  <w:style w:type="character" w:styleId="34">
    <w:name w:val="FollowedHyperlink"/>
    <w:basedOn w:val="31"/>
    <w:autoRedefine/>
    <w:unhideWhenUsed/>
    <w:qFormat/>
    <w:uiPriority w:val="99"/>
    <w:rPr>
      <w:color w:val="333333"/>
      <w:u w:val="none"/>
    </w:rPr>
  </w:style>
  <w:style w:type="character" w:styleId="35">
    <w:name w:val="Emphasis"/>
    <w:basedOn w:val="31"/>
    <w:autoRedefine/>
    <w:qFormat/>
    <w:uiPriority w:val="20"/>
  </w:style>
  <w:style w:type="character" w:styleId="36">
    <w:name w:val="HTML Definition"/>
    <w:basedOn w:val="31"/>
    <w:autoRedefine/>
    <w:unhideWhenUsed/>
    <w:qFormat/>
    <w:uiPriority w:val="99"/>
    <w:rPr>
      <w:sz w:val="20"/>
      <w:szCs w:val="20"/>
    </w:rPr>
  </w:style>
  <w:style w:type="character" w:styleId="37">
    <w:name w:val="HTML Typewriter"/>
    <w:basedOn w:val="31"/>
    <w:autoRedefine/>
    <w:unhideWhenUsed/>
    <w:qFormat/>
    <w:uiPriority w:val="99"/>
    <w:rPr>
      <w:rFonts w:hint="default" w:ascii="monospace" w:hAnsi="monospace" w:eastAsia="monospace" w:cs="monospace"/>
      <w:sz w:val="20"/>
    </w:rPr>
  </w:style>
  <w:style w:type="character" w:styleId="38">
    <w:name w:val="HTML Acronym"/>
    <w:basedOn w:val="31"/>
    <w:autoRedefine/>
    <w:unhideWhenUsed/>
    <w:qFormat/>
    <w:uiPriority w:val="99"/>
  </w:style>
  <w:style w:type="character" w:styleId="39">
    <w:name w:val="HTML Variable"/>
    <w:basedOn w:val="31"/>
    <w:autoRedefine/>
    <w:unhideWhenUsed/>
    <w:qFormat/>
    <w:uiPriority w:val="99"/>
  </w:style>
  <w:style w:type="character" w:styleId="40">
    <w:name w:val="Hyperlink"/>
    <w:basedOn w:val="31"/>
    <w:autoRedefine/>
    <w:unhideWhenUsed/>
    <w:qFormat/>
    <w:uiPriority w:val="99"/>
    <w:rPr>
      <w:color w:val="333333"/>
      <w:u w:val="none"/>
    </w:rPr>
  </w:style>
  <w:style w:type="character" w:styleId="41">
    <w:name w:val="HTML Code"/>
    <w:basedOn w:val="31"/>
    <w:autoRedefine/>
    <w:unhideWhenUsed/>
    <w:qFormat/>
    <w:uiPriority w:val="99"/>
    <w:rPr>
      <w:rFonts w:hint="default" w:ascii="Menlo" w:hAnsi="Menlo" w:eastAsia="Menlo" w:cs="Menlo"/>
      <w:color w:val="C7254E"/>
      <w:sz w:val="21"/>
      <w:szCs w:val="21"/>
      <w:shd w:val="clear" w:color="auto" w:fill="F9F2F4"/>
    </w:rPr>
  </w:style>
  <w:style w:type="character" w:styleId="42">
    <w:name w:val="annotation reference"/>
    <w:basedOn w:val="31"/>
    <w:autoRedefine/>
    <w:unhideWhenUsed/>
    <w:qFormat/>
    <w:uiPriority w:val="99"/>
    <w:rPr>
      <w:sz w:val="21"/>
      <w:szCs w:val="21"/>
    </w:rPr>
  </w:style>
  <w:style w:type="character" w:styleId="43">
    <w:name w:val="HTML Cite"/>
    <w:basedOn w:val="31"/>
    <w:autoRedefine/>
    <w:unhideWhenUsed/>
    <w:qFormat/>
    <w:uiPriority w:val="99"/>
  </w:style>
  <w:style w:type="character" w:styleId="44">
    <w:name w:val="HTML Keyboard"/>
    <w:basedOn w:val="31"/>
    <w:autoRedefine/>
    <w:unhideWhenUsed/>
    <w:qFormat/>
    <w:uiPriority w:val="99"/>
    <w:rPr>
      <w:rFonts w:hint="default" w:ascii="Menlo" w:hAnsi="Menlo" w:eastAsia="Menlo" w:cs="Menlo"/>
      <w:color w:val="FFFFFF"/>
      <w:sz w:val="21"/>
      <w:szCs w:val="21"/>
      <w:shd w:val="clear" w:color="auto" w:fill="333333"/>
    </w:rPr>
  </w:style>
  <w:style w:type="character" w:styleId="45">
    <w:name w:val="HTML Sample"/>
    <w:basedOn w:val="31"/>
    <w:autoRedefine/>
    <w:unhideWhenUsed/>
    <w:qFormat/>
    <w:uiPriority w:val="99"/>
    <w:rPr>
      <w:rFonts w:ascii="Menlo" w:hAnsi="Menlo" w:eastAsia="Menlo" w:cs="Menlo"/>
      <w:sz w:val="21"/>
      <w:szCs w:val="21"/>
    </w:rPr>
  </w:style>
  <w:style w:type="paragraph" w:customStyle="1" w:styleId="46">
    <w:name w:val="Normal Indent1"/>
    <w:qFormat/>
    <w:uiPriority w:val="0"/>
    <w:pPr>
      <w:widowControl w:val="0"/>
      <w:spacing w:line="660" w:lineRule="exact"/>
      <w:ind w:firstLine="720" w:firstLineChars="200"/>
      <w:jc w:val="both"/>
    </w:pPr>
    <w:rPr>
      <w:rFonts w:ascii="Calibri" w:hAnsi="Calibri" w:eastAsia="楷体_GB2312" w:cs="Times New Roman"/>
      <w:kern w:val="2"/>
      <w:sz w:val="21"/>
      <w:szCs w:val="24"/>
      <w:lang w:val="en-US" w:eastAsia="zh-CN" w:bidi="ar-SA"/>
    </w:rPr>
  </w:style>
  <w:style w:type="paragraph" w:customStyle="1" w:styleId="47">
    <w:name w:val="正文缩进1"/>
    <w:basedOn w:val="1"/>
    <w:autoRedefine/>
    <w:qFormat/>
    <w:uiPriority w:val="0"/>
    <w:pPr>
      <w:ind w:firstLine="420" w:firstLineChars="200"/>
    </w:pPr>
  </w:style>
  <w:style w:type="paragraph" w:customStyle="1" w:styleId="48">
    <w:name w:val="列出段落1"/>
    <w:basedOn w:val="1"/>
    <w:autoRedefine/>
    <w:qFormat/>
    <w:uiPriority w:val="34"/>
    <w:pPr>
      <w:ind w:firstLine="420" w:firstLineChars="200"/>
    </w:pPr>
    <w:rPr>
      <w:szCs w:val="20"/>
    </w:rPr>
  </w:style>
  <w:style w:type="character" w:customStyle="1" w:styleId="49">
    <w:name w:val="正文文本 2 Char"/>
    <w:basedOn w:val="31"/>
    <w:link w:val="10"/>
    <w:autoRedefine/>
    <w:semiHidden/>
    <w:qFormat/>
    <w:uiPriority w:val="99"/>
    <w:rPr>
      <w:rFonts w:ascii="宋体" w:hAnsi="宋体" w:eastAsia="宋体" w:cs="宋体"/>
      <w:color w:val="000000"/>
      <w:kern w:val="0"/>
      <w:sz w:val="16"/>
      <w:szCs w:val="16"/>
    </w:rPr>
  </w:style>
  <w:style w:type="character" w:customStyle="1" w:styleId="50">
    <w:name w:val="hour_am"/>
    <w:basedOn w:val="31"/>
    <w:autoRedefine/>
    <w:qFormat/>
    <w:uiPriority w:val="0"/>
  </w:style>
  <w:style w:type="character" w:customStyle="1" w:styleId="51">
    <w:name w:val="tmpztreemove_arrow"/>
    <w:basedOn w:val="31"/>
    <w:autoRedefine/>
    <w:qFormat/>
    <w:uiPriority w:val="0"/>
    <w:rPr>
      <w:shd w:val="clear" w:color="auto" w:fill="FFFFFF"/>
    </w:rPr>
  </w:style>
  <w:style w:type="character" w:customStyle="1" w:styleId="52">
    <w:name w:val="button"/>
    <w:basedOn w:val="31"/>
    <w:autoRedefine/>
    <w:qFormat/>
    <w:uiPriority w:val="0"/>
  </w:style>
  <w:style w:type="character" w:customStyle="1" w:styleId="53">
    <w:name w:val="hover3"/>
    <w:basedOn w:val="31"/>
    <w:autoRedefine/>
    <w:qFormat/>
    <w:uiPriority w:val="0"/>
    <w:rPr>
      <w:shd w:val="clear" w:color="auto" w:fill="EEEEEE"/>
    </w:rPr>
  </w:style>
  <w:style w:type="character" w:customStyle="1" w:styleId="54">
    <w:name w:val="glyphicon4"/>
    <w:basedOn w:val="31"/>
    <w:autoRedefine/>
    <w:qFormat/>
    <w:uiPriority w:val="0"/>
  </w:style>
  <w:style w:type="character" w:customStyle="1" w:styleId="55">
    <w:name w:val="hour_pm"/>
    <w:basedOn w:val="31"/>
    <w:autoRedefine/>
    <w:qFormat/>
    <w:uiPriority w:val="0"/>
  </w:style>
  <w:style w:type="character" w:customStyle="1" w:styleId="56">
    <w:name w:val="old"/>
    <w:basedOn w:val="31"/>
    <w:autoRedefine/>
    <w:qFormat/>
    <w:uiPriority w:val="0"/>
    <w:rPr>
      <w:color w:val="999999"/>
    </w:rPr>
  </w:style>
  <w:style w:type="character" w:customStyle="1" w:styleId="57">
    <w:name w:val="正文文本缩进 Char"/>
    <w:basedOn w:val="31"/>
    <w:link w:val="11"/>
    <w:autoRedefine/>
    <w:semiHidden/>
    <w:qFormat/>
    <w:uiPriority w:val="99"/>
    <w:rPr>
      <w:rFonts w:ascii="宋体" w:hAnsi="宋体" w:eastAsia="宋体" w:cs="宋体"/>
      <w:color w:val="000000"/>
      <w:kern w:val="0"/>
      <w:sz w:val="16"/>
      <w:szCs w:val="16"/>
    </w:rPr>
  </w:style>
  <w:style w:type="character" w:customStyle="1" w:styleId="58">
    <w:name w:val="indent"/>
    <w:basedOn w:val="31"/>
    <w:autoRedefine/>
    <w:qFormat/>
    <w:uiPriority w:val="0"/>
  </w:style>
  <w:style w:type="character" w:customStyle="1" w:styleId="59">
    <w:name w:val="正文文本缩进 3 Char"/>
    <w:basedOn w:val="31"/>
    <w:link w:val="21"/>
    <w:autoRedefine/>
    <w:semiHidden/>
    <w:qFormat/>
    <w:uiPriority w:val="99"/>
    <w:rPr>
      <w:rFonts w:ascii="宋体" w:hAnsi="宋体" w:eastAsia="宋体" w:cs="宋体"/>
      <w:color w:val="000000"/>
      <w:kern w:val="0"/>
      <w:sz w:val="16"/>
      <w:szCs w:val="16"/>
    </w:rPr>
  </w:style>
  <w:style w:type="character" w:customStyle="1" w:styleId="60">
    <w:name w:val="页眉 Char"/>
    <w:basedOn w:val="31"/>
    <w:link w:val="19"/>
    <w:autoRedefine/>
    <w:semiHidden/>
    <w:qFormat/>
    <w:uiPriority w:val="99"/>
    <w:rPr>
      <w:rFonts w:ascii="宋体" w:hAnsi="宋体" w:eastAsia="宋体" w:cs="宋体"/>
      <w:color w:val="000000"/>
      <w:kern w:val="0"/>
      <w:sz w:val="16"/>
      <w:szCs w:val="16"/>
    </w:rPr>
  </w:style>
  <w:style w:type="character" w:customStyle="1" w:styleId="61">
    <w:name w:val="日期 Char"/>
    <w:basedOn w:val="31"/>
    <w:link w:val="15"/>
    <w:autoRedefine/>
    <w:semiHidden/>
    <w:qFormat/>
    <w:uiPriority w:val="99"/>
    <w:rPr>
      <w:rFonts w:ascii="宋体" w:hAnsi="宋体" w:eastAsia="宋体" w:cs="宋体"/>
      <w:color w:val="000000"/>
      <w:kern w:val="0"/>
      <w:sz w:val="16"/>
      <w:szCs w:val="16"/>
    </w:rPr>
  </w:style>
  <w:style w:type="character" w:customStyle="1" w:styleId="62">
    <w:name w:val="正文文本 Char"/>
    <w:basedOn w:val="31"/>
    <w:link w:val="9"/>
    <w:autoRedefine/>
    <w:semiHidden/>
    <w:qFormat/>
    <w:uiPriority w:val="99"/>
    <w:rPr>
      <w:rFonts w:ascii="宋体" w:hAnsi="宋体" w:eastAsia="宋体" w:cs="宋体"/>
      <w:color w:val="000000"/>
      <w:kern w:val="0"/>
      <w:sz w:val="16"/>
      <w:szCs w:val="16"/>
    </w:rPr>
  </w:style>
  <w:style w:type="paragraph" w:customStyle="1" w:styleId="63">
    <w:name w:val="WPSOffice手动目录 1"/>
    <w:autoRedefine/>
    <w:qFormat/>
    <w:uiPriority w:val="0"/>
    <w:rPr>
      <w:rFonts w:ascii="Calibri Light" w:hAnsi="Calibri Light" w:eastAsia="华文仿宋" w:cs="Times New Roman"/>
      <w:lang w:val="en-US" w:eastAsia="zh-CN" w:bidi="ar-SA"/>
    </w:rPr>
  </w:style>
  <w:style w:type="paragraph" w:customStyle="1" w:styleId="64">
    <w:name w:val="表头"/>
    <w:basedOn w:val="1"/>
    <w:autoRedefine/>
    <w:qFormat/>
    <w:uiPriority w:val="0"/>
    <w:pPr>
      <w:adjustRightInd w:val="0"/>
      <w:spacing w:before="60" w:after="60" w:line="420" w:lineRule="atLeast"/>
      <w:jc w:val="left"/>
      <w:textAlignment w:val="baseline"/>
    </w:pPr>
    <w:rPr>
      <w:rFonts w:ascii="黑体" w:eastAsia="黑体"/>
      <w:b/>
      <w:kern w:val="0"/>
      <w:szCs w:val="20"/>
    </w:rPr>
  </w:style>
  <w:style w:type="paragraph" w:customStyle="1" w:styleId="65">
    <w:name w:val="正文（缩进 2 字符）"/>
    <w:basedOn w:val="1"/>
    <w:autoRedefine/>
    <w:qFormat/>
    <w:uiPriority w:val="0"/>
    <w:pPr>
      <w:ind w:firstLine="200" w:firstLineChars="200"/>
    </w:pPr>
  </w:style>
  <w:style w:type="paragraph" w:customStyle="1" w:styleId="66">
    <w:name w:val="Table Paragraph"/>
    <w:basedOn w:val="1"/>
    <w:autoRedefine/>
    <w:qFormat/>
    <w:uiPriority w:val="1"/>
    <w:rPr>
      <w:rFonts w:ascii="Noto Sans Mono CJK JP Regular" w:hAnsi="Noto Sans Mono CJK JP Regular" w:eastAsia="Noto Sans Mono CJK JP Regular" w:cs="Noto Sans Mono CJK JP Regular"/>
    </w:rPr>
  </w:style>
  <w:style w:type="paragraph" w:customStyle="1" w:styleId="67">
    <w:name w:val="xl36"/>
    <w:basedOn w:val="1"/>
    <w:autoRedefine/>
    <w:qFormat/>
    <w:uiPriority w:val="0"/>
    <w:pPr>
      <w:widowControl/>
      <w:spacing w:before="100" w:after="100"/>
      <w:jc w:val="center"/>
    </w:pPr>
    <w:rPr>
      <w:rFonts w:hint="eastAsia" w:ascii="宋体" w:hAnsi="宋体"/>
      <w:kern w:val="0"/>
      <w:sz w:val="24"/>
    </w:rPr>
  </w:style>
  <w:style w:type="paragraph" w:customStyle="1" w:styleId="68">
    <w:name w:val="正文 New"/>
    <w:autoRedefine/>
    <w:qFormat/>
    <w:uiPriority w:val="99"/>
    <w:pPr>
      <w:widowControl w:val="0"/>
      <w:jc w:val="both"/>
    </w:pPr>
    <w:rPr>
      <w:rFonts w:ascii="Calibri" w:hAnsi="Calibri" w:eastAsia="宋体" w:cs="Times New Roman"/>
      <w:lang w:val="en-US" w:eastAsia="zh-CN" w:bidi="ar-SA"/>
    </w:rPr>
  </w:style>
  <w:style w:type="paragraph" w:customStyle="1" w:styleId="69">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70">
    <w:name w:val="批注文字 Char"/>
    <w:basedOn w:val="31"/>
    <w:link w:val="7"/>
    <w:autoRedefine/>
    <w:semiHidden/>
    <w:qFormat/>
    <w:uiPriority w:val="99"/>
    <w:rPr>
      <w:rFonts w:ascii="Calibri" w:hAnsi="Calibri"/>
      <w:kern w:val="2"/>
      <w:sz w:val="21"/>
      <w:szCs w:val="22"/>
    </w:rPr>
  </w:style>
  <w:style w:type="character" w:customStyle="1" w:styleId="71">
    <w:name w:val="批注主题 Char"/>
    <w:basedOn w:val="70"/>
    <w:link w:val="26"/>
    <w:autoRedefine/>
    <w:semiHidden/>
    <w:qFormat/>
    <w:uiPriority w:val="99"/>
    <w:rPr>
      <w:rFonts w:ascii="Calibri" w:hAnsi="Calibri"/>
      <w:b/>
      <w:bCs/>
      <w:kern w:val="2"/>
      <w:sz w:val="21"/>
      <w:szCs w:val="22"/>
    </w:rPr>
  </w:style>
  <w:style w:type="character" w:customStyle="1" w:styleId="72">
    <w:name w:val="批注框文本 Char"/>
    <w:basedOn w:val="31"/>
    <w:link w:val="17"/>
    <w:autoRedefine/>
    <w:semiHidden/>
    <w:qFormat/>
    <w:uiPriority w:val="99"/>
    <w:rPr>
      <w:rFonts w:ascii="Calibri" w:hAnsi="Calibri"/>
      <w:kern w:val="2"/>
      <w:sz w:val="18"/>
      <w:szCs w:val="18"/>
    </w:rPr>
  </w:style>
  <w:style w:type="paragraph" w:customStyle="1" w:styleId="73">
    <w:name w:val="*正文"/>
    <w:basedOn w:val="1"/>
    <w:autoRedefine/>
    <w:qFormat/>
    <w:uiPriority w:val="0"/>
    <w:pPr>
      <w:widowControl/>
      <w:spacing w:line="360" w:lineRule="auto"/>
      <w:ind w:firstLine="200" w:firstLineChars="200"/>
      <w:jc w:val="left"/>
    </w:pPr>
    <w:rPr>
      <w:rFonts w:ascii="仿宋_GB2312"/>
      <w:kern w:val="0"/>
      <w:sz w:val="24"/>
      <w:szCs w:val="28"/>
    </w:rPr>
  </w:style>
  <w:style w:type="paragraph" w:customStyle="1" w:styleId="74">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75">
    <w:name w:val="Char111"/>
    <w:basedOn w:val="1"/>
    <w:autoRedefine/>
    <w:qFormat/>
    <w:uiPriority w:val="0"/>
    <w:pPr>
      <w:widowControl/>
      <w:spacing w:after="160" w:line="240" w:lineRule="exact"/>
      <w:jc w:val="left"/>
    </w:pPr>
    <w:rPr>
      <w:rFonts w:ascii="Tahoma" w:hAnsi="Tahoma"/>
      <w:kern w:val="0"/>
      <w:sz w:val="24"/>
      <w:lang w:eastAsia="en-US"/>
    </w:rPr>
  </w:style>
  <w:style w:type="paragraph" w:styleId="76">
    <w:name w:val="List Paragraph"/>
    <w:basedOn w:val="1"/>
    <w:autoRedefine/>
    <w:qFormat/>
    <w:uiPriority w:val="99"/>
    <w:pPr>
      <w:ind w:firstLine="420" w:firstLineChars="200"/>
    </w:pPr>
  </w:style>
  <w:style w:type="paragraph" w:customStyle="1" w:styleId="77">
    <w:name w:val="p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78">
    <w:name w:val="font81"/>
    <w:basedOn w:val="31"/>
    <w:autoRedefine/>
    <w:qFormat/>
    <w:uiPriority w:val="0"/>
    <w:rPr>
      <w:rFonts w:hint="eastAsia" w:ascii="宋体" w:hAnsi="宋体" w:eastAsia="宋体" w:cs="宋体"/>
      <w:color w:val="000000"/>
      <w:sz w:val="20"/>
      <w:szCs w:val="20"/>
      <w:u w:val="none"/>
      <w:vertAlign w:val="superscript"/>
    </w:rPr>
  </w:style>
  <w:style w:type="character" w:customStyle="1" w:styleId="79">
    <w:name w:val="font51"/>
    <w:basedOn w:val="31"/>
    <w:autoRedefine/>
    <w:qFormat/>
    <w:uiPriority w:val="0"/>
    <w:rPr>
      <w:rFonts w:hint="eastAsia" w:ascii="宋体" w:hAnsi="宋体" w:eastAsia="宋体" w:cs="宋体"/>
      <w:color w:val="000000"/>
      <w:sz w:val="20"/>
      <w:szCs w:val="20"/>
      <w:u w:val="none"/>
      <w:vertAlign w:val="superscript"/>
    </w:rPr>
  </w:style>
  <w:style w:type="character" w:customStyle="1" w:styleId="80">
    <w:name w:val="font61"/>
    <w:basedOn w:val="31"/>
    <w:autoRedefine/>
    <w:qFormat/>
    <w:uiPriority w:val="0"/>
    <w:rPr>
      <w:rFonts w:hint="eastAsia" w:ascii="宋体" w:hAnsi="宋体" w:eastAsia="宋体" w:cs="宋体"/>
      <w:color w:val="000000"/>
      <w:sz w:val="20"/>
      <w:szCs w:val="20"/>
      <w:u w:val="none"/>
    </w:rPr>
  </w:style>
  <w:style w:type="paragraph" w:customStyle="1" w:styleId="81">
    <w:name w:val="普通正文"/>
    <w:basedOn w:val="1"/>
    <w:autoRedefine/>
    <w:qFormat/>
    <w:uiPriority w:val="0"/>
    <w:pPr>
      <w:adjustRightInd w:val="0"/>
      <w:spacing w:before="120" w:after="120" w:line="360" w:lineRule="auto"/>
      <w:ind w:firstLine="480"/>
      <w:jc w:val="left"/>
    </w:pPr>
    <w:rPr>
      <w:rFonts w:ascii="Arial" w:hAnsi="Arial"/>
      <w:kern w:val="0"/>
      <w:sz w:val="28"/>
      <w:szCs w:val="24"/>
    </w:rPr>
  </w:style>
  <w:style w:type="paragraph" w:customStyle="1" w:styleId="82">
    <w:name w:val="目录"/>
    <w:basedOn w:val="1"/>
    <w:autoRedefine/>
    <w:qFormat/>
    <w:uiPriority w:val="0"/>
    <w:pPr>
      <w:widowControl/>
      <w:spacing w:line="240" w:lineRule="auto"/>
      <w:jc w:val="center"/>
    </w:pPr>
    <w:rPr>
      <w:rFonts w:ascii="宋体"/>
      <w:b/>
      <w:kern w:val="0"/>
      <w:sz w:val="36"/>
      <w:szCs w:val="20"/>
    </w:rPr>
  </w:style>
  <w:style w:type="character" w:customStyle="1" w:styleId="83">
    <w:name w:val="font31"/>
    <w:basedOn w:val="31"/>
    <w:autoRedefine/>
    <w:qFormat/>
    <w:uiPriority w:val="0"/>
    <w:rPr>
      <w:rFonts w:hint="eastAsia" w:ascii="宋体" w:hAnsi="宋体" w:eastAsia="宋体" w:cs="宋体"/>
      <w:color w:val="000000"/>
      <w:sz w:val="20"/>
      <w:szCs w:val="20"/>
      <w:u w:val="single"/>
    </w:rPr>
  </w:style>
  <w:style w:type="character" w:customStyle="1" w:styleId="84">
    <w:name w:val="font141"/>
    <w:basedOn w:val="31"/>
    <w:autoRedefine/>
    <w:qFormat/>
    <w:uiPriority w:val="0"/>
    <w:rPr>
      <w:rFonts w:hint="default" w:ascii="Times New Roman" w:hAnsi="Times New Roman" w:cs="Times New Roman"/>
      <w:color w:val="000000"/>
      <w:sz w:val="18"/>
      <w:szCs w:val="18"/>
      <w:u w:val="none"/>
    </w:rPr>
  </w:style>
  <w:style w:type="character" w:customStyle="1" w:styleId="85">
    <w:name w:val="font101"/>
    <w:basedOn w:val="31"/>
    <w:autoRedefine/>
    <w:qFormat/>
    <w:uiPriority w:val="0"/>
    <w:rPr>
      <w:rFonts w:hint="eastAsia" w:ascii="宋体" w:hAnsi="宋体" w:eastAsia="宋体" w:cs="宋体"/>
      <w:color w:val="000000"/>
      <w:sz w:val="18"/>
      <w:szCs w:val="18"/>
      <w:u w:val="none"/>
    </w:rPr>
  </w:style>
  <w:style w:type="character" w:customStyle="1" w:styleId="86">
    <w:name w:val="font151"/>
    <w:basedOn w:val="31"/>
    <w:autoRedefine/>
    <w:qFormat/>
    <w:uiPriority w:val="0"/>
    <w:rPr>
      <w:rFonts w:hint="eastAsia" w:ascii="宋体" w:hAnsi="宋体" w:eastAsia="宋体" w:cs="宋体"/>
      <w:color w:val="000000"/>
      <w:sz w:val="22"/>
      <w:szCs w:val="22"/>
      <w:u w:val="none"/>
    </w:rPr>
  </w:style>
  <w:style w:type="character" w:customStyle="1" w:styleId="87">
    <w:name w:val="font161"/>
    <w:basedOn w:val="31"/>
    <w:autoRedefine/>
    <w:qFormat/>
    <w:uiPriority w:val="0"/>
    <w:rPr>
      <w:rFonts w:hint="default" w:ascii="Times New Roman" w:hAnsi="Times New Roman" w:cs="Times New Roman"/>
      <w:b/>
      <w:bCs/>
      <w:color w:val="000000"/>
      <w:sz w:val="18"/>
      <w:szCs w:val="18"/>
      <w:u w:val="none"/>
    </w:rPr>
  </w:style>
  <w:style w:type="character" w:customStyle="1" w:styleId="88">
    <w:name w:val="font171"/>
    <w:basedOn w:val="31"/>
    <w:autoRedefine/>
    <w:qFormat/>
    <w:uiPriority w:val="0"/>
    <w:rPr>
      <w:rFonts w:hint="eastAsia" w:ascii="宋体" w:hAnsi="宋体" w:eastAsia="宋体" w:cs="宋体"/>
      <w:b/>
      <w:bCs/>
      <w:color w:val="000000"/>
      <w:sz w:val="18"/>
      <w:szCs w:val="18"/>
      <w:u w:val="none"/>
    </w:rPr>
  </w:style>
  <w:style w:type="character" w:customStyle="1" w:styleId="89">
    <w:name w:val="font11"/>
    <w:basedOn w:val="31"/>
    <w:autoRedefine/>
    <w:qFormat/>
    <w:uiPriority w:val="0"/>
    <w:rPr>
      <w:rFonts w:hint="eastAsia" w:ascii="宋体" w:hAnsi="宋体" w:eastAsia="宋体" w:cs="宋体"/>
      <w:color w:val="000000"/>
      <w:sz w:val="20"/>
      <w:szCs w:val="20"/>
      <w:u w:val="none"/>
    </w:rPr>
  </w:style>
  <w:style w:type="character" w:customStyle="1" w:styleId="90">
    <w:name w:val="font41"/>
    <w:basedOn w:val="31"/>
    <w:autoRedefine/>
    <w:qFormat/>
    <w:uiPriority w:val="0"/>
    <w:rPr>
      <w:rFonts w:hint="eastAsia" w:ascii="宋体" w:hAnsi="宋体" w:eastAsia="宋体" w:cs="宋体"/>
      <w:color w:val="000000"/>
      <w:sz w:val="20"/>
      <w:szCs w:val="20"/>
      <w:u w:val="none"/>
    </w:rPr>
  </w:style>
  <w:style w:type="character" w:customStyle="1" w:styleId="91">
    <w:name w:val="font71"/>
    <w:basedOn w:val="31"/>
    <w:autoRedefine/>
    <w:qFormat/>
    <w:uiPriority w:val="0"/>
    <w:rPr>
      <w:rFonts w:hint="eastAsia" w:ascii="宋体" w:hAnsi="宋体" w:eastAsia="宋体" w:cs="宋体"/>
      <w:color w:val="000000"/>
      <w:sz w:val="20"/>
      <w:szCs w:val="20"/>
      <w:u w:val="single"/>
    </w:rPr>
  </w:style>
  <w:style w:type="character" w:customStyle="1" w:styleId="92">
    <w:name w:val="font91"/>
    <w:basedOn w:val="31"/>
    <w:autoRedefine/>
    <w:qFormat/>
    <w:uiPriority w:val="0"/>
    <w:rPr>
      <w:rFonts w:hint="eastAsia" w:ascii="宋体" w:hAnsi="宋体" w:eastAsia="宋体" w:cs="宋体"/>
      <w:color w:val="000000"/>
      <w:sz w:val="20"/>
      <w:szCs w:val="20"/>
      <w:u w:val="single"/>
    </w:rPr>
  </w:style>
  <w:style w:type="character" w:customStyle="1" w:styleId="93">
    <w:name w:val="font01"/>
    <w:basedOn w:val="31"/>
    <w:autoRedefine/>
    <w:qFormat/>
    <w:uiPriority w:val="0"/>
    <w:rPr>
      <w:rFonts w:ascii="Arial" w:hAnsi="Arial" w:cs="Arial"/>
      <w:color w:val="000000"/>
      <w:sz w:val="20"/>
      <w:szCs w:val="20"/>
      <w:u w:val="none"/>
    </w:rPr>
  </w:style>
  <w:style w:type="character" w:customStyle="1" w:styleId="94">
    <w:name w:val="NormalCharacter"/>
    <w:qFormat/>
    <w:uiPriority w:val="0"/>
    <w:rPr>
      <w:kern w:val="2"/>
      <w:sz w:val="21"/>
      <w:szCs w:val="22"/>
      <w:lang w:val="en-US" w:eastAsia="zh-CN" w:bidi="ar-SA"/>
    </w:rPr>
  </w:style>
  <w:style w:type="paragraph" w:customStyle="1" w:styleId="95">
    <w:name w:val="Default"/>
    <w:qFormat/>
    <w:uiPriority w:val="0"/>
    <w:pPr>
      <w:widowControl w:val="0"/>
      <w:autoSpaceDE w:val="0"/>
      <w:autoSpaceDN w:val="0"/>
      <w:adjustRightInd w:val="0"/>
    </w:pPr>
    <w:rPr>
      <w:rFonts w:ascii="Segoe UI" w:hAnsi="Segoe UI" w:eastAsia="宋体" w:cs="Segoe U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B9211D-82A7-4E24-872C-727D0662701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100</Pages>
  <Words>10758</Words>
  <Characters>11964</Characters>
  <Lines>236</Lines>
  <Paragraphs>66</Paragraphs>
  <TotalTime>7</TotalTime>
  <ScaleCrop>false</ScaleCrop>
  <LinksUpToDate>false</LinksUpToDate>
  <CharactersWithSpaces>12116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2019-06-06T07:09:00Z</dcterms:created>
  <dc:creator>USER</dc:creator>
  <cp:lastModifiedBy>微信用户</cp:lastModifiedBy>
  <cp:lastPrinted>2026-03-26T01:43:00Z</cp:lastPrinted>
  <dcterms:modified xsi:type="dcterms:W3CDTF">2026-04-29T00:29:26Z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10E7F606649D4B0699A5697CF1961565_13</vt:lpwstr>
  </property>
  <property fmtid="{D5CDD505-2E9C-101B-9397-08002B2CF9AE}" pid="4" name="KSOTemplateDocerSaveRecord">
    <vt:lpwstr>eyJoZGlkIjoiMGZlYzEyZGZiZGQ2ZTRjOWZkZDE4ZGMyYTY2ZmNkNWQiLCJ1c2VySWQiOiIxMjEzNjgwNTI4In0=</vt:lpwstr>
  </property>
</Properties>
</file>