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05F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000000"/>
          <w:kern w:val="0"/>
          <w:sz w:val="28"/>
          <w:szCs w:val="28"/>
          <w:lang w:val="en-US" w:eastAsia="zh-CN" w:bidi="ar"/>
        </w:rPr>
      </w:pPr>
      <w:bookmarkStart w:id="0" w:name="_GoBack"/>
      <w:r>
        <w:rPr>
          <w:rFonts w:hint="eastAsia" w:ascii="仿宋" w:hAnsi="仿宋" w:eastAsia="仿宋" w:cs="仿宋"/>
          <w:b/>
          <w:bCs/>
          <w:color w:val="000000"/>
          <w:kern w:val="0"/>
          <w:sz w:val="28"/>
          <w:szCs w:val="28"/>
          <w:lang w:val="en-US" w:eastAsia="zh-CN" w:bidi="ar"/>
        </w:rPr>
        <w:t>采购需求</w:t>
      </w:r>
    </w:p>
    <w:bookmarkEnd w:id="0"/>
    <w:p w14:paraId="36DA4B8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一、项目概况 </w:t>
      </w:r>
    </w:p>
    <w:p w14:paraId="5726E0B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sz w:val="22"/>
          <w:szCs w:val="22"/>
        </w:rPr>
      </w:pPr>
      <w:r>
        <w:rPr>
          <w:rFonts w:hint="eastAsia" w:ascii="仿宋" w:hAnsi="仿宋" w:eastAsia="仿宋" w:cs="仿宋"/>
          <w:color w:val="000000"/>
          <w:kern w:val="0"/>
          <w:sz w:val="22"/>
          <w:szCs w:val="22"/>
          <w:lang w:val="en-US" w:eastAsia="zh-CN" w:bidi="ar"/>
        </w:rPr>
        <w:t xml:space="preserve">建设规模：对 4个二级风险点 G108线 K1436+975崩塌、K1441+315崩塌；G210线 K1320+550崩塌、K1321+450崩塌风险点进行勘察设计工作。 </w:t>
      </w:r>
    </w:p>
    <w:p w14:paraId="49C0AE0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技术标准：按现行相关技术标准执行。 </w:t>
      </w:r>
    </w:p>
    <w:p w14:paraId="637FA43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勘察设计范围及内容：方案设计、施工图设计及后续相关服务</w:t>
      </w:r>
    </w:p>
    <w:p w14:paraId="131C642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二、适用规范标准 </w:t>
      </w:r>
    </w:p>
    <w:p w14:paraId="251C377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本工程的勘察设计过程和成果必须符合国家有关工程建设标准强制性条文和交 通运输部关于公路勘察设计方面现行的标准、规范、规程、定额、办法、示例以及招标项目所在地关于公路工程勘察设计方面的文件、规定。 </w:t>
      </w:r>
    </w:p>
    <w:p w14:paraId="1FA7D2C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设计人在勘察设计工作中使用或参考上述标准、规范以外的技术标准、规范时，应征得发包人或发包人指定代表人的同意。 </w:t>
      </w:r>
    </w:p>
    <w:p w14:paraId="6CEF60C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在设计过程中，如果国家或有关部门颁布了新的技术标准或规范，则设计人应 采用新的标准或规范进行勘察设计。 </w:t>
      </w:r>
    </w:p>
    <w:p w14:paraId="708F13A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设计人在勘察设计工作中必须使用中华人民共和国《工程建设标准强制性条文》 （公路工程部分）和下述标准、规范（不限于）：</w:t>
      </w:r>
    </w:p>
    <w:p w14:paraId="0A7966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1.（JTG B01-2014） 《公路工程技术标准》 </w:t>
      </w:r>
    </w:p>
    <w:p w14:paraId="78DE6F8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2.（JTJ 002-87）《公路工程名词术语》 </w:t>
      </w:r>
    </w:p>
    <w:p w14:paraId="5119AE9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3.（JTJ003-86）《公路自然区划标准》 </w:t>
      </w:r>
    </w:p>
    <w:p w14:paraId="67C6E6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4.（JTG/TB02-01-2008） 《公路桥梁抗震设计细则》 </w:t>
      </w:r>
    </w:p>
    <w:p w14:paraId="739EACC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5.（JTG B03-2006）《公路建设项目环境影响评价规范》 </w:t>
      </w:r>
    </w:p>
    <w:p w14:paraId="4BEB6F3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6.（JTG B04-2010） 《公路环境保护设计规范》 </w:t>
      </w:r>
    </w:p>
    <w:p w14:paraId="3D8E507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7.（JTG C10-2007）《公路勘测规范》 </w:t>
      </w:r>
    </w:p>
    <w:p w14:paraId="39CCE8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8.（JTG C20-2011）《公路工程地质勘察规范》 </w:t>
      </w:r>
    </w:p>
    <w:p w14:paraId="254532A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9.（JTG C30-2015） 《公路工程水文勘测设计规范》 </w:t>
      </w:r>
    </w:p>
    <w:p w14:paraId="01C44E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10.（JTG 3430—2020） 《公路土工试验规程》 </w:t>
      </w:r>
    </w:p>
    <w:p w14:paraId="7B2AC8E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11.（JTG D20-2017）《公路路线设计规范》 </w:t>
      </w:r>
    </w:p>
    <w:p w14:paraId="6F5157D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12．（JTG/TD21-2014）《公路立体交叉设计细则》 </w:t>
      </w:r>
    </w:p>
    <w:p w14:paraId="56E95B3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13.（JTG D30-2015）《公路路基设计规范》 </w:t>
      </w:r>
    </w:p>
    <w:p w14:paraId="23ADF8C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14.（JTG D50-2017） 《公路沥青路面设计规范》 </w:t>
      </w:r>
    </w:p>
    <w:p w14:paraId="0ECA7E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15.（JTG D40-2011） 《公路水泥混凝土路面设计规范》 </w:t>
      </w:r>
    </w:p>
    <w:p w14:paraId="5D96A60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16．（JTG/T D33-2012） 《公路排水设计规范》 </w:t>
      </w:r>
    </w:p>
    <w:p w14:paraId="7D41EC0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17.（JTG D60-2015） 《公路桥涵设计通用规范》 </w:t>
      </w:r>
    </w:p>
    <w:p w14:paraId="2FAE8FF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18.（JTG D61-2005） 《公路圬工桥涵设计规范》 </w:t>
      </w:r>
    </w:p>
    <w:p w14:paraId="7E2A5B6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19.（JTG 3362-2018） 《公路钢筋混凝土及预应力混凝土桥涵设计规范》 </w:t>
      </w:r>
    </w:p>
    <w:p w14:paraId="4C68E9D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20.（JTG 3363-2019） 《公路桥涵地基与基础设计规范》 </w:t>
      </w:r>
    </w:p>
    <w:p w14:paraId="6034602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21.（JTG D64-2015） 《公路钢结构桥梁设计规范》 </w:t>
      </w:r>
    </w:p>
    <w:p w14:paraId="203CE9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22.（JTG 3370.1-2018） 《公路隧道设计规范 第一册 土建工程》 </w:t>
      </w:r>
    </w:p>
    <w:p w14:paraId="6ED4428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23.（JTG D70/2-2014） 《公路隧道设计规范 第二册 交通工程与附属设施》 </w:t>
      </w:r>
    </w:p>
    <w:p w14:paraId="356771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24.（JTG/TD70/2-01-2014 ）《公路隧道照明设计细则》 </w:t>
      </w:r>
    </w:p>
    <w:p w14:paraId="232E732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25.（JTG/TD70/2-02-2014 ） 《公路隧道通风设计细则》 </w:t>
      </w:r>
    </w:p>
    <w:p w14:paraId="5C20DFF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26.（JTG D81-2017） 《公路交通安全设施设计规范》 </w:t>
      </w:r>
    </w:p>
    <w:p w14:paraId="5A6EAEB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27.（JTG/TD81-2017） 《公路交通安全设施设计细则》 </w:t>
      </w:r>
    </w:p>
    <w:p w14:paraId="4CB36A9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28.（JTG/TB07-01-2006 ） 《公路工程混凝土结构防腐蚀技术规范》 </w:t>
      </w:r>
    </w:p>
    <w:p w14:paraId="4872CC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29.（JTG B05-2015） 《公路项目安全性评价规范》 </w:t>
      </w:r>
    </w:p>
    <w:p w14:paraId="726DD3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30.（GB/T 50283-99） 《公路工程结构可靠度设计统一标准》 </w:t>
      </w:r>
    </w:p>
    <w:p w14:paraId="1F894F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31.（GB50162-92） 《道路工程制图标准》 </w:t>
      </w:r>
    </w:p>
    <w:p w14:paraId="5EF32A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32.（交公路发[2007]358 号）《公路工程基本建设项目设计文件编制办法》 </w:t>
      </w:r>
    </w:p>
    <w:p w14:paraId="7330A03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33.（JTG/T3830-2018）《公路工程基本建设项目概算预算编制办法》 </w:t>
      </w:r>
    </w:p>
    <w:p w14:paraId="2A85335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34.（JTG/T3831-2018）《公路工程概算定额》 </w:t>
      </w:r>
    </w:p>
    <w:p w14:paraId="1DF6CE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35.（JTG/T3832-2018） 《公路工程预算定额》</w:t>
      </w:r>
    </w:p>
    <w:p w14:paraId="2FB5A5E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36.（JTG/T3833-2018） 《公路工程机械台班费用定额》 </w:t>
      </w:r>
    </w:p>
    <w:p w14:paraId="4D8A1E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37.（建标[1999]278 号） 《公路建设项目用地指标》 </w:t>
      </w:r>
    </w:p>
    <w:p w14:paraId="42105B7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38.（JTG/TC10-2007） 《公路勘测细则》 </w:t>
      </w:r>
    </w:p>
    <w:p w14:paraId="01E509F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39.（GB/T 20257.1-2017）《1：500 1：1000 1：2000 地形图图式》 </w:t>
      </w:r>
    </w:p>
    <w:p w14:paraId="19E4E01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 xml:space="preserve">40.（GB/T 13923-2022） 《基础地理信息要素分类与代码》三、成果文件要求 </w:t>
      </w:r>
    </w:p>
    <w:p w14:paraId="7C64C0E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1. 成果文件的组成：勘察设计说明、图纸等；</w:t>
      </w:r>
    </w:p>
    <w:p w14:paraId="6DD67DA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2. 成果文件的深度：交通运输部及有关部门要求的勘察设计深度；</w:t>
      </w:r>
    </w:p>
    <w:p w14:paraId="67FDB53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3. 成果文件的格式要求：装订成册；</w:t>
      </w:r>
    </w:p>
    <w:p w14:paraId="317F4E2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 xml:space="preserve">4. 成果文件的份数要求：纸质版3份、电子版1份； </w:t>
      </w:r>
    </w:p>
    <w:p w14:paraId="18337AC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5. 成果文件的载体要求：</w:t>
      </w:r>
    </w:p>
    <w:p w14:paraId="2A460CE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（1）纸质版的要求：图纸A3、预算A4；</w:t>
      </w:r>
    </w:p>
    <w:p w14:paraId="1B8EA1F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（2）电子版的要求：PDF；</w:t>
      </w:r>
    </w:p>
    <w:p w14:paraId="0EECAC7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sz w:val="22"/>
          <w:szCs w:val="22"/>
        </w:rPr>
      </w:pPr>
      <w:r>
        <w:rPr>
          <w:rFonts w:hint="eastAsia" w:ascii="仿宋" w:hAnsi="仿宋" w:eastAsia="仿宋" w:cs="仿宋"/>
          <w:color w:val="000000"/>
          <w:kern w:val="0"/>
          <w:sz w:val="22"/>
          <w:szCs w:val="22"/>
          <w:lang w:val="en-US" w:eastAsia="zh-CN" w:bidi="ar"/>
        </w:rPr>
        <w:t>（3）其他要求：无；</w:t>
      </w:r>
    </w:p>
    <w:p w14:paraId="4A24CA4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b w:val="0"/>
          <w:bCs w:val="0"/>
          <w:sz w:val="22"/>
          <w:szCs w:val="22"/>
          <w:highlight w:val="none"/>
        </w:rPr>
      </w:pPr>
      <w:r>
        <w:rPr>
          <w:rFonts w:hint="eastAsia" w:ascii="仿宋" w:hAnsi="仿宋" w:eastAsia="仿宋" w:cs="仿宋"/>
          <w:b w:val="0"/>
          <w:bCs w:val="0"/>
          <w:color w:val="000000"/>
          <w:kern w:val="0"/>
          <w:sz w:val="22"/>
          <w:szCs w:val="22"/>
          <w:highlight w:val="none"/>
          <w:lang w:val="en-US" w:eastAsia="zh-CN" w:bidi="ar"/>
        </w:rPr>
        <w:t>6. 成果文件的其他要求：分别提交地质勘探，方案设计，施工图设计相关资料。</w:t>
      </w:r>
    </w:p>
    <w:p w14:paraId="5E797E26">
      <w:pPr>
        <w:keepNext w:val="0"/>
        <w:keepLines w:val="0"/>
        <w:pageBreakBefore w:val="0"/>
        <w:kinsoku/>
        <w:wordWrap/>
        <w:overflowPunct/>
        <w:topLinePunct w:val="0"/>
        <w:autoSpaceDE/>
        <w:autoSpaceDN/>
        <w:bidi w:val="0"/>
        <w:adjustRightInd/>
        <w:snapToGrid/>
        <w:spacing w:line="360" w:lineRule="auto"/>
        <w:ind w:left="0" w:leftChars="0" w:firstLine="440" w:firstLineChars="200"/>
        <w:textAlignment w:val="auto"/>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四、其他要求：</w:t>
      </w:r>
    </w:p>
    <w:p w14:paraId="785C3B7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40" w:firstLineChars="200"/>
        <w:jc w:val="left"/>
        <w:textAlignment w:val="auto"/>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成交人应充分预计到可能的安全风险对工作人员、设备仪器等造成的意外事件，安全责任由成交人全权负责。实际结算金额＝项目最终批复金额×（</w:t>
      </w:r>
      <w:r>
        <w:rPr>
          <w:rFonts w:hint="default" w:ascii="仿宋" w:hAnsi="仿宋" w:eastAsia="仿宋" w:cs="仿宋"/>
          <w:color w:val="000000"/>
          <w:kern w:val="0"/>
          <w:sz w:val="22"/>
          <w:szCs w:val="22"/>
          <w:lang w:val="en-US" w:eastAsia="zh-CN" w:bidi="ar"/>
        </w:rPr>
        <w:t>1-</w:t>
      </w:r>
      <w:r>
        <w:rPr>
          <w:rFonts w:hint="eastAsia" w:ascii="仿宋" w:hAnsi="仿宋" w:eastAsia="仿宋" w:cs="仿宋"/>
          <w:color w:val="000000"/>
          <w:kern w:val="0"/>
          <w:sz w:val="22"/>
          <w:szCs w:val="22"/>
          <w:lang w:val="en-US" w:eastAsia="zh-CN" w:bidi="ar"/>
        </w:rPr>
        <w:t>成交供应商下浮率），最终结算金额不超过</w:t>
      </w:r>
      <w:r>
        <w:rPr>
          <w:rFonts w:hint="default" w:ascii="仿宋" w:hAnsi="仿宋" w:eastAsia="仿宋" w:cs="仿宋"/>
          <w:color w:val="000000"/>
          <w:kern w:val="0"/>
          <w:sz w:val="22"/>
          <w:szCs w:val="22"/>
          <w:lang w:val="en-US" w:eastAsia="zh-CN" w:bidi="ar"/>
        </w:rPr>
        <w:t>900000</w:t>
      </w:r>
      <w:r>
        <w:rPr>
          <w:rFonts w:hint="eastAsia" w:ascii="仿宋" w:hAnsi="仿宋" w:eastAsia="仿宋" w:cs="仿宋"/>
          <w:color w:val="000000"/>
          <w:kern w:val="0"/>
          <w:sz w:val="22"/>
          <w:szCs w:val="22"/>
          <w:lang w:val="en-US" w:eastAsia="zh-CN" w:bidi="ar"/>
        </w:rPr>
        <w:t>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51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2026-05-12T08:07:45Z</dcterms:created>
  <dc:creator>DRZB</dc:creator>
  <cp:lastModifiedBy>zl</cp:lastModifiedBy>
  <dcterms:modified xsi:type="dcterms:W3CDTF">2026-05-12T08:08:12Z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eyJoZGlkIjoiYTFiMDNiZWQ5MWQxMjIzYjU0MTBhYTU0MzhiYWE1ZmUiLCJ1c2VySWQiOiIyNzQ5OTcwMTQifQ==</vt:lpwstr>
  </property>
  <property fmtid="{D5CDD505-2E9C-101B-9397-08002B2CF9AE}" pid="4" name="ICV">
    <vt:lpwstr>A69C510012E94986A80047899F817FFB_12</vt:lpwstr>
  </property>
</Properties>
</file>