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4F5C">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eastAsia="zh-CN" w:bidi="ar"/>
        </w:rPr>
        <w:t>三官庙镇南湾岭村七组水毁道路维修项目</w:t>
      </w:r>
      <w:r>
        <w:rPr>
          <w:rFonts w:hint="eastAsia" w:ascii="宋体" w:hAnsi="宋体" w:cs="宋体"/>
          <w:b/>
          <w:color w:val="000000"/>
          <w:kern w:val="0"/>
          <w:sz w:val="32"/>
          <w:szCs w:val="32"/>
          <w:highlight w:val="none"/>
          <w:lang w:val="en-US" w:eastAsia="zh-CN" w:bidi="ar"/>
        </w:rPr>
        <w:t>-</w:t>
      </w:r>
      <w:r>
        <w:rPr>
          <w:rFonts w:hint="eastAsia" w:ascii="宋体" w:hAnsi="宋体" w:cs="宋体"/>
          <w:b/>
          <w:color w:val="000000"/>
          <w:kern w:val="0"/>
          <w:sz w:val="32"/>
          <w:szCs w:val="32"/>
          <w:highlight w:val="none"/>
          <w:lang w:bidi="ar"/>
        </w:rPr>
        <w:t>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14:paraId="4468358E">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4B23">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8792">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D75FA">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14:paraId="25FC2BEA">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D76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13D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D2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661,000.00</w:t>
            </w:r>
            <w:r>
              <w:rPr>
                <w:rFonts w:hint="eastAsia" w:ascii="宋体" w:hAnsi="宋体" w:cs="宋体"/>
                <w:color w:val="auto"/>
                <w:kern w:val="0"/>
                <w:sz w:val="28"/>
                <w:szCs w:val="28"/>
                <w:highlight w:val="none"/>
                <w:lang w:bidi="ar"/>
              </w:rPr>
              <w:t>元</w:t>
            </w:r>
          </w:p>
          <w:p w14:paraId="265B110F">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75AE06">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014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1164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7E1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658,223.58</w:t>
            </w:r>
            <w:r>
              <w:rPr>
                <w:rFonts w:hint="eastAsia" w:ascii="宋体" w:hAnsi="宋体" w:cs="宋体"/>
                <w:color w:val="auto"/>
                <w:kern w:val="0"/>
                <w:sz w:val="28"/>
                <w:szCs w:val="28"/>
                <w:highlight w:val="none"/>
                <w:u w:val="none"/>
                <w:lang w:bidi="ar"/>
              </w:rPr>
              <w:t>元</w:t>
            </w:r>
          </w:p>
          <w:p w14:paraId="37B5F58B">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供应商投标报价高于最高限价的则其投标文件将按无效投标文件处理。</w:t>
            </w:r>
          </w:p>
        </w:tc>
      </w:tr>
      <w:tr w14:paraId="26147E26">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BFA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A2D15">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14:paraId="7258F11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645D">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eastAsia="宋体" w:cs="宋体"/>
                <w:kern w:val="2"/>
                <w:sz w:val="28"/>
                <w:szCs w:val="28"/>
                <w:u w:val="single"/>
                <w:lang w:val="en-US" w:eastAsia="zh-CN" w:bidi="ar-SA"/>
              </w:rPr>
              <w:t>30,000.00</w:t>
            </w:r>
            <w:r>
              <w:rPr>
                <w:rFonts w:hint="eastAsia" w:ascii="宋体" w:hAnsi="宋体" w:cs="宋体"/>
                <w:color w:val="auto"/>
                <w:kern w:val="0"/>
                <w:sz w:val="28"/>
                <w:szCs w:val="28"/>
                <w:highlight w:val="none"/>
                <w:lang w:bidi="ar"/>
              </w:rPr>
              <w:t>元</w:t>
            </w:r>
          </w:p>
          <w:p w14:paraId="625206E5">
            <w:pPr>
              <w:pStyle w:val="4"/>
              <w:jc w:val="both"/>
              <w:rPr>
                <w:rFonts w:hint="eastAsia"/>
                <w:color w:val="auto"/>
                <w:highlight w:val="none"/>
              </w:rPr>
            </w:pPr>
            <w:r>
              <w:rPr>
                <w:rFonts w:hint="eastAsia" w:ascii="宋体" w:hAnsi="宋体" w:eastAsia="宋体" w:cs="宋体"/>
                <w:color w:val="auto"/>
                <w:kern w:val="2"/>
                <w:sz w:val="28"/>
                <w:szCs w:val="28"/>
                <w:highlight w:val="none"/>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58F7D1B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14:paraId="4C11E2B8">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56D">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E3B8">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23C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14:paraId="0287F883">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14:paraId="155229EE">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7D82E86">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C4A32E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6C1B">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14:paraId="769B4B61">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14:paraId="0D924AD0">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B814BD0">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07515BD">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CA1B">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○非专门面向中小企业采购</w:t>
            </w:r>
          </w:p>
          <w:p w14:paraId="0FF7DA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14:paraId="39377F4B">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CEFC">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79A5">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对供应商的</w:t>
            </w:r>
          </w:p>
          <w:p w14:paraId="29792CF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C293">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14:paraId="2ACEC09C">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1、根据投标供应商类别进行提供：①如供应商是企业（包括合伙企业），应提供在工商部门注册的有效“企业法人营业执照”或“营业执照”；</w:t>
            </w:r>
          </w:p>
          <w:p w14:paraId="68748F53">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②如供应商是事业单位，应提供有效的“事业单位法人证书”；</w:t>
            </w:r>
          </w:p>
          <w:p w14:paraId="5170092A">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③如供应商是为企业专业服务机构的，应提供执业许可证等证明文件；</w:t>
            </w:r>
          </w:p>
          <w:p w14:paraId="7494F394">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w:t>
            </w:r>
          </w:p>
          <w:p w14:paraId="776500C9">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⑤如供应商为自然人，应提供有效的自然人身份证明。</w:t>
            </w:r>
          </w:p>
          <w:p w14:paraId="7FB480FD">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2、提供2025年度经审计的财务报告（成立时间至提交磋商响应文件截止时间不足一年的可提供成立后任意时段的资产负债表），或磋商响应文件递交截止时间前6个月内银行出具的资信证明；</w:t>
            </w:r>
          </w:p>
          <w:p w14:paraId="3A5FE11A">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3、磋商响应文件递交截止时间前一年内已缴纳的至少一个月的纳税证明或完税证明，依法免税的单位应提供相关证明材料；</w:t>
            </w:r>
          </w:p>
          <w:p w14:paraId="12E51E44">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4、磋商响应文件递交截止时间前一年内已缴存的至少一个月的社会保障资金缴存单据或社保机构开具的社会保险参保缴费情况证明，依法不需要缴纳社会保障资金的单位应提供相关证明材料；</w:t>
            </w:r>
          </w:p>
          <w:p w14:paraId="10217BC2">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5、提供具有履行合同所必需的设备和专业技术能力的承诺；</w:t>
            </w:r>
          </w:p>
          <w:p w14:paraId="6B907C54">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6、参加政府采购活动前3年内，在经营活动中没有重大违法记录的书面声明。</w:t>
            </w:r>
          </w:p>
          <w:p w14:paraId="163AF79B">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（二）特定资格要求</w:t>
            </w:r>
          </w:p>
          <w:p w14:paraId="1E34C19C">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（1）法定代表人授权书（法定代表人直接参加投标，须提供法定代表人身份证明）；</w:t>
            </w:r>
          </w:p>
          <w:p w14:paraId="1EA878BC">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w:t>
            </w:r>
          </w:p>
          <w:p w14:paraId="7F2BE778">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（3）投标供应商须具备行业主管部门颁发的市政公用工程施工总承包三级及以上资质并具有有效的安全生产许可证；</w:t>
            </w:r>
          </w:p>
          <w:p w14:paraId="3DBB42EA">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（4）投标供应商拟派项目经理须具备行业主管部门颁发的市政公用工程专业二级及以上建造师资质及有效的安全生产考核合格证书（建安B证），在本单位注册且无在建工程（提供承诺）；</w:t>
            </w:r>
          </w:p>
          <w:p w14:paraId="3AC5C27B">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（5）投标供应商基本信息及项目经理基本信息应在“陕西建设网（http://js.shaanxi.gov.cn/）或陕西省建筑市场监管与诚信信息发布平台”可查询；</w:t>
            </w:r>
          </w:p>
          <w:p w14:paraId="5060866B">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(6)投标供应商不得在各级诚信信息平台被列为投标受限制的行为人（提供承诺）；</w:t>
            </w:r>
          </w:p>
          <w:p w14:paraId="1CBF87A2">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（7）本项目不接受联合体投标，单位负责人为同一人或者存在直接控股、管理关系的不同供应商，不得参加同一合同项下的政府采购活动；</w:t>
            </w:r>
          </w:p>
          <w:p w14:paraId="0BA39786">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(8)本项目专门面向中小企业采购，仅限符合《政府采购促进中小企业发展管理办法》的通知(财库〔2020〕46 号) 条件的中小企业参与，并提供中小企业声明函，残疾人福利企业、监狱企业视同中小企业。</w:t>
            </w:r>
          </w:p>
          <w:p w14:paraId="2D9F612F">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14:paraId="177E7EF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3"/>
                <w:rFonts w:hint="default"/>
                <w:color w:val="auto"/>
                <w:sz w:val="28"/>
                <w:szCs w:val="28"/>
                <w:highlight w:val="none"/>
                <w:lang w:bidi="ar"/>
              </w:rPr>
              <w:t>或者评审因素，不得在企业股权结构、经营年限等方面对中小企业实行差别待遇或者歧视待遇。</w:t>
            </w:r>
          </w:p>
        </w:tc>
      </w:tr>
      <w:tr w14:paraId="17C4043E">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625C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C4F8">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是否接受</w:t>
            </w:r>
          </w:p>
          <w:p w14:paraId="7FF72A3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99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○接受</w:t>
            </w:r>
          </w:p>
          <w:p w14:paraId="3104AA01">
            <w:pPr>
              <w:widowControl/>
              <w:spacing w:line="360" w:lineRule="auto"/>
              <w:jc w:val="left"/>
              <w:textAlignment w:val="center"/>
              <w:rPr>
                <w:rFonts w:hint="eastAsia" w:ascii="宋体" w:hAnsi="宋体" w:cs="宋体"/>
                <w:color w:val="auto"/>
                <w:sz w:val="28"/>
                <w:szCs w:val="28"/>
                <w:highlight w:val="none"/>
              </w:rPr>
            </w:pPr>
            <w:r>
              <w:rPr>
                <w:rStyle w:val="13"/>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3"/>
                <w:color w:val="auto"/>
                <w:sz w:val="28"/>
                <w:szCs w:val="28"/>
                <w:highlight w:val="none"/>
                <w:lang w:bidi="ar"/>
              </w:rPr>
              <w:t xml:space="preserve">1 </w:t>
            </w:r>
            <w:r>
              <w:rPr>
                <w:rStyle w:val="13"/>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3"/>
                <w:rFonts w:hint="default"/>
                <w:color w:val="auto"/>
                <w:sz w:val="28"/>
                <w:szCs w:val="28"/>
                <w:highlight w:val="none"/>
                <w:lang w:bidi="ar"/>
              </w:rPr>
              <w:t>），用扣除后的报价参加评审。</w:t>
            </w:r>
          </w:p>
        </w:tc>
      </w:tr>
      <w:tr w14:paraId="2302DC95">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7161">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63D6">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69A1">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14:paraId="75EB3289">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B55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568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E693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p>
          <w:p w14:paraId="003B6160">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14:paraId="691B90BB">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56A3">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837C">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58C5">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○由采购单位自行收退</w:t>
            </w:r>
          </w:p>
          <w:p w14:paraId="46C6364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○由代理机构负责收退</w:t>
            </w:r>
          </w:p>
        </w:tc>
      </w:tr>
      <w:tr w14:paraId="0A310F44">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39E2">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2B74">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现场踏勘和</w:t>
            </w:r>
          </w:p>
          <w:p w14:paraId="004C4D0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C04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604DF5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●不组织</w:t>
            </w:r>
          </w:p>
        </w:tc>
      </w:tr>
      <w:tr w14:paraId="4DE4404B">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DFD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E73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12D6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p>
          <w:p w14:paraId="51FBC9A2">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政府采购法律法规未有明确限制。</w:t>
            </w:r>
          </w:p>
        </w:tc>
      </w:tr>
      <w:tr w14:paraId="59B542C2">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8112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DE83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0B6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●总价</w:t>
            </w:r>
          </w:p>
          <w:p w14:paraId="04B217DE">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○综合单价（适用于采购数量不定的情形）</w:t>
            </w:r>
          </w:p>
          <w:p w14:paraId="593A7878">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14:paraId="5972726B">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777B1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FFA9D">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7A049">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●向有管辖权的人民法院提起诉讼</w:t>
            </w:r>
          </w:p>
          <w:p w14:paraId="5B12A9F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○向西安仲裁委员会提请仲裁</w:t>
            </w:r>
          </w:p>
          <w:p w14:paraId="0AB200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○由供应商做出选择</w:t>
            </w:r>
          </w:p>
        </w:tc>
      </w:tr>
      <w:tr w14:paraId="4A58D65F">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908F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92E4E">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75FB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项目对接人：</w:t>
            </w:r>
            <w:r>
              <w:rPr>
                <w:rFonts w:hint="eastAsia" w:ascii="宋体" w:hAnsi="宋体" w:cs="宋体"/>
                <w:color w:val="auto"/>
                <w:kern w:val="0"/>
                <w:sz w:val="28"/>
                <w:szCs w:val="28"/>
                <w:highlight w:val="none"/>
                <w:u w:val="single"/>
                <w:lang w:val="en-US" w:eastAsia="zh-CN" w:bidi="ar"/>
              </w:rPr>
              <w:t xml:space="preserve">  郑老师     </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4CEA5248">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联系电话：</w:t>
            </w:r>
            <w:r>
              <w:rPr>
                <w:rFonts w:hint="eastAsia" w:ascii="宋体" w:hAnsi="宋体" w:cs="宋体"/>
                <w:i w:val="0"/>
                <w:iCs w:val="0"/>
                <w:color w:val="auto"/>
                <w:kern w:val="0"/>
                <w:sz w:val="28"/>
                <w:szCs w:val="28"/>
                <w:highlight w:val="none"/>
                <w:u w:val="single"/>
                <w:lang w:val="en-US" w:eastAsia="zh-CN" w:bidi="ar"/>
              </w:rPr>
              <w:t xml:space="preserve">  029-82931008</w:t>
            </w:r>
            <w:bookmarkStart w:id="0" w:name="_GoBack"/>
            <w:bookmarkEnd w:id="0"/>
            <w:r>
              <w:rPr>
                <w:rFonts w:hint="eastAsia" w:ascii="宋体" w:hAnsi="宋体" w:cs="宋体"/>
                <w:i w:val="0"/>
                <w:iCs w:val="0"/>
                <w:color w:val="auto"/>
                <w:kern w:val="0"/>
                <w:sz w:val="28"/>
                <w:szCs w:val="28"/>
                <w:highlight w:val="none"/>
                <w:u w:val="single"/>
                <w:lang w:val="en-US" w:eastAsia="zh-CN" w:bidi="ar"/>
              </w:rPr>
              <w:t xml:space="preserve">    </w:t>
            </w:r>
            <w:r>
              <w:rPr>
                <w:rFonts w:hint="eastAsia" w:ascii="宋体" w:hAnsi="宋体" w:cs="宋体"/>
                <w:color w:val="auto"/>
                <w:kern w:val="0"/>
                <w:sz w:val="28"/>
                <w:szCs w:val="28"/>
                <w:highlight w:val="none"/>
                <w:lang w:bidi="ar"/>
              </w:rPr>
              <w:t xml:space="preserve">  </w:t>
            </w:r>
          </w:p>
          <w:p w14:paraId="757C44A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电子信箱：</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bl>
    <w:p w14:paraId="3BC06C1F">
      <w:pPr>
        <w:jc w:val="center"/>
        <w:rPr>
          <w:rFonts w:hint="eastAsia" w:ascii="宋体" w:hAnsi="宋体" w:cs="宋体"/>
          <w:b/>
          <w:color w:val="000000"/>
          <w:kern w:val="0"/>
          <w:sz w:val="30"/>
          <w:szCs w:val="30"/>
          <w:highlight w:val="none"/>
          <w:lang w:bidi="ar"/>
        </w:rPr>
        <w:sectPr>
          <w:headerReference r:id="rId3" w:type="default"/>
          <w:pgSz w:w="11906" w:h="16838"/>
          <w:pgMar w:top="1417" w:right="1417" w:bottom="1417" w:left="1417" w:header="851" w:footer="992" w:gutter="0"/>
          <w:cols w:space="720" w:num="1"/>
          <w:docGrid w:type="lines" w:linePitch="312" w:charSpace="0"/>
        </w:sectPr>
      </w:pPr>
    </w:p>
    <w:p w14:paraId="6CC0BA68">
      <w:pPr>
        <w:jc w:val="center"/>
        <w:rPr>
          <w:rFonts w:hint="eastAsia" w:ascii="宋体" w:hAnsi="宋体" w:cs="宋体"/>
          <w:b/>
          <w:color w:val="000000"/>
          <w:kern w:val="0"/>
          <w:sz w:val="30"/>
          <w:szCs w:val="30"/>
          <w:highlight w:val="none"/>
          <w:lang w:bidi="ar"/>
        </w:rPr>
      </w:pPr>
      <w:r>
        <w:rPr>
          <w:rFonts w:hint="eastAsia" w:ascii="宋体" w:hAnsi="宋体" w:cs="宋体"/>
          <w:b/>
          <w:color w:val="000000"/>
          <w:kern w:val="0"/>
          <w:sz w:val="30"/>
          <w:szCs w:val="30"/>
          <w:highlight w:val="none"/>
          <w:lang w:bidi="ar"/>
        </w:rPr>
        <w:t>需求框架</w:t>
      </w:r>
    </w:p>
    <w:p w14:paraId="27DC8DFB">
      <w:pPr>
        <w:rPr>
          <w:rFonts w:hint="eastAsia"/>
          <w:sz w:val="28"/>
          <w:szCs w:val="28"/>
          <w:highlight w:val="none"/>
        </w:rPr>
      </w:pPr>
      <w:r>
        <w:rPr>
          <w:rFonts w:hint="eastAsia" w:ascii="宋体" w:hAnsi="宋体" w:cs="宋体"/>
          <w:b/>
          <w:color w:val="000000"/>
          <w:kern w:val="0"/>
          <w:sz w:val="28"/>
          <w:szCs w:val="28"/>
          <w:highlight w:val="none"/>
          <w:lang w:bidi="ar"/>
        </w:rPr>
        <w:t>一、项目概况</w:t>
      </w:r>
    </w:p>
    <w:p w14:paraId="27A591F7">
      <w:pPr>
        <w:ind w:firstLine="560" w:firstLineChars="200"/>
        <w:rPr>
          <w:rFonts w:hint="eastAsia" w:asciiTheme="minorEastAsia" w:hAnsiTheme="minorEastAsia" w:cstheme="minorEastAsia"/>
          <w:sz w:val="28"/>
          <w:szCs w:val="28"/>
          <w:highlight w:val="none"/>
          <w:u w:val="none"/>
          <w:lang w:val="en-US" w:eastAsia="zh-CN"/>
        </w:rPr>
      </w:pPr>
      <w:r>
        <w:rPr>
          <w:rFonts w:hint="eastAsia" w:asciiTheme="minorEastAsia" w:hAnsiTheme="minorEastAsia" w:cstheme="minorEastAsia"/>
          <w:sz w:val="28"/>
          <w:szCs w:val="28"/>
          <w:highlight w:val="none"/>
          <w:u w:val="none"/>
          <w:lang w:val="en-US" w:eastAsia="zh-CN"/>
        </w:rPr>
        <w:t>三官庙镇南湾岭村七组水毁道路维修项目主要包括:修筑片石混凝土挡墙，实施滑坡削方减载，开挖并压实路基，恢复道路混凝土面层等施工。</w:t>
      </w:r>
    </w:p>
    <w:p w14:paraId="63E77A0C">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p>
    <w:p w14:paraId="22BC7D97">
      <w:pPr>
        <w:shd w:val="clear" w:color="auto" w:fill="FFFFFF"/>
        <w:snapToGrid w:val="0"/>
        <w:spacing w:line="360" w:lineRule="auto"/>
        <w:ind w:firstLine="562" w:firstLineChars="200"/>
        <w:rPr>
          <w:rFonts w:hint="eastAsia" w:ascii="宋体" w:hAnsi="宋体" w:cs="宋体"/>
          <w:color w:val="auto"/>
          <w:kern w:val="28"/>
          <w:sz w:val="28"/>
          <w:szCs w:val="28"/>
          <w:highlight w:val="none"/>
          <w:lang w:val="en-US" w:eastAsia="zh-CN"/>
        </w:rPr>
      </w:pPr>
      <w:r>
        <w:rPr>
          <w:rFonts w:hint="eastAsia" w:ascii="宋体" w:hAnsi="宋体" w:cs="宋体"/>
          <w:b/>
          <w:bCs/>
          <w:color w:val="auto"/>
          <w:kern w:val="28"/>
          <w:sz w:val="28"/>
          <w:szCs w:val="28"/>
          <w:highlight w:val="none"/>
        </w:rPr>
        <w:t>（一）工程内容</w:t>
      </w:r>
      <w:r>
        <w:rPr>
          <w:rFonts w:hint="eastAsia" w:ascii="宋体" w:hAnsi="宋体" w:cs="宋体"/>
          <w:color w:val="auto"/>
          <w:kern w:val="28"/>
          <w:sz w:val="28"/>
          <w:szCs w:val="28"/>
          <w:highlight w:val="none"/>
        </w:rPr>
        <w:t>：</w:t>
      </w:r>
      <w:r>
        <w:rPr>
          <w:rFonts w:hint="eastAsia" w:asciiTheme="minorEastAsia" w:hAnsiTheme="minorEastAsia" w:eastAsiaTheme="minorEastAsia" w:cstheme="minorEastAsia"/>
          <w:sz w:val="28"/>
          <w:szCs w:val="28"/>
          <w:highlight w:val="none"/>
          <w:lang w:val="en-US" w:eastAsia="zh-CN"/>
        </w:rPr>
        <w:t>修砌C30片石混凝土挡墙长55m,高2-6m;对滑坡体进行削方减载;对原路面开挖2m后，再对路基分层压实，压实宽度5.5m;恢复道路18cm混凝土面层长55m宽4.5m</w:t>
      </w:r>
      <w:r>
        <w:rPr>
          <w:rFonts w:hint="eastAsia" w:asciiTheme="minorEastAsia" w:hAnsiTheme="minorEastAsia" w:cstheme="minorEastAsia"/>
          <w:sz w:val="28"/>
          <w:szCs w:val="28"/>
          <w:highlight w:val="none"/>
          <w:lang w:val="en-US" w:eastAsia="zh-CN"/>
        </w:rPr>
        <w:t>等施工内容。</w:t>
      </w:r>
    </w:p>
    <w:p w14:paraId="53C3D79E">
      <w:pPr>
        <w:numPr>
          <w:ilvl w:val="0"/>
          <w:numId w:val="0"/>
        </w:numPr>
        <w:shd w:val="clear" w:color="auto" w:fill="FFFFFF"/>
        <w:snapToGrid w:val="0"/>
        <w:spacing w:line="360" w:lineRule="auto"/>
        <w:ind w:firstLine="562" w:firstLineChars="200"/>
        <w:rPr>
          <w:rFonts w:hint="eastAsia" w:ascii="宋体" w:hAnsi="宋体" w:cs="宋体"/>
          <w:color w:val="auto"/>
          <w:kern w:val="28"/>
          <w:sz w:val="28"/>
          <w:szCs w:val="28"/>
          <w:highlight w:val="none"/>
          <w:u w:val="none"/>
        </w:rPr>
      </w:pPr>
      <w:r>
        <w:rPr>
          <w:rFonts w:hint="eastAsia" w:ascii="宋体" w:hAnsi="宋体" w:cs="宋体" w:eastAsiaTheme="minorEastAsia"/>
          <w:b/>
          <w:bCs/>
          <w:color w:val="auto"/>
          <w:kern w:val="28"/>
          <w:sz w:val="28"/>
          <w:szCs w:val="28"/>
          <w:lang w:val="en-US" w:eastAsia="zh-CN" w:bidi="ar-SA"/>
        </w:rPr>
        <w:t>（二）</w:t>
      </w: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：陕西省西安市蓝田县</w:t>
      </w:r>
      <w:r>
        <w:rPr>
          <w:rFonts w:hint="eastAsia" w:asciiTheme="minorEastAsia" w:hAnsiTheme="minorEastAsia" w:eastAsiaTheme="minorEastAsia" w:cstheme="minorEastAsia"/>
          <w:sz w:val="28"/>
          <w:szCs w:val="28"/>
          <w:highlight w:val="none"/>
          <w:lang w:val="en-US" w:eastAsia="zh-CN"/>
        </w:rPr>
        <w:t>三官庙镇南湾岭村</w:t>
      </w:r>
    </w:p>
    <w:p w14:paraId="22DB5DDF">
      <w:pPr>
        <w:numPr>
          <w:ilvl w:val="0"/>
          <w:numId w:val="0"/>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eastAsiaTheme="minorEastAsia"/>
          <w:b/>
          <w:bCs/>
          <w:kern w:val="28"/>
          <w:sz w:val="28"/>
          <w:szCs w:val="28"/>
          <w:lang w:val="en-US" w:eastAsia="zh-CN" w:bidi="ar-SA"/>
        </w:rPr>
        <w:t>（三）</w:t>
      </w: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u w:val="single"/>
          <w:lang w:val="en-US" w:eastAsia="zh-CN"/>
        </w:rPr>
        <w:t>60</w:t>
      </w:r>
      <w:r>
        <w:rPr>
          <w:rFonts w:hint="eastAsia" w:ascii="宋体" w:hAnsi="宋体" w:cs="宋体"/>
          <w:kern w:val="28"/>
          <w:sz w:val="28"/>
          <w:szCs w:val="28"/>
          <w:highlight w:val="none"/>
        </w:rPr>
        <w:t>日历天</w:t>
      </w:r>
    </w:p>
    <w:p w14:paraId="52ABD364">
      <w:pPr>
        <w:shd w:val="clear" w:color="auto" w:fill="FFFFFF"/>
        <w:snapToGrid w:val="0"/>
        <w:spacing w:line="360" w:lineRule="auto"/>
        <w:ind w:firstLine="562" w:firstLineChars="200"/>
        <w:rPr>
          <w:rFonts w:hint="eastAsia" w:ascii="宋体" w:hAnsi="宋体" w:eastAsia="宋体" w:cs="宋体"/>
          <w:kern w:val="28"/>
          <w:sz w:val="28"/>
          <w:szCs w:val="28"/>
          <w:highlight w:val="yellow"/>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14:paraId="5C22F9CA">
      <w:pPr>
        <w:shd w:val="clear" w:color="auto" w:fill="FFFFFF"/>
        <w:snapToGrid w:val="0"/>
        <w:spacing w:line="360" w:lineRule="auto"/>
        <w:ind w:firstLine="562" w:firstLineChars="200"/>
        <w:rPr>
          <w:rFonts w:hint="eastAsia" w:ascii="宋体" w:hAnsi="宋体" w:eastAsia="仿宋"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：基础设施工程、房屋建筑的地基基础工程和主体结构工程，为设计文件规定的该工程的合理使用年限。</w:t>
      </w:r>
    </w:p>
    <w:p w14:paraId="6B6509CB">
      <w:pPr>
        <w:ind w:firstLine="562" w:firstLineChars="200"/>
        <w:rPr>
          <w:b/>
          <w:bCs/>
          <w:color w:val="auto"/>
          <w:sz w:val="28"/>
          <w:szCs w:val="28"/>
          <w:highlight w:val="none"/>
        </w:rPr>
      </w:pPr>
      <w:r>
        <w:rPr>
          <w:rFonts w:hint="eastAsia"/>
          <w:b/>
          <w:bCs/>
          <w:color w:val="auto"/>
          <w:sz w:val="28"/>
          <w:szCs w:val="28"/>
          <w:highlight w:val="none"/>
        </w:rPr>
        <w:t>三、工程量清单和计价依据</w:t>
      </w:r>
    </w:p>
    <w:p w14:paraId="0BBD44C6">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（一）计价依据</w:t>
      </w:r>
    </w:p>
    <w:p w14:paraId="19DBCA4C">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依据</w:t>
      </w:r>
      <w:r>
        <w:rPr>
          <w:rFonts w:hint="eastAsia" w:asciiTheme="minorEastAsia" w:hAnsiTheme="minorEastAsia" w:cstheme="minorEastAsia"/>
          <w:sz w:val="28"/>
          <w:szCs w:val="28"/>
          <w:highlight w:val="none"/>
          <w:lang w:val="en-US" w:eastAsia="zh-CN"/>
        </w:rPr>
        <w:t>提供</w:t>
      </w:r>
      <w:r>
        <w:rPr>
          <w:rFonts w:hint="eastAsia" w:asciiTheme="minorEastAsia" w:hAnsiTheme="minorEastAsia" w:eastAsiaTheme="minorEastAsia" w:cstheme="minorEastAsia"/>
          <w:sz w:val="28"/>
          <w:szCs w:val="28"/>
          <w:highlight w:val="none"/>
          <w:lang w:eastAsia="zh-CN"/>
        </w:rPr>
        <w:t>资料</w:t>
      </w:r>
      <w:r>
        <w:rPr>
          <w:rFonts w:hint="eastAsia" w:asciiTheme="minorEastAsia" w:hAnsiTheme="minorEastAsia" w:eastAsiaTheme="minorEastAsia" w:cstheme="minorEastAsia"/>
          <w:sz w:val="28"/>
          <w:szCs w:val="28"/>
          <w:highlight w:val="none"/>
        </w:rPr>
        <w:t>和项目相关的标准、规范等技术资料；</w:t>
      </w:r>
    </w:p>
    <w:p w14:paraId="6BF55F79">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依据</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陕西省建设工程工程量清单计价计算标准</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陕西省建设工程费用规则</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(2025)、《陕西省房屋建筑与装饰工程基价表》(20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)、《陕西省通用安装工程基价表》（</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《陕西省市政工程基价表》(</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)、《陕西省房屋建筑与装饰工程消耗量定额》（</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《陕西省通用安装工程消耗量定额》(20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《陕西省市政工程消耗量定额》(20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《陕西省建设工程施工机械台班费用定额</w:t>
      </w:r>
      <w:r>
        <w:rPr>
          <w:rFonts w:hint="eastAsia" w:asciiTheme="minorEastAsia" w:hAnsiTheme="minorEastAsia" w:eastAsiaTheme="minorEastAsia" w:cstheme="minorEastAsia"/>
          <w:sz w:val="28"/>
          <w:szCs w:val="28"/>
        </w:rPr>
        <w:t>》（20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等</w:t>
      </w:r>
      <w:r>
        <w:rPr>
          <w:rFonts w:hint="eastAsia" w:asciiTheme="minorEastAsia" w:hAnsiTheme="minorEastAsia" w:eastAsiaTheme="minorEastAsia" w:cstheme="minorEastAsia"/>
          <w:sz w:val="28"/>
          <w:szCs w:val="28"/>
        </w:rPr>
        <w:t>；</w:t>
      </w:r>
    </w:p>
    <w:p w14:paraId="5EC800D7">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r>
        <w:rPr>
          <w:rFonts w:hint="default" w:ascii="宋体" w:hAnsi="宋体" w:eastAsia="宋体" w:cs="宋体"/>
          <w:kern w:val="2"/>
          <w:sz w:val="28"/>
          <w:szCs w:val="28"/>
          <w:lang w:val="en-US" w:eastAsia="zh-CN" w:bidi="ar-SA"/>
        </w:rPr>
        <w:t>正常施工组织设计及施工方法；</w:t>
      </w:r>
    </w:p>
    <w:p w14:paraId="08F92971">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w:t>
      </w:r>
      <w:r>
        <w:rPr>
          <w:rFonts w:hint="default" w:ascii="宋体" w:hAnsi="宋体" w:eastAsia="宋体" w:cs="宋体"/>
          <w:kern w:val="2"/>
          <w:sz w:val="28"/>
          <w:szCs w:val="28"/>
          <w:lang w:val="en-US" w:eastAsia="zh-CN" w:bidi="ar-SA"/>
        </w:rPr>
        <w:t>与建设工程项目有关的标准、规范、图集、技术资料；</w:t>
      </w:r>
    </w:p>
    <w:p w14:paraId="00746B65">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材料价根据</w:t>
      </w:r>
      <w:r>
        <w:rPr>
          <w:rFonts w:hint="eastAsia" w:ascii="宋体" w:hAnsi="宋体" w:eastAsia="宋体" w:cs="宋体"/>
          <w:kern w:val="2"/>
          <w:sz w:val="28"/>
          <w:szCs w:val="28"/>
          <w:highlight w:val="none"/>
          <w:lang w:val="en-US" w:eastAsia="zh-CN" w:bidi="ar-SA"/>
        </w:rPr>
        <w:t>蓝田县</w:t>
      </w:r>
      <w:r>
        <w:rPr>
          <w:rFonts w:hint="default" w:ascii="宋体" w:hAnsi="宋体" w:eastAsia="宋体" w:cs="宋体"/>
          <w:kern w:val="2"/>
          <w:sz w:val="28"/>
          <w:szCs w:val="28"/>
          <w:highlight w:val="none"/>
          <w:lang w:val="en-US" w:eastAsia="zh-CN" w:bidi="ar-SA"/>
        </w:rPr>
        <w:t>202</w:t>
      </w: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年</w:t>
      </w:r>
      <w:r>
        <w:rPr>
          <w:rFonts w:hint="eastAsia" w:ascii="宋体" w:hAnsi="宋体" w:eastAsia="宋体" w:cs="宋体"/>
          <w:kern w:val="2"/>
          <w:sz w:val="28"/>
          <w:szCs w:val="28"/>
          <w:highlight w:val="none"/>
          <w:lang w:val="en-US" w:eastAsia="zh-CN" w:bidi="ar-SA"/>
        </w:rPr>
        <w:t>12</w:t>
      </w:r>
      <w:r>
        <w:rPr>
          <w:rFonts w:hint="default" w:ascii="宋体" w:hAnsi="宋体" w:eastAsia="宋体" w:cs="宋体"/>
          <w:kern w:val="2"/>
          <w:sz w:val="28"/>
          <w:szCs w:val="28"/>
          <w:highlight w:val="none"/>
          <w:lang w:val="en-US" w:eastAsia="zh-CN" w:bidi="ar-SA"/>
        </w:rPr>
        <w:t>月份信息价及市场价；</w:t>
      </w:r>
    </w:p>
    <w:p w14:paraId="346A1C3C">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highlight w:val="none"/>
          <w:lang w:val="en-US" w:eastAsia="zh-CN" w:bidi="ar-SA"/>
        </w:rPr>
        <w:t>6、设计图纸：西安思维建筑设计研究院有限责任公司的《</w:t>
      </w:r>
      <w:r>
        <w:rPr>
          <w:rFonts w:hint="eastAsia" w:asciiTheme="minorEastAsia" w:hAnsiTheme="minorEastAsia" w:eastAsiaTheme="minorEastAsia" w:cstheme="minorEastAsia"/>
          <w:sz w:val="28"/>
          <w:szCs w:val="28"/>
          <w:highlight w:val="none"/>
          <w:lang w:val="en-US" w:eastAsia="zh-CN"/>
        </w:rPr>
        <w:t>三官</w:t>
      </w:r>
      <w:r>
        <w:rPr>
          <w:rFonts w:hint="eastAsia" w:asciiTheme="minorEastAsia" w:hAnsiTheme="minorEastAsia" w:cstheme="minorEastAsia"/>
          <w:sz w:val="28"/>
          <w:szCs w:val="28"/>
          <w:highlight w:val="none"/>
          <w:lang w:val="en-US" w:eastAsia="zh-CN"/>
        </w:rPr>
        <w:t>庙</w:t>
      </w:r>
      <w:r>
        <w:rPr>
          <w:rFonts w:hint="eastAsia" w:asciiTheme="minorEastAsia" w:hAnsiTheme="minorEastAsia" w:eastAsiaTheme="minorEastAsia" w:cstheme="minorEastAsia"/>
          <w:sz w:val="28"/>
          <w:szCs w:val="28"/>
          <w:highlight w:val="none"/>
          <w:lang w:val="en-US" w:eastAsia="zh-CN"/>
        </w:rPr>
        <w:t>镇南湾岭村七组水毁道路维修项目</w:t>
      </w:r>
      <w:r>
        <w:rPr>
          <w:rFonts w:hint="eastAsia" w:ascii="宋体" w:hAnsi="宋体" w:eastAsia="宋体" w:cs="宋体"/>
          <w:kern w:val="2"/>
          <w:sz w:val="28"/>
          <w:szCs w:val="28"/>
          <w:highlight w:val="none"/>
          <w:lang w:val="en-US" w:eastAsia="zh-CN" w:bidi="ar-SA"/>
        </w:rPr>
        <w:t>》设计图纸；</w:t>
      </w:r>
    </w:p>
    <w:p w14:paraId="787A086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w:t>
      </w:r>
      <w:r>
        <w:rPr>
          <w:rFonts w:hint="default" w:ascii="宋体" w:hAnsi="宋体" w:eastAsia="宋体" w:cs="宋体"/>
          <w:kern w:val="2"/>
          <w:sz w:val="28"/>
          <w:szCs w:val="28"/>
          <w:lang w:val="en-US" w:eastAsia="zh-CN" w:bidi="ar-SA"/>
        </w:rPr>
        <w:t>其他</w:t>
      </w:r>
      <w:r>
        <w:rPr>
          <w:rFonts w:hint="eastAsia" w:ascii="宋体" w:hAnsi="宋体" w:eastAsia="宋体" w:cs="宋体"/>
          <w:kern w:val="2"/>
          <w:sz w:val="28"/>
          <w:szCs w:val="28"/>
          <w:lang w:val="en-US" w:eastAsia="zh-CN" w:bidi="ar-SA"/>
        </w:rPr>
        <w:t>相关计价依据及办法。</w:t>
      </w:r>
    </w:p>
    <w:p w14:paraId="65C0EC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8、本项目砂浆、混凝土采用预拌干混砂浆和预拌混凝土；</w:t>
      </w:r>
    </w:p>
    <w:p w14:paraId="0E7B5E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9、本项目暂列金额30000元（不含税）。</w:t>
      </w:r>
    </w:p>
    <w:p w14:paraId="7F709C59">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四、施工要求</w:t>
      </w:r>
    </w:p>
    <w:p w14:paraId="7AB4658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在施工期间，中标供应商必须注意人员安全，加强安全措施，并对施工人员进行安全教育。施工人员必须持证上岗。</w:t>
      </w:r>
    </w:p>
    <w:p w14:paraId="596432D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14:paraId="78F32D94">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1、合同签订后，甲方向乙方支付合同价款的40%作为预付款。</w:t>
      </w:r>
    </w:p>
    <w:p w14:paraId="2D755499">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2、乙方完成合同工程量75%时，甲方向乙方支付至合同总价款的75%作为工程进度款。</w:t>
      </w:r>
    </w:p>
    <w:p w14:paraId="6E443B0D">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3、乙方完成全部工程量时，经甲方组织有关部门验收合格后，支付至合同总价款的90%。</w:t>
      </w:r>
    </w:p>
    <w:p w14:paraId="72739D1F">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lang w:val="en-US" w:eastAsia="zh-CN"/>
        </w:rPr>
        <w:t xml:space="preserve">4、经政府相关审计部门审计完成后，支付至审计结算价款的100%。 </w:t>
      </w:r>
      <w:r>
        <w:rPr>
          <w:rFonts w:hint="eastAsia" w:ascii="宋体" w:hAnsi="宋体" w:cs="宋体"/>
          <w:color w:val="auto"/>
          <w:kern w:val="28"/>
          <w:sz w:val="28"/>
          <w:szCs w:val="28"/>
          <w:highlight w:val="none"/>
        </w:rPr>
        <w:t xml:space="preserve"> </w:t>
      </w:r>
    </w:p>
    <w:p w14:paraId="1A57ACE0">
      <w:pPr>
        <w:pStyle w:val="4"/>
        <w:rPr>
          <w:rFonts w:hint="eastAsia"/>
          <w:highlight w:val="none"/>
        </w:rPr>
      </w:pPr>
    </w:p>
    <w:p w14:paraId="5DFC5A2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14:paraId="7D1E1A4E">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14:paraId="4A25B19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投标人提供2023年</w:t>
      </w:r>
      <w:r>
        <w:rPr>
          <w:rFonts w:hint="eastAsia" w:ascii="宋体" w:hAnsi="宋体" w:cs="宋体"/>
          <w:color w:val="auto"/>
          <w:kern w:val="28"/>
          <w:sz w:val="28"/>
          <w:szCs w:val="28"/>
          <w:highlight w:val="none"/>
          <w:lang w:val="en-US" w:eastAsia="zh-CN"/>
        </w:rPr>
        <w:t>5</w:t>
      </w:r>
      <w:r>
        <w:rPr>
          <w:rFonts w:hint="eastAsia" w:ascii="宋体" w:hAnsi="宋体" w:cs="宋体"/>
          <w:color w:val="auto"/>
          <w:kern w:val="28"/>
          <w:sz w:val="28"/>
          <w:szCs w:val="28"/>
          <w:highlight w:val="none"/>
        </w:rPr>
        <w:t>月1日至今（以合同签订日期为准）类似项目业绩（以合同复印件或扫描件加盖公章为准）每个有效业绩得1分，满分共计5分。</w:t>
      </w:r>
    </w:p>
    <w:p w14:paraId="453C1125">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14:paraId="621CAE5A">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14:paraId="3B6E2BEC">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14:paraId="14E69E1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14:paraId="7AAB6F2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14:paraId="606E84CB">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14:paraId="75DA8AE1">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（四）与本工程相关的特别说明</w:t>
      </w:r>
    </w:p>
    <w:p w14:paraId="2DEB0726">
      <w:pPr>
        <w:ind w:firstLine="560" w:firstLineChars="200"/>
        <w:rPr>
          <w:rFonts w:hint="eastAsia" w:ascii="宋体" w:hAnsi="宋体" w:eastAsia="宋体" w:cs="宋体"/>
          <w:sz w:val="24"/>
          <w:szCs w:val="24"/>
          <w:highlight w:val="none"/>
        </w:rPr>
      </w:pPr>
      <w:r>
        <w:rPr>
          <w:rFonts w:hint="eastAsia" w:ascii="宋体" w:hAnsi="宋体" w:cs="宋体"/>
          <w:kern w:val="28"/>
          <w:sz w:val="28"/>
          <w:szCs w:val="28"/>
          <w:highlight w:val="none"/>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A1F0">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458772BF"/>
    <w:rsid w:val="00043144"/>
    <w:rsid w:val="00645991"/>
    <w:rsid w:val="0068062B"/>
    <w:rsid w:val="007756C4"/>
    <w:rsid w:val="00D12BDE"/>
    <w:rsid w:val="00E40880"/>
    <w:rsid w:val="011949CD"/>
    <w:rsid w:val="015772A4"/>
    <w:rsid w:val="015C2B0C"/>
    <w:rsid w:val="01981D96"/>
    <w:rsid w:val="01B577EE"/>
    <w:rsid w:val="01F36FCC"/>
    <w:rsid w:val="022B0E5C"/>
    <w:rsid w:val="02C273DD"/>
    <w:rsid w:val="031E77C0"/>
    <w:rsid w:val="0381685A"/>
    <w:rsid w:val="04071455"/>
    <w:rsid w:val="04945913"/>
    <w:rsid w:val="04966335"/>
    <w:rsid w:val="04A32783"/>
    <w:rsid w:val="04AE28C3"/>
    <w:rsid w:val="04EE6171"/>
    <w:rsid w:val="050A6064"/>
    <w:rsid w:val="050B0AD1"/>
    <w:rsid w:val="054C5671"/>
    <w:rsid w:val="05502988"/>
    <w:rsid w:val="058F525E"/>
    <w:rsid w:val="05A01219"/>
    <w:rsid w:val="05EB6551"/>
    <w:rsid w:val="06264108"/>
    <w:rsid w:val="065344DE"/>
    <w:rsid w:val="07963DED"/>
    <w:rsid w:val="095D5673"/>
    <w:rsid w:val="097053A7"/>
    <w:rsid w:val="09B41737"/>
    <w:rsid w:val="0B24604C"/>
    <w:rsid w:val="0B3A0D5F"/>
    <w:rsid w:val="0BA51502"/>
    <w:rsid w:val="0BC369D0"/>
    <w:rsid w:val="0BC7297B"/>
    <w:rsid w:val="0C392BE0"/>
    <w:rsid w:val="0C3D1EB8"/>
    <w:rsid w:val="0D50578A"/>
    <w:rsid w:val="0D5938EA"/>
    <w:rsid w:val="0DCB704F"/>
    <w:rsid w:val="0E19667A"/>
    <w:rsid w:val="0E83792A"/>
    <w:rsid w:val="0E884F40"/>
    <w:rsid w:val="0ECC12D1"/>
    <w:rsid w:val="0F2203F1"/>
    <w:rsid w:val="0F6A49B2"/>
    <w:rsid w:val="0FA81239"/>
    <w:rsid w:val="109C4CD3"/>
    <w:rsid w:val="10D12BCF"/>
    <w:rsid w:val="110D02FE"/>
    <w:rsid w:val="114521FF"/>
    <w:rsid w:val="11877731"/>
    <w:rsid w:val="122B630F"/>
    <w:rsid w:val="124949E7"/>
    <w:rsid w:val="127A1044"/>
    <w:rsid w:val="12CD1ABC"/>
    <w:rsid w:val="13AA694D"/>
    <w:rsid w:val="13B80076"/>
    <w:rsid w:val="13D824C6"/>
    <w:rsid w:val="13F866C4"/>
    <w:rsid w:val="140D4C24"/>
    <w:rsid w:val="141259D8"/>
    <w:rsid w:val="14F21366"/>
    <w:rsid w:val="15442DF3"/>
    <w:rsid w:val="15444FF6"/>
    <w:rsid w:val="157955E3"/>
    <w:rsid w:val="157E0E4B"/>
    <w:rsid w:val="15EC2259"/>
    <w:rsid w:val="15FB1B6C"/>
    <w:rsid w:val="164C2CF7"/>
    <w:rsid w:val="16DB77CE"/>
    <w:rsid w:val="17001571"/>
    <w:rsid w:val="17127A9D"/>
    <w:rsid w:val="171A4BA4"/>
    <w:rsid w:val="17C074F9"/>
    <w:rsid w:val="182C5DE6"/>
    <w:rsid w:val="18477C1A"/>
    <w:rsid w:val="185D2F9A"/>
    <w:rsid w:val="186C7681"/>
    <w:rsid w:val="18A706B9"/>
    <w:rsid w:val="18DC2959"/>
    <w:rsid w:val="19346C73"/>
    <w:rsid w:val="198033E4"/>
    <w:rsid w:val="199B3D30"/>
    <w:rsid w:val="19C9435C"/>
    <w:rsid w:val="1ACD08AB"/>
    <w:rsid w:val="1AF021BC"/>
    <w:rsid w:val="1B5763C6"/>
    <w:rsid w:val="1B6B6D9B"/>
    <w:rsid w:val="1B9A4616"/>
    <w:rsid w:val="1BA86C22"/>
    <w:rsid w:val="1BAD5FE6"/>
    <w:rsid w:val="1BB9498B"/>
    <w:rsid w:val="1BD417C5"/>
    <w:rsid w:val="1BED43E9"/>
    <w:rsid w:val="1C4F52EF"/>
    <w:rsid w:val="1C8A39DA"/>
    <w:rsid w:val="1C976FB2"/>
    <w:rsid w:val="1CB25FAA"/>
    <w:rsid w:val="1CB476CD"/>
    <w:rsid w:val="1CEC2B3E"/>
    <w:rsid w:val="1CF75746"/>
    <w:rsid w:val="1D8F424F"/>
    <w:rsid w:val="1D9E208B"/>
    <w:rsid w:val="1DA04055"/>
    <w:rsid w:val="1E1E4F79"/>
    <w:rsid w:val="1E5F6569"/>
    <w:rsid w:val="1E6432D4"/>
    <w:rsid w:val="1EC14F4C"/>
    <w:rsid w:val="1ECF44C6"/>
    <w:rsid w:val="1EEE2B9E"/>
    <w:rsid w:val="1F484C72"/>
    <w:rsid w:val="1F843EF8"/>
    <w:rsid w:val="1F974FE3"/>
    <w:rsid w:val="1FB77434"/>
    <w:rsid w:val="20040B73"/>
    <w:rsid w:val="200D5A6C"/>
    <w:rsid w:val="21316FF0"/>
    <w:rsid w:val="2133269C"/>
    <w:rsid w:val="214C6BC0"/>
    <w:rsid w:val="21837F15"/>
    <w:rsid w:val="21E36C06"/>
    <w:rsid w:val="22317971"/>
    <w:rsid w:val="22DA6B2F"/>
    <w:rsid w:val="23051910"/>
    <w:rsid w:val="239644CA"/>
    <w:rsid w:val="23AD6B8C"/>
    <w:rsid w:val="24091012"/>
    <w:rsid w:val="25CF0726"/>
    <w:rsid w:val="27914A0E"/>
    <w:rsid w:val="27AB71C2"/>
    <w:rsid w:val="28125F60"/>
    <w:rsid w:val="28CF3A40"/>
    <w:rsid w:val="28DC7F0B"/>
    <w:rsid w:val="2936586D"/>
    <w:rsid w:val="29CE019B"/>
    <w:rsid w:val="29D3130E"/>
    <w:rsid w:val="29E51041"/>
    <w:rsid w:val="29EE7EF6"/>
    <w:rsid w:val="2A7A5C2D"/>
    <w:rsid w:val="2A7D3C35"/>
    <w:rsid w:val="2A9C5BA4"/>
    <w:rsid w:val="2AA9206F"/>
    <w:rsid w:val="2B0617A0"/>
    <w:rsid w:val="2B606BD1"/>
    <w:rsid w:val="2B7D3C27"/>
    <w:rsid w:val="2BAA609E"/>
    <w:rsid w:val="2BC43604"/>
    <w:rsid w:val="2BE94E19"/>
    <w:rsid w:val="2BEF7F55"/>
    <w:rsid w:val="2C121D14"/>
    <w:rsid w:val="2C5E3FA6"/>
    <w:rsid w:val="2C9C2162"/>
    <w:rsid w:val="2CA945A8"/>
    <w:rsid w:val="2CCD0296"/>
    <w:rsid w:val="2D855038"/>
    <w:rsid w:val="2DB355AA"/>
    <w:rsid w:val="2DEA30CA"/>
    <w:rsid w:val="2DFB7085"/>
    <w:rsid w:val="2E4865B6"/>
    <w:rsid w:val="2E7035CF"/>
    <w:rsid w:val="2E76670C"/>
    <w:rsid w:val="2EB42CCA"/>
    <w:rsid w:val="2ED43AB3"/>
    <w:rsid w:val="2EE67E99"/>
    <w:rsid w:val="2F027CB4"/>
    <w:rsid w:val="2F330225"/>
    <w:rsid w:val="2F414F6C"/>
    <w:rsid w:val="2F77273B"/>
    <w:rsid w:val="2F7D5942"/>
    <w:rsid w:val="300F6E18"/>
    <w:rsid w:val="30AA08EF"/>
    <w:rsid w:val="30CF0D9E"/>
    <w:rsid w:val="31171FF8"/>
    <w:rsid w:val="313308E4"/>
    <w:rsid w:val="313A1C72"/>
    <w:rsid w:val="31BF205E"/>
    <w:rsid w:val="31EF351C"/>
    <w:rsid w:val="32AB72CC"/>
    <w:rsid w:val="335C6818"/>
    <w:rsid w:val="336F654B"/>
    <w:rsid w:val="3376102E"/>
    <w:rsid w:val="33911E77"/>
    <w:rsid w:val="33E323D5"/>
    <w:rsid w:val="33F00D0E"/>
    <w:rsid w:val="345968B4"/>
    <w:rsid w:val="34C90EEB"/>
    <w:rsid w:val="351D5B33"/>
    <w:rsid w:val="356409D9"/>
    <w:rsid w:val="35DE57A8"/>
    <w:rsid w:val="35F9034E"/>
    <w:rsid w:val="3610359E"/>
    <w:rsid w:val="363847A3"/>
    <w:rsid w:val="36C24BE4"/>
    <w:rsid w:val="37184804"/>
    <w:rsid w:val="376E6B1A"/>
    <w:rsid w:val="3772660A"/>
    <w:rsid w:val="37EF7C5B"/>
    <w:rsid w:val="37F30DCD"/>
    <w:rsid w:val="37F7266B"/>
    <w:rsid w:val="38162448"/>
    <w:rsid w:val="385110CF"/>
    <w:rsid w:val="38A813E1"/>
    <w:rsid w:val="38DE382B"/>
    <w:rsid w:val="38E76B84"/>
    <w:rsid w:val="391060DB"/>
    <w:rsid w:val="39BA0577"/>
    <w:rsid w:val="39DB5415"/>
    <w:rsid w:val="39FA6443"/>
    <w:rsid w:val="3A19481E"/>
    <w:rsid w:val="3AB17449"/>
    <w:rsid w:val="3AB605BC"/>
    <w:rsid w:val="3AC802EF"/>
    <w:rsid w:val="3AFD268F"/>
    <w:rsid w:val="3B1C7FDF"/>
    <w:rsid w:val="3B304195"/>
    <w:rsid w:val="3B895CD0"/>
    <w:rsid w:val="3B8B693F"/>
    <w:rsid w:val="3BAA4966"/>
    <w:rsid w:val="3BEB6597"/>
    <w:rsid w:val="3BF00816"/>
    <w:rsid w:val="3BF539A4"/>
    <w:rsid w:val="3D6066C5"/>
    <w:rsid w:val="3DE9514C"/>
    <w:rsid w:val="3E1D6BA4"/>
    <w:rsid w:val="3E2D5656"/>
    <w:rsid w:val="3E3E7246"/>
    <w:rsid w:val="3EDC1C61"/>
    <w:rsid w:val="3F676329"/>
    <w:rsid w:val="3FE033AF"/>
    <w:rsid w:val="40546FB4"/>
    <w:rsid w:val="4077259B"/>
    <w:rsid w:val="40987B00"/>
    <w:rsid w:val="415120BC"/>
    <w:rsid w:val="41850CE8"/>
    <w:rsid w:val="41A05B22"/>
    <w:rsid w:val="41B61398"/>
    <w:rsid w:val="42C27D1A"/>
    <w:rsid w:val="42DD6902"/>
    <w:rsid w:val="42EB101F"/>
    <w:rsid w:val="42F8373B"/>
    <w:rsid w:val="430B5869"/>
    <w:rsid w:val="434A1377"/>
    <w:rsid w:val="437A3E74"/>
    <w:rsid w:val="43F32881"/>
    <w:rsid w:val="440F671E"/>
    <w:rsid w:val="44290050"/>
    <w:rsid w:val="444C4E5B"/>
    <w:rsid w:val="448E70A3"/>
    <w:rsid w:val="458772BF"/>
    <w:rsid w:val="4594599D"/>
    <w:rsid w:val="45961716"/>
    <w:rsid w:val="45E561F9"/>
    <w:rsid w:val="464E1FF0"/>
    <w:rsid w:val="470D5A07"/>
    <w:rsid w:val="471A1ED2"/>
    <w:rsid w:val="472D7E58"/>
    <w:rsid w:val="475E44B5"/>
    <w:rsid w:val="47A66894"/>
    <w:rsid w:val="47EF4316"/>
    <w:rsid w:val="47FB7F56"/>
    <w:rsid w:val="481608EC"/>
    <w:rsid w:val="48931A28"/>
    <w:rsid w:val="48DF402C"/>
    <w:rsid w:val="49204140"/>
    <w:rsid w:val="4929464F"/>
    <w:rsid w:val="492F2A50"/>
    <w:rsid w:val="49494CF1"/>
    <w:rsid w:val="49EC67F4"/>
    <w:rsid w:val="49F112AB"/>
    <w:rsid w:val="4A1672C9"/>
    <w:rsid w:val="4A5B4CDC"/>
    <w:rsid w:val="4ABD75D1"/>
    <w:rsid w:val="4AE46C30"/>
    <w:rsid w:val="4B007631"/>
    <w:rsid w:val="4B5644F0"/>
    <w:rsid w:val="4BA36468"/>
    <w:rsid w:val="4BFA2679"/>
    <w:rsid w:val="4C8C73CE"/>
    <w:rsid w:val="4C912C37"/>
    <w:rsid w:val="4C994876"/>
    <w:rsid w:val="4CA0731E"/>
    <w:rsid w:val="4D497642"/>
    <w:rsid w:val="4D5D0D6B"/>
    <w:rsid w:val="4DD43D9B"/>
    <w:rsid w:val="4DE90850"/>
    <w:rsid w:val="4DF23BA9"/>
    <w:rsid w:val="4DF27705"/>
    <w:rsid w:val="4E117880"/>
    <w:rsid w:val="4E395334"/>
    <w:rsid w:val="4E487C6D"/>
    <w:rsid w:val="4E616639"/>
    <w:rsid w:val="4EFC6158"/>
    <w:rsid w:val="4F361873"/>
    <w:rsid w:val="4F4170E8"/>
    <w:rsid w:val="4F7C2F7B"/>
    <w:rsid w:val="4FC7696F"/>
    <w:rsid w:val="4FF754A7"/>
    <w:rsid w:val="502B776C"/>
    <w:rsid w:val="506E3F2C"/>
    <w:rsid w:val="508C1F90"/>
    <w:rsid w:val="513E220C"/>
    <w:rsid w:val="51850890"/>
    <w:rsid w:val="5233653E"/>
    <w:rsid w:val="52635FF5"/>
    <w:rsid w:val="52B256B5"/>
    <w:rsid w:val="53285977"/>
    <w:rsid w:val="53634C01"/>
    <w:rsid w:val="53BD07B5"/>
    <w:rsid w:val="546649A9"/>
    <w:rsid w:val="547215A0"/>
    <w:rsid w:val="54743D5A"/>
    <w:rsid w:val="547D1CF3"/>
    <w:rsid w:val="54C04658"/>
    <w:rsid w:val="55062D15"/>
    <w:rsid w:val="55AF412E"/>
    <w:rsid w:val="55CE0A58"/>
    <w:rsid w:val="55E738C7"/>
    <w:rsid w:val="569F41A2"/>
    <w:rsid w:val="569F6AC7"/>
    <w:rsid w:val="56EB5DEF"/>
    <w:rsid w:val="57154464"/>
    <w:rsid w:val="57460F04"/>
    <w:rsid w:val="58313520"/>
    <w:rsid w:val="58801DB1"/>
    <w:rsid w:val="592D3CE7"/>
    <w:rsid w:val="5A2275C4"/>
    <w:rsid w:val="5A6F296E"/>
    <w:rsid w:val="5AA63D51"/>
    <w:rsid w:val="5B1F58B2"/>
    <w:rsid w:val="5B280C0A"/>
    <w:rsid w:val="5B345801"/>
    <w:rsid w:val="5B487BA0"/>
    <w:rsid w:val="5BAC7C97"/>
    <w:rsid w:val="5BE32D83"/>
    <w:rsid w:val="5BEE3D39"/>
    <w:rsid w:val="5D417D61"/>
    <w:rsid w:val="5D8365CC"/>
    <w:rsid w:val="5E0C65C1"/>
    <w:rsid w:val="5E2F405E"/>
    <w:rsid w:val="5E4C10B3"/>
    <w:rsid w:val="5E6F08FE"/>
    <w:rsid w:val="5E76712D"/>
    <w:rsid w:val="5E98178A"/>
    <w:rsid w:val="5EE114D7"/>
    <w:rsid w:val="5F006AB7"/>
    <w:rsid w:val="5F5024DD"/>
    <w:rsid w:val="5FC03B07"/>
    <w:rsid w:val="6074044E"/>
    <w:rsid w:val="60A52614"/>
    <w:rsid w:val="60D333C6"/>
    <w:rsid w:val="61321B59"/>
    <w:rsid w:val="616B35FF"/>
    <w:rsid w:val="61D27B22"/>
    <w:rsid w:val="61FA4982"/>
    <w:rsid w:val="62431135"/>
    <w:rsid w:val="628539EF"/>
    <w:rsid w:val="62A414BE"/>
    <w:rsid w:val="62A72D5C"/>
    <w:rsid w:val="62BB2364"/>
    <w:rsid w:val="62BF3BD8"/>
    <w:rsid w:val="63414F5F"/>
    <w:rsid w:val="6353259C"/>
    <w:rsid w:val="63685B40"/>
    <w:rsid w:val="639C4C9D"/>
    <w:rsid w:val="64264155"/>
    <w:rsid w:val="64276F94"/>
    <w:rsid w:val="65187462"/>
    <w:rsid w:val="66AD68DD"/>
    <w:rsid w:val="670047E9"/>
    <w:rsid w:val="67283D40"/>
    <w:rsid w:val="67966EFB"/>
    <w:rsid w:val="67D77303"/>
    <w:rsid w:val="6817628E"/>
    <w:rsid w:val="684377D2"/>
    <w:rsid w:val="690E0A9E"/>
    <w:rsid w:val="697272B2"/>
    <w:rsid w:val="69A65D56"/>
    <w:rsid w:val="69C2222A"/>
    <w:rsid w:val="6A0A70D2"/>
    <w:rsid w:val="6AE663EC"/>
    <w:rsid w:val="6B3D7A71"/>
    <w:rsid w:val="6BC0398D"/>
    <w:rsid w:val="6BDD159D"/>
    <w:rsid w:val="6C3B62C3"/>
    <w:rsid w:val="6C774177"/>
    <w:rsid w:val="6D2154B9"/>
    <w:rsid w:val="6D4406B3"/>
    <w:rsid w:val="6D7D3037"/>
    <w:rsid w:val="6E514A9D"/>
    <w:rsid w:val="6E55366C"/>
    <w:rsid w:val="6EC82A12"/>
    <w:rsid w:val="6FAC3760"/>
    <w:rsid w:val="6FC9067B"/>
    <w:rsid w:val="70090BB2"/>
    <w:rsid w:val="7012432C"/>
    <w:rsid w:val="702D1E9B"/>
    <w:rsid w:val="703D260A"/>
    <w:rsid w:val="709F32C5"/>
    <w:rsid w:val="70CD3AA8"/>
    <w:rsid w:val="71146042"/>
    <w:rsid w:val="71D722FF"/>
    <w:rsid w:val="727D3192"/>
    <w:rsid w:val="72927A84"/>
    <w:rsid w:val="73452751"/>
    <w:rsid w:val="73964142"/>
    <w:rsid w:val="74051691"/>
    <w:rsid w:val="741915E0"/>
    <w:rsid w:val="7439758C"/>
    <w:rsid w:val="74503606"/>
    <w:rsid w:val="74A4534E"/>
    <w:rsid w:val="74A81872"/>
    <w:rsid w:val="74AF784E"/>
    <w:rsid w:val="74C72DEA"/>
    <w:rsid w:val="74E03EAC"/>
    <w:rsid w:val="74E92D60"/>
    <w:rsid w:val="753A180E"/>
    <w:rsid w:val="754E7067"/>
    <w:rsid w:val="75590B85"/>
    <w:rsid w:val="75A55D7D"/>
    <w:rsid w:val="75B82733"/>
    <w:rsid w:val="75D42D5F"/>
    <w:rsid w:val="75DC4AB3"/>
    <w:rsid w:val="75E55C1E"/>
    <w:rsid w:val="76233ABA"/>
    <w:rsid w:val="76A43600"/>
    <w:rsid w:val="76B455F0"/>
    <w:rsid w:val="76BE5D18"/>
    <w:rsid w:val="776C2C31"/>
    <w:rsid w:val="77B04009"/>
    <w:rsid w:val="77ED357C"/>
    <w:rsid w:val="77F35CA4"/>
    <w:rsid w:val="77FB2266"/>
    <w:rsid w:val="7800741E"/>
    <w:rsid w:val="781A5954"/>
    <w:rsid w:val="78450BF6"/>
    <w:rsid w:val="78764F7E"/>
    <w:rsid w:val="78D57C49"/>
    <w:rsid w:val="78E71CAD"/>
    <w:rsid w:val="792627D5"/>
    <w:rsid w:val="792E51E6"/>
    <w:rsid w:val="793622EC"/>
    <w:rsid w:val="79652BD2"/>
    <w:rsid w:val="798B088A"/>
    <w:rsid w:val="79B0209F"/>
    <w:rsid w:val="7AF72429"/>
    <w:rsid w:val="7B1B79EC"/>
    <w:rsid w:val="7B2368A0"/>
    <w:rsid w:val="7B276B1C"/>
    <w:rsid w:val="7B9D48A5"/>
    <w:rsid w:val="7BF2699E"/>
    <w:rsid w:val="7BFC781D"/>
    <w:rsid w:val="7C246816"/>
    <w:rsid w:val="7CCD2F68"/>
    <w:rsid w:val="7D036989"/>
    <w:rsid w:val="7E2C3CBE"/>
    <w:rsid w:val="7E682F48"/>
    <w:rsid w:val="7EE95C34"/>
    <w:rsid w:val="7F601E71"/>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pPr>
    <w:rPr>
      <w:rFonts w:ascii="Cambria" w:hAnsi="Cambria" w:eastAsia="仿宋" w:cs="Times New Roman"/>
      <w:sz w:val="28"/>
    </w:rPr>
  </w:style>
  <w:style w:type="paragraph" w:styleId="4">
    <w:name w:val="Body Text"/>
    <w:basedOn w:val="1"/>
    <w:next w:val="1"/>
    <w:autoRedefine/>
    <w:qFormat/>
    <w:uiPriority w:val="99"/>
    <w:pPr>
      <w:jc w:val="center"/>
    </w:p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styleId="12">
    <w:name w:val="Strong"/>
    <w:basedOn w:val="11"/>
    <w:qFormat/>
    <w:uiPriority w:val="0"/>
    <w:rPr>
      <w:b/>
    </w:rPr>
  </w:style>
  <w:style w:type="character" w:customStyle="1" w:styleId="13">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3203</Words>
  <Characters>3427</Characters>
  <Lines>0</Lines>
  <Paragraphs>0</Paragraphs>
  <TotalTime>0</TotalTime>
  <ScaleCrop>false</ScaleCrop>
  <LinksUpToDate>false</LinksUpToDate>
  <CharactersWithSpaces>3563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2026-05-13T10:59:40Z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366A066887C444CCB8433001CB1F43B2_13</vt:lpwstr>
  </property>
  <property fmtid="{D5CDD505-2E9C-101B-9397-08002B2CF9AE}" pid="4" name="KSOTemplateDocerSaveRecord">
    <vt:lpwstr>eyJoZGlkIjoiOTcyZTNiZTIzMTFiYjc4MmExNzQ3MzFlOTI4NmYyYmEiLCJ1c2VySWQiOiIzODkzMjE1NzcifQ==</vt:lpwstr>
  </property>
</Properties>
</file>