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7DE9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ascii="仿宋" w:hAnsi="仿宋" w:eastAsia="仿宋" w:cs="仿宋"/>
          <w:color w:val="auto"/>
          <w:highlight w:val="none"/>
        </w:rPr>
      </w:pPr>
      <w:r>
        <w:rPr>
          <w:rFonts w:ascii="仿宋" w:hAnsi="仿宋" w:eastAsia="仿宋" w:cs="仿宋"/>
          <w:b/>
          <w:color w:val="auto"/>
          <w:sz w:val="21"/>
          <w:highlight w:val="none"/>
        </w:rPr>
        <w:t>一</w:t>
      </w:r>
      <w:r>
        <w:rPr>
          <w:rFonts w:hint="eastAsia" w:ascii="仿宋" w:hAnsi="仿宋" w:eastAsia="仿宋" w:cs="仿宋"/>
          <w:b/>
          <w:color w:val="auto"/>
          <w:sz w:val="21"/>
          <w:highlight w:val="none"/>
          <w:lang w:eastAsia="zh-CN"/>
        </w:rPr>
        <w:t>．</w:t>
      </w:r>
      <w:r>
        <w:rPr>
          <w:rFonts w:ascii="仿宋" w:hAnsi="仿宋" w:eastAsia="仿宋" w:cs="仿宋"/>
          <w:b/>
          <w:color w:val="auto"/>
          <w:sz w:val="21"/>
          <w:highlight w:val="none"/>
        </w:rPr>
        <w:t>项目概况</w:t>
      </w:r>
    </w:p>
    <w:p w14:paraId="0AB5EFE7"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eastAsia="zh-CN"/>
        </w:rPr>
        <w:t>为持续推进干线公路科学决策与项目库管理工作，根据交通运输部要求，结合《陕西省干线公路养护科学决策管理办法（试行）》和《陕西省公路养护工程管理办法（试行）》，维护管理科学决策支撑数据，提供从规划库构建到需求库分析、计划复核到计划下达全过程技术服务；根据国评工作实际开展情况，</w:t>
      </w:r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val="en-US" w:eastAsia="zh-CN"/>
        </w:rPr>
        <w:t>按需</w:t>
      </w:r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eastAsia="zh-CN"/>
        </w:rPr>
        <w:t>配合做好科学决策与项目库管理系统优化及展示，提供年度科学决策报告及项目库执行情况报告，</w:t>
      </w:r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val="en-US" w:eastAsia="zh-CN"/>
        </w:rPr>
        <w:t>满足国评要求</w:t>
      </w:r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eastAsia="zh-CN"/>
        </w:rPr>
        <w:t>；动态调整普通干线公路养护工程、危旧桥隧改造、灾害防治等五项工程，协助省局完成相关项目前期申报、审核、资料录入，满足报部要求；保障系统性能稳定及网络安全。</w:t>
      </w:r>
    </w:p>
    <w:p w14:paraId="3E0AA745">
      <w:pPr>
        <w:pStyle w:val="6"/>
        <w:ind w:firstLine="422" w:firstLineChars="200"/>
        <w:jc w:val="both"/>
        <w:rPr>
          <w:rFonts w:ascii="仿宋" w:hAnsi="仿宋" w:eastAsia="仿宋" w:cs="仿宋"/>
          <w:b/>
          <w:color w:val="auto"/>
          <w:sz w:val="21"/>
          <w:highlight w:val="none"/>
        </w:rPr>
      </w:pPr>
      <w:r>
        <w:rPr>
          <w:rFonts w:ascii="仿宋" w:hAnsi="仿宋" w:eastAsia="仿宋" w:cs="仿宋"/>
          <w:b/>
          <w:color w:val="auto"/>
          <w:sz w:val="21"/>
          <w:highlight w:val="none"/>
        </w:rPr>
        <w:t>二</w:t>
      </w:r>
      <w:r>
        <w:rPr>
          <w:rFonts w:hint="eastAsia" w:ascii="仿宋" w:hAnsi="仿宋" w:eastAsia="仿宋" w:cs="仿宋"/>
          <w:b/>
          <w:color w:val="auto"/>
          <w:sz w:val="21"/>
          <w:highlight w:val="none"/>
          <w:lang w:eastAsia="zh-CN"/>
        </w:rPr>
        <w:t>．</w:t>
      </w:r>
      <w:r>
        <w:rPr>
          <w:rFonts w:ascii="仿宋" w:hAnsi="仿宋" w:eastAsia="仿宋" w:cs="仿宋"/>
          <w:b/>
          <w:color w:val="auto"/>
          <w:sz w:val="21"/>
          <w:highlight w:val="none"/>
        </w:rPr>
        <w:t>服务内容</w:t>
      </w:r>
      <w:bookmarkStart w:id="0" w:name="_GoBack"/>
      <w:bookmarkEnd w:id="0"/>
    </w:p>
    <w:p w14:paraId="341AAE8E">
      <w:pPr>
        <w:pStyle w:val="6"/>
        <w:ind w:firstLine="211" w:firstLineChars="1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highlight w:val="none"/>
          <w:lang w:val="en-US" w:eastAsia="zh-CN"/>
        </w:rPr>
        <w:t xml:space="preserve"> 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0"/>
          <w:highlight w:val="none"/>
          <w:lang w:eastAsia="zh-CN"/>
        </w:rPr>
        <w:t>干线公路科学决策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0"/>
          <w:highlight w:val="none"/>
          <w:lang w:val="en-US" w:eastAsia="zh-CN"/>
        </w:rPr>
        <w:t>支撑数据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  <w:t>维护服务</w:t>
      </w:r>
    </w:p>
    <w:p w14:paraId="1E7714A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  <w:t>（1）依托年报、省养护系统、交调系统，完成路桥隧基础数据、结构数据、技术状况数据、养护历史数据、交通量数据等支撑数据的集中更新工作。</w:t>
      </w:r>
    </w:p>
    <w:p w14:paraId="7A45066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  <w:t>（2）协助省局对地市入库更新的收费路段、路面改造路段、规划路段、改建未竣工验收路段、甩掉旧路等特殊路段进行审核。</w:t>
      </w:r>
    </w:p>
    <w:p w14:paraId="2084C5D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  <w:t>（3）根据陕西省实际养护要求，结合历史数据对模型数据进行适配调整与修正。</w:t>
      </w:r>
    </w:p>
    <w:p w14:paraId="70CAD11C">
      <w:pPr>
        <w:pStyle w:val="6"/>
        <w:numPr>
          <w:ilvl w:val="0"/>
          <w:numId w:val="1"/>
        </w:numPr>
        <w:ind w:firstLine="420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  <w:t>养护规划计划全过程技术服务</w:t>
      </w:r>
    </w:p>
    <w:p w14:paraId="1AC88A0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  <w:t>（1）根据路况数据、特殊路段等支撑数据确定养护决策数据范围，基于路桥隧决策模型和预测模型，通过系统决策计算，构建陕西省干线公路养护工程养护需求。</w:t>
      </w:r>
    </w:p>
    <w:p w14:paraId="38FA91F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  <w:t>（2）各地市在养护项目库、方案库、审查库数据及文件在线填报、校验、上报环节提供专业技术指导，协助省局提供数据审核、数据筛选、数据统计等服务。</w:t>
      </w:r>
    </w:p>
    <w:p w14:paraId="62DE7885">
      <w:pPr>
        <w:pStyle w:val="6"/>
        <w:numPr>
          <w:ilvl w:val="0"/>
          <w:numId w:val="1"/>
        </w:numPr>
        <w:ind w:firstLine="42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  <w:t>五项工程报部服务</w:t>
      </w:r>
    </w:p>
    <w:p w14:paraId="170CD6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val="en-US" w:eastAsia="zh-CN"/>
        </w:rPr>
        <w:t>（1）依托干线公路科学决策与项目库管理系统，动态调整普通干线公路养护工程、危旧桥隧改造、灾害防治等五项工程，提供筛选、统计等数据服务。</w:t>
      </w:r>
    </w:p>
    <w:p w14:paraId="4DC630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val="en-US" w:eastAsia="zh-CN"/>
        </w:rPr>
        <w:t>（2）协助省局完成相关项目前期申报、审核、资料录入，完成交通运输部项目库数据报送工作，满足报部要求。</w:t>
      </w:r>
    </w:p>
    <w:p w14:paraId="28A2DC08">
      <w:pPr>
        <w:pStyle w:val="6"/>
        <w:numPr>
          <w:ilvl w:val="0"/>
          <w:numId w:val="1"/>
        </w:numPr>
        <w:ind w:firstLine="42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  <w:t>国评技术支撑服务</w:t>
      </w:r>
    </w:p>
    <w:p w14:paraId="23751FC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eastAsia="zh-CN"/>
        </w:rPr>
        <w:t>根据国评工作实际开展情况，按需配合完成科学决策与项目库管理系统优化及成果展示，</w:t>
      </w:r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val="en-US" w:eastAsia="zh-CN"/>
        </w:rPr>
        <w:t>并提交</w:t>
      </w:r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eastAsia="zh-CN"/>
        </w:rPr>
        <w:t>年度科学决策报告和项目库执行情况报告，满足国评要求。</w:t>
      </w:r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21"/>
          <w:szCs w:val="20"/>
          <w:highlight w:val="none"/>
          <w:lang w:eastAsia="zh-CN"/>
        </w:rPr>
        <w:t>国评未组织实施时，该项工作可不实施，服务总价不作调整。</w:t>
      </w:r>
    </w:p>
    <w:p w14:paraId="0C582CA4">
      <w:pPr>
        <w:pStyle w:val="6"/>
        <w:numPr>
          <w:ilvl w:val="0"/>
          <w:numId w:val="1"/>
        </w:numPr>
        <w:ind w:firstLine="42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  <w:t>系统培训服务</w:t>
      </w:r>
    </w:p>
    <w:p w14:paraId="2EADF768">
      <w:pPr>
        <w:pStyle w:val="6"/>
        <w:ind w:firstLine="420"/>
        <w:rPr>
          <w:rFonts w:hint="eastAsia" w:ascii="仿宋_GB2312" w:hAnsi="仿宋_GB2312" w:eastAsia="仿宋_GB2312" w:cs="仿宋_GB2312"/>
          <w:bCs w:val="0"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1"/>
          <w:szCs w:val="20"/>
          <w:highlight w:val="none"/>
          <w:lang w:val="en-US" w:eastAsia="zh-CN"/>
        </w:rPr>
        <w:t>根据采购人实际要求，面向各</w:t>
      </w:r>
      <w:r>
        <w:rPr>
          <w:rFonts w:hint="eastAsia" w:ascii="仿宋_GB2312" w:hAnsi="仿宋_GB2312" w:eastAsia="仿宋_GB2312" w:cs="仿宋_GB2312"/>
          <w:color w:val="auto"/>
          <w:sz w:val="21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1"/>
          <w:szCs w:val="20"/>
          <w:highlight w:val="none"/>
          <w:lang w:val="en-US" w:eastAsia="zh-CN"/>
        </w:rPr>
        <w:t>用户采用“集中培训”或“线上培训”的模式提供至少一次系统培训，培训人数不少于30人。培训内容包括核心业务模块操作流程、常见问题解答及功能讲解。</w:t>
      </w:r>
    </w:p>
    <w:p w14:paraId="2FDAE5DA">
      <w:pPr>
        <w:pStyle w:val="6"/>
        <w:numPr>
          <w:ilvl w:val="0"/>
          <w:numId w:val="1"/>
        </w:numPr>
        <w:ind w:firstLine="42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  <w:t>系统运维及网络安全保障服务</w:t>
      </w:r>
    </w:p>
    <w:p w14:paraId="282BECDA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  <w:t>保障系统稳定运行服务</w:t>
      </w:r>
    </w:p>
    <w:p w14:paraId="6B5EBC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  <w:t>为保障系统稳定运行，提供系统运行服务，包括配置项管理、权限调整、系统账号管理、系统巡检、功能缺陷修复、日常答疑。</w:t>
      </w:r>
    </w:p>
    <w:p w14:paraId="76DD8DB9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-SA"/>
        </w:rPr>
        <w:t>系统功能优化与适应性调整服务</w:t>
      </w:r>
    </w:p>
    <w:p w14:paraId="26761C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  <w:t>为满足公路养护行业规范及陕西省公路养护实际需求，供应商需在服务期内提供系统功能的优化与适应性调整服务。此类调整主要指在不改变系统核心架构、不进行底层数据库重构的前提下，进行的界面优化、报表调整、逻辑完善等。所有优化需求须由采购人书面提出，供应商需在约定时间内提供技术评估。经采购人书面确认后，方可实施。</w:t>
      </w:r>
    </w:p>
    <w:p w14:paraId="75A1E79A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  <w:t>网络安全保障服务</w:t>
      </w:r>
    </w:p>
    <w:p w14:paraId="02586F13">
      <w:pPr>
        <w:pStyle w:val="7"/>
        <w:rPr>
          <w:rFonts w:hint="eastAsia" w:ascii="仿宋_GB2312" w:hAnsi="仿宋_GB2312" w:eastAsia="仿宋_GB2312" w:cs="仿宋_GB2312"/>
          <w:bCs w:val="0"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0"/>
          <w:highlight w:val="none"/>
          <w:lang w:val="en-US" w:eastAsia="zh-CN"/>
        </w:rPr>
        <w:t>保障系统服务期内网络安全服务，落实网络安全管理相关要求，保障系统运行安全和数据安全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。</w:t>
      </w:r>
    </w:p>
    <w:p w14:paraId="257BE46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1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1"/>
          <w:highlight w:val="none"/>
          <w:lang w:eastAsia="zh-CN"/>
        </w:rPr>
        <w:t>．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1"/>
          <w:highlight w:val="none"/>
        </w:rPr>
        <w:t>技术要求</w:t>
      </w:r>
    </w:p>
    <w:p w14:paraId="32AF68F6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3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  <w:t>（一）系统可用性要求</w:t>
      </w:r>
    </w:p>
    <w:p w14:paraId="41246FF7">
      <w:pPr>
        <w:pStyle w:val="6"/>
        <w:ind w:firstLine="420"/>
        <w:rPr>
          <w:rFonts w:hint="eastAsia" w:ascii="仿宋_GB2312" w:hAnsi="仿宋_GB2312" w:eastAsia="仿宋_GB2312" w:cs="仿宋_GB2312"/>
          <w:color w:val="auto"/>
          <w:spacing w:val="0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highlight w:val="none"/>
          <w:lang w:val="en-US" w:eastAsia="zh-CN"/>
        </w:rPr>
        <w:t>系统要求7*24小时不间断运行，可用性（A=MTBF（平均无故障工作时间）/（MTBF+MTTR（平均维修时间））×100%）至少为99.9%。</w:t>
      </w:r>
    </w:p>
    <w:p w14:paraId="3DD53D8F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3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  <w:t>（二）应急响应要求</w:t>
      </w:r>
    </w:p>
    <w:p w14:paraId="7DF3DE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highlight w:val="none"/>
          <w:lang w:eastAsia="zh-CN"/>
        </w:rPr>
        <w:t>供应商须提供7x24小时应急响应服务，应遵循如下分级处置时限要求：</w:t>
      </w:r>
    </w:p>
    <w:p w14:paraId="1F11DF8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highlight w:val="none"/>
          <w:lang w:eastAsia="zh-CN"/>
        </w:rPr>
        <w:t>针对一级（重大）事件，导致核心业务完全中断，造成重大损失或影响。供应商应在15分钟快速响应，全力抢修，直至问题解决。</w:t>
      </w:r>
    </w:p>
    <w:p w14:paraId="2C0AC4E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highlight w:val="none"/>
          <w:lang w:eastAsia="zh-CN"/>
        </w:rPr>
        <w:t>针对二级（严重）事件，导致核心业务性能严重下降，或部分非核心业务中断。供应商应在30分钟快速响应，4小时解决问题。</w:t>
      </w:r>
    </w:p>
    <w:p w14:paraId="3FC745A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highlight w:val="none"/>
          <w:lang w:eastAsia="zh-CN"/>
        </w:rPr>
        <w:t>针对三级（一般）事件，局部功能异常，对核心业务影响轻微。供应商应在1小时响应，一个工作日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highlight w:val="none"/>
          <w:lang w:val="en-US" w:eastAsia="zh-CN"/>
        </w:rPr>
        <w:t>解决。</w:t>
      </w:r>
    </w:p>
    <w:p w14:paraId="022B3B8E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3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21"/>
          <w:szCs w:val="20"/>
          <w:highlight w:val="none"/>
          <w:lang w:val="en-US" w:eastAsia="zh-CN"/>
        </w:rPr>
        <w:t>（三）项目团队要求</w:t>
      </w:r>
    </w:p>
    <w:p w14:paraId="5FE61DC4">
      <w:pPr>
        <w:pStyle w:val="6"/>
        <w:ind w:firstLine="420"/>
        <w:rPr>
          <w:rFonts w:hint="eastAsia" w:ascii="仿宋_GB2312" w:hAnsi="仿宋_GB2312" w:eastAsia="仿宋_GB2312" w:cs="仿宋_GB2312"/>
          <w:color w:val="auto"/>
          <w:spacing w:val="0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highlight w:val="none"/>
          <w:lang w:val="en-US" w:eastAsia="zh-CN"/>
        </w:rPr>
        <w:t>（1）供应商设立专属的服务团队，</w:t>
      </w:r>
      <w:r>
        <w:rPr>
          <w:rFonts w:hint="eastAsia" w:ascii="仿宋_GB2312" w:hAnsi="仿宋_GB2312" w:eastAsia="仿宋_GB2312" w:cs="仿宋_GB2312"/>
          <w:color w:val="auto"/>
          <w:sz w:val="21"/>
          <w:highlight w:val="none"/>
        </w:rPr>
        <w:t>保证骨干人员的稳定性</w:t>
      </w:r>
      <w:r>
        <w:rPr>
          <w:rFonts w:hint="eastAsia" w:ascii="仿宋_GB2312" w:hAnsi="仿宋_GB2312" w:eastAsia="仿宋_GB2312" w:cs="仿宋_GB2312"/>
          <w:color w:val="auto"/>
          <w:sz w:val="2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21"/>
          <w:highlight w:val="none"/>
          <w:lang w:val="en-US" w:eastAsia="zh-CN"/>
        </w:rPr>
        <w:t>具备7x24小时应急响应能力。配备项目经理，负责整体运维项目进度与协调，可根据工作需要配备远程技术专家，负责提供远程技术支持。</w:t>
      </w:r>
    </w:p>
    <w:p w14:paraId="3E85C992">
      <w:pPr>
        <w:pStyle w:val="6"/>
        <w:ind w:firstLine="420"/>
        <w:jc w:val="both"/>
        <w:rPr>
          <w:rFonts w:hint="eastAsia" w:ascii="仿宋_GB2312" w:hAnsi="仿宋_GB2312" w:eastAsia="仿宋_GB2312" w:cs="仿宋_GB2312"/>
          <w:color w:val="auto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21"/>
          <w:highlight w:val="none"/>
          <w:lang w:val="en-US" w:eastAsia="zh-CN"/>
        </w:rPr>
        <w:t>需派驻至少1名工程师，提供软件升级及技术支持工作，需具备相应专业资质和服务能力并常驻于甲方办公所在地。</w:t>
      </w:r>
    </w:p>
    <w:p w14:paraId="6C84B8D3">
      <w:pPr>
        <w:pStyle w:val="6"/>
        <w:ind w:firstLine="420"/>
        <w:jc w:val="both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21"/>
          <w:highlight w:val="none"/>
        </w:rPr>
        <w:t>供应商履约期间应确定项目联络人员。如有变更，应及时书面通知采购方。</w:t>
      </w:r>
    </w:p>
    <w:p w14:paraId="463FEA7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  <w:lang w:eastAsia="zh-CN"/>
        </w:rPr>
        <w:t>．</w:t>
      </w:r>
      <w:r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</w:rPr>
        <w:t>报价要求</w:t>
      </w:r>
    </w:p>
    <w:p w14:paraId="1EDA63B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项目服务报价表上项目服务的价格，是交货（或服务提供）地的验收价格，其总价即为履行合同的最终价格。</w:t>
      </w:r>
    </w:p>
    <w:p w14:paraId="2BE2B26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响应文件中规定的软件技术支持、数据审核、数据处理、数据报送等全部费用，包括在项目服务报价中。</w:t>
      </w:r>
    </w:p>
    <w:p w14:paraId="56C573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  <w:lang w:eastAsia="zh-CN"/>
        </w:rPr>
        <w:t>．</w:t>
      </w:r>
      <w:r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</w:rPr>
        <w:t>合同支付</w:t>
      </w:r>
    </w:p>
    <w:p w14:paraId="6BF0D35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费用结算：按合同总价款结算。履行本合同约定服务所需的全部费用（包括人工/管理/办公/交通/会务/外业勘察/物耗/利润/税费/风险及有关的其他费用等）均计入合同总价中。</w:t>
      </w:r>
    </w:p>
    <w:p w14:paraId="7503353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费用结算采用银行转账方式，分期付款。付款前，乙方须向甲方提供等额的增值税发票。</w:t>
      </w:r>
    </w:p>
    <w:p w14:paraId="3725D06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费用支付：</w:t>
      </w:r>
    </w:p>
    <w:p w14:paraId="4072F37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合同签订前，乙方须向甲方缴纳合同总金额5%的履约保证金，履约保证金待乙方履行完毕全部合同义务，并经甲方履约验收合格，无任何纠纷后无息退还。</w:t>
      </w:r>
    </w:p>
    <w:p w14:paraId="37F26B9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合同签订后，甲方收到履约保证金及增值税普通发票后，甲方支付乙方合同总金额的60%；乙方提交系统用户使用手册和年度运维服务报告，并经甲方确认合格后，支付合同总金额的40%。</w:t>
      </w:r>
    </w:p>
    <w:p w14:paraId="6A5BD63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  <w:lang w:eastAsia="zh-CN"/>
        </w:rPr>
        <w:t>．</w:t>
      </w:r>
      <w:r>
        <w:rPr>
          <w:rFonts w:hint="eastAsia" w:ascii="仿宋" w:hAnsi="仿宋" w:eastAsia="仿宋" w:cs="仿宋"/>
          <w:b/>
          <w:bCs w:val="0"/>
          <w:color w:val="auto"/>
          <w:sz w:val="21"/>
          <w:highlight w:val="none"/>
        </w:rPr>
        <w:t>验收标准</w:t>
      </w:r>
    </w:p>
    <w:p w14:paraId="2B7FD1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供应商完成合同约定的全部内容，并向采购人提交项目实施过程中的所有资料,以便采购人日后管理和维护该项目。各项成果资料满足国家现行的相关技术标准、规范、规程等以及《陕西省干线公路养护科学决策管理办法（试行）》《陕西省公路养护工程管理办法（试行）》等陕西省公路管理相关规定。</w:t>
      </w:r>
    </w:p>
    <w:p w14:paraId="564AD0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采购人确认供应商能够达到合同约定要求后，组织供应商（必要时邀请第三方专家）进行项目验收。供应商提交合同履约情况总结报告，并经采购人确认。验收合格后，填写项目验收单作为对项目的最终认可。</w:t>
      </w:r>
    </w:p>
    <w:p w14:paraId="4C6AF3D6">
      <w:r>
        <w:rPr>
          <w:rFonts w:hint="eastAsia" w:ascii="仿宋" w:hAnsi="仿宋" w:eastAsia="仿宋" w:cs="仿宋"/>
          <w:color w:val="auto"/>
          <w:sz w:val="21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验收依据：①本合同及附件文本；②竞争性磋商文件、磋商响应文件、澄清表（函）；③国家相应的标准、规范</w:t>
      </w:r>
      <w:r>
        <w:rPr>
          <w:rFonts w:hint="eastAsia" w:ascii="仿宋" w:hAnsi="仿宋" w:eastAsia="仿宋" w:cs="仿宋"/>
          <w:color w:val="auto"/>
          <w:sz w:val="21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C6539"/>
    <w:multiLevelType w:val="singleLevel"/>
    <w:tmpl w:val="0D8C653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4163B11"/>
    <w:multiLevelType w:val="singleLevel"/>
    <w:tmpl w:val="54163B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342CF"/>
    <w:rsid w:val="6183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缩进正文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2026-05-13T09:44:00Z</dcterms:created>
  <dc:creator>弥猫深巷°</dc:creator>
  <cp:lastModifiedBy>弥猫深巷°</cp:lastModifiedBy>
  <dcterms:modified xsi:type="dcterms:W3CDTF">2026-05-13T09:46:29Z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8CFC8FF47B644B1C80B14CB123990F13_11</vt:lpwstr>
  </property>
  <property fmtid="{D5CDD505-2E9C-101B-9397-08002B2CF9AE}" pid="4" name="KSOTemplateDocerSaveRecord">
    <vt:lpwstr>eyJoZGlkIjoiNjdlNGM1NWU5ZTM1Mzc3ZjUzODQ4MTgyZmMyNmQyNjciLCJ1c2VySWQiOiIyNTEwOTc4MjkifQ==</vt:lpwstr>
  </property>
</Properties>
</file>