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99AFC">
      <w:pPr>
        <w:widowControl w:val="0"/>
        <w:spacing w:line="240" w:lineRule="auto"/>
        <w:jc w:val="center"/>
        <w:rPr>
          <w:rFonts w:cs="Times New Roman"/>
          <w:color w:val="auto"/>
          <w:sz w:val="52"/>
          <w:szCs w:val="52"/>
          <w:highlight w:val="none"/>
        </w:rPr>
      </w:pPr>
    </w:p>
    <w:p w14:paraId="70FCF0A5">
      <w:pPr>
        <w:widowControl w:val="0"/>
        <w:spacing w:line="240" w:lineRule="auto"/>
        <w:jc w:val="center"/>
        <w:rPr>
          <w:rFonts w:cs="Times New Roman"/>
          <w:color w:val="auto"/>
          <w:sz w:val="52"/>
          <w:szCs w:val="52"/>
          <w:highlight w:val="none"/>
        </w:rPr>
      </w:pPr>
    </w:p>
    <w:p w14:paraId="4AC76DC3">
      <w:pPr>
        <w:widowControl w:val="0"/>
        <w:spacing w:line="240" w:lineRule="auto"/>
        <w:jc w:val="center"/>
        <w:rPr>
          <w:rFonts w:eastAsia="华文中宋" w:cs="Times New Roman"/>
          <w:color w:val="auto"/>
          <w:kern w:val="0"/>
          <w:sz w:val="96"/>
          <w:szCs w:val="96"/>
          <w:highlight w:val="none"/>
        </w:rPr>
      </w:pPr>
      <w:r>
        <w:rPr>
          <w:rFonts w:hint="eastAsia" w:cs="华文仿宋"/>
          <w:color w:val="auto"/>
          <w:sz w:val="52"/>
          <w:szCs w:val="52"/>
          <w:highlight w:val="none"/>
        </w:rPr>
        <w:t>陕西省省级单位政府采购中心</w:t>
      </w:r>
    </w:p>
    <w:p w14:paraId="2216C3B5">
      <w:pPr>
        <w:widowControl w:val="0"/>
        <w:spacing w:line="240" w:lineRule="auto"/>
        <w:jc w:val="center"/>
        <w:rPr>
          <w:rFonts w:eastAsia="华文中宋" w:cs="Times New Roman"/>
          <w:color w:val="auto"/>
          <w:sz w:val="96"/>
          <w:szCs w:val="96"/>
          <w:highlight w:val="none"/>
          <w:shd w:val="clear" w:color="FFFFFF" w:fill="D9D9D9"/>
        </w:rPr>
      </w:pPr>
      <w:r>
        <w:rPr>
          <w:rFonts w:hint="eastAsia" w:eastAsia="华文中宋" w:cs="华文中宋"/>
          <w:color w:val="auto"/>
          <w:kern w:val="0"/>
          <w:sz w:val="96"/>
          <w:szCs w:val="96"/>
          <w:highlight w:val="none"/>
          <w:lang w:eastAsia="zh-CN"/>
        </w:rPr>
        <w:t>竞争性磋商</w:t>
      </w:r>
      <w:r>
        <w:rPr>
          <w:rFonts w:hint="eastAsia" w:eastAsia="华文中宋" w:cs="华文中宋"/>
          <w:color w:val="auto"/>
          <w:kern w:val="0"/>
          <w:sz w:val="96"/>
          <w:szCs w:val="96"/>
          <w:highlight w:val="none"/>
        </w:rPr>
        <w:t>文件</w:t>
      </w:r>
    </w:p>
    <w:p w14:paraId="18529782">
      <w:pPr>
        <w:widowControl w:val="0"/>
        <w:spacing w:line="900" w:lineRule="exact"/>
        <w:ind w:left="2805" w:leftChars="350" w:right="707" w:rightChars="250" w:hanging="1815" w:hangingChars="500"/>
        <w:jc w:val="center"/>
        <w:rPr>
          <w:rFonts w:cs="Times New Roman"/>
          <w:color w:val="auto"/>
          <w:sz w:val="36"/>
          <w:szCs w:val="36"/>
          <w:highlight w:val="none"/>
        </w:rPr>
      </w:pPr>
      <w:r>
        <w:rPr>
          <w:rFonts w:hint="eastAsia"/>
          <w:color w:val="auto"/>
          <w:sz w:val="36"/>
          <w:szCs w:val="36"/>
          <w:highlight w:val="none"/>
        </w:rPr>
        <w:t>（</w:t>
      </w:r>
      <w:r>
        <w:rPr>
          <w:rFonts w:hint="eastAsia"/>
          <w:color w:val="auto"/>
          <w:sz w:val="36"/>
          <w:szCs w:val="36"/>
          <w:highlight w:val="none"/>
          <w:lang w:val="en-US" w:eastAsia="zh-CN"/>
        </w:rPr>
        <w:t>非</w:t>
      </w:r>
      <w:r>
        <w:rPr>
          <w:rFonts w:hint="eastAsia"/>
          <w:color w:val="auto"/>
          <w:sz w:val="36"/>
          <w:szCs w:val="36"/>
          <w:highlight w:val="none"/>
        </w:rPr>
        <w:t>专门面向</w:t>
      </w:r>
      <w:r>
        <w:rPr>
          <w:rFonts w:hint="eastAsia"/>
          <w:color w:val="auto"/>
          <w:sz w:val="36"/>
          <w:szCs w:val="36"/>
          <w:highlight w:val="none"/>
          <w:lang w:eastAsia="zh-CN"/>
        </w:rPr>
        <w:t>中小企业</w:t>
      </w:r>
      <w:r>
        <w:rPr>
          <w:rFonts w:hint="eastAsia"/>
          <w:color w:val="auto"/>
          <w:sz w:val="36"/>
          <w:szCs w:val="36"/>
          <w:highlight w:val="none"/>
        </w:rPr>
        <w:t>项目）</w:t>
      </w:r>
    </w:p>
    <w:p w14:paraId="7EDED834">
      <w:pPr>
        <w:pStyle w:val="3"/>
        <w:widowControl w:val="0"/>
        <w:spacing w:after="190"/>
        <w:rPr>
          <w:color w:val="auto"/>
          <w:highlight w:val="none"/>
        </w:rPr>
      </w:pPr>
    </w:p>
    <w:p w14:paraId="309B01AC">
      <w:pPr>
        <w:pStyle w:val="8"/>
        <w:widowControl w:val="0"/>
        <w:rPr>
          <w:color w:val="auto"/>
          <w:highlight w:val="none"/>
        </w:rPr>
      </w:pPr>
    </w:p>
    <w:p w14:paraId="2C3E9519">
      <w:pPr>
        <w:pStyle w:val="2"/>
        <w:widowControl w:val="0"/>
        <w:ind w:firstLine="363"/>
        <w:rPr>
          <w:color w:val="auto"/>
          <w:sz w:val="36"/>
          <w:szCs w:val="36"/>
          <w:highlight w:val="none"/>
        </w:rPr>
      </w:pPr>
    </w:p>
    <w:p w14:paraId="646CDF73">
      <w:pPr>
        <w:widowControl w:val="0"/>
        <w:spacing w:line="240" w:lineRule="auto"/>
        <w:ind w:left="2539" w:leftChars="256" w:right="707" w:rightChars="250" w:hanging="1815" w:hangingChars="500"/>
        <w:jc w:val="left"/>
        <w:rPr>
          <w:rFonts w:hint="eastAsia" w:ascii="华文仿宋" w:hAnsi="华文仿宋" w:eastAsia="华文仿宋" w:cs="华文仿宋"/>
          <w:b/>
          <w:bCs/>
          <w:color w:val="auto"/>
          <w:sz w:val="36"/>
          <w:szCs w:val="36"/>
          <w:highlight w:val="none"/>
          <w:lang w:eastAsia="zh-CN"/>
        </w:rPr>
      </w:pPr>
      <w:r>
        <w:rPr>
          <w:rFonts w:hint="eastAsia" w:ascii="华文仿宋" w:hAnsi="华文仿宋" w:cs="华文仿宋"/>
          <w:b/>
          <w:bCs/>
          <w:color w:val="auto"/>
          <w:sz w:val="36"/>
          <w:szCs w:val="36"/>
          <w:highlight w:val="none"/>
        </w:rPr>
        <w:t>项目名称：</w:t>
      </w:r>
      <w:r>
        <w:rPr>
          <w:rFonts w:hint="eastAsia" w:ascii="仿宋" w:hAnsi="仿宋" w:eastAsia="仿宋" w:cs="仿宋"/>
          <w:b/>
          <w:bCs/>
          <w:color w:val="auto"/>
          <w:sz w:val="36"/>
          <w:szCs w:val="36"/>
          <w:highlight w:val="none"/>
          <w:lang w:eastAsia="zh-CN"/>
        </w:rPr>
        <w:t>陕西省发展和改革委员会全国信用信息共享平台（陕西）2024年度技术运营第三方服务项目</w:t>
      </w:r>
    </w:p>
    <w:p w14:paraId="25AC56EA">
      <w:pPr>
        <w:widowControl w:val="0"/>
        <w:spacing w:line="240" w:lineRule="auto"/>
        <w:ind w:left="2539" w:leftChars="256" w:right="707" w:rightChars="250" w:hanging="1815" w:hangingChars="500"/>
        <w:jc w:val="left"/>
        <w:rPr>
          <w:rFonts w:hint="default" w:ascii="仿宋" w:hAnsi="仿宋" w:eastAsia="华文仿宋" w:cs="仿宋"/>
          <w:b/>
          <w:bCs/>
          <w:color w:val="auto"/>
          <w:sz w:val="36"/>
          <w:szCs w:val="36"/>
          <w:highlight w:val="none"/>
          <w:lang w:val="en-US" w:eastAsia="zh-CN"/>
        </w:rPr>
      </w:pPr>
      <w:r>
        <w:rPr>
          <w:rFonts w:hint="eastAsia" w:ascii="华文仿宋" w:hAnsi="华文仿宋" w:cs="华文仿宋"/>
          <w:b/>
          <w:bCs/>
          <w:color w:val="auto"/>
          <w:sz w:val="36"/>
          <w:szCs w:val="36"/>
          <w:highlight w:val="none"/>
        </w:rPr>
        <w:t>项目编号：</w:t>
      </w:r>
      <w:r>
        <w:rPr>
          <w:rFonts w:hint="eastAsia" w:ascii="仿宋" w:hAnsi="仿宋" w:eastAsia="仿宋" w:cs="仿宋"/>
          <w:b/>
          <w:bCs/>
          <w:color w:val="auto"/>
          <w:sz w:val="36"/>
          <w:szCs w:val="36"/>
          <w:highlight w:val="none"/>
          <w:lang w:eastAsia="zh-CN"/>
        </w:rPr>
        <w:t>SNCG-FM-2025005</w:t>
      </w:r>
    </w:p>
    <w:p w14:paraId="4DD9F997">
      <w:pPr>
        <w:widowControl w:val="0"/>
        <w:spacing w:line="240" w:lineRule="auto"/>
        <w:ind w:left="2539" w:leftChars="256" w:right="707" w:rightChars="250" w:hanging="1815" w:hangingChars="500"/>
        <w:jc w:val="left"/>
        <w:rPr>
          <w:rFonts w:hint="eastAsia" w:ascii="仿宋" w:hAnsi="仿宋" w:eastAsia="华文仿宋" w:cs="仿宋"/>
          <w:b/>
          <w:bCs/>
          <w:color w:val="auto"/>
          <w:sz w:val="36"/>
          <w:szCs w:val="36"/>
          <w:highlight w:val="none"/>
          <w:lang w:eastAsia="zh-CN"/>
        </w:rPr>
      </w:pPr>
      <w:r>
        <w:rPr>
          <w:rFonts w:hint="eastAsia" w:ascii="华文仿宋" w:hAnsi="华文仿宋" w:cs="华文仿宋"/>
          <w:b/>
          <w:bCs/>
          <w:color w:val="auto"/>
          <w:sz w:val="36"/>
          <w:szCs w:val="36"/>
          <w:highlight w:val="none"/>
        </w:rPr>
        <w:t>采 购 人：</w:t>
      </w:r>
      <w:r>
        <w:rPr>
          <w:rFonts w:hint="eastAsia" w:ascii="华文仿宋" w:hAnsi="华文仿宋" w:cs="华文仿宋"/>
          <w:b/>
          <w:bCs/>
          <w:color w:val="auto"/>
          <w:sz w:val="36"/>
          <w:szCs w:val="36"/>
          <w:highlight w:val="none"/>
          <w:lang w:eastAsia="zh-CN"/>
        </w:rPr>
        <w:t>陕西省发展和改革委员会</w:t>
      </w:r>
    </w:p>
    <w:p w14:paraId="1D799941">
      <w:pPr>
        <w:widowControl w:val="0"/>
        <w:spacing w:line="240" w:lineRule="auto"/>
        <w:ind w:left="2539" w:leftChars="256" w:right="707" w:rightChars="250" w:hanging="1815" w:hangingChars="500"/>
        <w:jc w:val="left"/>
        <w:rPr>
          <w:rFonts w:ascii="华文仿宋" w:hAnsi="华文仿宋" w:cs="华文仿宋"/>
          <w:b/>
          <w:bCs/>
          <w:color w:val="auto"/>
          <w:sz w:val="36"/>
          <w:szCs w:val="36"/>
          <w:highlight w:val="none"/>
        </w:rPr>
      </w:pPr>
      <w:r>
        <w:rPr>
          <w:rFonts w:hint="eastAsia" w:ascii="华文仿宋" w:hAnsi="华文仿宋" w:cs="华文仿宋"/>
          <w:b/>
          <w:bCs/>
          <w:color w:val="auto"/>
          <w:sz w:val="36"/>
          <w:szCs w:val="36"/>
          <w:highlight w:val="none"/>
        </w:rPr>
        <w:t>采购代理机构：陕西省省级单位政府采购中心</w:t>
      </w:r>
    </w:p>
    <w:p w14:paraId="507FCA47">
      <w:pPr>
        <w:pStyle w:val="3"/>
        <w:widowControl w:val="0"/>
        <w:spacing w:after="190"/>
        <w:rPr>
          <w:rFonts w:cs="Times New Roman"/>
          <w:color w:val="auto"/>
          <w:highlight w:val="none"/>
        </w:rPr>
      </w:pPr>
    </w:p>
    <w:p w14:paraId="68860CF0">
      <w:pPr>
        <w:pStyle w:val="2"/>
        <w:widowControl w:val="0"/>
        <w:ind w:firstLine="0" w:firstLineChars="0"/>
        <w:rPr>
          <w:color w:val="auto"/>
          <w:highlight w:val="none"/>
        </w:rPr>
      </w:pPr>
    </w:p>
    <w:p w14:paraId="600CCD9B">
      <w:pPr>
        <w:widowControl w:val="0"/>
        <w:rPr>
          <w:rFonts w:cs="Times New Roman"/>
          <w:color w:val="auto"/>
          <w:highlight w:val="none"/>
        </w:rPr>
      </w:pPr>
    </w:p>
    <w:p w14:paraId="5B02A0C9">
      <w:pPr>
        <w:pStyle w:val="8"/>
        <w:widowControl w:val="0"/>
        <w:rPr>
          <w:color w:val="auto"/>
          <w:highlight w:val="none"/>
        </w:rPr>
      </w:pPr>
    </w:p>
    <w:p w14:paraId="543C6CFE">
      <w:pPr>
        <w:widowControl w:val="0"/>
        <w:tabs>
          <w:tab w:val="right" w:leader="hyphen" w:pos="8504"/>
        </w:tabs>
        <w:spacing w:after="381" w:afterLines="100" w:line="440" w:lineRule="exact"/>
        <w:ind w:right="566" w:rightChars="200"/>
        <w:jc w:val="center"/>
        <w:rPr>
          <w:rFonts w:ascii="仿宋" w:hAnsi="仿宋" w:eastAsia="仿宋" w:cs="Times New Roman"/>
          <w:b/>
          <w:bCs/>
          <w:color w:val="auto"/>
          <w:sz w:val="36"/>
          <w:szCs w:val="36"/>
          <w:highlight w:val="none"/>
        </w:rPr>
        <w:sectPr>
          <w:headerReference r:id="rId5" w:type="default"/>
          <w:footerReference r:id="rId6" w:type="default"/>
          <w:pgSz w:w="11906" w:h="16838"/>
          <w:pgMar w:top="1417" w:right="1417" w:bottom="1417" w:left="1417" w:header="850" w:footer="992" w:gutter="0"/>
          <w:pgNumType w:start="1"/>
          <w:cols w:space="720" w:num="1"/>
          <w:docGrid w:type="linesAndChars" w:linePitch="381" w:charSpace="704"/>
        </w:sectPr>
      </w:pPr>
      <w:r>
        <w:rPr>
          <w:rFonts w:ascii="仿宋" w:hAnsi="仿宋" w:eastAsia="仿宋" w:cs="仿宋"/>
          <w:b/>
          <w:bCs/>
          <w:color w:val="auto"/>
          <w:sz w:val="36"/>
          <w:szCs w:val="36"/>
          <w:highlight w:val="none"/>
        </w:rPr>
        <w:t>202</w:t>
      </w:r>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01</w:t>
      </w:r>
      <w:r>
        <w:rPr>
          <w:rFonts w:hint="eastAsia" w:ascii="仿宋" w:hAnsi="仿宋" w:eastAsia="仿宋" w:cs="仿宋"/>
          <w:b/>
          <w:bCs/>
          <w:color w:val="auto"/>
          <w:sz w:val="36"/>
          <w:szCs w:val="36"/>
          <w:highlight w:val="none"/>
        </w:rPr>
        <w:t>月</w:t>
      </w:r>
      <w:bookmarkStart w:id="0" w:name="_Toc1"/>
      <w:bookmarkStart w:id="1" w:name="_Toc7047"/>
      <w:bookmarkStart w:id="2" w:name="_Toc20135"/>
      <w:bookmarkStart w:id="3" w:name="_Toc6774"/>
      <w:bookmarkStart w:id="4" w:name="_Toc852"/>
      <w:bookmarkStart w:id="5" w:name="_Toc10513"/>
      <w:bookmarkStart w:id="6" w:name="_Toc16154"/>
      <w:bookmarkStart w:id="7" w:name="_Toc21160"/>
      <w:r>
        <w:rPr>
          <w:rFonts w:hint="eastAsia" w:ascii="仿宋" w:hAnsi="仿宋" w:eastAsia="仿宋" w:cs="仿宋"/>
          <w:b/>
          <w:bCs/>
          <w:color w:val="auto"/>
          <w:sz w:val="36"/>
          <w:szCs w:val="36"/>
          <w:highlight w:val="none"/>
          <w:lang w:val="en-US" w:eastAsia="zh-CN"/>
        </w:rPr>
        <w:t>26</w:t>
      </w:r>
      <w:r>
        <w:rPr>
          <w:rFonts w:hint="eastAsia" w:ascii="仿宋" w:hAnsi="仿宋" w:eastAsia="仿宋" w:cs="仿宋"/>
          <w:b/>
          <w:bCs/>
          <w:color w:val="auto"/>
          <w:sz w:val="36"/>
          <w:szCs w:val="36"/>
          <w:highlight w:val="none"/>
        </w:rPr>
        <w:t>日</w:t>
      </w:r>
    </w:p>
    <w:p w14:paraId="65D3C326">
      <w:pPr>
        <w:pStyle w:val="21"/>
        <w:widowControl w:val="0"/>
        <w:tabs>
          <w:tab w:val="right" w:leader="dot" w:pos="9072"/>
        </w:tabs>
        <w:ind w:left="0" w:leftChars="0"/>
        <w:rPr>
          <w:rFonts w:ascii="黑体" w:hAnsi="黑体" w:eastAsia="黑体" w:cs="黑体"/>
          <w:color w:val="auto"/>
          <w:sz w:val="44"/>
          <w:szCs w:val="44"/>
          <w:highlight w:val="none"/>
        </w:rPr>
      </w:pPr>
      <w:bookmarkStart w:id="8" w:name="_Toc29970"/>
      <w:bookmarkStart w:id="9" w:name="_Toc447"/>
      <w:bookmarkStart w:id="10" w:name="_Toc29675"/>
    </w:p>
    <w:p w14:paraId="2C1687FF">
      <w:pPr>
        <w:pStyle w:val="21"/>
        <w:widowControl w:val="0"/>
        <w:tabs>
          <w:tab w:val="right" w:leader="dot" w:pos="9072"/>
        </w:tabs>
        <w:spacing w:after="381" w:afterLines="100" w:line="440" w:lineRule="exact"/>
        <w:ind w:left="567" w:right="566" w:rightChars="200"/>
        <w:jc w:val="center"/>
        <w:rPr>
          <w:color w:val="auto"/>
          <w:highlight w:val="none"/>
        </w:rPr>
      </w:pPr>
      <w:r>
        <w:rPr>
          <w:rFonts w:hint="eastAsia" w:ascii="黑体" w:hAnsi="黑体" w:eastAsia="黑体" w:cs="黑体"/>
          <w:color w:val="auto"/>
          <w:sz w:val="44"/>
          <w:szCs w:val="44"/>
          <w:highlight w:val="none"/>
        </w:rPr>
        <w:t>目录</w:t>
      </w:r>
      <w:bookmarkEnd w:id="0"/>
      <w:bookmarkEnd w:id="1"/>
      <w:bookmarkEnd w:id="2"/>
      <w:bookmarkEnd w:id="3"/>
      <w:bookmarkEnd w:id="4"/>
      <w:bookmarkEnd w:id="5"/>
      <w:bookmarkEnd w:id="6"/>
      <w:bookmarkEnd w:id="7"/>
      <w:bookmarkEnd w:id="8"/>
      <w:bookmarkEnd w:id="9"/>
      <w:bookmarkEnd w:id="10"/>
      <w:bookmarkStart w:id="11" w:name="_Toc495014647"/>
      <w:bookmarkStart w:id="12" w:name="_Toc26289"/>
      <w:bookmarkStart w:id="13" w:name="_Toc495014583"/>
      <w:bookmarkStart w:id="14" w:name="_Toc495014918"/>
      <w:bookmarkStart w:id="15" w:name="_Toc495012769"/>
      <w:bookmarkStart w:id="16" w:name="_Toc495014609"/>
      <w:bookmarkStart w:id="17" w:name="_Toc445306491"/>
      <w:bookmarkStart w:id="18" w:name="_Toc495012819"/>
      <w:r>
        <w:rPr>
          <w:color w:val="auto"/>
          <w:highlight w:val="none"/>
        </w:rPr>
        <w:fldChar w:fldCharType="begin"/>
      </w:r>
      <w:r>
        <w:rPr>
          <w:color w:val="auto"/>
          <w:highlight w:val="none"/>
        </w:rPr>
        <w:instrText xml:space="preserve">TOC \o "1-3" \u </w:instrText>
      </w:r>
      <w:r>
        <w:rPr>
          <w:color w:val="auto"/>
          <w:highlight w:val="none"/>
        </w:rPr>
        <w:fldChar w:fldCharType="separate"/>
      </w:r>
    </w:p>
    <w:p w14:paraId="2FD6F2DA">
      <w:pPr>
        <w:pStyle w:val="20"/>
        <w:widowControl w:val="0"/>
        <w:tabs>
          <w:tab w:val="right" w:leader="dot" w:pos="9072"/>
        </w:tabs>
        <w:spacing w:line="500" w:lineRule="exact"/>
        <w:rPr>
          <w:color w:val="auto"/>
          <w:highlight w:val="none"/>
        </w:rPr>
      </w:pPr>
      <w:r>
        <w:rPr>
          <w:rFonts w:hint="eastAsia" w:ascii="黑体" w:hAnsi="黑体" w:eastAsia="黑体" w:cs="黑体"/>
          <w:color w:val="auto"/>
          <w:szCs w:val="32"/>
          <w:highlight w:val="none"/>
        </w:rPr>
        <w:t xml:space="preserve">第一章  </w:t>
      </w:r>
      <w:r>
        <w:rPr>
          <w:rFonts w:hint="eastAsia" w:ascii="黑体" w:hAnsi="黑体" w:eastAsia="黑体" w:cs="黑体"/>
          <w:color w:val="auto"/>
          <w:szCs w:val="32"/>
          <w:highlight w:val="none"/>
          <w:lang w:eastAsia="zh-CN"/>
        </w:rPr>
        <w:t>磋商</w:t>
      </w:r>
      <w:r>
        <w:rPr>
          <w:rFonts w:hint="eastAsia" w:ascii="黑体" w:hAnsi="黑体" w:eastAsia="黑体" w:cs="黑体"/>
          <w:color w:val="auto"/>
          <w:szCs w:val="32"/>
          <w:highlight w:val="none"/>
        </w:rPr>
        <w:t>邀请函</w:t>
      </w:r>
      <w:r>
        <w:rPr>
          <w:color w:val="auto"/>
          <w:highlight w:val="none"/>
        </w:rPr>
        <w:tab/>
      </w:r>
      <w:r>
        <w:rPr>
          <w:color w:val="auto"/>
          <w:highlight w:val="none"/>
        </w:rPr>
        <w:fldChar w:fldCharType="begin"/>
      </w:r>
      <w:r>
        <w:rPr>
          <w:color w:val="auto"/>
          <w:highlight w:val="none"/>
        </w:rPr>
        <w:instrText xml:space="preserve"> PAGEREF _Toc31315 \h </w:instrText>
      </w:r>
      <w:r>
        <w:rPr>
          <w:color w:val="auto"/>
          <w:highlight w:val="none"/>
        </w:rPr>
        <w:fldChar w:fldCharType="separate"/>
      </w:r>
      <w:r>
        <w:rPr>
          <w:color w:val="auto"/>
          <w:highlight w:val="none"/>
        </w:rPr>
        <w:t>2</w:t>
      </w:r>
      <w:r>
        <w:rPr>
          <w:color w:val="auto"/>
          <w:highlight w:val="none"/>
        </w:rPr>
        <w:fldChar w:fldCharType="end"/>
      </w:r>
    </w:p>
    <w:p w14:paraId="7D5C1CE3">
      <w:pPr>
        <w:pStyle w:val="20"/>
        <w:widowControl w:val="0"/>
        <w:tabs>
          <w:tab w:val="right" w:leader="dot" w:pos="9072"/>
        </w:tabs>
        <w:spacing w:line="500" w:lineRule="exact"/>
        <w:rPr>
          <w:color w:val="auto"/>
          <w:highlight w:val="none"/>
        </w:rPr>
      </w:pPr>
      <w:r>
        <w:rPr>
          <w:rFonts w:hint="eastAsia" w:ascii="黑体" w:hAnsi="黑体" w:eastAsia="黑体" w:cs="黑体"/>
          <w:color w:val="auto"/>
          <w:szCs w:val="32"/>
          <w:highlight w:val="none"/>
        </w:rPr>
        <w:t xml:space="preserve">第二章  </w:t>
      </w:r>
      <w:r>
        <w:rPr>
          <w:rFonts w:hint="eastAsia" w:ascii="黑体" w:hAnsi="黑体" w:eastAsia="黑体" w:cs="黑体"/>
          <w:color w:val="auto"/>
          <w:szCs w:val="32"/>
          <w:highlight w:val="none"/>
          <w:lang w:eastAsia="zh-CN"/>
        </w:rPr>
        <w:t>供应商</w:t>
      </w:r>
      <w:r>
        <w:rPr>
          <w:rFonts w:hint="eastAsia" w:ascii="黑体" w:hAnsi="黑体" w:eastAsia="黑体" w:cs="黑体"/>
          <w:color w:val="auto"/>
          <w:szCs w:val="32"/>
          <w:highlight w:val="none"/>
        </w:rPr>
        <w:t>须知</w:t>
      </w:r>
      <w:r>
        <w:rPr>
          <w:color w:val="auto"/>
          <w:highlight w:val="none"/>
        </w:rPr>
        <w:tab/>
      </w:r>
      <w:r>
        <w:rPr>
          <w:color w:val="auto"/>
          <w:highlight w:val="none"/>
        </w:rPr>
        <w:fldChar w:fldCharType="begin"/>
      </w:r>
      <w:r>
        <w:rPr>
          <w:color w:val="auto"/>
          <w:highlight w:val="none"/>
        </w:rPr>
        <w:instrText xml:space="preserve"> PAGEREF _Toc20960 \h </w:instrText>
      </w:r>
      <w:r>
        <w:rPr>
          <w:color w:val="auto"/>
          <w:highlight w:val="none"/>
        </w:rPr>
        <w:fldChar w:fldCharType="separate"/>
      </w:r>
      <w:r>
        <w:rPr>
          <w:color w:val="auto"/>
          <w:highlight w:val="none"/>
        </w:rPr>
        <w:t>8</w:t>
      </w:r>
      <w:r>
        <w:rPr>
          <w:color w:val="auto"/>
          <w:highlight w:val="none"/>
        </w:rPr>
        <w:fldChar w:fldCharType="end"/>
      </w:r>
    </w:p>
    <w:p w14:paraId="2BF7C122">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一、定义</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_Toc16074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8</w:t>
      </w:r>
      <w:r>
        <w:rPr>
          <w:rFonts w:hint="eastAsia" w:ascii="华文仿宋" w:hAnsi="华文仿宋" w:cs="华文仿宋"/>
          <w:color w:val="auto"/>
          <w:highlight w:val="none"/>
        </w:rPr>
        <w:fldChar w:fldCharType="end"/>
      </w:r>
    </w:p>
    <w:p w14:paraId="761C4486">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二、</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注意事项</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_Toc26572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8</w:t>
      </w:r>
      <w:r>
        <w:rPr>
          <w:rFonts w:hint="eastAsia" w:ascii="华文仿宋" w:hAnsi="华文仿宋" w:cs="华文仿宋"/>
          <w:color w:val="auto"/>
          <w:highlight w:val="none"/>
        </w:rPr>
        <w:fldChar w:fldCharType="end"/>
      </w:r>
    </w:p>
    <w:p w14:paraId="2B29E552">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三、</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文件</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_Toc24468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16</w:t>
      </w:r>
      <w:r>
        <w:rPr>
          <w:rFonts w:hint="eastAsia" w:ascii="华文仿宋" w:hAnsi="华文仿宋" w:cs="华文仿宋"/>
          <w:color w:val="auto"/>
          <w:highlight w:val="none"/>
        </w:rPr>
        <w:fldChar w:fldCharType="end"/>
      </w:r>
    </w:p>
    <w:p w14:paraId="4CFB9CAC">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四、</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报价</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_Toc14376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17</w:t>
      </w:r>
      <w:r>
        <w:rPr>
          <w:rFonts w:hint="eastAsia" w:ascii="华文仿宋" w:hAnsi="华文仿宋" w:cs="华文仿宋"/>
          <w:color w:val="auto"/>
          <w:highlight w:val="none"/>
        </w:rPr>
        <w:fldChar w:fldCharType="end"/>
      </w:r>
    </w:p>
    <w:p w14:paraId="516E648A">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五、</w:t>
      </w:r>
      <w:r>
        <w:rPr>
          <w:rFonts w:hint="eastAsia" w:ascii="华文仿宋" w:hAnsi="华文仿宋" w:cs="华文仿宋"/>
          <w:color w:val="auto"/>
          <w:highlight w:val="none"/>
          <w:lang w:eastAsia="zh-CN"/>
        </w:rPr>
        <w:t>响应</w:t>
      </w:r>
      <w:r>
        <w:rPr>
          <w:rFonts w:hint="eastAsia" w:ascii="华文仿宋" w:hAnsi="华文仿宋" w:cs="华文仿宋"/>
          <w:color w:val="auto"/>
          <w:highlight w:val="none"/>
        </w:rPr>
        <w:t>文件</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_Toc31692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18</w:t>
      </w:r>
      <w:r>
        <w:rPr>
          <w:rFonts w:hint="eastAsia" w:ascii="华文仿宋" w:hAnsi="华文仿宋" w:cs="华文仿宋"/>
          <w:color w:val="auto"/>
          <w:highlight w:val="none"/>
        </w:rPr>
        <w:fldChar w:fldCharType="end"/>
      </w:r>
    </w:p>
    <w:p w14:paraId="321819E7">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六、</w:t>
      </w:r>
      <w:r>
        <w:rPr>
          <w:rFonts w:hint="eastAsia" w:ascii="华文仿宋" w:hAnsi="华文仿宋" w:cs="华文仿宋"/>
          <w:color w:val="auto"/>
          <w:highlight w:val="none"/>
          <w:lang w:eastAsia="zh-CN"/>
        </w:rPr>
        <w:t>开启响应文件</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_Toc9084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20</w:t>
      </w:r>
      <w:r>
        <w:rPr>
          <w:rFonts w:hint="eastAsia" w:ascii="华文仿宋" w:hAnsi="华文仿宋" w:cs="华文仿宋"/>
          <w:color w:val="auto"/>
          <w:highlight w:val="none"/>
        </w:rPr>
        <w:fldChar w:fldCharType="end"/>
      </w:r>
    </w:p>
    <w:p w14:paraId="5FCA9BFC">
      <w:pPr>
        <w:pStyle w:val="21"/>
        <w:widowControl w:val="0"/>
        <w:tabs>
          <w:tab w:val="right" w:leader="dot" w:pos="9072"/>
        </w:tabs>
        <w:spacing w:line="500" w:lineRule="exact"/>
        <w:ind w:left="567"/>
        <w:rPr>
          <w:rFonts w:ascii="华文仿宋" w:hAnsi="华文仿宋" w:cs="华文仿宋"/>
          <w:color w:val="auto"/>
          <w:highlight w:val="none"/>
        </w:rPr>
      </w:pPr>
      <w:r>
        <w:rPr>
          <w:rFonts w:hint="eastAsia" w:ascii="华文仿宋" w:hAnsi="华文仿宋" w:cs="华文仿宋"/>
          <w:color w:val="auto"/>
          <w:highlight w:val="none"/>
        </w:rPr>
        <w:t>七、</w:t>
      </w:r>
      <w:r>
        <w:rPr>
          <w:rFonts w:hint="eastAsia" w:ascii="华文仿宋" w:hAnsi="华文仿宋" w:cs="华文仿宋"/>
          <w:color w:val="auto"/>
          <w:highlight w:val="none"/>
          <w:lang w:eastAsia="zh-CN"/>
        </w:rPr>
        <w:t>组织评审</w:t>
      </w:r>
      <w:r>
        <w:rPr>
          <w:rFonts w:hint="eastAsia" w:ascii="华文仿宋" w:hAnsi="华文仿宋" w:cs="华文仿宋"/>
          <w:color w:val="auto"/>
          <w:highlight w:val="none"/>
        </w:rPr>
        <w:tab/>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PAGEREF _Toc6763 \h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21</w:t>
      </w:r>
      <w:r>
        <w:rPr>
          <w:rFonts w:hint="eastAsia" w:ascii="华文仿宋" w:hAnsi="华文仿宋" w:cs="华文仿宋"/>
          <w:color w:val="auto"/>
          <w:highlight w:val="none"/>
        </w:rPr>
        <w:fldChar w:fldCharType="end"/>
      </w:r>
    </w:p>
    <w:p w14:paraId="469EEACC">
      <w:pPr>
        <w:pStyle w:val="21"/>
        <w:widowControl w:val="0"/>
        <w:tabs>
          <w:tab w:val="right" w:leader="dot" w:pos="9072"/>
        </w:tabs>
        <w:spacing w:line="500" w:lineRule="exact"/>
        <w:ind w:left="567"/>
        <w:rPr>
          <w:rFonts w:hint="default" w:ascii="华文仿宋" w:hAnsi="华文仿宋" w:eastAsia="华文仿宋" w:cs="华文仿宋"/>
          <w:color w:val="auto"/>
          <w:highlight w:val="none"/>
          <w:lang w:val="en-US" w:eastAsia="zh-CN"/>
        </w:rPr>
      </w:pPr>
      <w:r>
        <w:rPr>
          <w:rFonts w:hint="eastAsia" w:ascii="华文仿宋" w:hAnsi="华文仿宋" w:cs="华文仿宋"/>
          <w:color w:val="auto"/>
          <w:highlight w:val="none"/>
        </w:rPr>
        <w:t>八、</w:t>
      </w:r>
      <w:r>
        <w:rPr>
          <w:rFonts w:hint="eastAsia" w:ascii="华文仿宋" w:hAnsi="华文仿宋" w:cs="华文仿宋"/>
          <w:color w:val="auto"/>
          <w:highlight w:val="none"/>
          <w:lang w:eastAsia="zh-CN"/>
        </w:rPr>
        <w:t>成交</w:t>
      </w:r>
      <w:r>
        <w:rPr>
          <w:rFonts w:hint="eastAsia" w:ascii="华文仿宋" w:hAnsi="华文仿宋" w:cs="华文仿宋"/>
          <w:color w:val="auto"/>
          <w:highlight w:val="none"/>
        </w:rPr>
        <w:tab/>
      </w:r>
      <w:r>
        <w:rPr>
          <w:rFonts w:hint="eastAsia" w:ascii="华文仿宋" w:hAnsi="华文仿宋" w:cs="华文仿宋"/>
          <w:color w:val="auto"/>
          <w:highlight w:val="none"/>
          <w:lang w:val="en-US" w:eastAsia="zh-CN"/>
        </w:rPr>
        <w:t>35</w:t>
      </w:r>
    </w:p>
    <w:p w14:paraId="2E0D7849">
      <w:pPr>
        <w:pStyle w:val="21"/>
        <w:widowControl w:val="0"/>
        <w:tabs>
          <w:tab w:val="right" w:leader="dot" w:pos="9072"/>
        </w:tabs>
        <w:spacing w:line="500" w:lineRule="exact"/>
        <w:ind w:left="567"/>
        <w:rPr>
          <w:rFonts w:hint="default" w:ascii="华文仿宋" w:hAnsi="华文仿宋" w:eastAsia="华文仿宋" w:cs="华文仿宋"/>
          <w:color w:val="auto"/>
          <w:highlight w:val="none"/>
          <w:lang w:val="en-US" w:eastAsia="zh-CN"/>
        </w:rPr>
      </w:pPr>
      <w:r>
        <w:rPr>
          <w:rFonts w:hint="eastAsia" w:ascii="华文仿宋" w:hAnsi="华文仿宋" w:cs="华文仿宋"/>
          <w:color w:val="auto"/>
          <w:highlight w:val="none"/>
        </w:rPr>
        <w:t>九、签订政府采购合同</w:t>
      </w:r>
      <w:r>
        <w:rPr>
          <w:rFonts w:hint="eastAsia" w:ascii="华文仿宋" w:hAnsi="华文仿宋" w:cs="华文仿宋"/>
          <w:color w:val="auto"/>
          <w:highlight w:val="none"/>
        </w:rPr>
        <w:tab/>
      </w:r>
      <w:r>
        <w:rPr>
          <w:rFonts w:hint="eastAsia" w:ascii="华文仿宋" w:hAnsi="华文仿宋" w:cs="华文仿宋"/>
          <w:color w:val="auto"/>
          <w:highlight w:val="none"/>
          <w:lang w:val="en-US" w:eastAsia="zh-CN"/>
        </w:rPr>
        <w:t>36</w:t>
      </w:r>
    </w:p>
    <w:p w14:paraId="01B222F9">
      <w:pPr>
        <w:pStyle w:val="21"/>
        <w:widowControl w:val="0"/>
        <w:tabs>
          <w:tab w:val="right" w:leader="dot" w:pos="9072"/>
        </w:tabs>
        <w:spacing w:line="500" w:lineRule="exact"/>
        <w:ind w:left="567"/>
        <w:rPr>
          <w:rFonts w:hint="default" w:ascii="华文仿宋" w:hAnsi="华文仿宋" w:eastAsia="华文仿宋" w:cs="华文仿宋"/>
          <w:color w:val="auto"/>
          <w:highlight w:val="none"/>
          <w:lang w:val="en-US" w:eastAsia="zh-CN"/>
        </w:rPr>
      </w:pPr>
      <w:r>
        <w:rPr>
          <w:rFonts w:hint="eastAsia" w:ascii="华文仿宋" w:hAnsi="华文仿宋" w:cs="华文仿宋"/>
          <w:color w:val="auto"/>
          <w:highlight w:val="none"/>
        </w:rPr>
        <w:t>十、其他</w:t>
      </w:r>
      <w:r>
        <w:rPr>
          <w:rFonts w:hint="eastAsia" w:ascii="华文仿宋" w:hAnsi="华文仿宋" w:cs="华文仿宋"/>
          <w:color w:val="auto"/>
          <w:highlight w:val="none"/>
        </w:rPr>
        <w:tab/>
      </w:r>
      <w:r>
        <w:rPr>
          <w:rFonts w:hint="eastAsia" w:ascii="华文仿宋" w:hAnsi="华文仿宋" w:cs="华文仿宋"/>
          <w:color w:val="auto"/>
          <w:highlight w:val="none"/>
          <w:lang w:val="en-US" w:eastAsia="zh-CN"/>
        </w:rPr>
        <w:t>37</w:t>
      </w:r>
    </w:p>
    <w:p w14:paraId="5C0F6511">
      <w:pPr>
        <w:pStyle w:val="21"/>
        <w:widowControl w:val="0"/>
        <w:tabs>
          <w:tab w:val="right" w:leader="dot" w:pos="9072"/>
        </w:tabs>
        <w:spacing w:line="500" w:lineRule="exact"/>
        <w:ind w:left="567"/>
        <w:rPr>
          <w:rFonts w:hint="default" w:ascii="仿宋" w:hAnsi="仿宋" w:eastAsia="华文仿宋" w:cs="仿宋"/>
          <w:color w:val="auto"/>
          <w:highlight w:val="none"/>
          <w:lang w:val="en-US" w:eastAsia="zh-CN"/>
        </w:rPr>
      </w:pPr>
      <w:r>
        <w:rPr>
          <w:rFonts w:hint="eastAsia" w:ascii="华文仿宋" w:hAnsi="华文仿宋" w:cs="华文仿宋"/>
          <w:color w:val="auto"/>
          <w:highlight w:val="none"/>
        </w:rPr>
        <w:t>十</w:t>
      </w:r>
      <w:r>
        <w:rPr>
          <w:rFonts w:hint="eastAsia" w:ascii="华文仿宋" w:hAnsi="华文仿宋" w:cs="华文仿宋"/>
          <w:color w:val="auto"/>
          <w:highlight w:val="none"/>
          <w:lang w:eastAsia="zh-CN"/>
        </w:rPr>
        <w:t>一</w:t>
      </w:r>
      <w:r>
        <w:rPr>
          <w:rFonts w:hint="eastAsia" w:ascii="华文仿宋" w:hAnsi="华文仿宋" w:cs="华文仿宋"/>
          <w:color w:val="auto"/>
          <w:highlight w:val="none"/>
        </w:rPr>
        <w:t>、采购代理服务费</w:t>
      </w:r>
      <w:r>
        <w:rPr>
          <w:rFonts w:hint="eastAsia" w:ascii="华文仿宋" w:hAnsi="华文仿宋" w:cs="华文仿宋"/>
          <w:color w:val="auto"/>
          <w:highlight w:val="none"/>
        </w:rPr>
        <w:tab/>
      </w:r>
      <w:r>
        <w:rPr>
          <w:rFonts w:hint="eastAsia" w:ascii="华文仿宋" w:hAnsi="华文仿宋" w:cs="华文仿宋"/>
          <w:color w:val="auto"/>
          <w:highlight w:val="none"/>
          <w:lang w:val="en-US" w:eastAsia="zh-CN"/>
        </w:rPr>
        <w:t>38</w:t>
      </w:r>
    </w:p>
    <w:p w14:paraId="54B7F300">
      <w:pPr>
        <w:pStyle w:val="20"/>
        <w:widowControl w:val="0"/>
        <w:tabs>
          <w:tab w:val="right" w:leader="dot" w:pos="9072"/>
        </w:tabs>
        <w:spacing w:line="500" w:lineRule="exact"/>
        <w:rPr>
          <w:rFonts w:hint="default" w:eastAsia="华文仿宋"/>
          <w:color w:val="auto"/>
          <w:highlight w:val="none"/>
          <w:lang w:val="en-US" w:eastAsia="zh-CN"/>
        </w:rPr>
      </w:pPr>
      <w:r>
        <w:rPr>
          <w:rFonts w:hint="eastAsia" w:ascii="黑体" w:hAnsi="黑体" w:eastAsia="黑体" w:cs="黑体"/>
          <w:color w:val="auto"/>
          <w:szCs w:val="32"/>
          <w:highlight w:val="none"/>
        </w:rPr>
        <w:t xml:space="preserve">第三章  </w:t>
      </w:r>
      <w:r>
        <w:rPr>
          <w:rFonts w:hint="eastAsia" w:ascii="黑体" w:hAnsi="黑体" w:eastAsia="黑体" w:cs="黑体"/>
          <w:color w:val="auto"/>
          <w:szCs w:val="32"/>
          <w:highlight w:val="none"/>
          <w:lang w:eastAsia="zh-CN"/>
        </w:rPr>
        <w:t>磋商内容及采购方式</w:t>
      </w:r>
      <w:r>
        <w:rPr>
          <w:color w:val="auto"/>
          <w:highlight w:val="none"/>
        </w:rPr>
        <w:tab/>
      </w:r>
      <w:r>
        <w:rPr>
          <w:rFonts w:hint="eastAsia"/>
          <w:color w:val="auto"/>
          <w:highlight w:val="none"/>
          <w:lang w:val="en-US" w:eastAsia="zh-CN"/>
        </w:rPr>
        <w:t>39</w:t>
      </w:r>
    </w:p>
    <w:p w14:paraId="5B829086">
      <w:pPr>
        <w:pStyle w:val="20"/>
        <w:widowControl w:val="0"/>
        <w:tabs>
          <w:tab w:val="right" w:leader="dot" w:pos="9072"/>
        </w:tabs>
        <w:spacing w:line="500" w:lineRule="exact"/>
        <w:rPr>
          <w:rFonts w:hint="default" w:eastAsia="华文仿宋"/>
          <w:color w:val="auto"/>
          <w:highlight w:val="none"/>
          <w:lang w:val="en-US" w:eastAsia="zh-CN"/>
        </w:rPr>
      </w:pPr>
      <w:r>
        <w:rPr>
          <w:rFonts w:hint="eastAsia" w:ascii="黑体" w:hAnsi="黑体" w:eastAsia="黑体" w:cs="黑体"/>
          <w:color w:val="auto"/>
          <w:szCs w:val="32"/>
          <w:highlight w:val="none"/>
        </w:rPr>
        <w:t>第四章  合同</w:t>
      </w:r>
      <w:r>
        <w:rPr>
          <w:rFonts w:hint="eastAsia" w:ascii="黑体" w:hAnsi="黑体" w:eastAsia="黑体" w:cs="黑体"/>
          <w:color w:val="auto"/>
          <w:szCs w:val="32"/>
          <w:highlight w:val="none"/>
          <w:lang w:eastAsia="zh-CN"/>
        </w:rPr>
        <w:t>草案</w:t>
      </w:r>
      <w:r>
        <w:rPr>
          <w:rFonts w:hint="eastAsia" w:ascii="黑体" w:hAnsi="黑体" w:eastAsia="黑体" w:cs="黑体"/>
          <w:color w:val="auto"/>
          <w:szCs w:val="32"/>
          <w:highlight w:val="none"/>
        </w:rPr>
        <w:t>条款</w:t>
      </w:r>
      <w:r>
        <w:rPr>
          <w:color w:val="auto"/>
          <w:highlight w:val="none"/>
        </w:rPr>
        <w:tab/>
      </w:r>
      <w:r>
        <w:rPr>
          <w:rFonts w:hint="eastAsia"/>
          <w:color w:val="auto"/>
          <w:highlight w:val="none"/>
          <w:lang w:val="en-US" w:eastAsia="zh-CN"/>
        </w:rPr>
        <w:t>46</w:t>
      </w:r>
    </w:p>
    <w:p w14:paraId="29E625EB">
      <w:pPr>
        <w:pStyle w:val="20"/>
        <w:widowControl w:val="0"/>
        <w:tabs>
          <w:tab w:val="right" w:leader="dot" w:pos="9072"/>
        </w:tabs>
        <w:spacing w:line="500" w:lineRule="exact"/>
        <w:rPr>
          <w:color w:val="auto"/>
          <w:highlight w:val="none"/>
        </w:rPr>
      </w:pPr>
      <w:r>
        <w:rPr>
          <w:rFonts w:hint="eastAsia" w:ascii="黑体" w:hAnsi="黑体" w:eastAsia="黑体" w:cs="黑体"/>
          <w:color w:val="auto"/>
          <w:szCs w:val="32"/>
          <w:highlight w:val="none"/>
        </w:rPr>
        <w:t>第</w:t>
      </w:r>
      <w:r>
        <w:rPr>
          <w:rFonts w:hint="eastAsia" w:ascii="黑体" w:hAnsi="黑体" w:eastAsia="黑体" w:cs="黑体"/>
          <w:color w:val="auto"/>
          <w:szCs w:val="32"/>
          <w:highlight w:val="none"/>
          <w:lang w:eastAsia="zh-CN"/>
        </w:rPr>
        <w:t>五</w:t>
      </w:r>
      <w:r>
        <w:rPr>
          <w:rFonts w:hint="eastAsia" w:ascii="黑体" w:hAnsi="黑体" w:eastAsia="黑体" w:cs="黑体"/>
          <w:color w:val="auto"/>
          <w:szCs w:val="32"/>
          <w:highlight w:val="none"/>
        </w:rPr>
        <w:t xml:space="preserve">章  </w:t>
      </w:r>
      <w:r>
        <w:rPr>
          <w:rFonts w:hint="eastAsia" w:ascii="黑体" w:hAnsi="黑体" w:eastAsia="黑体" w:cs="黑体"/>
          <w:color w:val="auto"/>
          <w:szCs w:val="32"/>
          <w:highlight w:val="none"/>
          <w:lang w:eastAsia="zh-CN"/>
        </w:rPr>
        <w:t>响应</w:t>
      </w:r>
      <w:r>
        <w:rPr>
          <w:rFonts w:hint="eastAsia" w:ascii="黑体" w:hAnsi="黑体" w:eastAsia="黑体" w:cs="黑体"/>
          <w:color w:val="auto"/>
          <w:szCs w:val="32"/>
          <w:highlight w:val="none"/>
        </w:rPr>
        <w:t>文件构成及格式</w:t>
      </w:r>
      <w:r>
        <w:rPr>
          <w:color w:val="auto"/>
          <w:highlight w:val="none"/>
        </w:rPr>
        <w:tab/>
      </w:r>
      <w:r>
        <w:rPr>
          <w:color w:val="auto"/>
          <w:highlight w:val="none"/>
        </w:rPr>
        <w:fldChar w:fldCharType="begin"/>
      </w:r>
      <w:r>
        <w:rPr>
          <w:color w:val="auto"/>
          <w:highlight w:val="none"/>
        </w:rPr>
        <w:instrText xml:space="preserve"> PAGEREF _Toc3151 \h </w:instrText>
      </w:r>
      <w:r>
        <w:rPr>
          <w:color w:val="auto"/>
          <w:highlight w:val="none"/>
        </w:rPr>
        <w:fldChar w:fldCharType="separate"/>
      </w:r>
      <w:r>
        <w:rPr>
          <w:color w:val="auto"/>
          <w:highlight w:val="none"/>
        </w:rPr>
        <w:t>51</w:t>
      </w:r>
      <w:r>
        <w:rPr>
          <w:color w:val="auto"/>
          <w:highlight w:val="none"/>
        </w:rPr>
        <w:fldChar w:fldCharType="end"/>
      </w:r>
    </w:p>
    <w:p w14:paraId="14AEA856">
      <w:pPr>
        <w:pStyle w:val="21"/>
        <w:widowControl w:val="0"/>
        <w:tabs>
          <w:tab w:val="right" w:leader="dot" w:pos="9072"/>
        </w:tabs>
        <w:spacing w:line="500" w:lineRule="exact"/>
        <w:ind w:left="567"/>
        <w:rPr>
          <w:rFonts w:hint="eastAsia" w:ascii="华文仿宋" w:hAnsi="华文仿宋" w:eastAsia="华文仿宋" w:cs="华文仿宋"/>
          <w:b w:val="0"/>
          <w:bCs w:val="0"/>
          <w:color w:val="auto"/>
          <w:highlight w:val="none"/>
        </w:rPr>
      </w:pPr>
      <w:r>
        <w:rPr>
          <w:rFonts w:hint="eastAsia" w:ascii="华文仿宋" w:hAnsi="华文仿宋" w:eastAsia="华文仿宋" w:cs="华文仿宋"/>
          <w:b w:val="0"/>
          <w:bCs w:val="0"/>
          <w:color w:val="auto"/>
          <w:highlight w:val="none"/>
        </w:rPr>
        <w:t>第一部分  资格证明文件</w:t>
      </w:r>
      <w:r>
        <w:rPr>
          <w:rFonts w:hint="eastAsia" w:ascii="华文仿宋" w:hAnsi="华文仿宋" w:eastAsia="华文仿宋" w:cs="华文仿宋"/>
          <w:b w:val="0"/>
          <w:bCs w:val="0"/>
          <w:color w:val="auto"/>
          <w:highlight w:val="none"/>
        </w:rPr>
        <w:tab/>
      </w:r>
      <w:r>
        <w:rPr>
          <w:rFonts w:hint="eastAsia" w:ascii="华文仿宋" w:hAnsi="华文仿宋" w:eastAsia="华文仿宋" w:cs="华文仿宋"/>
          <w:b w:val="0"/>
          <w:bCs w:val="0"/>
          <w:color w:val="auto"/>
          <w:highlight w:val="none"/>
        </w:rPr>
        <w:fldChar w:fldCharType="begin"/>
      </w:r>
      <w:r>
        <w:rPr>
          <w:rFonts w:hint="eastAsia" w:ascii="华文仿宋" w:hAnsi="华文仿宋" w:eastAsia="华文仿宋" w:cs="华文仿宋"/>
          <w:b w:val="0"/>
          <w:bCs w:val="0"/>
          <w:color w:val="auto"/>
          <w:highlight w:val="none"/>
        </w:rPr>
        <w:instrText xml:space="preserve"> PAGEREF _Toc6003 \h </w:instrText>
      </w:r>
      <w:r>
        <w:rPr>
          <w:rFonts w:hint="eastAsia" w:ascii="华文仿宋" w:hAnsi="华文仿宋" w:eastAsia="华文仿宋" w:cs="华文仿宋"/>
          <w:b w:val="0"/>
          <w:bCs w:val="0"/>
          <w:color w:val="auto"/>
          <w:highlight w:val="none"/>
        </w:rPr>
        <w:fldChar w:fldCharType="separate"/>
      </w:r>
      <w:r>
        <w:rPr>
          <w:rFonts w:hint="eastAsia" w:ascii="华文仿宋" w:hAnsi="华文仿宋" w:eastAsia="华文仿宋" w:cs="华文仿宋"/>
          <w:b w:val="0"/>
          <w:bCs w:val="0"/>
          <w:color w:val="auto"/>
          <w:highlight w:val="none"/>
        </w:rPr>
        <w:t>54</w:t>
      </w:r>
      <w:r>
        <w:rPr>
          <w:rFonts w:hint="eastAsia" w:ascii="华文仿宋" w:hAnsi="华文仿宋" w:eastAsia="华文仿宋" w:cs="华文仿宋"/>
          <w:b w:val="0"/>
          <w:bCs w:val="0"/>
          <w:color w:val="auto"/>
          <w:highlight w:val="none"/>
        </w:rPr>
        <w:fldChar w:fldCharType="end"/>
      </w:r>
    </w:p>
    <w:p w14:paraId="30D45E19">
      <w:pPr>
        <w:pStyle w:val="21"/>
        <w:widowControl w:val="0"/>
        <w:tabs>
          <w:tab w:val="right" w:leader="dot" w:pos="9072"/>
        </w:tabs>
        <w:spacing w:line="500" w:lineRule="exact"/>
        <w:ind w:left="567"/>
        <w:rPr>
          <w:rFonts w:hint="eastAsia" w:ascii="华文仿宋" w:hAnsi="华文仿宋" w:eastAsia="华文仿宋" w:cs="华文仿宋"/>
          <w:b w:val="0"/>
          <w:bCs w:val="0"/>
          <w:color w:val="auto"/>
          <w:highlight w:val="none"/>
        </w:rPr>
      </w:pPr>
      <w:r>
        <w:rPr>
          <w:rFonts w:hint="eastAsia" w:ascii="华文仿宋" w:hAnsi="华文仿宋" w:eastAsia="华文仿宋" w:cs="华文仿宋"/>
          <w:b w:val="0"/>
          <w:bCs w:val="0"/>
          <w:color w:val="auto"/>
          <w:highlight w:val="none"/>
        </w:rPr>
        <w:t>第二部分  符合性证明文件</w:t>
      </w:r>
      <w:r>
        <w:rPr>
          <w:rFonts w:hint="eastAsia" w:ascii="华文仿宋" w:hAnsi="华文仿宋" w:eastAsia="华文仿宋" w:cs="华文仿宋"/>
          <w:b w:val="0"/>
          <w:bCs w:val="0"/>
          <w:color w:val="auto"/>
          <w:highlight w:val="none"/>
        </w:rPr>
        <w:tab/>
      </w:r>
      <w:r>
        <w:rPr>
          <w:rFonts w:hint="eastAsia" w:ascii="华文仿宋" w:hAnsi="华文仿宋" w:eastAsia="华文仿宋" w:cs="华文仿宋"/>
          <w:b w:val="0"/>
          <w:bCs w:val="0"/>
          <w:color w:val="auto"/>
          <w:highlight w:val="none"/>
        </w:rPr>
        <w:fldChar w:fldCharType="begin"/>
      </w:r>
      <w:r>
        <w:rPr>
          <w:rFonts w:hint="eastAsia" w:ascii="华文仿宋" w:hAnsi="华文仿宋" w:eastAsia="华文仿宋" w:cs="华文仿宋"/>
          <w:b w:val="0"/>
          <w:bCs w:val="0"/>
          <w:color w:val="auto"/>
          <w:highlight w:val="none"/>
        </w:rPr>
        <w:instrText xml:space="preserve"> PAGEREF _Toc23551 \h </w:instrText>
      </w:r>
      <w:r>
        <w:rPr>
          <w:rFonts w:hint="eastAsia" w:ascii="华文仿宋" w:hAnsi="华文仿宋" w:eastAsia="华文仿宋" w:cs="华文仿宋"/>
          <w:b w:val="0"/>
          <w:bCs w:val="0"/>
          <w:color w:val="auto"/>
          <w:highlight w:val="none"/>
        </w:rPr>
        <w:fldChar w:fldCharType="separate"/>
      </w:r>
      <w:r>
        <w:rPr>
          <w:rFonts w:hint="eastAsia" w:ascii="华文仿宋" w:hAnsi="华文仿宋" w:eastAsia="华文仿宋" w:cs="华文仿宋"/>
          <w:b w:val="0"/>
          <w:bCs w:val="0"/>
          <w:color w:val="auto"/>
          <w:highlight w:val="none"/>
        </w:rPr>
        <w:t>61</w:t>
      </w:r>
      <w:r>
        <w:rPr>
          <w:rFonts w:hint="eastAsia" w:ascii="华文仿宋" w:hAnsi="华文仿宋" w:eastAsia="华文仿宋" w:cs="华文仿宋"/>
          <w:b w:val="0"/>
          <w:bCs w:val="0"/>
          <w:color w:val="auto"/>
          <w:highlight w:val="none"/>
        </w:rPr>
        <w:fldChar w:fldCharType="end"/>
      </w:r>
    </w:p>
    <w:p w14:paraId="29E42667">
      <w:pPr>
        <w:pStyle w:val="21"/>
        <w:widowControl w:val="0"/>
        <w:tabs>
          <w:tab w:val="right" w:leader="dot" w:pos="9072"/>
        </w:tabs>
        <w:spacing w:line="500" w:lineRule="exact"/>
        <w:ind w:left="567"/>
        <w:rPr>
          <w:rFonts w:hint="default" w:eastAsia="华文仿宋"/>
          <w:b w:val="0"/>
          <w:bCs w:val="0"/>
          <w:color w:val="auto"/>
          <w:highlight w:val="none"/>
          <w:lang w:val="en-US" w:eastAsia="zh-CN"/>
        </w:rPr>
      </w:pPr>
      <w:r>
        <w:rPr>
          <w:rFonts w:hint="eastAsia" w:ascii="华文仿宋" w:hAnsi="华文仿宋" w:eastAsia="华文仿宋" w:cs="华文仿宋"/>
          <w:b w:val="0"/>
          <w:bCs w:val="0"/>
          <w:color w:val="auto"/>
          <w:highlight w:val="none"/>
        </w:rPr>
        <w:t xml:space="preserve">第三部分  </w:t>
      </w:r>
      <w:r>
        <w:rPr>
          <w:rFonts w:hint="eastAsia" w:ascii="华文仿宋" w:hAnsi="华文仿宋" w:eastAsia="华文仿宋" w:cs="华文仿宋"/>
          <w:b w:val="0"/>
          <w:bCs w:val="0"/>
          <w:color w:val="auto"/>
          <w:highlight w:val="none"/>
          <w:lang w:eastAsia="zh-CN"/>
        </w:rPr>
        <w:t>响应</w:t>
      </w:r>
      <w:r>
        <w:rPr>
          <w:rFonts w:hint="eastAsia" w:ascii="华文仿宋" w:hAnsi="华文仿宋" w:eastAsia="华文仿宋" w:cs="华文仿宋"/>
          <w:b w:val="0"/>
          <w:bCs w:val="0"/>
          <w:color w:val="auto"/>
          <w:highlight w:val="none"/>
        </w:rPr>
        <w:t>方案</w:t>
      </w:r>
      <w:r>
        <w:rPr>
          <w:rFonts w:hint="eastAsia" w:ascii="华文仿宋" w:hAnsi="华文仿宋" w:eastAsia="华文仿宋" w:cs="华文仿宋"/>
          <w:b w:val="0"/>
          <w:bCs w:val="0"/>
          <w:color w:val="auto"/>
          <w:highlight w:val="none"/>
        </w:rPr>
        <w:tab/>
      </w:r>
      <w:r>
        <w:rPr>
          <w:rFonts w:hint="eastAsia" w:ascii="华文仿宋" w:hAnsi="华文仿宋" w:cs="华文仿宋"/>
          <w:b w:val="0"/>
          <w:bCs w:val="0"/>
          <w:color w:val="auto"/>
          <w:highlight w:val="none"/>
          <w:lang w:val="en-US" w:eastAsia="zh-CN"/>
        </w:rPr>
        <w:t>74</w:t>
      </w:r>
    </w:p>
    <w:p w14:paraId="58204F77">
      <w:pPr>
        <w:widowControl w:val="0"/>
        <w:tabs>
          <w:tab w:val="right" w:leader="hyphen" w:pos="8504"/>
        </w:tabs>
        <w:spacing w:after="381" w:afterLines="100" w:line="440" w:lineRule="exact"/>
        <w:ind w:left="567" w:right="566" w:rightChars="200"/>
        <w:jc w:val="center"/>
        <w:rPr>
          <w:rFonts w:ascii="黑体" w:hAnsi="黑体" w:eastAsia="黑体" w:cs="Times New Roman"/>
          <w:color w:val="auto"/>
          <w:sz w:val="32"/>
          <w:szCs w:val="32"/>
          <w:highlight w:val="none"/>
        </w:rPr>
        <w:sectPr>
          <w:headerReference r:id="rId7" w:type="default"/>
          <w:footerReference r:id="rId8" w:type="default"/>
          <w:pgSz w:w="11906" w:h="16838"/>
          <w:pgMar w:top="1417" w:right="1417" w:bottom="1417" w:left="1417" w:header="907" w:footer="992" w:gutter="0"/>
          <w:pgNumType w:start="1"/>
          <w:cols w:space="720" w:num="1"/>
          <w:docGrid w:type="linesAndChars" w:linePitch="381" w:charSpace="704"/>
        </w:sectPr>
      </w:pPr>
      <w:r>
        <w:rPr>
          <w:color w:val="auto"/>
          <w:highlight w:val="none"/>
        </w:rPr>
        <w:fldChar w:fldCharType="end"/>
      </w:r>
    </w:p>
    <w:p w14:paraId="246D3436">
      <w:pPr>
        <w:pStyle w:val="6"/>
        <w:widowControl w:val="0"/>
        <w:rPr>
          <w:rFonts w:ascii="黑体" w:hAnsi="黑体" w:eastAsia="黑体" w:cs="Times New Roman"/>
          <w:b w:val="0"/>
          <w:bCs w:val="0"/>
          <w:color w:val="auto"/>
          <w:sz w:val="32"/>
          <w:szCs w:val="32"/>
          <w:highlight w:val="none"/>
        </w:rPr>
      </w:pPr>
      <w:bookmarkStart w:id="19" w:name="_Toc31315"/>
      <w:bookmarkStart w:id="20" w:name="_Toc21838"/>
      <w:r>
        <w:rPr>
          <w:rFonts w:hint="eastAsia" w:ascii="黑体" w:hAnsi="黑体" w:eastAsia="黑体" w:cs="黑体"/>
          <w:b w:val="0"/>
          <w:bCs w:val="0"/>
          <w:color w:val="auto"/>
          <w:sz w:val="32"/>
          <w:szCs w:val="32"/>
          <w:highlight w:val="none"/>
        </w:rPr>
        <w:t xml:space="preserve">第一章  </w:t>
      </w:r>
      <w:r>
        <w:rPr>
          <w:rFonts w:hint="eastAsia" w:ascii="黑体" w:hAnsi="黑体" w:eastAsia="黑体" w:cs="黑体"/>
          <w:b w:val="0"/>
          <w:bCs w:val="0"/>
          <w:color w:val="auto"/>
          <w:sz w:val="32"/>
          <w:szCs w:val="32"/>
          <w:highlight w:val="none"/>
          <w:lang w:eastAsia="zh-CN"/>
        </w:rPr>
        <w:t>磋商</w:t>
      </w:r>
      <w:r>
        <w:rPr>
          <w:rFonts w:hint="eastAsia" w:ascii="黑体" w:hAnsi="黑体" w:eastAsia="黑体" w:cs="黑体"/>
          <w:b w:val="0"/>
          <w:bCs w:val="0"/>
          <w:color w:val="auto"/>
          <w:sz w:val="32"/>
          <w:szCs w:val="32"/>
          <w:highlight w:val="none"/>
        </w:rPr>
        <w:t>邀请函</w:t>
      </w:r>
      <w:bookmarkEnd w:id="11"/>
      <w:bookmarkEnd w:id="12"/>
      <w:bookmarkEnd w:id="13"/>
      <w:bookmarkEnd w:id="14"/>
      <w:bookmarkEnd w:id="15"/>
      <w:bookmarkEnd w:id="16"/>
      <w:bookmarkEnd w:id="17"/>
      <w:bookmarkEnd w:id="18"/>
      <w:bookmarkEnd w:id="19"/>
      <w:bookmarkEnd w:id="20"/>
    </w:p>
    <w:p w14:paraId="5A9A6B92">
      <w:pPr>
        <w:pStyle w:val="3"/>
        <w:widowControl w:val="0"/>
        <w:spacing w:afterLines="0" w:line="500" w:lineRule="exact"/>
        <w:ind w:firstLine="566" w:firstLineChars="200"/>
        <w:rPr>
          <w:rFonts w:ascii="华文仿宋" w:hAnsi="华文仿宋" w:cs="华文仿宋"/>
          <w:color w:val="auto"/>
          <w:sz w:val="28"/>
          <w:szCs w:val="28"/>
          <w:highlight w:val="none"/>
        </w:rPr>
      </w:pPr>
      <w:r>
        <w:rPr>
          <w:rFonts w:hint="eastAsia" w:ascii="华文仿宋" w:hAnsi="华文仿宋" w:cs="华文仿宋"/>
          <w:b/>
          <w:bCs/>
          <w:color w:val="auto"/>
          <w:sz w:val="28"/>
          <w:szCs w:val="28"/>
          <w:highlight w:val="none"/>
          <w:lang w:eastAsia="zh-CN"/>
        </w:rPr>
        <w:t>陕西省发展和改革委员会全国信用信息共享平台（陕西）</w:t>
      </w:r>
      <w:r>
        <w:rPr>
          <w:rFonts w:hint="eastAsia" w:ascii="仿宋" w:hAnsi="仿宋" w:eastAsia="仿宋" w:cs="仿宋"/>
          <w:b/>
          <w:bCs/>
          <w:color w:val="auto"/>
          <w:sz w:val="28"/>
          <w:szCs w:val="28"/>
          <w:highlight w:val="none"/>
          <w:lang w:eastAsia="zh-CN"/>
        </w:rPr>
        <w:t>2024</w:t>
      </w:r>
      <w:r>
        <w:rPr>
          <w:rFonts w:hint="eastAsia" w:ascii="华文仿宋" w:hAnsi="华文仿宋" w:cs="华文仿宋"/>
          <w:b/>
          <w:bCs/>
          <w:color w:val="auto"/>
          <w:sz w:val="28"/>
          <w:szCs w:val="28"/>
          <w:highlight w:val="none"/>
          <w:lang w:eastAsia="zh-CN"/>
        </w:rPr>
        <w:t>年度技术运营第三方服务项目</w:t>
      </w:r>
      <w:r>
        <w:rPr>
          <w:rFonts w:hint="eastAsia" w:ascii="华文仿宋" w:hAnsi="华文仿宋" w:cs="华文仿宋"/>
          <w:color w:val="auto"/>
          <w:sz w:val="28"/>
          <w:szCs w:val="28"/>
          <w:highlight w:val="none"/>
        </w:rPr>
        <w:t>潜在的</w:t>
      </w:r>
      <w:r>
        <w:rPr>
          <w:rFonts w:hint="eastAsia" w:ascii="华文仿宋" w:hAnsi="华文仿宋" w:cs="华文仿宋"/>
          <w:color w:val="auto"/>
          <w:sz w:val="28"/>
          <w:szCs w:val="28"/>
          <w:highlight w:val="none"/>
          <w:lang w:eastAsia="zh-CN"/>
        </w:rPr>
        <w:t>供应商</w:t>
      </w:r>
      <w:r>
        <w:rPr>
          <w:rFonts w:hint="eastAsia" w:ascii="华文仿宋" w:hAnsi="华文仿宋" w:cs="华文仿宋"/>
          <w:color w:val="auto"/>
          <w:sz w:val="28"/>
          <w:szCs w:val="28"/>
          <w:highlight w:val="none"/>
        </w:rPr>
        <w:t>可在全国公共资源交易平台（陕西省）交易大厅该项目公告下方免费获取</w:t>
      </w:r>
      <w:r>
        <w:rPr>
          <w:rFonts w:hint="eastAsia" w:ascii="华文仿宋" w:hAnsi="华文仿宋" w:cs="华文仿宋"/>
          <w:color w:val="auto"/>
          <w:sz w:val="28"/>
          <w:szCs w:val="28"/>
          <w:highlight w:val="none"/>
          <w:lang w:eastAsia="zh-CN"/>
        </w:rPr>
        <w:t>磋商</w:t>
      </w:r>
      <w:r>
        <w:rPr>
          <w:rFonts w:hint="eastAsia" w:ascii="华文仿宋" w:hAnsi="华文仿宋" w:cs="华文仿宋"/>
          <w:color w:val="auto"/>
          <w:sz w:val="28"/>
          <w:szCs w:val="28"/>
          <w:highlight w:val="none"/>
        </w:rPr>
        <w:t>文件，并于</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 xml:space="preserve"> 09:30:00</w:t>
      </w:r>
      <w:r>
        <w:rPr>
          <w:rFonts w:hint="eastAsia" w:ascii="华文仿宋" w:hAnsi="华文仿宋" w:cs="华文仿宋"/>
          <w:color w:val="auto"/>
          <w:sz w:val="28"/>
          <w:szCs w:val="28"/>
          <w:highlight w:val="none"/>
        </w:rPr>
        <w:t>前递交</w:t>
      </w:r>
      <w:r>
        <w:rPr>
          <w:rFonts w:hint="eastAsia" w:ascii="华文仿宋" w:hAnsi="华文仿宋" w:cs="华文仿宋"/>
          <w:color w:val="auto"/>
          <w:sz w:val="28"/>
          <w:szCs w:val="28"/>
          <w:highlight w:val="none"/>
          <w:lang w:eastAsia="zh-CN"/>
        </w:rPr>
        <w:t>响应</w:t>
      </w:r>
      <w:r>
        <w:rPr>
          <w:rFonts w:hint="eastAsia" w:ascii="华文仿宋" w:hAnsi="华文仿宋" w:cs="华文仿宋"/>
          <w:color w:val="auto"/>
          <w:sz w:val="28"/>
          <w:szCs w:val="28"/>
          <w:highlight w:val="none"/>
        </w:rPr>
        <w:t>文件。</w:t>
      </w:r>
    </w:p>
    <w:p w14:paraId="4077E3CB">
      <w:pPr>
        <w:widowControl w:val="0"/>
        <w:spacing w:line="500" w:lineRule="exact"/>
        <w:ind w:firstLine="566" w:firstLineChars="200"/>
        <w:rPr>
          <w:rFonts w:hint="eastAsia" w:ascii="华文仿宋" w:eastAsia="华文仿宋" w:cs="Times New Roman"/>
          <w:color w:val="auto"/>
          <w:highlight w:val="none"/>
          <w:lang w:eastAsia="zh-CN"/>
        </w:rPr>
      </w:pPr>
      <w:r>
        <w:rPr>
          <w:rFonts w:hint="eastAsia" w:ascii="华文仿宋" w:hAnsi="华文仿宋" w:cs="华文仿宋"/>
          <w:b/>
          <w:bCs/>
          <w:color w:val="auto"/>
          <w:highlight w:val="none"/>
        </w:rPr>
        <w:t>一、项目名称</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陕西省发展和改革委员会全国信用信息共享平台（陕西）</w:t>
      </w:r>
      <w:r>
        <w:rPr>
          <w:rFonts w:hint="eastAsia" w:ascii="仿宋" w:hAnsi="仿宋" w:eastAsia="仿宋" w:cs="仿宋"/>
          <w:color w:val="auto"/>
          <w:highlight w:val="none"/>
          <w:lang w:eastAsia="zh-CN"/>
        </w:rPr>
        <w:t>2024</w:t>
      </w:r>
      <w:r>
        <w:rPr>
          <w:rFonts w:hint="eastAsia" w:ascii="华文仿宋" w:hAnsi="华文仿宋" w:cs="华文仿宋"/>
          <w:color w:val="auto"/>
          <w:highlight w:val="none"/>
          <w:lang w:eastAsia="zh-CN"/>
        </w:rPr>
        <w:t>年度技术运营第三方服务项目</w:t>
      </w:r>
    </w:p>
    <w:p w14:paraId="103C2C8A">
      <w:pPr>
        <w:widowControl w:val="0"/>
        <w:spacing w:line="500" w:lineRule="exact"/>
        <w:ind w:firstLine="566" w:firstLineChars="200"/>
        <w:rPr>
          <w:rFonts w:hint="default" w:ascii="华文仿宋" w:hAnsi="华文仿宋" w:eastAsia="华文仿宋" w:cs="Times New Roman"/>
          <w:color w:val="auto"/>
          <w:highlight w:val="none"/>
          <w:lang w:val="en-US" w:eastAsia="zh-CN"/>
        </w:rPr>
      </w:pPr>
      <w:r>
        <w:rPr>
          <w:rFonts w:hint="eastAsia" w:ascii="华文仿宋" w:hAnsi="华文仿宋" w:cs="华文仿宋"/>
          <w:b/>
          <w:bCs/>
          <w:color w:val="auto"/>
          <w:highlight w:val="none"/>
        </w:rPr>
        <w:t>二、项目编号</w:t>
      </w:r>
      <w:r>
        <w:rPr>
          <w:rFonts w:hint="eastAsia" w:ascii="华文仿宋" w:hAnsi="华文仿宋" w:cs="华文仿宋"/>
          <w:color w:val="auto"/>
          <w:highlight w:val="none"/>
        </w:rPr>
        <w:t>：</w:t>
      </w:r>
      <w:r>
        <w:rPr>
          <w:rFonts w:hint="eastAsia" w:ascii="仿宋" w:hAnsi="仿宋" w:eastAsia="仿宋" w:cs="仿宋"/>
          <w:color w:val="auto"/>
          <w:highlight w:val="none"/>
          <w:lang w:eastAsia="zh-CN"/>
        </w:rPr>
        <w:t>SNCG-FM-2025005</w:t>
      </w:r>
    </w:p>
    <w:p w14:paraId="44E07282">
      <w:pPr>
        <w:widowControl w:val="0"/>
        <w:spacing w:line="500" w:lineRule="exact"/>
        <w:ind w:firstLine="566" w:firstLineChars="200"/>
        <w:rPr>
          <w:rFonts w:hint="eastAsia" w:ascii="华文仿宋" w:hAnsi="华文仿宋" w:eastAsia="华文仿宋" w:cs="华文仿宋"/>
          <w:color w:val="auto"/>
          <w:highlight w:val="none"/>
          <w:u w:color="FFFFFF" w:themeColor="background1"/>
          <w:lang w:eastAsia="zh-CN"/>
        </w:rPr>
      </w:pPr>
      <w:r>
        <w:rPr>
          <w:rFonts w:hint="eastAsia" w:ascii="华文仿宋" w:hAnsi="华文仿宋" w:cs="华文仿宋"/>
          <w:b/>
          <w:bCs/>
          <w:color w:val="auto"/>
          <w:highlight w:val="none"/>
        </w:rPr>
        <w:t>三、采购人：</w:t>
      </w:r>
      <w:r>
        <w:rPr>
          <w:rFonts w:hint="eastAsia" w:ascii="华文仿宋" w:hAnsi="华文仿宋" w:cs="华文仿宋"/>
          <w:color w:val="auto"/>
          <w:highlight w:val="none"/>
          <w:lang w:eastAsia="zh-CN"/>
        </w:rPr>
        <w:t>陕西省发展和改革委员会</w:t>
      </w:r>
    </w:p>
    <w:p w14:paraId="4B7C8D77">
      <w:pPr>
        <w:pStyle w:val="42"/>
        <w:widowControl w:val="0"/>
        <w:spacing w:line="500" w:lineRule="exact"/>
        <w:rPr>
          <w:rFonts w:ascii="华文仿宋" w:hAnsi="华文仿宋" w:cs="华文仿宋"/>
          <w:color w:val="auto"/>
          <w:highlight w:val="none"/>
        </w:rPr>
      </w:pPr>
      <w:r>
        <w:rPr>
          <w:rFonts w:hint="eastAsia" w:ascii="华文仿宋" w:hAnsi="华文仿宋" w:cs="华文仿宋"/>
          <w:color w:val="auto"/>
          <w:highlight w:val="none"/>
        </w:rPr>
        <w:t>地址：</w:t>
      </w:r>
      <w:r>
        <w:rPr>
          <w:rFonts w:hint="eastAsia" w:ascii="华文仿宋" w:hAnsi="华文仿宋" w:cs="华文仿宋"/>
          <w:highlight w:val="none"/>
        </w:rPr>
        <w:t>陕西省西安市</w:t>
      </w:r>
      <w:r>
        <w:rPr>
          <w:rFonts w:hint="eastAsia" w:ascii="华文仿宋" w:hAnsi="华文仿宋" w:cs="华文仿宋"/>
          <w:highlight w:val="none"/>
          <w:lang w:eastAsia="zh-CN"/>
        </w:rPr>
        <w:t>新城大院</w:t>
      </w:r>
      <w:r>
        <w:rPr>
          <w:rFonts w:hint="eastAsia" w:ascii="仿宋" w:hAnsi="仿宋" w:eastAsia="仿宋" w:cs="仿宋"/>
          <w:highlight w:val="none"/>
          <w:lang w:val="en-US" w:eastAsia="zh-CN"/>
        </w:rPr>
        <w:t>8</w:t>
      </w:r>
      <w:r>
        <w:rPr>
          <w:rFonts w:hint="eastAsia" w:ascii="华文仿宋" w:hAnsi="华文仿宋" w:cs="华文仿宋"/>
          <w:highlight w:val="none"/>
          <w:lang w:val="en-US" w:eastAsia="zh-CN"/>
        </w:rPr>
        <w:t>号</w:t>
      </w:r>
    </w:p>
    <w:p w14:paraId="7CDDC824">
      <w:pPr>
        <w:pStyle w:val="42"/>
        <w:widowControl w:val="0"/>
        <w:spacing w:line="500" w:lineRule="exact"/>
        <w:rPr>
          <w:rFonts w:ascii="华文仿宋" w:hAnsi="华文仿宋" w:cs="华文仿宋"/>
          <w:color w:val="auto"/>
          <w:highlight w:val="none"/>
        </w:rPr>
      </w:pPr>
      <w:r>
        <w:rPr>
          <w:rFonts w:hint="eastAsia" w:ascii="华文仿宋" w:hAnsi="华文仿宋" w:cs="华文仿宋"/>
          <w:color w:val="auto"/>
          <w:highlight w:val="none"/>
        </w:rPr>
        <w:t>联系人：</w:t>
      </w:r>
      <w:r>
        <w:rPr>
          <w:rFonts w:hint="eastAsia" w:ascii="华文仿宋" w:hAnsi="华文仿宋" w:cs="华文仿宋"/>
          <w:color w:val="auto"/>
          <w:highlight w:val="none"/>
          <w:lang w:eastAsia="zh-CN"/>
        </w:rPr>
        <w:t>宁</w:t>
      </w:r>
      <w:r>
        <w:rPr>
          <w:rFonts w:hint="eastAsia" w:ascii="华文仿宋" w:hAnsi="华文仿宋" w:cs="华文仿宋"/>
          <w:color w:val="auto"/>
          <w:highlight w:val="none"/>
        </w:rPr>
        <w:t>老师</w:t>
      </w:r>
    </w:p>
    <w:p w14:paraId="79E4CA6E">
      <w:pPr>
        <w:widowControl w:val="0"/>
        <w:spacing w:line="500" w:lineRule="exact"/>
        <w:ind w:firstLine="1132" w:firstLineChars="400"/>
        <w:rPr>
          <w:rFonts w:ascii="仿宋" w:hAnsi="仿宋" w:eastAsia="仿宋" w:cs="仿宋"/>
          <w:color w:val="auto"/>
          <w:highlight w:val="none"/>
        </w:rPr>
      </w:pPr>
      <w:r>
        <w:rPr>
          <w:rFonts w:hint="eastAsia" w:ascii="华文仿宋" w:hAnsi="华文仿宋" w:cs="华文仿宋"/>
          <w:color w:val="auto"/>
          <w:highlight w:val="none"/>
        </w:rPr>
        <w:t>联系方式：</w:t>
      </w:r>
      <w:r>
        <w:rPr>
          <w:rFonts w:hint="eastAsia" w:ascii="仿宋" w:hAnsi="仿宋" w:eastAsia="仿宋" w:cs="仿宋"/>
          <w:color w:val="auto"/>
          <w:highlight w:val="none"/>
        </w:rPr>
        <w:t>029-</w:t>
      </w:r>
      <w:r>
        <w:rPr>
          <w:rFonts w:hint="eastAsia" w:ascii="仿宋" w:hAnsi="仿宋" w:eastAsia="仿宋" w:cs="仿宋"/>
          <w:highlight w:val="none"/>
          <w:lang w:val="en-US" w:eastAsia="zh-CN"/>
        </w:rPr>
        <w:t>63913219</w:t>
      </w:r>
    </w:p>
    <w:p w14:paraId="3D97A11B">
      <w:pPr>
        <w:widowControl w:val="0"/>
        <w:spacing w:line="500" w:lineRule="exact"/>
        <w:ind w:firstLine="566" w:firstLineChars="200"/>
        <w:rPr>
          <w:rFonts w:ascii="华文仿宋" w:cs="Times New Roman"/>
          <w:color w:val="auto"/>
          <w:highlight w:val="none"/>
        </w:rPr>
      </w:pPr>
      <w:r>
        <w:rPr>
          <w:rFonts w:hint="eastAsia" w:ascii="华文仿宋" w:hAnsi="华文仿宋" w:cs="华文仿宋"/>
          <w:b/>
          <w:bCs/>
          <w:color w:val="auto"/>
          <w:highlight w:val="none"/>
        </w:rPr>
        <w:t>四、采购代理机构</w:t>
      </w:r>
      <w:r>
        <w:rPr>
          <w:rFonts w:hint="eastAsia" w:ascii="华文仿宋" w:hAnsi="华文仿宋" w:cs="华文仿宋"/>
          <w:color w:val="auto"/>
          <w:highlight w:val="none"/>
        </w:rPr>
        <w:t>：</w:t>
      </w:r>
      <w:r>
        <w:rPr>
          <w:rFonts w:hint="eastAsia" w:ascii="华文仿宋" w:hAnsi="华文仿宋" w:cs="华文仿宋"/>
          <w:color w:val="auto"/>
          <w:highlight w:val="none"/>
          <w:lang w:val="zh-CN"/>
        </w:rPr>
        <w:t>陕西省省级单位政府采购中心</w:t>
      </w:r>
    </w:p>
    <w:p w14:paraId="358CAEFD">
      <w:pPr>
        <w:pStyle w:val="42"/>
        <w:widowControl w:val="0"/>
        <w:spacing w:line="500" w:lineRule="exact"/>
        <w:rPr>
          <w:rFonts w:ascii="华文仿宋" w:cs="Times New Roman"/>
          <w:color w:val="auto"/>
          <w:highlight w:val="none"/>
        </w:rPr>
      </w:pPr>
      <w:r>
        <w:rPr>
          <w:rFonts w:hint="eastAsia" w:ascii="华文仿宋" w:hAnsi="华文仿宋" w:cs="华文仿宋"/>
          <w:color w:val="auto"/>
          <w:highlight w:val="none"/>
        </w:rPr>
        <w:t>地址：西安市碑林区长安北路</w:t>
      </w:r>
      <w:r>
        <w:rPr>
          <w:rFonts w:ascii="仿宋" w:hAnsi="仿宋" w:eastAsia="仿宋" w:cs="仿宋"/>
          <w:color w:val="auto"/>
          <w:highlight w:val="none"/>
        </w:rPr>
        <w:t>14</w:t>
      </w:r>
      <w:r>
        <w:rPr>
          <w:rFonts w:hint="eastAsia" w:ascii="华文仿宋" w:hAnsi="华文仿宋" w:cs="华文仿宋"/>
          <w:color w:val="auto"/>
          <w:highlight w:val="none"/>
        </w:rPr>
        <w:t>号</w:t>
      </w:r>
    </w:p>
    <w:p w14:paraId="329219BA">
      <w:pPr>
        <w:pStyle w:val="42"/>
        <w:widowControl w:val="0"/>
        <w:spacing w:line="500" w:lineRule="exact"/>
        <w:rPr>
          <w:rFonts w:hint="eastAsia" w:ascii="华文仿宋" w:eastAsia="华文仿宋" w:cs="Times New Roman"/>
          <w:color w:val="auto"/>
          <w:highlight w:val="none"/>
          <w:lang w:eastAsia="zh-CN"/>
        </w:rPr>
      </w:pPr>
      <w:r>
        <w:rPr>
          <w:rFonts w:hint="eastAsia" w:ascii="华文仿宋" w:hAnsi="华文仿宋" w:cs="华文仿宋"/>
          <w:color w:val="auto"/>
          <w:highlight w:val="none"/>
        </w:rPr>
        <w:t>联系人：</w:t>
      </w:r>
      <w:r>
        <w:rPr>
          <w:rFonts w:hint="eastAsia" w:ascii="华文仿宋" w:hAnsi="华文仿宋" w:cs="华文仿宋"/>
          <w:color w:val="auto"/>
          <w:highlight w:val="none"/>
          <w:lang w:eastAsia="zh-CN"/>
        </w:rPr>
        <w:t>郭老师</w:t>
      </w:r>
    </w:p>
    <w:p w14:paraId="2B8C7C9A">
      <w:pPr>
        <w:pStyle w:val="42"/>
        <w:widowControl w:val="0"/>
        <w:spacing w:line="500" w:lineRule="exact"/>
        <w:rPr>
          <w:rFonts w:ascii="仿宋" w:eastAsia="仿宋" w:cs="Times New Roman"/>
          <w:color w:val="auto"/>
          <w:highlight w:val="none"/>
        </w:rPr>
      </w:pPr>
      <w:r>
        <w:rPr>
          <w:rFonts w:hint="eastAsia" w:ascii="华文仿宋" w:hAnsi="华文仿宋" w:cs="华文仿宋"/>
          <w:color w:val="auto"/>
          <w:highlight w:val="none"/>
        </w:rPr>
        <w:t>联系方式：</w:t>
      </w:r>
      <w:r>
        <w:rPr>
          <w:rFonts w:ascii="仿宋" w:hAnsi="仿宋" w:eastAsia="仿宋" w:cs="仿宋"/>
          <w:color w:val="auto"/>
          <w:highlight w:val="none"/>
        </w:rPr>
        <w:t>029-886612</w:t>
      </w:r>
      <w:r>
        <w:rPr>
          <w:rFonts w:hint="eastAsia" w:ascii="仿宋" w:hAnsi="仿宋" w:eastAsia="仿宋" w:cs="仿宋"/>
          <w:color w:val="auto"/>
          <w:highlight w:val="none"/>
        </w:rPr>
        <w:t>94</w:t>
      </w:r>
    </w:p>
    <w:p w14:paraId="79F9C1CD">
      <w:pPr>
        <w:widowControl w:val="0"/>
        <w:spacing w:line="500" w:lineRule="exact"/>
        <w:ind w:firstLine="566" w:firstLineChars="200"/>
        <w:rPr>
          <w:rFonts w:cs="Times New Roman"/>
          <w:color w:val="auto"/>
          <w:highlight w:val="none"/>
        </w:rPr>
      </w:pPr>
      <w:r>
        <w:rPr>
          <w:rFonts w:hint="eastAsia" w:ascii="华文仿宋" w:hAnsi="华文仿宋" w:cs="华文仿宋"/>
          <w:b/>
          <w:bCs/>
          <w:color w:val="auto"/>
          <w:highlight w:val="none"/>
        </w:rPr>
        <w:t>五、</w:t>
      </w:r>
      <w:r>
        <w:rPr>
          <w:rFonts w:hint="eastAsia" w:ascii="华文仿宋" w:hAnsi="华文仿宋" w:cs="华文仿宋"/>
          <w:b/>
          <w:bCs/>
          <w:color w:val="auto"/>
          <w:highlight w:val="none"/>
          <w:lang w:eastAsia="zh-CN"/>
        </w:rPr>
        <w:t>磋商</w:t>
      </w:r>
      <w:r>
        <w:rPr>
          <w:rFonts w:hint="eastAsia" w:ascii="华文仿宋" w:hAnsi="华文仿宋" w:cs="华文仿宋"/>
          <w:b/>
          <w:bCs/>
          <w:color w:val="auto"/>
          <w:highlight w:val="none"/>
        </w:rPr>
        <w:t>内容和要求</w:t>
      </w:r>
    </w:p>
    <w:p w14:paraId="1B5D33CE">
      <w:pPr>
        <w:widowControl w:val="0"/>
        <w:spacing w:line="500" w:lineRule="exact"/>
        <w:ind w:firstLine="566" w:firstLineChars="200"/>
        <w:rPr>
          <w:rFonts w:ascii="宋体" w:cs="Times New Roman"/>
          <w:color w:val="auto"/>
          <w:sz w:val="24"/>
          <w:szCs w:val="24"/>
          <w:highlight w:val="none"/>
        </w:rPr>
      </w:pPr>
      <w:r>
        <w:rPr>
          <w:rFonts w:hint="eastAsia" w:ascii="华文仿宋" w:hAnsi="华文仿宋" w:cs="华文仿宋"/>
          <w:color w:val="auto"/>
          <w:highlight w:val="none"/>
        </w:rPr>
        <w:t>本项目为</w:t>
      </w:r>
      <w:r>
        <w:rPr>
          <w:rFonts w:hint="eastAsia" w:ascii="华文仿宋" w:hAnsi="华文仿宋" w:cs="华文仿宋"/>
          <w:color w:val="auto"/>
          <w:highlight w:val="none"/>
          <w:lang w:eastAsia="zh-CN"/>
        </w:rPr>
        <w:t>陕西省发展和改革委员会全国信用信息共享平台（陕西）</w:t>
      </w:r>
      <w:r>
        <w:rPr>
          <w:rFonts w:hint="eastAsia" w:ascii="仿宋" w:hAnsi="仿宋" w:eastAsia="仿宋" w:cs="仿宋"/>
          <w:color w:val="auto"/>
          <w:highlight w:val="none"/>
          <w:lang w:eastAsia="zh-CN"/>
        </w:rPr>
        <w:t>2024</w:t>
      </w:r>
      <w:r>
        <w:rPr>
          <w:rFonts w:hint="eastAsia" w:ascii="华文仿宋" w:hAnsi="华文仿宋" w:cs="华文仿宋"/>
          <w:color w:val="auto"/>
          <w:highlight w:val="none"/>
          <w:lang w:eastAsia="zh-CN"/>
        </w:rPr>
        <w:t>年度技术运营第三方服务项目。服务内容共包含三部分：实施方案编制服务、信息化工程监理服务及</w:t>
      </w:r>
      <w:r>
        <w:rPr>
          <w:rFonts w:hint="eastAsia" w:ascii="仿宋" w:hAnsi="仿宋" w:eastAsia="仿宋" w:cs="仿宋"/>
          <w:highlight w:val="none"/>
          <w:lang w:val="en-US" w:eastAsia="zh-CN"/>
        </w:rPr>
        <w:t>第三方结算审核服务。</w:t>
      </w:r>
      <w:r>
        <w:rPr>
          <w:rFonts w:hint="eastAsia" w:ascii="华文仿宋" w:hAnsi="华文仿宋" w:cs="华文仿宋"/>
          <w:color w:val="auto"/>
          <w:highlight w:val="none"/>
        </w:rPr>
        <w:t>（详见</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文件第</w:t>
      </w:r>
      <w:r>
        <w:rPr>
          <w:rFonts w:hint="eastAsia" w:ascii="华文仿宋" w:hAnsi="华文仿宋" w:cs="华文仿宋"/>
          <w:color w:val="auto"/>
          <w:highlight w:val="none"/>
          <w:lang w:eastAsia="zh-CN"/>
        </w:rPr>
        <w:t>三</w:t>
      </w:r>
      <w:r>
        <w:rPr>
          <w:rFonts w:hint="eastAsia" w:ascii="华文仿宋" w:hAnsi="华文仿宋" w:cs="华文仿宋"/>
          <w:color w:val="auto"/>
          <w:highlight w:val="none"/>
        </w:rPr>
        <w:t>章</w:t>
      </w:r>
      <w:r>
        <w:rPr>
          <w:rFonts w:hint="eastAsia" w:ascii="华文仿宋" w:hAnsi="华文仿宋" w:cs="华文仿宋"/>
          <w:color w:val="auto"/>
          <w:highlight w:val="none"/>
          <w:lang w:val="en-US" w:eastAsia="zh-CN"/>
        </w:rPr>
        <w:t xml:space="preserve"> </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内容及采购要求）。</w:t>
      </w:r>
    </w:p>
    <w:p w14:paraId="751F33DD">
      <w:pPr>
        <w:widowControl w:val="0"/>
        <w:spacing w:line="500" w:lineRule="exact"/>
        <w:ind w:firstLine="566" w:firstLineChars="200"/>
        <w:rPr>
          <w:rFonts w:ascii="华文仿宋" w:cs="Times New Roman"/>
          <w:b/>
          <w:bCs/>
          <w:color w:val="auto"/>
          <w:highlight w:val="none"/>
        </w:rPr>
      </w:pPr>
      <w:r>
        <w:rPr>
          <w:rFonts w:hint="eastAsia" w:ascii="华文仿宋" w:hAnsi="华文仿宋" w:cs="华文仿宋"/>
          <w:b/>
          <w:bCs/>
          <w:color w:val="auto"/>
          <w:highlight w:val="none"/>
        </w:rPr>
        <w:t>六、资金来源</w:t>
      </w:r>
      <w:r>
        <w:rPr>
          <w:rFonts w:hint="eastAsia" w:ascii="华文仿宋" w:hAnsi="华文仿宋" w:cs="华文仿宋"/>
          <w:color w:val="auto"/>
          <w:highlight w:val="none"/>
        </w:rPr>
        <w:t>：预算内</w:t>
      </w:r>
    </w:p>
    <w:p w14:paraId="577A5181">
      <w:pPr>
        <w:keepNext w:val="0"/>
        <w:keepLines w:val="0"/>
        <w:pageBreakBefore w:val="0"/>
        <w:widowControl w:val="0"/>
        <w:tabs>
          <w:tab w:val="right" w:pos="9072"/>
        </w:tabs>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highlight w:val="none"/>
          <w:lang w:eastAsia="zh-CN"/>
        </w:rPr>
      </w:pPr>
      <w:r>
        <w:rPr>
          <w:rFonts w:hint="eastAsia" w:ascii="华文仿宋" w:hAnsi="华文仿宋" w:cs="华文仿宋"/>
          <w:b/>
          <w:bCs/>
          <w:color w:val="auto"/>
          <w:highlight w:val="none"/>
        </w:rPr>
        <w:t>七、采购预算：</w:t>
      </w:r>
      <w:r>
        <w:rPr>
          <w:rFonts w:hint="eastAsia" w:ascii="仿宋" w:hAnsi="仿宋" w:eastAsia="仿宋" w:cs="仿宋"/>
          <w:highlight w:val="none"/>
          <w:lang w:val="en-US" w:eastAsia="zh-CN"/>
        </w:rPr>
        <w:t>62.58</w:t>
      </w:r>
      <w:r>
        <w:rPr>
          <w:rFonts w:hint="eastAsia" w:ascii="仿宋" w:hAnsi="仿宋" w:eastAsia="仿宋" w:cs="仿宋"/>
          <w:highlight w:val="none"/>
        </w:rPr>
        <w:t>万元</w:t>
      </w:r>
    </w:p>
    <w:p w14:paraId="269269CF">
      <w:pPr>
        <w:keepNext w:val="0"/>
        <w:keepLines w:val="0"/>
        <w:pageBreakBefore w:val="0"/>
        <w:widowControl w:val="0"/>
        <w:tabs>
          <w:tab w:val="right" w:pos="9072"/>
        </w:tabs>
        <w:kinsoku/>
        <w:wordWrap/>
        <w:overflowPunct/>
        <w:topLinePunct w:val="0"/>
        <w:autoSpaceDE/>
        <w:autoSpaceDN/>
        <w:bidi w:val="0"/>
        <w:adjustRightInd/>
        <w:snapToGrid/>
        <w:spacing w:line="420" w:lineRule="exact"/>
        <w:ind w:firstLine="1132" w:firstLineChars="400"/>
        <w:textAlignment w:val="auto"/>
        <w:rPr>
          <w:rFonts w:hint="eastAsia" w:ascii="仿宋" w:hAnsi="仿宋" w:eastAsia="仿宋" w:cs="仿宋"/>
          <w:highlight w:val="none"/>
          <w:lang w:val="en-US" w:eastAsia="zh-CN"/>
        </w:rPr>
      </w:pPr>
      <w:r>
        <w:rPr>
          <w:rFonts w:hint="eastAsia" w:ascii="华文仿宋" w:hAnsi="华文仿宋" w:eastAsia="华文仿宋" w:cs="华文仿宋"/>
          <w:b/>
          <w:bCs/>
          <w:color w:val="auto"/>
          <w:kern w:val="2"/>
          <w:sz w:val="28"/>
          <w:szCs w:val="28"/>
          <w:highlight w:val="none"/>
          <w:lang w:val="en-US" w:eastAsia="zh-CN" w:bidi="ar-SA"/>
        </w:rPr>
        <w:t>最高限价：</w:t>
      </w:r>
      <w:r>
        <w:rPr>
          <w:rFonts w:hint="eastAsia" w:ascii="仿宋" w:hAnsi="仿宋" w:eastAsia="仿宋" w:cs="仿宋"/>
          <w:color w:val="auto"/>
          <w:kern w:val="2"/>
          <w:sz w:val="28"/>
          <w:szCs w:val="28"/>
          <w:highlight w:val="none"/>
          <w:lang w:val="en-US" w:eastAsia="zh-CN" w:bidi="ar-SA"/>
        </w:rPr>
        <w:t>55.91</w:t>
      </w:r>
      <w:r>
        <w:rPr>
          <w:rFonts w:hint="eastAsia" w:ascii="华文仿宋" w:hAnsi="华文仿宋" w:eastAsia="华文仿宋" w:cs="华文仿宋"/>
          <w:color w:val="auto"/>
          <w:kern w:val="2"/>
          <w:sz w:val="28"/>
          <w:szCs w:val="28"/>
          <w:highlight w:val="none"/>
          <w:lang w:val="en-US" w:eastAsia="zh-CN" w:bidi="ar-SA"/>
        </w:rPr>
        <w:t>万元</w:t>
      </w:r>
      <w:r>
        <w:rPr>
          <w:rFonts w:hint="eastAsia" w:ascii="华文仿宋" w:hAnsi="华文仿宋" w:cs="华文仿宋"/>
          <w:color w:val="auto"/>
          <w:kern w:val="2"/>
          <w:sz w:val="28"/>
          <w:szCs w:val="28"/>
          <w:highlight w:val="none"/>
          <w:lang w:val="en-US" w:eastAsia="zh-CN" w:bidi="ar-SA"/>
        </w:rPr>
        <w:t>。</w:t>
      </w:r>
      <w:r>
        <w:rPr>
          <w:rFonts w:hint="eastAsia" w:ascii="仿宋" w:hAnsi="仿宋" w:eastAsia="仿宋" w:cs="仿宋"/>
          <w:highlight w:val="none"/>
          <w:lang w:eastAsia="zh-CN"/>
        </w:rPr>
        <w:t>其中各单项采购预算金额如下：实施方案编制服务预算</w:t>
      </w:r>
      <w:r>
        <w:rPr>
          <w:rFonts w:hint="eastAsia" w:ascii="仿宋" w:hAnsi="仿宋" w:eastAsia="仿宋" w:cs="仿宋"/>
          <w:highlight w:val="none"/>
          <w:lang w:val="en-US" w:eastAsia="zh-CN"/>
        </w:rPr>
        <w:t>26万元；信息化工程监理服务预算23.73万元；第三方结算审核服务6.18万元。</w:t>
      </w:r>
    </w:p>
    <w:p w14:paraId="50251572">
      <w:pPr>
        <w:keepNext w:val="0"/>
        <w:keepLines w:val="0"/>
        <w:pageBreakBefore w:val="0"/>
        <w:widowControl w:val="0"/>
        <w:tabs>
          <w:tab w:val="right" w:pos="9072"/>
        </w:tabs>
        <w:kinsoku/>
        <w:wordWrap/>
        <w:overflowPunct/>
        <w:topLinePunct w:val="0"/>
        <w:autoSpaceDE/>
        <w:autoSpaceDN/>
        <w:bidi w:val="0"/>
        <w:adjustRightInd/>
        <w:snapToGrid/>
        <w:spacing w:line="42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特别说明：供应商报价均不应超过各单项采购预算金额，合计总价不超过最高限价，否则按无效响应处理。</w:t>
      </w:r>
    </w:p>
    <w:p w14:paraId="77A32066">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bCs/>
          <w:color w:val="auto"/>
          <w:highlight w:val="none"/>
          <w:lang w:eastAsia="zh-CN"/>
        </w:rPr>
      </w:pPr>
      <w:r>
        <w:rPr>
          <w:rFonts w:hint="eastAsia" w:ascii="华文仿宋" w:hAnsi="华文仿宋" w:cs="华文仿宋"/>
          <w:b/>
          <w:bCs/>
          <w:color w:val="auto"/>
          <w:highlight w:val="none"/>
        </w:rPr>
        <w:t>八、所属行业：</w:t>
      </w:r>
      <w:r>
        <w:rPr>
          <w:rFonts w:hint="eastAsia" w:ascii="华文仿宋" w:hAnsi="华文仿宋" w:cs="华文仿宋"/>
          <w:color w:val="auto"/>
          <w:highlight w:val="none"/>
          <w:lang w:eastAsia="zh-CN"/>
        </w:rPr>
        <w:t>软件和信息技术服务业</w:t>
      </w:r>
    </w:p>
    <w:p w14:paraId="59D73FB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b/>
          <w:bCs/>
          <w:color w:val="auto"/>
          <w:highlight w:val="none"/>
        </w:rPr>
      </w:pPr>
      <w:r>
        <w:rPr>
          <w:rFonts w:hint="eastAsia" w:ascii="华文仿宋" w:hAnsi="华文仿宋" w:cs="华文仿宋"/>
          <w:b/>
          <w:bCs/>
          <w:color w:val="auto"/>
          <w:highlight w:val="none"/>
        </w:rPr>
        <w:t>九、</w:t>
      </w:r>
      <w:r>
        <w:rPr>
          <w:rFonts w:hint="eastAsia"/>
          <w:b/>
          <w:bCs/>
          <w:color w:val="auto"/>
          <w:highlight w:val="none"/>
        </w:rPr>
        <w:t>项目属性：</w:t>
      </w:r>
      <w:r>
        <w:rPr>
          <w:rFonts w:hint="eastAsia"/>
          <w:color w:val="auto"/>
          <w:highlight w:val="none"/>
        </w:rPr>
        <w:t>服务</w:t>
      </w:r>
      <w:r>
        <w:rPr>
          <w:rFonts w:hint="eastAsia" w:ascii="华文仿宋" w:hAnsi="华文仿宋" w:cs="华文仿宋"/>
          <w:color w:val="auto"/>
          <w:highlight w:val="none"/>
        </w:rPr>
        <w:t>类</w:t>
      </w:r>
    </w:p>
    <w:p w14:paraId="3CCC4566">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bCs/>
          <w:color w:val="auto"/>
          <w:highlight w:val="none"/>
        </w:rPr>
      </w:pPr>
      <w:r>
        <w:rPr>
          <w:rFonts w:hint="eastAsia" w:ascii="华文仿宋" w:hAnsi="华文仿宋" w:cs="华文仿宋"/>
          <w:b/>
          <w:bCs/>
          <w:color w:val="auto"/>
          <w:highlight w:val="none"/>
        </w:rPr>
        <w:t>十、</w:t>
      </w:r>
      <w:r>
        <w:rPr>
          <w:rFonts w:hint="eastAsia" w:ascii="华文仿宋" w:hAnsi="华文仿宋" w:cs="华文仿宋"/>
          <w:b/>
          <w:bCs/>
          <w:color w:val="auto"/>
          <w:highlight w:val="none"/>
          <w:lang w:eastAsia="zh-CN"/>
        </w:rPr>
        <w:t>供应商</w:t>
      </w:r>
      <w:r>
        <w:rPr>
          <w:rFonts w:hint="eastAsia" w:ascii="华文仿宋" w:hAnsi="华文仿宋" w:cs="华文仿宋"/>
          <w:b/>
          <w:bCs/>
          <w:color w:val="auto"/>
          <w:highlight w:val="none"/>
        </w:rPr>
        <w:t>资格要求</w:t>
      </w:r>
    </w:p>
    <w:p w14:paraId="649D3E0F">
      <w:pPr>
        <w:widowControl w:val="0"/>
        <w:spacing w:line="500" w:lineRule="exact"/>
        <w:ind w:firstLine="566" w:firstLineChars="200"/>
        <w:rPr>
          <w:rFonts w:ascii="华文仿宋" w:cs="Times New Roman"/>
          <w:color w:val="auto"/>
          <w:kern w:val="0"/>
          <w:highlight w:val="none"/>
          <w:lang w:val="zh-CN"/>
        </w:rPr>
      </w:pPr>
      <w:r>
        <w:rPr>
          <w:rFonts w:hint="eastAsia" w:ascii="华文仿宋" w:hAnsi="华文仿宋" w:cs="华文仿宋"/>
          <w:color w:val="auto"/>
          <w:highlight w:val="none"/>
        </w:rPr>
        <w:t>符合《中华人民共和国政府采购法》第二十二条的规定，</w:t>
      </w:r>
      <w:r>
        <w:rPr>
          <w:rFonts w:hint="eastAsia" w:ascii="华文仿宋" w:hAnsi="华文仿宋" w:cs="华文仿宋"/>
          <w:color w:val="auto"/>
          <w:kern w:val="0"/>
          <w:highlight w:val="none"/>
          <w:lang w:val="zh-CN"/>
        </w:rPr>
        <w:t>并提供下列材料：</w:t>
      </w:r>
    </w:p>
    <w:p w14:paraId="7263CD28">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、营业执照等主体资格证明文件：提供有效存续的</w:t>
      </w:r>
      <w:r>
        <w:rPr>
          <w:rFonts w:hint="eastAsia" w:ascii="华文仿宋" w:hAnsi="华文仿宋" w:cs="华文仿宋"/>
          <w:color w:val="auto"/>
          <w:highlight w:val="none"/>
          <w:lang w:eastAsia="zh-CN"/>
        </w:rPr>
        <w:t>企业营业执照</w:t>
      </w:r>
      <w:r>
        <w:rPr>
          <w:rFonts w:hint="eastAsia" w:ascii="华文仿宋" w:hAnsi="华文仿宋" w:cs="华文仿宋"/>
          <w:color w:val="auto"/>
          <w:highlight w:val="none"/>
        </w:rPr>
        <w:t>（副本）</w:t>
      </w:r>
      <w:r>
        <w:rPr>
          <w:rFonts w:ascii="华文仿宋" w:hAnsi="华文仿宋" w:cs="华文仿宋"/>
          <w:color w:val="auto"/>
          <w:highlight w:val="none"/>
        </w:rPr>
        <w:t>/</w:t>
      </w:r>
      <w:r>
        <w:rPr>
          <w:rFonts w:hint="eastAsia" w:ascii="华文仿宋" w:hAnsi="华文仿宋" w:cs="华文仿宋"/>
          <w:color w:val="auto"/>
          <w:highlight w:val="none"/>
        </w:rPr>
        <w:t>事业单位法人证书</w:t>
      </w:r>
      <w:r>
        <w:rPr>
          <w:rFonts w:ascii="华文仿宋" w:hAnsi="华文仿宋" w:cs="华文仿宋"/>
          <w:color w:val="auto"/>
          <w:highlight w:val="none"/>
        </w:rPr>
        <w:t>/</w:t>
      </w:r>
      <w:r>
        <w:rPr>
          <w:rFonts w:hint="eastAsia" w:ascii="华文仿宋" w:hAnsi="华文仿宋" w:cs="华文仿宋"/>
          <w:color w:val="auto"/>
          <w:highlight w:val="none"/>
        </w:rPr>
        <w:t>专业服务机构执业许可证</w:t>
      </w:r>
      <w:r>
        <w:rPr>
          <w:rFonts w:ascii="华文仿宋" w:hAnsi="华文仿宋" w:cs="华文仿宋"/>
          <w:color w:val="auto"/>
          <w:highlight w:val="none"/>
        </w:rPr>
        <w:t>/</w:t>
      </w:r>
      <w:r>
        <w:rPr>
          <w:rFonts w:hint="eastAsia" w:ascii="华文仿宋" w:hAnsi="华文仿宋" w:cs="华文仿宋"/>
          <w:color w:val="auto"/>
          <w:highlight w:val="none"/>
          <w:lang w:eastAsia="zh-CN"/>
        </w:rPr>
        <w:t>民办非企业</w:t>
      </w:r>
      <w:r>
        <w:rPr>
          <w:rFonts w:hint="eastAsia" w:ascii="华文仿宋" w:hAnsi="华文仿宋" w:cs="华文仿宋"/>
          <w:color w:val="auto"/>
          <w:highlight w:val="none"/>
        </w:rPr>
        <w:t>单位登记证书。</w:t>
      </w:r>
    </w:p>
    <w:p w14:paraId="78AF6931">
      <w:pPr>
        <w:widowControl w:val="0"/>
        <w:spacing w:line="500" w:lineRule="exact"/>
        <w:ind w:firstLine="566" w:firstLineChars="200"/>
        <w:rPr>
          <w:rFonts w:hint="eastAsia" w:ascii="华文仿宋" w:hAnsi="华文仿宋" w:cs="华文仿宋"/>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、财务状况报告（以</w:t>
      </w:r>
      <w:r>
        <w:rPr>
          <w:rFonts w:hint="eastAsia" w:ascii="华文仿宋" w:hAnsi="华文仿宋" w:cs="华文仿宋"/>
          <w:color w:val="auto"/>
          <w:highlight w:val="none"/>
          <w:lang w:eastAsia="zh-CN"/>
        </w:rPr>
        <w:t>下</w:t>
      </w:r>
      <w:r>
        <w:rPr>
          <w:rFonts w:hint="eastAsia" w:ascii="华文仿宋" w:hAnsi="华文仿宋" w:cs="华文仿宋"/>
          <w:color w:val="auto"/>
          <w:highlight w:val="none"/>
        </w:rPr>
        <w:t>三种资料提供</w:t>
      </w:r>
      <w:r>
        <w:rPr>
          <w:rFonts w:hint="eastAsia" w:ascii="华文仿宋" w:hAnsi="华文仿宋" w:cs="华文仿宋"/>
          <w:color w:val="auto"/>
          <w:highlight w:val="none"/>
          <w:lang w:eastAsia="zh-CN"/>
        </w:rPr>
        <w:t>任意</w:t>
      </w:r>
      <w:r>
        <w:rPr>
          <w:rFonts w:hint="eastAsia" w:ascii="华文仿宋" w:hAnsi="华文仿宋" w:cs="华文仿宋"/>
          <w:color w:val="auto"/>
          <w:highlight w:val="none"/>
        </w:rPr>
        <w:t>一种即可）：</w:t>
      </w:r>
    </w:p>
    <w:p w14:paraId="18F7C340">
      <w:pPr>
        <w:widowControl w:val="0"/>
        <w:spacing w:line="500" w:lineRule="exact"/>
        <w:ind w:firstLine="566" w:firstLineChars="200"/>
        <w:rPr>
          <w:rFonts w:hint="eastAsia" w:ascii="华文仿宋" w:hAnsi="华文仿宋" w:cs="华文仿宋"/>
          <w:color w:val="auto"/>
          <w:highlight w:val="none"/>
          <w:lang w:eastAsia="zh-CN"/>
        </w:rPr>
      </w:pPr>
      <w:r>
        <w:rPr>
          <w:rFonts w:hint="eastAsia" w:ascii="华文仿宋" w:hAnsi="华文仿宋" w:cs="华文仿宋"/>
          <w:color w:val="auto"/>
          <w:highlight w:val="none"/>
          <w:lang w:eastAsia="zh-CN"/>
        </w:rPr>
        <w:t>（</w:t>
      </w:r>
      <w:r>
        <w:rPr>
          <w:rFonts w:hint="eastAsia" w:ascii="华文仿宋" w:hAnsi="华文仿宋" w:cs="华文仿宋"/>
          <w:color w:val="auto"/>
          <w:highlight w:val="none"/>
          <w:lang w:val="en-US" w:eastAsia="zh-CN"/>
        </w:rPr>
        <w:t>1</w:t>
      </w:r>
      <w:r>
        <w:rPr>
          <w:rFonts w:hint="eastAsia" w:ascii="华文仿宋" w:hAnsi="华文仿宋" w:cs="华文仿宋"/>
          <w:color w:val="auto"/>
          <w:highlight w:val="none"/>
          <w:lang w:eastAsia="zh-CN"/>
        </w:rPr>
        <w:t>）</w:t>
      </w:r>
      <w:r>
        <w:rPr>
          <w:rFonts w:hint="eastAsia" w:ascii="华文仿宋" w:hAnsi="华文仿宋" w:cs="华文仿宋"/>
          <w:color w:val="auto"/>
          <w:highlight w:val="none"/>
        </w:rPr>
        <w:t>提供递交</w:t>
      </w:r>
      <w:r>
        <w:rPr>
          <w:rFonts w:hint="eastAsia" w:ascii="华文仿宋" w:hAnsi="华文仿宋" w:cs="华文仿宋"/>
          <w:color w:val="auto"/>
          <w:highlight w:val="none"/>
          <w:lang w:eastAsia="zh-CN"/>
        </w:rPr>
        <w:t>响应</w:t>
      </w:r>
      <w:r>
        <w:rPr>
          <w:rFonts w:hint="eastAsia" w:ascii="华文仿宋" w:hAnsi="华文仿宋" w:cs="华文仿宋"/>
          <w:color w:val="auto"/>
          <w:highlight w:val="none"/>
        </w:rPr>
        <w:t>文件截止之日前两年内任意一个年度经审计的财务报告（包括“四表一注”，即资产负债表、利润表、现金流量表、所有者权益变动表及其附注，符合《</w:t>
      </w:r>
      <w:r>
        <w:rPr>
          <w:rFonts w:hint="eastAsia" w:ascii="华文仿宋" w:hAnsi="华文仿宋" w:cs="华文仿宋"/>
          <w:color w:val="auto"/>
          <w:highlight w:val="none"/>
        </w:rPr>
        <w:fldChar w:fldCharType="begin"/>
      </w:r>
      <w:r>
        <w:rPr>
          <w:rFonts w:hint="eastAsia" w:ascii="华文仿宋" w:hAnsi="华文仿宋" w:cs="华文仿宋"/>
          <w:color w:val="auto"/>
          <w:highlight w:val="none"/>
        </w:rPr>
        <w:instrText xml:space="preserve"> HYPERLINK "https://baike.baidu.com/item/%E4%B8%AD%E5%B0%8F%E4%BC%81%E4%B8%9A%E5%88%92%E5%9E%8B%E6%A0%87%E5%87%86%E8%A7%84%E5%AE%9A/0?fromModule=lemma_inlink" \t "https://baike.baidu.com/item/%E5%B0%8F%E4%BC%81%E4%B8%9A%E4%BC%9A%E8%AE%A1%E5%87%86%E5%88%99/_blank" </w:instrText>
      </w:r>
      <w:r>
        <w:rPr>
          <w:rFonts w:hint="eastAsia" w:ascii="华文仿宋" w:hAnsi="华文仿宋" w:cs="华文仿宋"/>
          <w:color w:val="auto"/>
          <w:highlight w:val="none"/>
        </w:rPr>
        <w:fldChar w:fldCharType="separate"/>
      </w:r>
      <w:r>
        <w:rPr>
          <w:rFonts w:hint="eastAsia" w:ascii="华文仿宋" w:hAnsi="华文仿宋" w:cs="华文仿宋"/>
          <w:color w:val="auto"/>
          <w:highlight w:val="none"/>
        </w:rPr>
        <w:t>中小企业划型标准规定</w:t>
      </w:r>
      <w:r>
        <w:rPr>
          <w:rFonts w:hint="eastAsia" w:ascii="华文仿宋" w:hAnsi="华文仿宋" w:cs="华文仿宋"/>
          <w:color w:val="auto"/>
          <w:highlight w:val="none"/>
        </w:rPr>
        <w:fldChar w:fldCharType="end"/>
      </w:r>
      <w:r>
        <w:rPr>
          <w:rFonts w:hint="eastAsia" w:ascii="华文仿宋" w:hAnsi="华文仿宋" w:cs="华文仿宋"/>
          <w:color w:val="auto"/>
          <w:highlight w:val="none"/>
        </w:rPr>
        <w:t>》的小型企业</w:t>
      </w:r>
      <w:r>
        <w:rPr>
          <w:rFonts w:hint="eastAsia" w:ascii="华文仿宋" w:hAnsi="华文仿宋" w:cs="华文仿宋"/>
          <w:color w:val="auto"/>
          <w:highlight w:val="none"/>
          <w:lang w:eastAsia="zh-CN"/>
        </w:rPr>
        <w:t>按照</w:t>
      </w:r>
      <w:r>
        <w:rPr>
          <w:rFonts w:hint="eastAsia" w:ascii="华文仿宋" w:hAnsi="华文仿宋" w:cs="华文仿宋"/>
          <w:color w:val="auto"/>
          <w:highlight w:val="none"/>
        </w:rPr>
        <w:t>《小企业会计准则》</w:t>
      </w:r>
      <w:r>
        <w:rPr>
          <w:rFonts w:hint="eastAsia" w:ascii="华文仿宋" w:hAnsi="华文仿宋" w:cs="华文仿宋"/>
          <w:color w:val="auto"/>
          <w:highlight w:val="none"/>
          <w:lang w:eastAsia="zh-CN"/>
        </w:rPr>
        <w:t>执行。</w:t>
      </w:r>
      <w:r>
        <w:rPr>
          <w:rFonts w:hint="eastAsia" w:ascii="华文仿宋" w:hAnsi="华文仿宋" w:cs="华文仿宋"/>
          <w:color w:val="auto"/>
          <w:highlight w:val="none"/>
        </w:rPr>
        <w:t>成立时间至提交</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截止时间不足一年的可提供成立后任意时段的资产负债表）</w:t>
      </w:r>
      <w:r>
        <w:rPr>
          <w:rFonts w:hint="eastAsia" w:ascii="华文仿宋" w:hAnsi="华文仿宋" w:cs="华文仿宋"/>
          <w:color w:val="auto"/>
          <w:highlight w:val="none"/>
          <w:lang w:eastAsia="zh-CN"/>
        </w:rPr>
        <w:t>；</w:t>
      </w:r>
    </w:p>
    <w:p w14:paraId="5B6CEA8C">
      <w:pPr>
        <w:widowControl w:val="0"/>
        <w:spacing w:line="500" w:lineRule="exact"/>
        <w:ind w:firstLine="566" w:firstLineChars="200"/>
        <w:rPr>
          <w:rFonts w:hint="eastAsia" w:ascii="华文仿宋" w:hAnsi="华文仿宋" w:cs="华文仿宋"/>
          <w:color w:val="auto"/>
          <w:highlight w:val="none"/>
          <w:lang w:eastAsia="zh-CN"/>
        </w:rPr>
      </w:pPr>
      <w:r>
        <w:rPr>
          <w:rFonts w:hint="eastAsia" w:ascii="华文仿宋" w:hAnsi="华文仿宋" w:cs="华文仿宋"/>
          <w:color w:val="auto"/>
          <w:highlight w:val="none"/>
          <w:lang w:eastAsia="zh-CN"/>
        </w:rPr>
        <w:t>（</w:t>
      </w:r>
      <w:r>
        <w:rPr>
          <w:rFonts w:hint="eastAsia" w:ascii="华文仿宋" w:hAnsi="华文仿宋" w:cs="华文仿宋"/>
          <w:color w:val="auto"/>
          <w:highlight w:val="none"/>
          <w:lang w:val="en-US" w:eastAsia="zh-CN"/>
        </w:rPr>
        <w:t>2</w:t>
      </w:r>
      <w:r>
        <w:rPr>
          <w:rFonts w:hint="eastAsia" w:ascii="华文仿宋" w:hAnsi="华文仿宋" w:cs="华文仿宋"/>
          <w:color w:val="auto"/>
          <w:highlight w:val="none"/>
          <w:lang w:eastAsia="zh-CN"/>
        </w:rPr>
        <w:t>）</w:t>
      </w:r>
      <w:r>
        <w:rPr>
          <w:rFonts w:hint="eastAsia" w:ascii="华文仿宋" w:hAnsi="华文仿宋" w:cs="华文仿宋"/>
          <w:color w:val="auto"/>
          <w:highlight w:val="none"/>
        </w:rPr>
        <w:t>其开标前三个月内基本开户银行出具的资信证明</w:t>
      </w:r>
      <w:r>
        <w:rPr>
          <w:rFonts w:hint="eastAsia" w:ascii="华文仿宋" w:hAnsi="华文仿宋" w:cs="华文仿宋"/>
          <w:color w:val="auto"/>
          <w:highlight w:val="none"/>
          <w:lang w:eastAsia="zh-CN"/>
        </w:rPr>
        <w:t>；</w:t>
      </w:r>
    </w:p>
    <w:p w14:paraId="06A26470">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lang w:eastAsia="zh-CN"/>
        </w:rPr>
        <w:t>（</w:t>
      </w:r>
      <w:r>
        <w:rPr>
          <w:rFonts w:hint="eastAsia" w:ascii="华文仿宋" w:hAnsi="华文仿宋" w:cs="华文仿宋"/>
          <w:color w:val="auto"/>
          <w:highlight w:val="none"/>
          <w:lang w:val="en-US" w:eastAsia="zh-CN"/>
        </w:rPr>
        <w:t>3</w:t>
      </w:r>
      <w:r>
        <w:rPr>
          <w:rFonts w:hint="eastAsia" w:ascii="华文仿宋" w:hAnsi="华文仿宋" w:cs="华文仿宋"/>
          <w:color w:val="auto"/>
          <w:highlight w:val="none"/>
          <w:lang w:eastAsia="zh-CN"/>
        </w:rPr>
        <w:t>）</w:t>
      </w:r>
      <w:r>
        <w:rPr>
          <w:rFonts w:hint="eastAsia" w:ascii="华文仿宋" w:hAnsi="华文仿宋" w:cs="华文仿宋"/>
          <w:color w:val="auto"/>
          <w:highlight w:val="none"/>
        </w:rPr>
        <w:t>信用担保机构出具的投标担保函。</w:t>
      </w:r>
    </w:p>
    <w:p w14:paraId="59F69519">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3、社保缴纳证明：提供递交</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截止之日前一年内任意一个月的社会保障资金缴存单据或社保机构开具的社会保险参保缴费情况证明。依法不需要缴纳社会保障资金的</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应提供相关文件证明。</w:t>
      </w:r>
    </w:p>
    <w:p w14:paraId="51B24430">
      <w:pPr>
        <w:widowControl w:val="0"/>
        <w:spacing w:line="500" w:lineRule="exact"/>
        <w:ind w:firstLine="566" w:firstLineChars="200"/>
        <w:rPr>
          <w:rFonts w:hint="eastAsia" w:ascii="华文仿宋" w:hAnsi="华文仿宋" w:eastAsia="华文仿宋" w:cs="华文仿宋"/>
          <w:color w:val="auto"/>
          <w:highlight w:val="none"/>
          <w:lang w:eastAsia="zh-CN"/>
        </w:rPr>
      </w:pPr>
      <w:r>
        <w:rPr>
          <w:rFonts w:hint="eastAsia" w:ascii="华文仿宋" w:hAnsi="华文仿宋" w:cs="华文仿宋"/>
          <w:color w:val="auto"/>
          <w:highlight w:val="none"/>
        </w:rPr>
        <w:t>4、税收缴纳证明：</w:t>
      </w:r>
      <w:r>
        <w:rPr>
          <w:rFonts w:hint="eastAsia" w:ascii="华文仿宋" w:hAnsi="华文仿宋" w:cs="华文仿宋"/>
          <w:color w:val="auto"/>
          <w:highlight w:val="none"/>
          <w:lang w:eastAsia="zh-CN"/>
        </w:rPr>
        <w:t>提供递交响应文件截止之日前一年内任意一个月的依法缴纳税收的完税证明，完税证明应有税务机关或代收机关的公章或业务专用章。依法免税或无须缴纳税收的供应商，应提供相应证明文件。</w:t>
      </w:r>
    </w:p>
    <w:p w14:paraId="6BEF6D77">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5、信用记录：提供《供应商信用记录书面声明函》（按格式填写，提供原件）。经查，</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未被列入“信用中国”网站记录的“失信被执行人”或“重大税收违法案件当事人”名单；不处于“中国政府采购网”记录的“政府采购严重违法失信行为记录名单”中的禁止参加政府采购活动期间。</w:t>
      </w:r>
    </w:p>
    <w:p w14:paraId="38B03FE5">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6、控股管理关系：提供直接控股和管理关系清单。若与其他</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存在单位负责人为同一人或者存在直接控股、管理关系的，则</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无效。</w:t>
      </w:r>
    </w:p>
    <w:p w14:paraId="418A358F">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7、书面声明：提供书面声明，包括声明具有履行合同所必需的设备和专业技术能力；未为本项目提供整体设计、规范编制或者项目管理、监理、检测等服务。</w:t>
      </w:r>
    </w:p>
    <w:p w14:paraId="1198555C">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8、法定代表人授权委托书：法定代表人参加</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的，须提供本人身份证复印件（附在资格证明文件中）；法定代表人授权他人参加</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的，须提供法定代表人授权委托书。</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中凡是需要法定代表人盖章之处，非法人单位的负责人均参照执行。</w:t>
      </w:r>
    </w:p>
    <w:p w14:paraId="15A6BFD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color w:val="auto"/>
          <w:highlight w:val="none"/>
        </w:rPr>
      </w:pPr>
      <w:r>
        <w:rPr>
          <w:rFonts w:hint="eastAsia" w:ascii="华文仿宋" w:hAnsi="华文仿宋" w:cs="华文仿宋"/>
          <w:color w:val="auto"/>
          <w:highlight w:val="none"/>
        </w:rPr>
        <w:t>法人的分支机构参与</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时，除提供《法定代表人授权委托书》外，还须同时提供法人给分支机构出具的授权书。</w:t>
      </w:r>
    </w:p>
    <w:p w14:paraId="1D07771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b/>
          <w:bCs/>
          <w:color w:val="auto"/>
          <w:highlight w:val="none"/>
        </w:rPr>
      </w:pPr>
      <w:r>
        <w:rPr>
          <w:rFonts w:hint="eastAsia" w:ascii="仿宋" w:hAnsi="仿宋" w:eastAsia="华文仿宋" w:cs="华文仿宋"/>
          <w:b/>
          <w:bCs/>
          <w:color w:val="auto"/>
          <w:kern w:val="2"/>
          <w:sz w:val="28"/>
          <w:szCs w:val="28"/>
          <w:highlight w:val="none"/>
          <w:lang w:val="en-US" w:eastAsia="zh-CN" w:bidi="ar-SA"/>
        </w:rPr>
        <w:t>本项目接受联合体投标，不允许分包</w:t>
      </w:r>
      <w:r>
        <w:rPr>
          <w:rFonts w:hint="eastAsia" w:ascii="华文仿宋" w:hAnsi="华文仿宋" w:cs="华文仿宋"/>
          <w:b/>
          <w:bCs/>
          <w:color w:val="auto"/>
          <w:highlight w:val="none"/>
        </w:rPr>
        <w:t>。</w:t>
      </w:r>
    </w:p>
    <w:p w14:paraId="60C853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b/>
          <w:bCs/>
          <w:color w:val="auto"/>
          <w:kern w:val="2"/>
          <w:sz w:val="28"/>
          <w:szCs w:val="28"/>
          <w:highlight w:val="none"/>
          <w:lang w:val="en-US" w:eastAsia="zh-CN" w:bidi="ar-SA"/>
        </w:rPr>
      </w:pPr>
      <w:r>
        <w:rPr>
          <w:rFonts w:hint="eastAsia" w:ascii="仿宋" w:hAnsi="仿宋" w:eastAsia="华文仿宋" w:cs="华文仿宋"/>
          <w:b/>
          <w:bCs/>
          <w:color w:val="auto"/>
          <w:kern w:val="2"/>
          <w:sz w:val="28"/>
          <w:szCs w:val="28"/>
          <w:highlight w:val="none"/>
          <w:lang w:val="en-US" w:eastAsia="zh-CN" w:bidi="ar-SA"/>
        </w:rPr>
        <w:t>以联合体形式参与磋商的，联合体成员</w:t>
      </w:r>
      <w:r>
        <w:rPr>
          <w:rFonts w:hint="eastAsia" w:ascii="仿宋" w:hAnsi="仿宋" w:cs="华文仿宋"/>
          <w:b/>
          <w:bCs/>
          <w:color w:val="auto"/>
          <w:kern w:val="2"/>
          <w:sz w:val="28"/>
          <w:szCs w:val="28"/>
          <w:highlight w:val="none"/>
          <w:lang w:val="en-US" w:eastAsia="zh-CN" w:bidi="ar-SA"/>
        </w:rPr>
        <w:t>总数</w:t>
      </w:r>
      <w:r>
        <w:rPr>
          <w:rFonts w:hint="eastAsia" w:ascii="仿宋" w:hAnsi="仿宋" w:eastAsia="华文仿宋" w:cs="华文仿宋"/>
          <w:b/>
          <w:bCs/>
          <w:color w:val="auto"/>
          <w:kern w:val="2"/>
          <w:sz w:val="28"/>
          <w:szCs w:val="28"/>
          <w:highlight w:val="none"/>
          <w:lang w:val="en-US" w:eastAsia="zh-CN" w:bidi="ar-SA"/>
        </w:rPr>
        <w:t>不得超过</w:t>
      </w:r>
      <w:r>
        <w:rPr>
          <w:rFonts w:hint="eastAsia" w:ascii="仿宋" w:hAnsi="仿宋" w:cs="华文仿宋"/>
          <w:b/>
          <w:bCs/>
          <w:color w:val="auto"/>
          <w:kern w:val="2"/>
          <w:sz w:val="28"/>
          <w:szCs w:val="28"/>
          <w:highlight w:val="none"/>
          <w:lang w:val="en-US" w:eastAsia="zh-CN" w:bidi="ar-SA"/>
        </w:rPr>
        <w:t>三</w:t>
      </w:r>
      <w:r>
        <w:rPr>
          <w:rFonts w:hint="eastAsia" w:ascii="仿宋" w:hAnsi="仿宋" w:eastAsia="华文仿宋" w:cs="华文仿宋"/>
          <w:b/>
          <w:bCs/>
          <w:color w:val="auto"/>
          <w:kern w:val="2"/>
          <w:sz w:val="28"/>
          <w:szCs w:val="28"/>
          <w:highlight w:val="none"/>
          <w:lang w:val="en-US" w:eastAsia="zh-CN" w:bidi="ar-SA"/>
        </w:rPr>
        <w:t>家</w:t>
      </w:r>
      <w:r>
        <w:rPr>
          <w:rFonts w:hint="eastAsia" w:ascii="仿宋" w:hAnsi="仿宋" w:cs="华文仿宋"/>
          <w:b/>
          <w:bCs/>
          <w:color w:val="auto"/>
          <w:kern w:val="2"/>
          <w:sz w:val="28"/>
          <w:szCs w:val="28"/>
          <w:highlight w:val="none"/>
          <w:lang w:val="en-US" w:eastAsia="zh-CN" w:bidi="ar-SA"/>
        </w:rPr>
        <w:t>，</w:t>
      </w:r>
      <w:r>
        <w:rPr>
          <w:rFonts w:hint="eastAsia" w:ascii="仿宋" w:hAnsi="仿宋" w:eastAsia="华文仿宋" w:cs="华文仿宋"/>
          <w:b/>
          <w:bCs/>
          <w:color w:val="auto"/>
          <w:kern w:val="2"/>
          <w:sz w:val="28"/>
          <w:szCs w:val="28"/>
          <w:highlight w:val="none"/>
          <w:lang w:val="en-US" w:eastAsia="zh-CN" w:bidi="ar-SA"/>
        </w:rPr>
        <w:t>联合体须提交《联合体协议书》，并在协议中明确联合体的牵头单位</w:t>
      </w:r>
      <w:r>
        <w:rPr>
          <w:rFonts w:hint="eastAsia" w:ascii="仿宋" w:hAnsi="仿宋" w:cs="华文仿宋"/>
          <w:b/>
          <w:bCs/>
          <w:color w:val="auto"/>
          <w:highlight w:val="none"/>
          <w:lang w:eastAsia="zh-CN"/>
        </w:rPr>
        <w:t>（</w:t>
      </w:r>
      <w:r>
        <w:rPr>
          <w:rFonts w:hint="eastAsia" w:ascii="仿宋" w:hAnsi="仿宋" w:cs="华文仿宋"/>
          <w:b/>
          <w:bCs/>
          <w:color w:val="auto"/>
          <w:highlight w:val="none"/>
        </w:rPr>
        <w:t>联合体参加</w:t>
      </w:r>
      <w:r>
        <w:rPr>
          <w:rFonts w:hint="eastAsia" w:ascii="仿宋" w:hAnsi="仿宋" w:cs="华文仿宋"/>
          <w:b/>
          <w:bCs/>
          <w:color w:val="auto"/>
          <w:highlight w:val="none"/>
          <w:lang w:eastAsia="zh-CN"/>
        </w:rPr>
        <w:t>磋商</w:t>
      </w:r>
      <w:r>
        <w:rPr>
          <w:rFonts w:hint="eastAsia" w:ascii="仿宋" w:hAnsi="仿宋" w:cs="华文仿宋"/>
          <w:b/>
          <w:bCs/>
          <w:color w:val="auto"/>
          <w:highlight w:val="none"/>
        </w:rPr>
        <w:t>的，由</w:t>
      </w:r>
      <w:r>
        <w:rPr>
          <w:rFonts w:hint="eastAsia" w:ascii="仿宋" w:hAnsi="仿宋" w:cs="华文仿宋"/>
          <w:b/>
          <w:bCs/>
          <w:color w:val="auto"/>
          <w:highlight w:val="none"/>
          <w:lang w:eastAsia="zh-CN"/>
        </w:rPr>
        <w:t>实施方案编制服务供应商</w:t>
      </w:r>
      <w:r>
        <w:rPr>
          <w:rFonts w:hint="eastAsia" w:ascii="仿宋" w:hAnsi="仿宋" w:cs="华文仿宋"/>
          <w:b/>
          <w:bCs/>
          <w:color w:val="auto"/>
          <w:highlight w:val="none"/>
        </w:rPr>
        <w:t>作为联合体牵头人</w:t>
      </w:r>
      <w:r>
        <w:rPr>
          <w:rFonts w:hint="eastAsia" w:ascii="仿宋" w:hAnsi="仿宋" w:cs="华文仿宋"/>
          <w:b/>
          <w:bCs/>
          <w:color w:val="auto"/>
          <w:highlight w:val="none"/>
          <w:lang w:eastAsia="zh-CN"/>
        </w:rPr>
        <w:t>）</w:t>
      </w:r>
      <w:r>
        <w:rPr>
          <w:rFonts w:hint="eastAsia" w:ascii="仿宋" w:hAnsi="仿宋" w:eastAsia="华文仿宋" w:cs="华文仿宋"/>
          <w:b/>
          <w:bCs/>
          <w:color w:val="auto"/>
          <w:kern w:val="2"/>
          <w:sz w:val="28"/>
          <w:szCs w:val="28"/>
          <w:highlight w:val="none"/>
          <w:lang w:val="en-US" w:eastAsia="zh-CN" w:bidi="ar-SA"/>
        </w:rPr>
        <w:t>和联合体成员单位的责任和权利；联合体各成员签订《联合体协议书》后，不得再以自己名义单独参与</w:t>
      </w:r>
      <w:r>
        <w:rPr>
          <w:rFonts w:hint="eastAsia" w:ascii="仿宋" w:hAnsi="仿宋" w:cs="华文仿宋"/>
          <w:b/>
          <w:bCs/>
          <w:color w:val="auto"/>
          <w:kern w:val="2"/>
          <w:sz w:val="28"/>
          <w:szCs w:val="28"/>
          <w:highlight w:val="none"/>
          <w:lang w:val="en-US" w:eastAsia="zh-CN" w:bidi="ar-SA"/>
        </w:rPr>
        <w:t>磋商</w:t>
      </w:r>
      <w:r>
        <w:rPr>
          <w:rFonts w:hint="eastAsia" w:ascii="仿宋" w:hAnsi="仿宋" w:eastAsia="华文仿宋" w:cs="华文仿宋"/>
          <w:b/>
          <w:bCs/>
          <w:color w:val="auto"/>
          <w:kern w:val="2"/>
          <w:sz w:val="28"/>
          <w:szCs w:val="28"/>
          <w:highlight w:val="none"/>
          <w:lang w:val="en-US" w:eastAsia="zh-CN" w:bidi="ar-SA"/>
        </w:rPr>
        <w:t>，也不得组成新的联合体参与</w:t>
      </w:r>
      <w:r>
        <w:rPr>
          <w:rFonts w:hint="eastAsia" w:ascii="仿宋" w:hAnsi="仿宋" w:cs="华文仿宋"/>
          <w:b/>
          <w:bCs/>
          <w:color w:val="auto"/>
          <w:kern w:val="2"/>
          <w:sz w:val="28"/>
          <w:szCs w:val="28"/>
          <w:highlight w:val="none"/>
          <w:lang w:val="en-US" w:eastAsia="zh-CN" w:bidi="ar-SA"/>
        </w:rPr>
        <w:t>磋商</w:t>
      </w:r>
      <w:r>
        <w:rPr>
          <w:rFonts w:hint="eastAsia" w:ascii="仿宋" w:hAnsi="仿宋" w:eastAsia="华文仿宋" w:cs="华文仿宋"/>
          <w:b/>
          <w:bCs/>
          <w:color w:val="auto"/>
          <w:kern w:val="2"/>
          <w:sz w:val="28"/>
          <w:szCs w:val="28"/>
          <w:highlight w:val="none"/>
          <w:lang w:val="en-US" w:eastAsia="zh-CN" w:bidi="ar-SA"/>
        </w:rPr>
        <w:t>，否则按无效</w:t>
      </w:r>
      <w:r>
        <w:rPr>
          <w:rFonts w:hint="eastAsia" w:ascii="仿宋" w:hAnsi="仿宋" w:cs="华文仿宋"/>
          <w:b/>
          <w:bCs/>
          <w:color w:val="auto"/>
          <w:kern w:val="2"/>
          <w:sz w:val="28"/>
          <w:szCs w:val="28"/>
          <w:highlight w:val="none"/>
          <w:lang w:val="en-US" w:eastAsia="zh-CN" w:bidi="ar-SA"/>
        </w:rPr>
        <w:t>响应</w:t>
      </w:r>
      <w:r>
        <w:rPr>
          <w:rFonts w:hint="eastAsia" w:ascii="仿宋" w:hAnsi="仿宋" w:eastAsia="华文仿宋" w:cs="华文仿宋"/>
          <w:b/>
          <w:bCs/>
          <w:color w:val="auto"/>
          <w:kern w:val="2"/>
          <w:sz w:val="28"/>
          <w:szCs w:val="28"/>
          <w:highlight w:val="none"/>
          <w:lang w:val="en-US" w:eastAsia="zh-CN" w:bidi="ar-SA"/>
        </w:rPr>
        <w:t>处理</w:t>
      </w:r>
      <w:r>
        <w:rPr>
          <w:rFonts w:hint="eastAsia" w:ascii="仿宋" w:hAnsi="仿宋" w:cs="华文仿宋"/>
          <w:b/>
          <w:bCs/>
          <w:color w:val="auto"/>
          <w:kern w:val="2"/>
          <w:sz w:val="28"/>
          <w:szCs w:val="28"/>
          <w:highlight w:val="none"/>
          <w:lang w:val="en-US" w:eastAsia="zh-CN" w:bidi="ar-SA"/>
        </w:rPr>
        <w:t>。</w:t>
      </w:r>
    </w:p>
    <w:p w14:paraId="5D22100F">
      <w:pPr>
        <w:widowControl w:val="0"/>
        <w:spacing w:line="360" w:lineRule="exact"/>
        <w:ind w:firstLine="426"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备注：1、以上资格要求均为必备资格，需提供相关证明文件并加盖</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公章（如相关证明材料由第三方出具，应有第三方公章），缺少其中任何一项，其</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视为无效文件</w:t>
      </w:r>
      <w:r>
        <w:rPr>
          <w:rFonts w:hint="eastAsia" w:ascii="宋体" w:hAnsi="宋体" w:eastAsia="宋体" w:cs="宋体"/>
          <w:b/>
          <w:bCs/>
          <w:color w:val="auto"/>
          <w:sz w:val="21"/>
          <w:szCs w:val="21"/>
          <w:highlight w:val="none"/>
          <w:lang w:eastAsia="zh-CN"/>
        </w:rPr>
        <w:t>（以联合体形式参与磋商的，须提供《联合体协议书》及联合体各方的上述资质证明材料）</w:t>
      </w:r>
      <w:r>
        <w:rPr>
          <w:rFonts w:hint="eastAsia" w:ascii="宋体" w:hAnsi="宋体" w:eastAsia="宋体" w:cs="宋体"/>
          <w:b/>
          <w:bCs/>
          <w:color w:val="auto"/>
          <w:sz w:val="21"/>
          <w:szCs w:val="21"/>
          <w:highlight w:val="none"/>
        </w:rPr>
        <w:t>。</w:t>
      </w:r>
    </w:p>
    <w:p w14:paraId="3D8C4241">
      <w:pPr>
        <w:widowControl w:val="0"/>
        <w:spacing w:line="36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2、《供应商信用记录书面声明函》、《法定代表人授权委托书》、《书面声明》、《残疾人福利性单位声明函》、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联合体协议书</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不分包投标声明》</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章第一部分给定的格式填写。</w:t>
      </w:r>
    </w:p>
    <w:p w14:paraId="2A865740">
      <w:pPr>
        <w:widowControl w:val="0"/>
        <w:spacing w:line="36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3、法人的分支机构参与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中应附法人给分支机构出具的授权书。授权书附在《法定代表人授权委托书》后，如无授权，将被视为无效文件。法人只能授权一家分支机构参与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，且不能与分支机构同时参与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7AAE73A7">
      <w:pPr>
        <w:widowControl w:val="0"/>
        <w:spacing w:line="360" w:lineRule="exact"/>
        <w:ind w:firstLine="426" w:firstLineChars="200"/>
        <w:rPr>
          <w:rFonts w:hint="eastAsia" w:ascii="华文仿宋" w:hAnsi="华文仿宋" w:cs="华文仿宋"/>
          <w:color w:val="auto"/>
          <w:kern w:val="2"/>
          <w:sz w:val="28"/>
          <w:szCs w:val="28"/>
          <w:highlight w:val="none"/>
          <w:lang w:val="en-US" w:eastAsia="zh-CN"/>
        </w:rPr>
      </w:pPr>
      <w:r>
        <w:rPr>
          <w:rFonts w:hint="eastAsia" w:ascii="宋体" w:hAnsi="宋体" w:eastAsia="宋体" w:cs="宋体"/>
          <w:color w:val="auto"/>
          <w:sz w:val="21"/>
          <w:szCs w:val="21"/>
          <w:highlight w:val="none"/>
        </w:rPr>
        <w:t>4、事业单位法人参与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可不提供财务状况报告和社会保障资金缴纳证明及税收缴纳证明。</w:t>
      </w:r>
    </w:p>
    <w:p w14:paraId="48A4D4E3">
      <w:pPr>
        <w:widowControl w:val="0"/>
        <w:spacing w:line="500" w:lineRule="exact"/>
        <w:ind w:firstLine="566" w:firstLineChars="200"/>
        <w:rPr>
          <w:rFonts w:cs="华文仿宋"/>
          <w:b/>
          <w:bCs/>
          <w:color w:val="auto"/>
          <w:highlight w:val="none"/>
        </w:rPr>
      </w:pPr>
      <w:r>
        <w:rPr>
          <w:rFonts w:hint="eastAsia" w:ascii="华文仿宋" w:hAnsi="华文仿宋" w:cs="华文仿宋"/>
          <w:b/>
          <w:bCs/>
          <w:color w:val="auto"/>
          <w:highlight w:val="none"/>
        </w:rPr>
        <w:t>十一</w:t>
      </w:r>
      <w:r>
        <w:rPr>
          <w:rFonts w:hint="eastAsia" w:cs="华文仿宋"/>
          <w:b/>
          <w:bCs/>
          <w:color w:val="auto"/>
          <w:highlight w:val="none"/>
        </w:rPr>
        <w:t>、执行的其他政府采购政策</w:t>
      </w:r>
    </w:p>
    <w:p w14:paraId="654CBC84">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、《关于在政府采购活动中查询及使用信用记录有关问题的通知》（财库</w:t>
      </w:r>
      <w:r>
        <w:rPr>
          <w:rFonts w:hint="eastAsia" w:ascii="仿宋" w:hAnsi="仿宋" w:eastAsia="仿宋" w:cs="仿宋"/>
          <w:color w:val="auto"/>
          <w:highlight w:val="none"/>
        </w:rPr>
        <w:t>〔</w:t>
      </w:r>
      <w:r>
        <w:rPr>
          <w:rFonts w:ascii="仿宋" w:hAnsi="仿宋" w:eastAsia="仿宋" w:cs="仿宋"/>
          <w:color w:val="auto"/>
          <w:highlight w:val="none"/>
        </w:rPr>
        <w:t>2016</w:t>
      </w:r>
      <w:r>
        <w:rPr>
          <w:rFonts w:hint="eastAsia" w:ascii="仿宋" w:hAnsi="仿宋" w:eastAsia="仿宋" w:cs="仿宋"/>
          <w:color w:val="auto"/>
          <w:highlight w:val="none"/>
        </w:rPr>
        <w:t>〕</w:t>
      </w:r>
      <w:r>
        <w:rPr>
          <w:rFonts w:ascii="仿宋" w:hAnsi="仿宋" w:eastAsia="仿宋" w:cs="仿宋"/>
          <w:color w:val="auto"/>
          <w:highlight w:val="none"/>
        </w:rPr>
        <w:t>125</w:t>
      </w:r>
      <w:r>
        <w:rPr>
          <w:rFonts w:hint="eastAsia" w:ascii="华文仿宋" w:hAnsi="华文仿宋" w:cs="华文仿宋"/>
          <w:color w:val="auto"/>
          <w:highlight w:val="none"/>
        </w:rPr>
        <w:t>号）。</w:t>
      </w:r>
    </w:p>
    <w:p w14:paraId="660C193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、《政府采购促进</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发展管理办法》（财库</w:t>
      </w:r>
      <w:r>
        <w:rPr>
          <w:rFonts w:hint="eastAsia" w:ascii="仿宋" w:hAnsi="仿宋" w:eastAsia="仿宋" w:cs="仿宋"/>
          <w:color w:val="auto"/>
          <w:highlight w:val="none"/>
        </w:rPr>
        <w:t>〔</w:t>
      </w:r>
      <w:r>
        <w:rPr>
          <w:rFonts w:ascii="仿宋" w:hAnsi="仿宋" w:eastAsia="仿宋" w:cs="仿宋"/>
          <w:color w:val="auto"/>
          <w:highlight w:val="none"/>
        </w:rPr>
        <w:t>20</w:t>
      </w:r>
      <w:r>
        <w:rPr>
          <w:rFonts w:hint="eastAsia" w:ascii="仿宋" w:hAnsi="仿宋" w:eastAsia="仿宋" w:cs="仿宋"/>
          <w:color w:val="auto"/>
          <w:highlight w:val="none"/>
        </w:rPr>
        <w:t>20〕46</w:t>
      </w:r>
      <w:r>
        <w:rPr>
          <w:rFonts w:hint="eastAsia" w:ascii="华文仿宋" w:hAnsi="华文仿宋" w:cs="华文仿宋"/>
          <w:color w:val="auto"/>
          <w:highlight w:val="none"/>
        </w:rPr>
        <w:t>号）、《关于政府采购支持</w:t>
      </w:r>
      <w:r>
        <w:rPr>
          <w:rFonts w:hint="eastAsia" w:ascii="华文仿宋" w:hAnsi="华文仿宋" w:cs="华文仿宋"/>
          <w:color w:val="auto"/>
          <w:highlight w:val="none"/>
          <w:lang w:eastAsia="zh-CN"/>
        </w:rPr>
        <w:t>监狱企业</w:t>
      </w:r>
      <w:r>
        <w:rPr>
          <w:rFonts w:hint="eastAsia" w:ascii="华文仿宋" w:hAnsi="华文仿宋" w:cs="华文仿宋"/>
          <w:color w:val="auto"/>
          <w:highlight w:val="none"/>
        </w:rPr>
        <w:t>发展有关问题的通知》（财库</w:t>
      </w:r>
      <w:r>
        <w:rPr>
          <w:rFonts w:hint="eastAsia" w:ascii="仿宋" w:hAnsi="仿宋" w:eastAsia="仿宋" w:cs="仿宋"/>
          <w:color w:val="auto"/>
          <w:highlight w:val="none"/>
        </w:rPr>
        <w:t>〔</w:t>
      </w:r>
      <w:r>
        <w:rPr>
          <w:rFonts w:ascii="仿宋" w:hAnsi="仿宋" w:eastAsia="仿宋" w:cs="仿宋"/>
          <w:color w:val="auto"/>
          <w:highlight w:val="none"/>
        </w:rPr>
        <w:t>2014</w:t>
      </w:r>
      <w:r>
        <w:rPr>
          <w:rFonts w:hint="eastAsia" w:ascii="仿宋" w:hAnsi="仿宋" w:eastAsia="仿宋" w:cs="仿宋"/>
          <w:color w:val="auto"/>
          <w:highlight w:val="none"/>
        </w:rPr>
        <w:t>〕</w:t>
      </w:r>
      <w:r>
        <w:rPr>
          <w:rFonts w:ascii="仿宋" w:hAnsi="仿宋" w:eastAsia="仿宋" w:cs="仿宋"/>
          <w:color w:val="auto"/>
          <w:highlight w:val="none"/>
        </w:rPr>
        <w:t>68</w:t>
      </w:r>
      <w:r>
        <w:rPr>
          <w:rFonts w:hint="eastAsia" w:ascii="华文仿宋" w:hAnsi="华文仿宋" w:cs="华文仿宋"/>
          <w:color w:val="auto"/>
          <w:highlight w:val="none"/>
        </w:rPr>
        <w:t>号）以及《关于促进残疾人就业政府采购政策的通知》（财库</w:t>
      </w:r>
      <w:r>
        <w:rPr>
          <w:rFonts w:hint="eastAsia" w:ascii="仿宋" w:hAnsi="仿宋" w:eastAsia="仿宋" w:cs="仿宋"/>
          <w:color w:val="auto"/>
          <w:highlight w:val="none"/>
        </w:rPr>
        <w:t>〔</w:t>
      </w:r>
      <w:r>
        <w:rPr>
          <w:rFonts w:ascii="仿宋" w:hAnsi="仿宋" w:eastAsia="仿宋" w:cs="仿宋"/>
          <w:color w:val="auto"/>
          <w:highlight w:val="none"/>
        </w:rPr>
        <w:t>2017</w:t>
      </w:r>
      <w:r>
        <w:rPr>
          <w:rFonts w:hint="eastAsia" w:ascii="仿宋" w:hAnsi="仿宋" w:eastAsia="仿宋" w:cs="仿宋"/>
          <w:color w:val="auto"/>
          <w:highlight w:val="none"/>
        </w:rPr>
        <w:t>〕</w:t>
      </w:r>
      <w:r>
        <w:rPr>
          <w:rFonts w:ascii="仿宋" w:hAnsi="仿宋" w:eastAsia="仿宋" w:cs="仿宋"/>
          <w:color w:val="auto"/>
          <w:highlight w:val="none"/>
        </w:rPr>
        <w:t>141</w:t>
      </w:r>
      <w:r>
        <w:rPr>
          <w:rFonts w:hint="eastAsia" w:ascii="华文仿宋" w:hAnsi="华文仿宋" w:cs="华文仿宋"/>
          <w:color w:val="auto"/>
          <w:highlight w:val="none"/>
        </w:rPr>
        <w:t>号）。</w:t>
      </w:r>
    </w:p>
    <w:p w14:paraId="4907C836">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ascii="华文仿宋" w:hAnsi="华文仿宋" w:cs="华文仿宋"/>
          <w:color w:val="auto"/>
          <w:highlight w:val="none"/>
        </w:rPr>
        <w:t>3</w:t>
      </w:r>
      <w:r>
        <w:rPr>
          <w:rFonts w:hint="eastAsia" w:ascii="华文仿宋" w:hAnsi="华文仿宋" w:cs="华文仿宋"/>
          <w:color w:val="auto"/>
          <w:highlight w:val="none"/>
        </w:rPr>
        <w:t>、国务院办公厅《关于建立政府强制采购节能产品制度的通知》（国办发</w:t>
      </w:r>
      <w:r>
        <w:rPr>
          <w:rFonts w:hint="eastAsia" w:ascii="仿宋" w:hAnsi="仿宋" w:eastAsia="仿宋" w:cs="仿宋"/>
          <w:color w:val="auto"/>
          <w:highlight w:val="none"/>
        </w:rPr>
        <w:t>〔</w:t>
      </w:r>
      <w:r>
        <w:rPr>
          <w:rFonts w:ascii="仿宋" w:hAnsi="仿宋" w:eastAsia="仿宋" w:cs="仿宋"/>
          <w:color w:val="auto"/>
          <w:highlight w:val="none"/>
        </w:rPr>
        <w:t>2007</w:t>
      </w:r>
      <w:r>
        <w:rPr>
          <w:rFonts w:hint="eastAsia" w:ascii="仿宋" w:hAnsi="仿宋" w:eastAsia="仿宋" w:cs="仿宋"/>
          <w:color w:val="auto"/>
          <w:highlight w:val="none"/>
        </w:rPr>
        <w:t>〕</w:t>
      </w:r>
      <w:r>
        <w:rPr>
          <w:rFonts w:ascii="仿宋" w:hAnsi="仿宋" w:eastAsia="仿宋" w:cs="仿宋"/>
          <w:color w:val="auto"/>
          <w:highlight w:val="none"/>
        </w:rPr>
        <w:t>51</w:t>
      </w:r>
      <w:r>
        <w:rPr>
          <w:rFonts w:hint="eastAsia" w:ascii="华文仿宋" w:hAnsi="华文仿宋" w:cs="华文仿宋"/>
          <w:color w:val="auto"/>
          <w:highlight w:val="none"/>
        </w:rPr>
        <w:t>号）。财政部、国家发改委、生态环境部、市场监管总局联合印发《关于调整优化节能产品、环境标志产品政府采购执行机制的通知》（财库</w:t>
      </w:r>
      <w:r>
        <w:rPr>
          <w:rFonts w:hint="eastAsia" w:ascii="仿宋" w:hAnsi="仿宋" w:eastAsia="仿宋" w:cs="仿宋"/>
          <w:color w:val="auto"/>
          <w:highlight w:val="none"/>
        </w:rPr>
        <w:t>〔2019〕9</w:t>
      </w:r>
      <w:r>
        <w:rPr>
          <w:rFonts w:hint="eastAsia" w:ascii="华文仿宋" w:hAnsi="华文仿宋" w:cs="华文仿宋"/>
          <w:color w:val="auto"/>
          <w:highlight w:val="none"/>
        </w:rPr>
        <w:t>号）。</w:t>
      </w:r>
    </w:p>
    <w:p w14:paraId="3EF0182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ascii="华文仿宋" w:hAnsi="华文仿宋" w:cs="华文仿宋"/>
          <w:color w:val="auto"/>
          <w:highlight w:val="none"/>
        </w:rPr>
        <w:t>4</w:t>
      </w:r>
      <w:r>
        <w:rPr>
          <w:rFonts w:hint="eastAsia" w:ascii="华文仿宋" w:hAnsi="华文仿宋" w:cs="华文仿宋"/>
          <w:color w:val="auto"/>
          <w:highlight w:val="none"/>
        </w:rPr>
        <w:t>、《财政部 农业农村部 国家乡村振兴局关于运用政府采购政策支持乡村产业振兴的通知》（财库〔</w:t>
      </w:r>
      <w:r>
        <w:rPr>
          <w:rFonts w:hint="eastAsia" w:ascii="仿宋" w:hAnsi="仿宋" w:eastAsia="仿宋" w:cs="仿宋"/>
          <w:color w:val="auto"/>
          <w:highlight w:val="none"/>
        </w:rPr>
        <w:t>2021〕19</w:t>
      </w:r>
      <w:r>
        <w:rPr>
          <w:rFonts w:hint="eastAsia" w:ascii="华文仿宋" w:hAnsi="华文仿宋" w:cs="华文仿宋"/>
          <w:color w:val="auto"/>
          <w:highlight w:val="none"/>
        </w:rPr>
        <w:t>号）、《财政部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color w:val="auto"/>
          <w:highlight w:val="none"/>
        </w:rPr>
        <w:t>〔2021</w:t>
      </w:r>
      <w:r>
        <w:rPr>
          <w:rFonts w:hint="eastAsia" w:ascii="华文仿宋" w:hAnsi="华文仿宋" w:cs="华文仿宋"/>
          <w:color w:val="auto"/>
          <w:highlight w:val="none"/>
        </w:rPr>
        <w:t>〕</w:t>
      </w:r>
      <w:r>
        <w:rPr>
          <w:rFonts w:hint="eastAsia" w:ascii="仿宋" w:hAnsi="仿宋" w:eastAsia="仿宋" w:cs="仿宋"/>
          <w:color w:val="auto"/>
          <w:highlight w:val="none"/>
        </w:rPr>
        <w:t>20</w:t>
      </w:r>
      <w:r>
        <w:rPr>
          <w:rFonts w:hint="eastAsia" w:ascii="华文仿宋" w:hAnsi="华文仿宋" w:cs="华文仿宋"/>
          <w:color w:val="auto"/>
          <w:highlight w:val="none"/>
        </w:rPr>
        <w:t>号）。</w:t>
      </w:r>
    </w:p>
    <w:p w14:paraId="692838E9">
      <w:pPr>
        <w:pStyle w:val="3"/>
        <w:widowControl w:val="0"/>
        <w:spacing w:afterLines="0" w:line="500" w:lineRule="exact"/>
        <w:ind w:firstLine="566" w:firstLineChars="200"/>
        <w:rPr>
          <w:rFonts w:ascii="华文仿宋" w:hAnsi="华文仿宋" w:cs="华文仿宋"/>
          <w:color w:val="auto"/>
          <w:sz w:val="28"/>
          <w:szCs w:val="28"/>
          <w:highlight w:val="none"/>
        </w:rPr>
      </w:pPr>
      <w:r>
        <w:rPr>
          <w:rFonts w:hint="eastAsia" w:ascii="华文仿宋" w:hAnsi="华文仿宋" w:cs="华文仿宋"/>
          <w:color w:val="auto"/>
          <w:sz w:val="28"/>
          <w:szCs w:val="28"/>
          <w:highlight w:val="none"/>
        </w:rPr>
        <w:t>5、《陕西省财政厅关于加快推进我省</w:t>
      </w:r>
      <w:r>
        <w:rPr>
          <w:rFonts w:hint="eastAsia" w:ascii="华文仿宋" w:hAnsi="华文仿宋" w:cs="华文仿宋"/>
          <w:color w:val="auto"/>
          <w:sz w:val="28"/>
          <w:szCs w:val="28"/>
          <w:highlight w:val="none"/>
          <w:lang w:eastAsia="zh-CN"/>
        </w:rPr>
        <w:t>中小企业</w:t>
      </w:r>
      <w:r>
        <w:rPr>
          <w:rFonts w:hint="eastAsia" w:ascii="华文仿宋" w:hAnsi="华文仿宋" w:cs="华文仿宋"/>
          <w:color w:val="auto"/>
          <w:sz w:val="28"/>
          <w:szCs w:val="28"/>
          <w:highlight w:val="none"/>
        </w:rPr>
        <w:t>政府采购信用融资工作的通知》（陕财办采〔</w:t>
      </w:r>
      <w:r>
        <w:rPr>
          <w:rFonts w:hint="eastAsia" w:ascii="仿宋" w:hAnsi="仿宋" w:eastAsia="仿宋" w:cs="仿宋"/>
          <w:color w:val="auto"/>
          <w:sz w:val="28"/>
          <w:szCs w:val="28"/>
          <w:highlight w:val="none"/>
        </w:rPr>
        <w:t>2020〕15</w:t>
      </w:r>
      <w:r>
        <w:rPr>
          <w:rFonts w:hint="eastAsia" w:ascii="华文仿宋" w:hAnsi="华文仿宋" w:cs="华文仿宋"/>
          <w:color w:val="auto"/>
          <w:sz w:val="28"/>
          <w:szCs w:val="28"/>
          <w:highlight w:val="none"/>
        </w:rPr>
        <w:t>号）、陕西省财政厅关于印发《陕西省</w:t>
      </w:r>
      <w:r>
        <w:rPr>
          <w:rFonts w:hint="eastAsia" w:ascii="华文仿宋" w:hAnsi="华文仿宋" w:cs="华文仿宋"/>
          <w:color w:val="auto"/>
          <w:sz w:val="28"/>
          <w:szCs w:val="28"/>
          <w:highlight w:val="none"/>
          <w:lang w:eastAsia="zh-CN"/>
        </w:rPr>
        <w:t>中小企业</w:t>
      </w:r>
      <w:r>
        <w:rPr>
          <w:rFonts w:hint="eastAsia" w:ascii="华文仿宋" w:hAnsi="华文仿宋" w:cs="华文仿宋"/>
          <w:color w:val="auto"/>
          <w:sz w:val="28"/>
          <w:szCs w:val="28"/>
          <w:highlight w:val="none"/>
        </w:rPr>
        <w:t>政府采购信用融资办法》（陕财办采〔</w:t>
      </w:r>
      <w:r>
        <w:rPr>
          <w:rFonts w:hint="eastAsia" w:ascii="仿宋" w:hAnsi="仿宋" w:eastAsia="仿宋" w:cs="仿宋"/>
          <w:color w:val="auto"/>
          <w:sz w:val="28"/>
          <w:szCs w:val="28"/>
          <w:highlight w:val="none"/>
        </w:rPr>
        <w:t>2018〕23</w:t>
      </w:r>
      <w:r>
        <w:rPr>
          <w:rFonts w:hint="eastAsia" w:ascii="华文仿宋" w:hAnsi="华文仿宋" w:cs="华文仿宋"/>
          <w:color w:val="auto"/>
          <w:sz w:val="28"/>
          <w:szCs w:val="28"/>
          <w:highlight w:val="none"/>
        </w:rPr>
        <w:t>号）。</w:t>
      </w:r>
    </w:p>
    <w:p w14:paraId="5BD50DF0">
      <w:pPr>
        <w:widowControl w:val="0"/>
        <w:spacing w:line="500" w:lineRule="exact"/>
        <w:ind w:firstLine="566" w:firstLineChars="200"/>
        <w:rPr>
          <w:color w:val="auto"/>
          <w:highlight w:val="none"/>
        </w:rPr>
      </w:pPr>
      <w:r>
        <w:rPr>
          <w:rFonts w:hint="eastAsia" w:ascii="华文仿宋" w:hAnsi="华文仿宋" w:cs="华文仿宋"/>
          <w:color w:val="auto"/>
          <w:highlight w:val="none"/>
        </w:rPr>
        <w:t>6、详见《</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须知》中“落实的政府采购政策”有关内容。</w:t>
      </w:r>
    </w:p>
    <w:p w14:paraId="0278DB23">
      <w:pPr>
        <w:widowControl w:val="0"/>
        <w:spacing w:line="500" w:lineRule="exact"/>
        <w:ind w:firstLine="566" w:firstLineChars="200"/>
        <w:rPr>
          <w:rFonts w:cs="Times New Roman"/>
          <w:b/>
          <w:bCs/>
          <w:color w:val="auto"/>
          <w:highlight w:val="none"/>
        </w:rPr>
      </w:pPr>
      <w:r>
        <w:rPr>
          <w:rFonts w:hint="eastAsia" w:cs="华文仿宋"/>
          <w:b/>
          <w:bCs/>
          <w:color w:val="auto"/>
          <w:highlight w:val="none"/>
        </w:rPr>
        <w:t>十二、</w:t>
      </w:r>
      <w:r>
        <w:rPr>
          <w:rFonts w:hint="eastAsia" w:cs="华文仿宋"/>
          <w:b/>
          <w:bCs/>
          <w:color w:val="auto"/>
          <w:highlight w:val="none"/>
          <w:lang w:eastAsia="zh-CN"/>
        </w:rPr>
        <w:t>磋商文件获取</w:t>
      </w:r>
      <w:r>
        <w:rPr>
          <w:rFonts w:hint="eastAsia" w:cs="华文仿宋"/>
          <w:b/>
          <w:bCs/>
          <w:color w:val="auto"/>
          <w:highlight w:val="none"/>
        </w:rPr>
        <w:t>时间及方式</w:t>
      </w:r>
    </w:p>
    <w:p w14:paraId="44FF0564">
      <w:pPr>
        <w:widowControl w:val="0"/>
        <w:wordWrap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１、获取方式：</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可登录全国公共资源交易平台（陕西省）（</w:t>
      </w:r>
      <w:r>
        <w:rPr>
          <w:rFonts w:hint="eastAsia" w:ascii="仿宋" w:hAnsi="仿宋" w:eastAsia="仿宋" w:cs="仿宋"/>
          <w:color w:val="auto"/>
          <w:highlight w:val="none"/>
        </w:rPr>
        <w:t>http://www.sxggzyjy.cn/</w:t>
      </w:r>
      <w:r>
        <w:rPr>
          <w:rFonts w:hint="eastAsia" w:ascii="华文仿宋" w:hAnsi="华文仿宋" w:cs="华文仿宋"/>
          <w:color w:val="auto"/>
          <w:highlight w:val="none"/>
        </w:rPr>
        <w:t>），选择“电子交易平台</w:t>
      </w:r>
      <w:r>
        <w:rPr>
          <w:rFonts w:ascii="华文仿宋" w:hAnsi="华文仿宋" w:cs="华文仿宋"/>
          <w:color w:val="auto"/>
          <w:highlight w:val="none"/>
        </w:rPr>
        <w:t>—</w:t>
      </w:r>
      <w:r>
        <w:rPr>
          <w:rFonts w:hint="eastAsia" w:ascii="华文仿宋" w:hAnsi="华文仿宋" w:cs="华文仿宋"/>
          <w:color w:val="auto"/>
          <w:highlight w:val="none"/>
        </w:rPr>
        <w:t>陕西政府采购交易系统</w:t>
      </w:r>
      <w:r>
        <w:rPr>
          <w:rFonts w:ascii="华文仿宋" w:hAnsi="华文仿宋" w:cs="华文仿宋"/>
          <w:color w:val="auto"/>
          <w:highlight w:val="none"/>
        </w:rPr>
        <w: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端”进行登录，登录后选择“交易</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”身份进入</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界面后，选择有意向的项目点击“我要</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”，参与</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活动。然后即可在〖我的项目〗中点击“项目流程</w:t>
      </w:r>
      <w:r>
        <w:rPr>
          <w:rFonts w:ascii="华文仿宋" w:hAnsi="华文仿宋" w:cs="华文仿宋"/>
          <w:color w:val="auto"/>
          <w:highlight w:val="none"/>
        </w:rPr>
        <w:t>&gt;</w:t>
      </w:r>
      <w:r>
        <w:rPr>
          <w:rFonts w:hint="eastAsia" w:ascii="华文仿宋" w:hAnsi="华文仿宋" w:cs="华文仿宋"/>
          <w:color w:val="auto"/>
          <w:highlight w:val="none"/>
        </w:rPr>
        <w:t>交易文件下载”免费下载电子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w:t>
      </w:r>
    </w:p>
    <w:p w14:paraId="3954FD8B">
      <w:pPr>
        <w:widowControl w:val="0"/>
        <w:wordWrap w:val="0"/>
        <w:spacing w:line="500" w:lineRule="exact"/>
        <w:ind w:firstLine="566" w:firstLineChars="200"/>
        <w:rPr>
          <w:rFonts w:ascii="华文仿宋" w:hAnsi="华文仿宋" w:cs="华文仿宋"/>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初次使用交易平台，须先完成诚信入库登记、数字认证证书（</w:t>
      </w:r>
      <w:r>
        <w:rPr>
          <w:rFonts w:hint="eastAsia" w:ascii="仿宋" w:hAnsi="仿宋" w:eastAsia="仿宋" w:cs="仿宋"/>
          <w:color w:val="auto"/>
          <w:highlight w:val="none"/>
        </w:rPr>
        <w:t>CA</w:t>
      </w:r>
      <w:r>
        <w:rPr>
          <w:rFonts w:hint="eastAsia" w:ascii="华文仿宋" w:hAnsi="华文仿宋" w:cs="华文仿宋"/>
          <w:color w:val="auto"/>
          <w:highlight w:val="none"/>
        </w:rPr>
        <w:t>锁）认证及</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信息绑定。相关操作流程详见全国公共资源交易平台（陕西省）网站〖首页·〉服务指南·〉下载专区〗中的《陕西省省级单位电子化政府采购项目</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指南》。</w:t>
      </w:r>
    </w:p>
    <w:p w14:paraId="60910C1C">
      <w:pPr>
        <w:widowControl w:val="0"/>
        <w:wordWrap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3、数字认证证书（</w:t>
      </w:r>
      <w:r>
        <w:rPr>
          <w:rFonts w:hint="eastAsia" w:ascii="仿宋" w:hAnsi="仿宋" w:eastAsia="仿宋" w:cs="仿宋"/>
          <w:color w:val="auto"/>
          <w:highlight w:val="none"/>
        </w:rPr>
        <w:t>CA</w:t>
      </w:r>
      <w:r>
        <w:rPr>
          <w:rFonts w:hint="eastAsia" w:ascii="华文仿宋" w:hAnsi="华文仿宋" w:cs="华文仿宋"/>
          <w:color w:val="auto"/>
          <w:highlight w:val="none"/>
        </w:rPr>
        <w:t>锁）办理流程可参照</w:t>
      </w:r>
      <w:r>
        <w:rPr>
          <w:rFonts w:hint="eastAsia" w:ascii="仿宋" w:hAnsi="仿宋" w:eastAsia="仿宋" w:cs="仿宋"/>
          <w:color w:val="auto"/>
          <w:highlight w:val="none"/>
        </w:rPr>
        <w:t>https://www.snca.com.cn/notice/show/533.html</w:t>
      </w:r>
      <w:r>
        <w:rPr>
          <w:rFonts w:hint="eastAsia" w:ascii="华文仿宋" w:hAnsi="华文仿宋" w:cs="华文仿宋"/>
          <w:color w:val="auto"/>
          <w:highlight w:val="none"/>
        </w:rPr>
        <w:t>，现场办理地址：西安市长安北路</w:t>
      </w:r>
      <w:r>
        <w:rPr>
          <w:rFonts w:hint="eastAsia" w:ascii="仿宋" w:hAnsi="仿宋" w:eastAsia="仿宋" w:cs="仿宋"/>
          <w:color w:val="auto"/>
          <w:highlight w:val="none"/>
        </w:rPr>
        <w:t>14</w:t>
      </w:r>
      <w:r>
        <w:rPr>
          <w:rFonts w:hint="eastAsia" w:ascii="华文仿宋" w:hAnsi="华文仿宋" w:cs="华文仿宋"/>
          <w:color w:val="auto"/>
          <w:highlight w:val="none"/>
        </w:rPr>
        <w:t>号省公共资源交易中心一楼办理大厅</w:t>
      </w:r>
      <w:r>
        <w:rPr>
          <w:rFonts w:hint="eastAsia" w:ascii="仿宋" w:hAnsi="仿宋" w:eastAsia="仿宋" w:cs="仿宋"/>
          <w:color w:val="auto"/>
          <w:highlight w:val="none"/>
        </w:rPr>
        <w:t>3、4</w:t>
      </w:r>
      <w:r>
        <w:rPr>
          <w:rFonts w:hint="eastAsia" w:ascii="华文仿宋" w:hAnsi="华文仿宋" w:cs="华文仿宋"/>
          <w:color w:val="auto"/>
          <w:highlight w:val="none"/>
        </w:rPr>
        <w:t>号窗口，咨询电话：</w:t>
      </w:r>
      <w:r>
        <w:rPr>
          <w:rFonts w:hint="eastAsia" w:ascii="仿宋" w:hAnsi="仿宋" w:eastAsia="仿宋" w:cs="仿宋"/>
          <w:color w:val="auto"/>
          <w:highlight w:val="none"/>
        </w:rPr>
        <w:t>029-88661241</w:t>
      </w:r>
      <w:r>
        <w:rPr>
          <w:rFonts w:hint="eastAsia" w:ascii="华文仿宋" w:hAnsi="华文仿宋" w:cs="华文仿宋"/>
          <w:color w:val="auto"/>
          <w:highlight w:val="none"/>
        </w:rPr>
        <w:t>。疫情期间数字认证证书（</w:t>
      </w:r>
      <w:r>
        <w:rPr>
          <w:rFonts w:hint="eastAsia" w:ascii="仿宋" w:hAnsi="仿宋" w:eastAsia="仿宋" w:cs="仿宋"/>
          <w:color w:val="auto"/>
          <w:highlight w:val="none"/>
        </w:rPr>
        <w:t>CA</w:t>
      </w:r>
      <w:r>
        <w:rPr>
          <w:rFonts w:hint="eastAsia" w:ascii="华文仿宋" w:hAnsi="华文仿宋" w:cs="华文仿宋"/>
          <w:color w:val="auto"/>
          <w:highlight w:val="none"/>
        </w:rPr>
        <w:t>锁）新办及续费可使用网上受理邮寄领取的方式办理，详见</w:t>
      </w:r>
      <w:r>
        <w:rPr>
          <w:rFonts w:hint="eastAsia" w:ascii="仿宋" w:hAnsi="仿宋" w:eastAsia="仿宋" w:cs="仿宋"/>
          <w:color w:val="auto"/>
          <w:highlight w:val="none"/>
        </w:rPr>
        <w:t>http://www.sxggzyjy.cn/xwzx/002002/20200218/79d68d76-7e82-44b0-8b8b-cb07d0658787.html。</w:t>
      </w:r>
    </w:p>
    <w:p w14:paraId="6D23D342">
      <w:pPr>
        <w:widowControl w:val="0"/>
        <w:spacing w:line="500" w:lineRule="exact"/>
        <w:ind w:firstLine="566" w:firstLineChars="200"/>
        <w:rPr>
          <w:rFonts w:ascii="仿宋" w:hAnsi="仿宋" w:eastAsia="仿宋" w:cs="仿宋"/>
          <w:b/>
          <w:bCs/>
          <w:color w:val="auto"/>
          <w:highlight w:val="none"/>
        </w:rPr>
      </w:pPr>
      <w:bookmarkStart w:id="21" w:name="_Hlk511229508"/>
      <w:r>
        <w:rPr>
          <w:rFonts w:hint="eastAsia" w:ascii="仿宋" w:hAnsi="仿宋" w:eastAsia="仿宋" w:cs="仿宋"/>
          <w:b/>
          <w:bCs/>
          <w:color w:val="auto"/>
          <w:highlight w:val="none"/>
        </w:rPr>
        <w:t>4、获取时间：202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01</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27</w:t>
      </w:r>
      <w:r>
        <w:rPr>
          <w:rFonts w:hint="eastAsia" w:ascii="仿宋" w:hAnsi="仿宋" w:eastAsia="仿宋" w:cs="仿宋"/>
          <w:b/>
          <w:bCs/>
          <w:color w:val="auto"/>
          <w:highlight w:val="none"/>
        </w:rPr>
        <w:t>日至202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02</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11</w:t>
      </w:r>
      <w:r>
        <w:rPr>
          <w:rFonts w:hint="eastAsia" w:ascii="仿宋" w:hAnsi="仿宋" w:eastAsia="仿宋" w:cs="仿宋"/>
          <w:b/>
          <w:bCs/>
          <w:color w:val="auto"/>
          <w:highlight w:val="none"/>
        </w:rPr>
        <w:t>日，每天上午08:00:00至12:00:00，下午12:00:00至18:00:00（北京时间,法定节假日除外）</w:t>
      </w:r>
    </w:p>
    <w:p w14:paraId="5E9BA2AE">
      <w:pPr>
        <w:widowControl w:val="0"/>
        <w:spacing w:line="500" w:lineRule="exact"/>
        <w:ind w:firstLine="566" w:firstLineChars="200"/>
        <w:rPr>
          <w:rFonts w:ascii="华文仿宋" w:cs="Times New Roman"/>
          <w:color w:val="auto"/>
          <w:highlight w:val="none"/>
          <w:lang w:val="zh-CN"/>
        </w:rPr>
      </w:pPr>
      <w:r>
        <w:rPr>
          <w:rFonts w:hint="eastAsia" w:ascii="华文仿宋" w:hAnsi="华文仿宋" w:cs="华文仿宋"/>
          <w:b/>
          <w:bCs/>
          <w:color w:val="auto"/>
          <w:highlight w:val="none"/>
        </w:rPr>
        <w:t>十三、</w:t>
      </w:r>
      <w:r>
        <w:rPr>
          <w:rFonts w:hint="eastAsia" w:ascii="华文仿宋" w:hAnsi="华文仿宋" w:cs="华文仿宋"/>
          <w:b/>
          <w:bCs/>
          <w:color w:val="auto"/>
          <w:highlight w:val="none"/>
          <w:lang w:eastAsia="zh-CN"/>
        </w:rPr>
        <w:t>磋商</w:t>
      </w:r>
      <w:r>
        <w:rPr>
          <w:rFonts w:hint="eastAsia" w:ascii="华文仿宋" w:hAnsi="华文仿宋" w:cs="华文仿宋"/>
          <w:b/>
          <w:bCs/>
          <w:color w:val="auto"/>
          <w:highlight w:val="none"/>
        </w:rPr>
        <w:t>保证金</w:t>
      </w:r>
    </w:p>
    <w:p w14:paraId="3A9B548B">
      <w:pPr>
        <w:widowControl w:val="0"/>
        <w:spacing w:line="500" w:lineRule="exact"/>
        <w:ind w:firstLine="566" w:firstLineChars="200"/>
        <w:rPr>
          <w:rFonts w:cs="华文仿宋"/>
          <w:b/>
          <w:bCs/>
          <w:color w:val="auto"/>
          <w:highlight w:val="none"/>
        </w:rPr>
      </w:pPr>
      <w:r>
        <w:rPr>
          <w:rFonts w:hint="eastAsia" w:ascii="华文仿宋" w:hAnsi="华文仿宋" w:cs="华文仿宋"/>
          <w:color w:val="auto"/>
          <w:highlight w:val="none"/>
        </w:rPr>
        <w:t>本项目不收取</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保证金。</w:t>
      </w:r>
    </w:p>
    <w:p w14:paraId="3579D5B2">
      <w:pPr>
        <w:widowControl w:val="0"/>
        <w:ind w:firstLine="566" w:firstLineChars="200"/>
        <w:jc w:val="left"/>
        <w:rPr>
          <w:rFonts w:cs="Times New Roman"/>
          <w:color w:val="auto"/>
          <w:highlight w:val="none"/>
        </w:rPr>
      </w:pPr>
      <w:r>
        <w:rPr>
          <w:rFonts w:hint="eastAsia"/>
          <w:b/>
          <w:bCs/>
          <w:color w:val="auto"/>
          <w:highlight w:val="none"/>
        </w:rPr>
        <w:t>十四、</w:t>
      </w:r>
      <w:r>
        <w:rPr>
          <w:rFonts w:hint="eastAsia" w:cs="华文仿宋"/>
          <w:b/>
          <w:bCs/>
          <w:color w:val="auto"/>
          <w:highlight w:val="none"/>
        </w:rPr>
        <w:t>提交</w:t>
      </w:r>
      <w:r>
        <w:rPr>
          <w:rFonts w:hint="eastAsia" w:cs="华文仿宋"/>
          <w:b/>
          <w:bCs/>
          <w:color w:val="auto"/>
          <w:highlight w:val="none"/>
          <w:lang w:eastAsia="zh-CN"/>
        </w:rPr>
        <w:t>响应文件</w:t>
      </w:r>
      <w:r>
        <w:rPr>
          <w:rFonts w:hint="eastAsia" w:cs="华文仿宋"/>
          <w:b/>
          <w:bCs/>
          <w:color w:val="auto"/>
          <w:highlight w:val="none"/>
        </w:rPr>
        <w:t>截止时间及开标时间和地点</w:t>
      </w:r>
    </w:p>
    <w:p w14:paraId="554B522B">
      <w:pPr>
        <w:widowControl w:val="0"/>
        <w:spacing w:line="500" w:lineRule="exact"/>
        <w:ind w:firstLine="566" w:firstLineChars="200"/>
        <w:rPr>
          <w:rFonts w:cs="Times New Roman"/>
          <w:color w:val="auto"/>
          <w:highlight w:val="none"/>
        </w:rPr>
      </w:pPr>
      <w:r>
        <w:rPr>
          <w:b/>
          <w:bCs/>
          <w:color w:val="auto"/>
          <w:highlight w:val="none"/>
        </w:rPr>
        <w:t>1</w:t>
      </w:r>
      <w:r>
        <w:rPr>
          <w:rFonts w:hint="eastAsia" w:cs="华文仿宋"/>
          <w:b/>
          <w:bCs/>
          <w:color w:val="auto"/>
          <w:highlight w:val="none"/>
        </w:rPr>
        <w:t>、提交</w:t>
      </w:r>
      <w:r>
        <w:rPr>
          <w:rFonts w:hint="eastAsia" w:cs="华文仿宋"/>
          <w:b/>
          <w:bCs/>
          <w:color w:val="auto"/>
          <w:highlight w:val="none"/>
          <w:lang w:eastAsia="zh-CN"/>
        </w:rPr>
        <w:t>响应文件</w:t>
      </w:r>
      <w:r>
        <w:rPr>
          <w:rFonts w:hint="eastAsia" w:cs="华文仿宋"/>
          <w:b/>
          <w:bCs/>
          <w:color w:val="auto"/>
          <w:highlight w:val="none"/>
        </w:rPr>
        <w:t>：电子</w:t>
      </w:r>
      <w:r>
        <w:rPr>
          <w:rFonts w:hint="eastAsia" w:cs="华文仿宋"/>
          <w:b/>
          <w:bCs/>
          <w:color w:val="auto"/>
          <w:highlight w:val="none"/>
          <w:lang w:eastAsia="zh-CN"/>
        </w:rPr>
        <w:t>响应文件</w:t>
      </w:r>
      <w:r>
        <w:rPr>
          <w:rFonts w:hint="eastAsia" w:cs="华文仿宋"/>
          <w:b/>
          <w:bCs/>
          <w:color w:val="auto"/>
          <w:highlight w:val="none"/>
        </w:rPr>
        <w:t>一份</w:t>
      </w:r>
      <w:r>
        <w:rPr>
          <w:rFonts w:hint="eastAsia" w:cs="华文仿宋"/>
          <w:color w:val="auto"/>
          <w:highlight w:val="none"/>
        </w:rPr>
        <w:t>。</w:t>
      </w:r>
    </w:p>
    <w:p w14:paraId="31AAD595">
      <w:pPr>
        <w:widowControl w:val="0"/>
        <w:spacing w:line="500" w:lineRule="exact"/>
        <w:ind w:firstLine="566" w:firstLineChars="200"/>
        <w:rPr>
          <w:rFonts w:cs="Times New Roman"/>
          <w:color w:val="auto"/>
          <w:highlight w:val="none"/>
        </w:rPr>
      </w:pPr>
      <w:r>
        <w:rPr>
          <w:rFonts w:hint="eastAsia" w:cs="华文仿宋"/>
          <w:color w:val="auto"/>
          <w:highlight w:val="none"/>
        </w:rPr>
        <w:t>电子</w:t>
      </w:r>
      <w:r>
        <w:rPr>
          <w:rFonts w:hint="eastAsia" w:cs="华文仿宋"/>
          <w:color w:val="auto"/>
          <w:highlight w:val="none"/>
          <w:lang w:eastAsia="zh-CN"/>
        </w:rPr>
        <w:t>响应文件</w:t>
      </w:r>
      <w:r>
        <w:rPr>
          <w:rFonts w:hint="eastAsia" w:cs="华文仿宋"/>
          <w:color w:val="auto"/>
          <w:highlight w:val="none"/>
        </w:rPr>
        <w:t>（</w:t>
      </w:r>
      <w:r>
        <w:rPr>
          <w:rFonts w:hint="eastAsia" w:ascii="仿宋" w:hAnsi="仿宋" w:eastAsia="仿宋" w:cs="仿宋"/>
          <w:color w:val="auto"/>
          <w:highlight w:val="none"/>
        </w:rPr>
        <w:t>*.SXSTF</w:t>
      </w:r>
      <w:r>
        <w:rPr>
          <w:rFonts w:hint="eastAsia" w:cs="华文仿宋"/>
          <w:color w:val="auto"/>
          <w:highlight w:val="none"/>
        </w:rPr>
        <w:t>）可于提交</w:t>
      </w:r>
      <w:r>
        <w:rPr>
          <w:rFonts w:hint="eastAsia" w:cs="华文仿宋"/>
          <w:color w:val="auto"/>
          <w:highlight w:val="none"/>
          <w:lang w:eastAsia="zh-CN"/>
        </w:rPr>
        <w:t>响应文件</w:t>
      </w:r>
      <w:r>
        <w:rPr>
          <w:rFonts w:hint="eastAsia" w:cs="华文仿宋"/>
          <w:color w:val="auto"/>
          <w:highlight w:val="none"/>
        </w:rPr>
        <w:t>截止时间前任意时段登录全国公共资源交易平台（陕西省）网站进行提交，逾期系统将拒绝接收。</w:t>
      </w:r>
    </w:p>
    <w:p w14:paraId="5A31D5CC">
      <w:pPr>
        <w:widowControl w:val="0"/>
        <w:spacing w:line="500" w:lineRule="exact"/>
        <w:ind w:firstLine="566" w:firstLineChars="200"/>
        <w:rPr>
          <w:rFonts w:eastAsia="仿宋" w:cs="Times New Roman"/>
          <w:b/>
          <w:bCs/>
          <w:color w:val="auto"/>
          <w:highlight w:val="none"/>
        </w:rPr>
      </w:pPr>
      <w:r>
        <w:rPr>
          <w:b/>
          <w:bCs/>
          <w:color w:val="auto"/>
          <w:highlight w:val="none"/>
        </w:rPr>
        <w:t>2</w:t>
      </w:r>
      <w:r>
        <w:rPr>
          <w:rFonts w:hint="eastAsia" w:cs="华文仿宋"/>
          <w:b/>
          <w:bCs/>
          <w:color w:val="auto"/>
          <w:highlight w:val="none"/>
        </w:rPr>
        <w:t>、提交</w:t>
      </w:r>
      <w:r>
        <w:rPr>
          <w:rFonts w:hint="eastAsia" w:cs="华文仿宋"/>
          <w:b/>
          <w:bCs/>
          <w:color w:val="auto"/>
          <w:highlight w:val="none"/>
          <w:lang w:eastAsia="zh-CN"/>
        </w:rPr>
        <w:t>响应文件</w:t>
      </w:r>
      <w:r>
        <w:rPr>
          <w:rFonts w:hint="eastAsia" w:cs="华文仿宋"/>
          <w:b/>
          <w:bCs/>
          <w:color w:val="auto"/>
          <w:highlight w:val="none"/>
        </w:rPr>
        <w:t>截止时间：</w:t>
      </w:r>
      <w:r>
        <w:rPr>
          <w:rFonts w:ascii="仿宋" w:hAnsi="仿宋" w:eastAsia="仿宋" w:cs="仿宋"/>
          <w:b/>
          <w:bCs/>
          <w:color w:val="auto"/>
          <w:highlight w:val="none"/>
        </w:rPr>
        <w:t>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highlight w:val="none"/>
          <w:lang w:val="en-US" w:eastAsia="zh-CN"/>
        </w:rPr>
        <w:t>02</w:t>
      </w:r>
      <w:r>
        <w:rPr>
          <w:rFonts w:hint="eastAsia" w:ascii="仿宋" w:hAnsi="仿宋" w:eastAsia="仿宋" w:cs="仿宋"/>
          <w:b/>
          <w:bCs/>
          <w:color w:val="auto"/>
          <w:highlight w:val="none"/>
        </w:rPr>
        <w:t>月</w:t>
      </w:r>
      <w:r>
        <w:rPr>
          <w:rFonts w:hint="eastAsia" w:ascii="仿宋" w:hAnsi="仿宋" w:eastAsia="仿宋" w:cs="仿宋"/>
          <w:b/>
          <w:bCs/>
          <w:color w:val="auto"/>
          <w:highlight w:val="none"/>
          <w:lang w:val="en-US" w:eastAsia="zh-CN"/>
        </w:rPr>
        <w:t>12</w:t>
      </w:r>
      <w:r>
        <w:rPr>
          <w:rFonts w:hint="eastAsia" w:ascii="仿宋" w:hAnsi="仿宋" w:eastAsia="仿宋" w:cs="仿宋"/>
          <w:b/>
          <w:bCs/>
          <w:color w:val="auto"/>
          <w:highlight w:val="none"/>
        </w:rPr>
        <w:t>日0</w:t>
      </w:r>
      <w:r>
        <w:rPr>
          <w:rFonts w:ascii="仿宋" w:hAnsi="仿宋" w:eastAsia="仿宋" w:cs="仿宋"/>
          <w:b/>
          <w:bCs/>
          <w:color w:val="auto"/>
          <w:highlight w:val="none"/>
        </w:rPr>
        <w:t>9:30</w:t>
      </w:r>
    </w:p>
    <w:p w14:paraId="6EAC3DEF">
      <w:pPr>
        <w:widowControl w:val="0"/>
        <w:spacing w:line="500" w:lineRule="exact"/>
        <w:ind w:firstLine="566" w:firstLineChars="200"/>
        <w:rPr>
          <w:rFonts w:cs="Times New Roman"/>
          <w:b/>
          <w:bCs/>
          <w:color w:val="auto"/>
          <w:highlight w:val="none"/>
        </w:rPr>
      </w:pPr>
      <w:r>
        <w:rPr>
          <w:b/>
          <w:bCs/>
          <w:color w:val="auto"/>
          <w:highlight w:val="none"/>
        </w:rPr>
        <w:t>3</w:t>
      </w:r>
      <w:r>
        <w:rPr>
          <w:rFonts w:hint="eastAsia" w:cs="华文仿宋"/>
          <w:b/>
          <w:bCs/>
          <w:color w:val="auto"/>
          <w:highlight w:val="none"/>
        </w:rPr>
        <w:t>、开</w:t>
      </w:r>
      <w:r>
        <w:rPr>
          <w:rFonts w:hint="eastAsia" w:cs="华文仿宋"/>
          <w:b/>
          <w:bCs/>
          <w:color w:val="auto"/>
          <w:highlight w:val="none"/>
          <w:lang w:eastAsia="zh-CN"/>
        </w:rPr>
        <w:t>启</w:t>
      </w:r>
      <w:r>
        <w:rPr>
          <w:rFonts w:hint="eastAsia" w:cs="华文仿宋"/>
          <w:b/>
          <w:bCs/>
          <w:color w:val="auto"/>
          <w:highlight w:val="none"/>
        </w:rPr>
        <w:t>时间：同提交</w:t>
      </w:r>
      <w:r>
        <w:rPr>
          <w:rFonts w:hint="eastAsia" w:cs="华文仿宋"/>
          <w:b/>
          <w:bCs/>
          <w:color w:val="auto"/>
          <w:highlight w:val="none"/>
          <w:lang w:eastAsia="zh-CN"/>
        </w:rPr>
        <w:t>响应文件</w:t>
      </w:r>
      <w:r>
        <w:rPr>
          <w:rFonts w:hint="eastAsia" w:cs="华文仿宋"/>
          <w:b/>
          <w:bCs/>
          <w:color w:val="auto"/>
          <w:highlight w:val="none"/>
        </w:rPr>
        <w:t>截止时间</w:t>
      </w:r>
    </w:p>
    <w:p w14:paraId="2D0FBB24">
      <w:pPr>
        <w:widowControl w:val="0"/>
        <w:spacing w:line="500" w:lineRule="exact"/>
        <w:ind w:firstLine="566" w:firstLineChars="200"/>
        <w:rPr>
          <w:rFonts w:cs="Times New Roman"/>
          <w:b/>
          <w:bCs/>
          <w:color w:val="auto"/>
          <w:highlight w:val="none"/>
        </w:rPr>
      </w:pPr>
      <w:r>
        <w:rPr>
          <w:b/>
          <w:bCs/>
          <w:color w:val="auto"/>
          <w:highlight w:val="none"/>
        </w:rPr>
        <w:t>4</w:t>
      </w:r>
      <w:r>
        <w:rPr>
          <w:rFonts w:hint="eastAsia" w:cs="华文仿宋"/>
          <w:b/>
          <w:bCs/>
          <w:color w:val="auto"/>
          <w:highlight w:val="none"/>
        </w:rPr>
        <w:t>、开</w:t>
      </w:r>
      <w:r>
        <w:rPr>
          <w:rFonts w:hint="eastAsia" w:cs="华文仿宋"/>
          <w:b/>
          <w:bCs/>
          <w:color w:val="auto"/>
          <w:highlight w:val="none"/>
          <w:lang w:eastAsia="zh-CN"/>
        </w:rPr>
        <w:t>启</w:t>
      </w:r>
      <w:r>
        <w:rPr>
          <w:rFonts w:hint="eastAsia" w:cs="华文仿宋"/>
          <w:b/>
          <w:bCs/>
          <w:color w:val="auto"/>
          <w:highlight w:val="none"/>
        </w:rPr>
        <w:t>地点：西安市碑林区长安北路</w:t>
      </w:r>
      <w:r>
        <w:rPr>
          <w:rFonts w:ascii="仿宋" w:hAnsi="仿宋" w:eastAsia="仿宋" w:cs="仿宋"/>
          <w:b/>
          <w:bCs/>
          <w:color w:val="auto"/>
          <w:highlight w:val="none"/>
        </w:rPr>
        <w:t>14</w:t>
      </w:r>
      <w:r>
        <w:rPr>
          <w:rFonts w:hint="eastAsia" w:cs="华文仿宋"/>
          <w:b/>
          <w:bCs/>
          <w:color w:val="auto"/>
          <w:highlight w:val="none"/>
        </w:rPr>
        <w:t>号陕西省公共资源交易中</w:t>
      </w:r>
    </w:p>
    <w:p w14:paraId="07EC2082">
      <w:pPr>
        <w:widowControl w:val="0"/>
        <w:spacing w:line="500" w:lineRule="exact"/>
        <w:ind w:left="848" w:hanging="845" w:hangingChars="299"/>
        <w:rPr>
          <w:rFonts w:cs="华文仿宋"/>
          <w:b/>
          <w:bCs/>
          <w:color w:val="auto"/>
          <w:highlight w:val="none"/>
        </w:rPr>
      </w:pPr>
      <w:r>
        <w:rPr>
          <w:rFonts w:hint="eastAsia" w:cs="华文仿宋"/>
          <w:b/>
          <w:bCs/>
          <w:color w:val="auto"/>
          <w:highlight w:val="none"/>
        </w:rPr>
        <w:t>心</w:t>
      </w:r>
      <w:r>
        <w:rPr>
          <w:rFonts w:hint="eastAsia" w:ascii="仿宋" w:hAnsi="仿宋" w:eastAsia="仿宋" w:cs="仿宋"/>
          <w:b/>
          <w:bCs/>
          <w:color w:val="auto"/>
          <w:highlight w:val="none"/>
          <w:u w:val="single"/>
          <w:lang w:val="en-US" w:eastAsia="zh-CN"/>
        </w:rPr>
        <w:t>309</w:t>
      </w:r>
      <w:r>
        <w:rPr>
          <w:rFonts w:hint="eastAsia" w:cs="华文仿宋"/>
          <w:b/>
          <w:bCs/>
          <w:color w:val="auto"/>
          <w:highlight w:val="none"/>
        </w:rPr>
        <w:t>室（见面开标）。</w:t>
      </w:r>
    </w:p>
    <w:p w14:paraId="0C527286">
      <w:pPr>
        <w:pStyle w:val="2"/>
        <w:wordWrap w:val="0"/>
        <w:spacing w:line="500" w:lineRule="exact"/>
        <w:ind w:firstLine="566" w:firstLineChars="200"/>
        <w:rPr>
          <w:rFonts w:hint="eastAsia" w:ascii="华文仿宋" w:hAnsi="华文仿宋" w:cs="华文仿宋"/>
          <w:b w:val="0"/>
          <w:bCs w:val="0"/>
          <w:color w:val="auto"/>
          <w:sz w:val="28"/>
          <w:szCs w:val="28"/>
          <w:highlight w:val="none"/>
          <w:lang w:eastAsia="zh-CN"/>
        </w:rPr>
      </w:pPr>
      <w:r>
        <w:rPr>
          <w:rFonts w:hint="eastAsia" w:ascii="华文仿宋" w:hAnsi="华文仿宋" w:cs="华文仿宋"/>
          <w:b/>
          <w:bCs/>
          <w:color w:val="auto"/>
          <w:sz w:val="28"/>
          <w:szCs w:val="28"/>
          <w:highlight w:val="none"/>
        </w:rPr>
        <w:t>5、开</w:t>
      </w:r>
      <w:r>
        <w:rPr>
          <w:rFonts w:hint="eastAsia" w:ascii="华文仿宋" w:hAnsi="华文仿宋" w:cs="华文仿宋"/>
          <w:b/>
          <w:bCs/>
          <w:color w:val="auto"/>
          <w:sz w:val="28"/>
          <w:szCs w:val="28"/>
          <w:highlight w:val="none"/>
          <w:lang w:eastAsia="zh-CN"/>
        </w:rPr>
        <w:t>启</w:t>
      </w:r>
      <w:r>
        <w:rPr>
          <w:rFonts w:hint="eastAsia" w:ascii="华文仿宋" w:hAnsi="华文仿宋" w:cs="华文仿宋"/>
          <w:b/>
          <w:bCs/>
          <w:color w:val="auto"/>
          <w:sz w:val="28"/>
          <w:szCs w:val="28"/>
          <w:highlight w:val="none"/>
        </w:rPr>
        <w:t>形式：本项目采用电子化投标方式。</w:t>
      </w:r>
      <w:r>
        <w:rPr>
          <w:rFonts w:hint="eastAsia" w:ascii="华文仿宋" w:hAnsi="华文仿宋" w:cs="华文仿宋"/>
          <w:b w:val="0"/>
          <w:bCs w:val="0"/>
          <w:color w:val="auto"/>
          <w:sz w:val="28"/>
          <w:szCs w:val="28"/>
          <w:highlight w:val="none"/>
        </w:rPr>
        <w:t>陕西省省级单位政府采购中心在</w:t>
      </w:r>
      <w:r>
        <w:rPr>
          <w:rFonts w:hint="eastAsia" w:ascii="华文仿宋" w:hAnsi="华文仿宋" w:cs="华文仿宋"/>
          <w:b w:val="0"/>
          <w:bCs w:val="0"/>
          <w:color w:val="auto"/>
          <w:sz w:val="28"/>
          <w:szCs w:val="28"/>
          <w:highlight w:val="none"/>
          <w:lang w:val="en-US" w:eastAsia="zh-CN"/>
        </w:rPr>
        <w:t>磋商</w:t>
      </w:r>
      <w:r>
        <w:rPr>
          <w:rFonts w:hint="eastAsia" w:ascii="华文仿宋" w:hAnsi="华文仿宋" w:cs="华文仿宋"/>
          <w:b w:val="0"/>
          <w:bCs w:val="0"/>
          <w:color w:val="auto"/>
          <w:sz w:val="28"/>
          <w:szCs w:val="28"/>
          <w:highlight w:val="none"/>
        </w:rPr>
        <w:t>文件规定的时间和地点组织开标，</w:t>
      </w:r>
      <w:r>
        <w:rPr>
          <w:rFonts w:hint="eastAsia" w:ascii="华文仿宋" w:hAnsi="华文仿宋" w:cs="华文仿宋"/>
          <w:b w:val="0"/>
          <w:bCs w:val="0"/>
          <w:color w:val="auto"/>
          <w:sz w:val="28"/>
          <w:szCs w:val="28"/>
          <w:highlight w:val="none"/>
          <w:lang w:val="en-US" w:eastAsia="zh-CN"/>
        </w:rPr>
        <w:t>供应商</w:t>
      </w:r>
      <w:r>
        <w:rPr>
          <w:rFonts w:hint="eastAsia" w:ascii="华文仿宋" w:hAnsi="华文仿宋" w:cs="华文仿宋"/>
          <w:b w:val="0"/>
          <w:bCs w:val="0"/>
          <w:color w:val="auto"/>
          <w:sz w:val="28"/>
          <w:szCs w:val="28"/>
          <w:highlight w:val="none"/>
        </w:rPr>
        <w:t>须派法定代表人或</w:t>
      </w:r>
      <w:r>
        <w:rPr>
          <w:rFonts w:hint="eastAsia" w:ascii="华文仿宋" w:hAnsi="华文仿宋" w:cs="华文仿宋"/>
          <w:b w:val="0"/>
          <w:bCs w:val="0"/>
          <w:color w:val="auto"/>
          <w:sz w:val="28"/>
          <w:szCs w:val="28"/>
          <w:highlight w:val="none"/>
          <w:lang w:val="en-US" w:eastAsia="zh-CN"/>
        </w:rPr>
        <w:t>被</w:t>
      </w:r>
      <w:r>
        <w:rPr>
          <w:rFonts w:hint="eastAsia" w:ascii="华文仿宋" w:hAnsi="华文仿宋" w:cs="华文仿宋"/>
          <w:b w:val="0"/>
          <w:bCs w:val="0"/>
          <w:color w:val="auto"/>
          <w:sz w:val="28"/>
          <w:szCs w:val="28"/>
          <w:highlight w:val="none"/>
        </w:rPr>
        <w:t>授权代表参加，携带</w:t>
      </w:r>
      <w:r>
        <w:rPr>
          <w:rFonts w:hint="eastAsia" w:ascii="仿宋" w:hAnsi="仿宋" w:eastAsia="仿宋" w:cs="仿宋"/>
          <w:bCs/>
          <w:color w:val="auto"/>
          <w:kern w:val="2"/>
          <w:sz w:val="28"/>
          <w:szCs w:val="28"/>
          <w:highlight w:val="none"/>
          <w:lang w:val="en-US" w:eastAsia="zh-CN" w:bidi="ar-SA"/>
        </w:rPr>
        <w:t>CA</w:t>
      </w:r>
      <w:r>
        <w:rPr>
          <w:rFonts w:hint="eastAsia" w:ascii="华文仿宋" w:hAnsi="华文仿宋" w:cs="华文仿宋"/>
          <w:b w:val="0"/>
          <w:bCs w:val="0"/>
          <w:color w:val="auto"/>
          <w:sz w:val="28"/>
          <w:szCs w:val="28"/>
          <w:highlight w:val="none"/>
        </w:rPr>
        <w:t>锁（开标时需在开标室的自助解密机上使用</w:t>
      </w:r>
      <w:r>
        <w:rPr>
          <w:rFonts w:hint="eastAsia" w:ascii="仿宋" w:hAnsi="仿宋" w:eastAsia="仿宋" w:cs="仿宋"/>
          <w:bCs/>
          <w:color w:val="auto"/>
          <w:kern w:val="2"/>
          <w:sz w:val="28"/>
          <w:szCs w:val="28"/>
          <w:highlight w:val="none"/>
          <w:lang w:val="en-US" w:eastAsia="zh-CN" w:bidi="ar-SA"/>
        </w:rPr>
        <w:t>CA</w:t>
      </w:r>
      <w:r>
        <w:rPr>
          <w:rFonts w:hint="eastAsia" w:ascii="华文仿宋" w:hAnsi="华文仿宋" w:cs="华文仿宋"/>
          <w:b w:val="0"/>
          <w:bCs w:val="0"/>
          <w:color w:val="auto"/>
          <w:sz w:val="28"/>
          <w:szCs w:val="28"/>
          <w:highlight w:val="none"/>
        </w:rPr>
        <w:t>锁统一自行解密</w:t>
      </w:r>
      <w:r>
        <w:rPr>
          <w:rFonts w:hint="eastAsia" w:ascii="华文仿宋" w:hAnsi="华文仿宋" w:cs="华文仿宋"/>
          <w:b w:val="0"/>
          <w:bCs w:val="0"/>
          <w:color w:val="auto"/>
          <w:sz w:val="28"/>
          <w:szCs w:val="28"/>
          <w:highlight w:val="none"/>
          <w:lang w:val="en-US" w:eastAsia="zh-CN"/>
        </w:rPr>
        <w:t>响应</w:t>
      </w:r>
      <w:r>
        <w:rPr>
          <w:rFonts w:hint="eastAsia" w:ascii="华文仿宋" w:hAnsi="华文仿宋" w:cs="华文仿宋"/>
          <w:b w:val="0"/>
          <w:bCs w:val="0"/>
          <w:color w:val="auto"/>
          <w:sz w:val="28"/>
          <w:szCs w:val="28"/>
          <w:highlight w:val="none"/>
        </w:rPr>
        <w:t>文件）</w:t>
      </w:r>
      <w:r>
        <w:rPr>
          <w:rFonts w:hint="eastAsia" w:ascii="华文仿宋" w:hAnsi="华文仿宋" w:cs="华文仿宋"/>
          <w:b w:val="0"/>
          <w:bCs w:val="0"/>
          <w:color w:val="auto"/>
          <w:sz w:val="28"/>
          <w:szCs w:val="28"/>
          <w:highlight w:val="none"/>
          <w:lang w:eastAsia="zh-CN"/>
        </w:rPr>
        <w:t>。</w:t>
      </w:r>
    </w:p>
    <w:p w14:paraId="6D1D0C1E">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566" w:firstLineChars="200"/>
        <w:textAlignment w:val="auto"/>
        <w:rPr>
          <w:rFonts w:ascii="宋体" w:hAnsi="宋体" w:eastAsia="宋体" w:cs="宋体"/>
          <w:color w:val="auto"/>
          <w:sz w:val="21"/>
          <w:szCs w:val="21"/>
          <w:highlight w:val="none"/>
        </w:rPr>
      </w:pPr>
      <w:r>
        <w:rPr>
          <w:rFonts w:hint="eastAsia" w:ascii="华文仿宋" w:hAnsi="华文仿宋" w:cs="华文仿宋"/>
          <w:color w:val="auto"/>
          <w:sz w:val="28"/>
          <w:szCs w:val="28"/>
          <w:highlight w:val="none"/>
        </w:rPr>
        <w:t>如因供应商自身原因，在规定时间内未完成</w:t>
      </w:r>
      <w:r>
        <w:rPr>
          <w:rFonts w:hint="eastAsia" w:ascii="华文仿宋" w:hAnsi="华文仿宋" w:cs="华文仿宋"/>
          <w:color w:val="auto"/>
          <w:sz w:val="28"/>
          <w:szCs w:val="28"/>
          <w:highlight w:val="none"/>
          <w:lang w:eastAsia="zh-CN"/>
        </w:rPr>
        <w:t>响应</w:t>
      </w:r>
      <w:r>
        <w:rPr>
          <w:rFonts w:hint="eastAsia" w:ascii="华文仿宋" w:hAnsi="华文仿宋" w:cs="华文仿宋"/>
          <w:color w:val="auto"/>
          <w:sz w:val="28"/>
          <w:szCs w:val="28"/>
          <w:highlight w:val="none"/>
        </w:rPr>
        <w:t>文件解密，按无效</w:t>
      </w:r>
      <w:r>
        <w:rPr>
          <w:rFonts w:hint="eastAsia" w:ascii="华文仿宋" w:hAnsi="华文仿宋" w:cs="华文仿宋"/>
          <w:color w:val="auto"/>
          <w:sz w:val="28"/>
          <w:szCs w:val="28"/>
          <w:highlight w:val="none"/>
          <w:lang w:eastAsia="zh-CN"/>
        </w:rPr>
        <w:t>响应</w:t>
      </w:r>
      <w:r>
        <w:rPr>
          <w:rFonts w:hint="eastAsia" w:ascii="华文仿宋" w:hAnsi="华文仿宋" w:cs="华文仿宋"/>
          <w:color w:val="auto"/>
          <w:sz w:val="28"/>
          <w:szCs w:val="28"/>
          <w:highlight w:val="none"/>
        </w:rPr>
        <w:t>对待（“规定时间”由现场工作人员具体确定）。</w:t>
      </w:r>
    </w:p>
    <w:p w14:paraId="3FFDAB6C">
      <w:pPr>
        <w:widowControl w:val="0"/>
        <w:spacing w:line="500" w:lineRule="exact"/>
        <w:ind w:firstLine="566" w:firstLineChars="200"/>
        <w:rPr>
          <w:b/>
          <w:bCs/>
          <w:color w:val="auto"/>
          <w:highlight w:val="none"/>
        </w:rPr>
      </w:pPr>
      <w:r>
        <w:rPr>
          <w:rFonts w:hint="eastAsia"/>
          <w:b/>
          <w:bCs/>
          <w:color w:val="auto"/>
          <w:highlight w:val="none"/>
        </w:rPr>
        <w:t>十五、采购代理机构收费标准：</w:t>
      </w:r>
      <w:r>
        <w:rPr>
          <w:rFonts w:hint="eastAsia"/>
          <w:color w:val="auto"/>
          <w:highlight w:val="none"/>
        </w:rPr>
        <w:t>免费</w:t>
      </w:r>
    </w:p>
    <w:p w14:paraId="2209E348">
      <w:pPr>
        <w:widowControl w:val="0"/>
        <w:spacing w:line="500" w:lineRule="exact"/>
        <w:ind w:firstLine="566" w:firstLineChars="200"/>
        <w:rPr>
          <w:b/>
          <w:bCs/>
          <w:color w:val="auto"/>
          <w:highlight w:val="none"/>
        </w:rPr>
      </w:pPr>
      <w:bookmarkStart w:id="22" w:name="_Toc22849_WPSOffice_Level2"/>
      <w:bookmarkStart w:id="23" w:name="_Toc20005"/>
      <w:bookmarkStart w:id="24" w:name="_Toc10758_WPSOffice_Level2"/>
      <w:bookmarkStart w:id="25" w:name="_Toc17917"/>
      <w:bookmarkStart w:id="26" w:name="_Toc14110_WPSOffice_Level2"/>
      <w:r>
        <w:rPr>
          <w:rFonts w:hint="eastAsia"/>
          <w:b/>
          <w:bCs/>
          <w:color w:val="auto"/>
          <w:highlight w:val="none"/>
        </w:rPr>
        <w:t>十六、公告期自发布之日起</w:t>
      </w:r>
      <w:r>
        <w:rPr>
          <w:rFonts w:hint="eastAsia" w:ascii="仿宋" w:hAnsi="仿宋" w:eastAsia="仿宋" w:cs="仿宋"/>
          <w:b/>
          <w:bCs/>
          <w:color w:val="auto"/>
          <w:highlight w:val="none"/>
          <w:lang w:val="en-US" w:eastAsia="zh-CN"/>
        </w:rPr>
        <w:t>3</w:t>
      </w:r>
      <w:r>
        <w:rPr>
          <w:rFonts w:hint="eastAsia"/>
          <w:b/>
          <w:bCs/>
          <w:color w:val="auto"/>
          <w:highlight w:val="none"/>
        </w:rPr>
        <w:t>个工作日。</w:t>
      </w:r>
      <w:bookmarkEnd w:id="22"/>
      <w:bookmarkEnd w:id="23"/>
      <w:bookmarkEnd w:id="24"/>
      <w:bookmarkEnd w:id="25"/>
      <w:bookmarkEnd w:id="26"/>
    </w:p>
    <w:p w14:paraId="5D607594">
      <w:pPr>
        <w:widowControl w:val="0"/>
        <w:spacing w:line="500" w:lineRule="exact"/>
        <w:ind w:firstLine="566" w:firstLineChars="200"/>
        <w:rPr>
          <w:rFonts w:ascii="仿宋" w:hAnsi="仿宋" w:eastAsia="仿宋" w:cs="仿宋"/>
          <w:b/>
          <w:bCs/>
          <w:color w:val="auto"/>
          <w:highlight w:val="none"/>
        </w:rPr>
      </w:pPr>
      <w:r>
        <w:rPr>
          <w:rFonts w:hint="eastAsia"/>
          <w:b/>
          <w:bCs/>
          <w:color w:val="auto"/>
          <w:highlight w:val="none"/>
        </w:rPr>
        <w:t>十七、陕西省省级单位政府采购中心联系电话：</w:t>
      </w:r>
      <w:r>
        <w:rPr>
          <w:rFonts w:hint="eastAsia" w:ascii="仿宋" w:hAnsi="仿宋" w:eastAsia="仿宋" w:cs="仿宋"/>
          <w:color w:val="auto"/>
          <w:highlight w:val="none"/>
        </w:rPr>
        <w:t>029-88661294</w:t>
      </w:r>
    </w:p>
    <w:p w14:paraId="262B73FA">
      <w:pPr>
        <w:widowControl w:val="0"/>
        <w:spacing w:line="500" w:lineRule="exact"/>
        <w:ind w:firstLine="566" w:firstLineChars="200"/>
        <w:rPr>
          <w:rFonts w:ascii="宋体" w:hAnsi="宋体" w:eastAsia="宋体" w:cs="宋体"/>
          <w:b/>
          <w:bCs/>
          <w:color w:val="auto"/>
          <w:highlight w:val="none"/>
        </w:rPr>
      </w:pPr>
    </w:p>
    <w:p w14:paraId="0CF0BAD4">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ascii="宋体" w:hAnsi="宋体" w:eastAsia="宋体" w:cs="Times New Roman"/>
          <w:b/>
          <w:bCs/>
          <w:color w:val="auto"/>
          <w:highlight w:val="none"/>
        </w:rPr>
      </w:pPr>
      <w:r>
        <w:rPr>
          <w:rFonts w:hint="eastAsia" w:ascii="宋体" w:hAnsi="宋体" w:eastAsia="宋体" w:cs="宋体"/>
          <w:b/>
          <w:bCs/>
          <w:color w:val="auto"/>
          <w:highlight w:val="none"/>
        </w:rPr>
        <w:t>特别提醒：</w:t>
      </w:r>
    </w:p>
    <w:bookmarkEnd w:id="21"/>
    <w:p w14:paraId="3003857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ascii="宋体" w:hAnsi="宋体" w:eastAsia="宋体" w:cs="宋体"/>
          <w:b/>
          <w:bCs/>
          <w:color w:val="auto"/>
          <w:sz w:val="21"/>
          <w:szCs w:val="21"/>
          <w:highlight w:val="none"/>
        </w:rPr>
      </w:pPr>
      <w:bookmarkStart w:id="27" w:name="_Toc495012770"/>
      <w:bookmarkStart w:id="28" w:name="_Toc16643"/>
      <w:bookmarkStart w:id="29" w:name="_Toc445306492"/>
      <w:bookmarkStart w:id="30" w:name="_Toc495014919"/>
      <w:bookmarkStart w:id="31" w:name="_Toc495014953"/>
      <w:bookmarkStart w:id="32" w:name="_Toc495014648"/>
      <w:bookmarkStart w:id="33" w:name="_Toc8753"/>
      <w:bookmarkStart w:id="34" w:name="_Toc495014584"/>
      <w:bookmarkStart w:id="35" w:name="_Toc495014610"/>
      <w:bookmarkStart w:id="36" w:name="_Toc26954"/>
      <w:bookmarkStart w:id="37" w:name="_Toc495012820"/>
      <w:r>
        <w:rPr>
          <w:rFonts w:hint="eastAsia" w:ascii="宋体" w:hAnsi="宋体" w:eastAsia="宋体" w:cs="宋体"/>
          <w:b/>
          <w:bCs/>
          <w:color w:val="auto"/>
          <w:sz w:val="21"/>
          <w:szCs w:val="21"/>
          <w:highlight w:val="none"/>
        </w:rPr>
        <w:t>1、本项目采用电子化投标方式。供应商须使用数字认证证书（CA锁）对电子响应文件进行签章、加密、递交及开标时解密等相关招投标事宜。开标时，陕西省省级单位政府采购中心现场工作人员将根据项目供应商数约定解密时长，供应商应在规定时间内，使用电子响应文件加密时所用的数字认证证书（CA锁）在开标室的解密机上自行解密电子响应文件。如因供应商自身原因（如迟到、未携带数字认证证书等原因）未在规定时间内解密的，视为响应无效。</w:t>
      </w:r>
    </w:p>
    <w:p w14:paraId="276E07A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制作电子响应文件。供应商须在“全国公共资源交易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5177454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3、递交电子响应文件。登录全国公共资源交易中心平台（陕西省）（http://www.sxggzyjy.cn/），选择“电子交易平台—陕西政府采购交易系统—</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端”进行登录，登录后选择“交易</w:t>
      </w:r>
      <w:r>
        <w:rPr>
          <w:rFonts w:hint="eastAsia" w:ascii="宋体" w:hAnsi="宋体" w:eastAsia="宋体" w:cs="宋体"/>
          <w:b/>
          <w:bCs/>
          <w:color w:val="auto"/>
          <w:sz w:val="21"/>
          <w:szCs w:val="21"/>
          <w:highlight w:val="none"/>
          <w:lang w:eastAsia="zh-CN"/>
        </w:rPr>
        <w:t>成交供应商</w:t>
      </w:r>
      <w:r>
        <w:rPr>
          <w:rFonts w:hint="eastAsia" w:ascii="宋体" w:hAnsi="宋体" w:eastAsia="宋体" w:cs="宋体"/>
          <w:b/>
          <w:bCs/>
          <w:color w:val="auto"/>
          <w:sz w:val="21"/>
          <w:szCs w:val="21"/>
          <w:highlight w:val="none"/>
        </w:rPr>
        <w:t>”身份进入，进入菜单“采购业务—我的项目—项目流程—上传响应文件”，上传加密的电子响应文件。上传成功后，电子化平台将予以记录。</w:t>
      </w:r>
    </w:p>
    <w:p w14:paraId="7698CBBD">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评审过程中，磋商小组要求供应商提交多轮（最后）磋商报价时，供应商须登录全国公共资源交易平台（陕西省）在交易系统中提交多轮（最后）报价，并用数字认证证书（CA锁）签章。</w:t>
      </w:r>
    </w:p>
    <w:p w14:paraId="46C7E680">
      <w:pPr>
        <w:pStyle w:val="6"/>
        <w:widowControl w:val="0"/>
        <w:rPr>
          <w:rFonts w:cs="Times New Roman"/>
          <w:color w:val="auto"/>
          <w:highlight w:val="none"/>
        </w:rPr>
      </w:pPr>
      <w:r>
        <w:rPr>
          <w:rFonts w:hint="eastAsia" w:ascii="黑体" w:hAnsi="黑体" w:eastAsia="黑体" w:cs="黑体"/>
          <w:b w:val="0"/>
          <w:bCs w:val="0"/>
          <w:color w:val="auto"/>
          <w:sz w:val="32"/>
          <w:szCs w:val="32"/>
          <w:highlight w:val="none"/>
        </w:rPr>
        <w:br w:type="page"/>
      </w:r>
      <w:bookmarkStart w:id="38" w:name="_Toc20960"/>
      <w:r>
        <w:rPr>
          <w:rFonts w:hint="eastAsia" w:ascii="黑体" w:hAnsi="黑体" w:eastAsia="黑体" w:cs="黑体"/>
          <w:b w:val="0"/>
          <w:bCs w:val="0"/>
          <w:color w:val="auto"/>
          <w:sz w:val="32"/>
          <w:szCs w:val="32"/>
          <w:highlight w:val="none"/>
        </w:rPr>
        <w:t xml:space="preserve">第二章  </w:t>
      </w:r>
      <w:r>
        <w:rPr>
          <w:rFonts w:hint="eastAsia" w:ascii="黑体" w:hAnsi="黑体" w:eastAsia="黑体" w:cs="黑体"/>
          <w:b w:val="0"/>
          <w:bCs w:val="0"/>
          <w:color w:val="auto"/>
          <w:sz w:val="32"/>
          <w:szCs w:val="32"/>
          <w:highlight w:val="none"/>
          <w:lang w:eastAsia="zh-CN"/>
        </w:rPr>
        <w:t>供应商</w:t>
      </w:r>
      <w:r>
        <w:rPr>
          <w:rFonts w:hint="eastAsia" w:ascii="黑体" w:hAnsi="黑体" w:eastAsia="黑体" w:cs="黑体"/>
          <w:b w:val="0"/>
          <w:bCs w:val="0"/>
          <w:color w:val="auto"/>
          <w:sz w:val="32"/>
          <w:szCs w:val="32"/>
          <w:highlight w:val="none"/>
        </w:rPr>
        <w:t>须知</w:t>
      </w:r>
      <w:bookmarkEnd w:id="27"/>
      <w:bookmarkEnd w:id="28"/>
      <w:bookmarkEnd w:id="29"/>
      <w:bookmarkEnd w:id="30"/>
      <w:bookmarkEnd w:id="31"/>
      <w:bookmarkEnd w:id="32"/>
      <w:bookmarkEnd w:id="33"/>
      <w:bookmarkEnd w:id="34"/>
      <w:bookmarkEnd w:id="35"/>
      <w:bookmarkEnd w:id="36"/>
      <w:bookmarkEnd w:id="37"/>
      <w:bookmarkEnd w:id="38"/>
    </w:p>
    <w:p w14:paraId="27EE5E06">
      <w:pPr>
        <w:pStyle w:val="7"/>
        <w:widowControl w:val="0"/>
        <w:spacing w:line="500" w:lineRule="exact"/>
        <w:ind w:firstLine="566" w:firstLineChars="200"/>
        <w:rPr>
          <w:rFonts w:ascii="华文仿宋" w:cs="Times New Roman"/>
          <w:color w:val="auto"/>
          <w:sz w:val="28"/>
          <w:szCs w:val="28"/>
          <w:highlight w:val="none"/>
        </w:rPr>
      </w:pPr>
      <w:bookmarkStart w:id="39" w:name="_Toc16074"/>
      <w:bookmarkStart w:id="40" w:name="_Toc2084"/>
      <w:bookmarkStart w:id="41" w:name="_Toc9277"/>
      <w:r>
        <w:rPr>
          <w:rFonts w:hint="eastAsia" w:ascii="华文仿宋" w:hAnsi="华文仿宋" w:cs="华文仿宋"/>
          <w:color w:val="auto"/>
          <w:sz w:val="28"/>
          <w:szCs w:val="28"/>
          <w:highlight w:val="none"/>
        </w:rPr>
        <w:t>一、定义</w:t>
      </w:r>
      <w:bookmarkEnd w:id="39"/>
      <w:bookmarkEnd w:id="40"/>
      <w:bookmarkEnd w:id="41"/>
    </w:p>
    <w:p w14:paraId="198EE698">
      <w:pPr>
        <w:widowControl w:val="0"/>
        <w:spacing w:line="500" w:lineRule="exact"/>
        <w:ind w:firstLine="566" w:firstLineChars="200"/>
        <w:rPr>
          <w:rFonts w:hint="eastAsia" w:ascii="华文仿宋" w:eastAsia="华文仿宋" w:cs="Times New Roman"/>
          <w:color w:val="auto"/>
          <w:highlight w:val="none"/>
          <w:lang w:eastAsia="zh-CN"/>
        </w:rPr>
      </w:pPr>
      <w:r>
        <w:rPr>
          <w:rFonts w:hint="eastAsia" w:ascii="华文仿宋" w:hAnsi="华文仿宋" w:cs="华文仿宋"/>
          <w:color w:val="auto"/>
          <w:highlight w:val="none"/>
        </w:rPr>
        <w:t>（一）采</w:t>
      </w:r>
      <w:r>
        <w:rPr>
          <w:rFonts w:hint="eastAsia" w:ascii="华文仿宋" w:hAnsi="华文仿宋" w:cs="华文仿宋"/>
          <w:color w:val="auto"/>
          <w:highlight w:val="none"/>
          <w:lang w:val="en-US" w:eastAsia="zh-CN"/>
        </w:rPr>
        <w:t xml:space="preserve"> </w:t>
      </w:r>
      <w:r>
        <w:rPr>
          <w:rFonts w:hint="eastAsia" w:ascii="华文仿宋" w:hAnsi="华文仿宋" w:cs="华文仿宋"/>
          <w:color w:val="auto"/>
          <w:highlight w:val="none"/>
        </w:rPr>
        <w:t>购</w:t>
      </w:r>
      <w:r>
        <w:rPr>
          <w:rFonts w:hint="eastAsia" w:ascii="华文仿宋" w:hAnsi="华文仿宋" w:cs="华文仿宋"/>
          <w:color w:val="auto"/>
          <w:highlight w:val="none"/>
          <w:lang w:val="en-US" w:eastAsia="zh-CN"/>
        </w:rPr>
        <w:t xml:space="preserve"> </w:t>
      </w:r>
      <w:r>
        <w:rPr>
          <w:rFonts w:hint="eastAsia" w:ascii="华文仿宋" w:hAnsi="华文仿宋" w:cs="华文仿宋"/>
          <w:color w:val="auto"/>
          <w:highlight w:val="none"/>
        </w:rPr>
        <w:t>人：</w:t>
      </w:r>
      <w:r>
        <w:rPr>
          <w:rFonts w:hint="eastAsia" w:ascii="华文仿宋" w:hAnsi="华文仿宋" w:cs="华文仿宋"/>
          <w:color w:val="auto"/>
          <w:highlight w:val="none"/>
          <w:u w:color="FFFFFF" w:themeColor="background1"/>
          <w:lang w:eastAsia="zh-CN"/>
        </w:rPr>
        <w:t>陕西省发展和改革委员会</w:t>
      </w:r>
    </w:p>
    <w:p w14:paraId="1E1B9109">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（二）监督机构：陕西省财政厅</w:t>
      </w:r>
    </w:p>
    <w:p w14:paraId="7DBFDDC5">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（三）采购代理机构：陕西省省级单位政府采购中心</w:t>
      </w:r>
    </w:p>
    <w:p w14:paraId="30A57350">
      <w:pPr>
        <w:widowControl w:val="0"/>
        <w:spacing w:line="500" w:lineRule="exact"/>
        <w:ind w:left="1415" w:leftChars="200" w:hanging="849" w:hangingChars="300"/>
        <w:rPr>
          <w:rFonts w:ascii="华文仿宋" w:hAnsi="华文仿宋" w:cs="华文仿宋"/>
          <w:color w:val="auto"/>
          <w:highlight w:val="none"/>
        </w:rPr>
      </w:pPr>
      <w:r>
        <w:rPr>
          <w:rFonts w:hint="eastAsia" w:ascii="华文仿宋" w:hAnsi="华文仿宋" w:cs="华文仿宋"/>
          <w:color w:val="auto"/>
          <w:highlight w:val="none"/>
        </w:rPr>
        <w:t>（四）</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：拟向采购人提供货物、工程或者服务的法人、其他组</w:t>
      </w:r>
    </w:p>
    <w:p w14:paraId="458901B0">
      <w:pPr>
        <w:widowControl w:val="0"/>
        <w:spacing w:line="500" w:lineRule="exact"/>
        <w:rPr>
          <w:rFonts w:ascii="华文仿宋" w:cs="Times New Roman"/>
          <w:color w:val="auto"/>
          <w:highlight w:val="none"/>
        </w:rPr>
      </w:pPr>
      <w:r>
        <w:rPr>
          <w:rFonts w:hint="eastAsia" w:ascii="华文仿宋" w:hAnsi="华文仿宋" w:cs="华文仿宋"/>
          <w:color w:val="auto"/>
          <w:highlight w:val="none"/>
        </w:rPr>
        <w:t>织或者自然人</w:t>
      </w:r>
    </w:p>
    <w:p w14:paraId="0768B031">
      <w:pPr>
        <w:pStyle w:val="7"/>
        <w:widowControl w:val="0"/>
        <w:spacing w:line="500" w:lineRule="exact"/>
        <w:ind w:firstLine="566" w:firstLineChars="200"/>
        <w:rPr>
          <w:rFonts w:ascii="华文仿宋" w:cs="Times New Roman"/>
          <w:color w:val="auto"/>
          <w:sz w:val="28"/>
          <w:szCs w:val="28"/>
          <w:highlight w:val="none"/>
        </w:rPr>
      </w:pPr>
      <w:bookmarkStart w:id="42" w:name="_Toc17842"/>
      <w:bookmarkStart w:id="43" w:name="_Toc4889"/>
      <w:bookmarkStart w:id="44" w:name="_Toc26572"/>
      <w:r>
        <w:rPr>
          <w:rFonts w:hint="eastAsia" w:ascii="华文仿宋" w:hAnsi="华文仿宋" w:cs="华文仿宋"/>
          <w:color w:val="auto"/>
          <w:sz w:val="28"/>
          <w:szCs w:val="28"/>
          <w:highlight w:val="none"/>
        </w:rPr>
        <w:t>二、</w:t>
      </w:r>
      <w:r>
        <w:rPr>
          <w:rFonts w:hint="eastAsia" w:ascii="华文仿宋" w:hAnsi="华文仿宋" w:cs="华文仿宋"/>
          <w:color w:val="auto"/>
          <w:sz w:val="28"/>
          <w:szCs w:val="28"/>
          <w:highlight w:val="none"/>
          <w:lang w:eastAsia="zh-CN"/>
        </w:rPr>
        <w:t>供应商</w:t>
      </w:r>
      <w:r>
        <w:rPr>
          <w:rFonts w:hint="eastAsia" w:ascii="华文仿宋" w:hAnsi="华文仿宋" w:cs="华文仿宋"/>
          <w:color w:val="auto"/>
          <w:sz w:val="28"/>
          <w:szCs w:val="28"/>
          <w:highlight w:val="none"/>
        </w:rPr>
        <w:t>注意事项</w:t>
      </w:r>
      <w:bookmarkEnd w:id="42"/>
      <w:bookmarkEnd w:id="43"/>
      <w:bookmarkEnd w:id="44"/>
    </w:p>
    <w:p w14:paraId="56584632">
      <w:pPr>
        <w:pStyle w:val="7"/>
        <w:widowControl w:val="0"/>
        <w:spacing w:line="500" w:lineRule="exact"/>
        <w:ind w:firstLine="566" w:firstLineChars="200"/>
        <w:rPr>
          <w:rFonts w:ascii="华文仿宋" w:cs="Times New Roman"/>
          <w:color w:val="auto"/>
          <w:sz w:val="28"/>
          <w:szCs w:val="28"/>
          <w:highlight w:val="none"/>
        </w:rPr>
      </w:pPr>
      <w:bookmarkStart w:id="45" w:name="_Toc30161"/>
      <w:bookmarkStart w:id="46" w:name="_Toc10905"/>
      <w:bookmarkStart w:id="47" w:name="_Toc17374"/>
      <w:bookmarkStart w:id="48" w:name="_Toc28058"/>
      <w:bookmarkStart w:id="49" w:name="_Toc30368"/>
      <w:bookmarkStart w:id="50" w:name="_Toc28589"/>
      <w:bookmarkStart w:id="51" w:name="_Toc11734"/>
      <w:bookmarkStart w:id="52" w:name="_Toc11128"/>
      <w:bookmarkStart w:id="53" w:name="_Toc1370"/>
      <w:bookmarkStart w:id="54" w:name="_Toc21886"/>
      <w:bookmarkStart w:id="55" w:name="_Toc24852"/>
      <w:bookmarkStart w:id="56" w:name="_Toc16764"/>
      <w:bookmarkStart w:id="57" w:name="_Toc28214"/>
      <w:bookmarkStart w:id="58" w:name="_Toc1795"/>
      <w:bookmarkStart w:id="59" w:name="_Toc734"/>
      <w:bookmarkStart w:id="60" w:name="_Toc32309"/>
      <w:bookmarkStart w:id="61" w:name="_Toc23045"/>
      <w:r>
        <w:rPr>
          <w:rFonts w:hint="eastAsia" w:ascii="华文仿宋" w:hAnsi="华文仿宋" w:cs="华文仿宋"/>
          <w:color w:val="auto"/>
          <w:sz w:val="28"/>
          <w:szCs w:val="28"/>
          <w:highlight w:val="none"/>
        </w:rPr>
        <w:t>（一）询问</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BDE9F27">
      <w:pPr>
        <w:widowControl w:val="0"/>
        <w:spacing w:line="500" w:lineRule="exact"/>
        <w:ind w:firstLine="566" w:firstLineChars="200"/>
        <w:rPr>
          <w:rFonts w:hint="eastAsia" w:ascii="华文仿宋" w:hAnsi="华文仿宋" w:cs="华文仿宋"/>
          <w:color w:val="auto"/>
          <w:highlight w:val="none"/>
        </w:rPr>
      </w:pPr>
      <w:bookmarkStart w:id="62" w:name="_Toc16663"/>
      <w:bookmarkStart w:id="63" w:name="_Toc23676"/>
      <w:bookmarkStart w:id="64" w:name="_Toc17968"/>
      <w:bookmarkStart w:id="65" w:name="_Toc10749"/>
      <w:bookmarkStart w:id="66" w:name="_Toc9372"/>
      <w:bookmarkStart w:id="67" w:name="_Toc10767"/>
      <w:bookmarkStart w:id="68" w:name="_Toc11418"/>
      <w:bookmarkStart w:id="69" w:name="_Toc5585"/>
      <w:bookmarkStart w:id="70" w:name="_Toc7423"/>
      <w:bookmarkStart w:id="71" w:name="_Toc18061"/>
      <w:bookmarkStart w:id="72" w:name="_Toc29525"/>
      <w:bookmarkStart w:id="73" w:name="_Toc25620"/>
      <w:bookmarkStart w:id="74" w:name="_Toc2542"/>
      <w:bookmarkStart w:id="75" w:name="_Toc9295"/>
      <w:bookmarkStart w:id="76" w:name="_Toc12755"/>
      <w:bookmarkStart w:id="77" w:name="_Toc2552"/>
      <w:bookmarkStart w:id="78" w:name="_Toc26397"/>
      <w:r>
        <w:rPr>
          <w:rFonts w:hint="eastAsia" w:ascii="华文仿宋" w:hAnsi="华文仿宋" w:cs="华文仿宋"/>
          <w:color w:val="auto"/>
          <w:highlight w:val="none"/>
        </w:rPr>
        <w:t>供应商针对磋商文件（包括采购需求、供应商资格条件、商务条款等）依法提出书面询问的，采购人应在三个工作日内书面答复；供应商向陕西省省级单位政府采购中心提出书面询问的，陕西省省级单位政府采购中心应告知采购人并协助采购人做出答复。</w:t>
      </w:r>
    </w:p>
    <w:p w14:paraId="413BE313">
      <w:pPr>
        <w:widowControl w:val="0"/>
        <w:spacing w:line="500" w:lineRule="exact"/>
        <w:ind w:firstLine="566" w:firstLineChars="200"/>
        <w:rPr>
          <w:rFonts w:hint="eastAsia" w:ascii="华文仿宋" w:hAnsi="华文仿宋" w:cs="华文仿宋"/>
          <w:color w:val="auto"/>
          <w:highlight w:val="none"/>
        </w:rPr>
      </w:pPr>
      <w:r>
        <w:rPr>
          <w:rFonts w:hint="eastAsia" w:ascii="华文仿宋" w:hAnsi="华文仿宋" w:cs="华文仿宋"/>
          <w:color w:val="auto"/>
          <w:highlight w:val="none"/>
        </w:rPr>
        <w:t>供应商对采购过程、中标（成交）结果，向陕西省省级单位政府采购中心提出书面询问的，陕西省省级单位政府采购中心应在三个工作日内书面答复。</w:t>
      </w:r>
    </w:p>
    <w:p w14:paraId="53E24A41">
      <w:pPr>
        <w:pStyle w:val="7"/>
        <w:widowControl w:val="0"/>
        <w:spacing w:line="500" w:lineRule="exact"/>
        <w:ind w:firstLine="566" w:firstLineChars="200"/>
        <w:rPr>
          <w:rFonts w:ascii="华文仿宋" w:cs="Times New Roman"/>
          <w:color w:val="auto"/>
          <w:sz w:val="28"/>
          <w:szCs w:val="28"/>
          <w:highlight w:val="none"/>
        </w:rPr>
      </w:pPr>
      <w:r>
        <w:rPr>
          <w:rFonts w:hint="eastAsia" w:ascii="华文仿宋" w:hAnsi="华文仿宋" w:cs="华文仿宋"/>
          <w:color w:val="auto"/>
          <w:sz w:val="28"/>
          <w:szCs w:val="28"/>
          <w:highlight w:val="none"/>
        </w:rPr>
        <w:t>（二）现场踏勘及标前答疑会</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5B7BB56">
      <w:pPr>
        <w:widowControl w:val="0"/>
        <w:spacing w:line="500" w:lineRule="exact"/>
        <w:ind w:firstLine="566" w:firstLineChars="200"/>
        <w:rPr>
          <w:rFonts w:ascii="华文仿宋" w:hAnsi="华文仿宋" w:cs="华文仿宋"/>
          <w:bCs/>
          <w:color w:val="auto"/>
          <w:highlight w:val="none"/>
        </w:rPr>
      </w:pPr>
      <w:r>
        <w:rPr>
          <w:rFonts w:hint="eastAsia" w:ascii="华文仿宋" w:hAnsi="华文仿宋" w:cs="华文仿宋"/>
          <w:bCs/>
          <w:color w:val="auto"/>
          <w:highlight w:val="none"/>
        </w:rPr>
        <w:t>采购项目安排现场考察和标前答疑的，采购人应尽量在现场予以解答（口头提问可口头答复），现场不能做出解答的，应在三个工作日内书面答复，并交由陕西省省级单位政府采购中心在财政部门指定的媒体上发布。</w:t>
      </w:r>
    </w:p>
    <w:p w14:paraId="3A02594A">
      <w:pPr>
        <w:widowControl w:val="0"/>
        <w:spacing w:line="500" w:lineRule="exact"/>
        <w:ind w:firstLine="566" w:firstLineChars="200"/>
        <w:rPr>
          <w:rFonts w:hint="eastAsia" w:ascii="华文仿宋" w:hAnsi="华文仿宋" w:cs="华文仿宋"/>
          <w:b/>
          <w:bCs w:val="0"/>
          <w:color w:val="auto"/>
          <w:highlight w:val="none"/>
          <w:lang w:val="en-US" w:eastAsia="zh-CN"/>
        </w:rPr>
      </w:pPr>
      <w:r>
        <w:rPr>
          <w:rFonts w:hint="eastAsia" w:ascii="华文仿宋" w:hAnsi="华文仿宋" w:cs="华文仿宋"/>
          <w:bCs/>
          <w:color w:val="auto"/>
          <w:highlight w:val="none"/>
        </w:rPr>
        <w:t>答复内容可能影响</w:t>
      </w:r>
      <w:r>
        <w:rPr>
          <w:rFonts w:hint="eastAsia" w:ascii="华文仿宋" w:hAnsi="华文仿宋" w:cs="华文仿宋"/>
          <w:bCs/>
          <w:color w:val="auto"/>
          <w:highlight w:val="none"/>
          <w:lang w:eastAsia="zh-CN"/>
        </w:rPr>
        <w:t>响应文件</w:t>
      </w:r>
      <w:r>
        <w:rPr>
          <w:rFonts w:hint="eastAsia" w:ascii="华文仿宋" w:hAnsi="华文仿宋" w:cs="华文仿宋"/>
          <w:bCs/>
          <w:color w:val="auto"/>
          <w:highlight w:val="none"/>
        </w:rPr>
        <w:t>编制的，应当顺延开标时间。凡未参加现场踏勘和标前答疑的</w:t>
      </w:r>
      <w:r>
        <w:rPr>
          <w:rFonts w:hint="eastAsia" w:ascii="华文仿宋" w:hAnsi="华文仿宋" w:cs="华文仿宋"/>
          <w:bCs/>
          <w:color w:val="auto"/>
          <w:highlight w:val="none"/>
          <w:lang w:eastAsia="zh-CN"/>
        </w:rPr>
        <w:t>供应商</w:t>
      </w:r>
      <w:r>
        <w:rPr>
          <w:rFonts w:hint="eastAsia" w:ascii="华文仿宋" w:hAnsi="华文仿宋" w:cs="华文仿宋"/>
          <w:bCs/>
          <w:color w:val="auto"/>
          <w:highlight w:val="none"/>
        </w:rPr>
        <w:t>，由此造成的偏差由各</w:t>
      </w:r>
      <w:r>
        <w:rPr>
          <w:rFonts w:hint="eastAsia" w:ascii="华文仿宋" w:hAnsi="华文仿宋" w:cs="华文仿宋"/>
          <w:bCs/>
          <w:color w:val="auto"/>
          <w:highlight w:val="none"/>
          <w:lang w:eastAsia="zh-CN"/>
        </w:rPr>
        <w:t>供应商</w:t>
      </w:r>
      <w:r>
        <w:rPr>
          <w:rFonts w:hint="eastAsia" w:ascii="华文仿宋" w:hAnsi="华文仿宋" w:cs="华文仿宋"/>
          <w:bCs/>
          <w:color w:val="auto"/>
          <w:highlight w:val="none"/>
        </w:rPr>
        <w:t>自行负责。</w:t>
      </w:r>
    </w:p>
    <w:p w14:paraId="2E4A6A29">
      <w:pPr>
        <w:widowControl w:val="0"/>
        <w:spacing w:line="500" w:lineRule="exact"/>
        <w:ind w:firstLine="566" w:firstLineChars="200"/>
        <w:rPr>
          <w:rFonts w:hint="eastAsia" w:ascii="华文仿宋" w:hAnsi="华文仿宋" w:cs="华文仿宋"/>
          <w:b/>
          <w:bCs w:val="0"/>
          <w:color w:val="auto"/>
          <w:highlight w:val="none"/>
        </w:rPr>
      </w:pPr>
      <w:r>
        <w:rPr>
          <w:rFonts w:hint="eastAsia" w:ascii="华文仿宋" w:hAnsi="华文仿宋" w:cs="华文仿宋"/>
          <w:b/>
          <w:bCs w:val="0"/>
          <w:color w:val="auto"/>
          <w:highlight w:val="none"/>
        </w:rPr>
        <w:t>本项目不组织</w:t>
      </w:r>
      <w:r>
        <w:rPr>
          <w:rFonts w:hint="eastAsia" w:ascii="华文仿宋" w:hAnsi="华文仿宋" w:cs="华文仿宋"/>
          <w:b/>
          <w:bCs w:val="0"/>
          <w:color w:val="auto"/>
          <w:highlight w:val="none"/>
          <w:lang w:eastAsia="zh-CN"/>
        </w:rPr>
        <w:t>集中踏勘和</w:t>
      </w:r>
      <w:r>
        <w:rPr>
          <w:rFonts w:hint="eastAsia" w:ascii="华文仿宋" w:hAnsi="华文仿宋" w:cs="华文仿宋"/>
          <w:b/>
          <w:bCs w:val="0"/>
          <w:color w:val="auto"/>
          <w:highlight w:val="none"/>
        </w:rPr>
        <w:t>标前答疑。</w:t>
      </w:r>
    </w:p>
    <w:p w14:paraId="2D78F868">
      <w:pPr>
        <w:pStyle w:val="7"/>
        <w:widowControl w:val="0"/>
        <w:spacing w:line="500" w:lineRule="exact"/>
        <w:ind w:firstLine="566" w:firstLineChars="200"/>
        <w:rPr>
          <w:rFonts w:ascii="华文仿宋" w:cs="Times New Roman"/>
          <w:color w:val="auto"/>
          <w:sz w:val="28"/>
          <w:szCs w:val="28"/>
          <w:highlight w:val="none"/>
        </w:rPr>
      </w:pPr>
      <w:bookmarkStart w:id="79" w:name="_Toc25161"/>
      <w:bookmarkStart w:id="80" w:name="_Toc23212"/>
      <w:bookmarkStart w:id="81" w:name="_Toc12086"/>
      <w:bookmarkStart w:id="82" w:name="_Toc23122"/>
      <w:bookmarkStart w:id="83" w:name="_Toc11479"/>
      <w:bookmarkStart w:id="84" w:name="_Toc29658"/>
      <w:bookmarkStart w:id="85" w:name="_Toc21760"/>
      <w:bookmarkStart w:id="86" w:name="_Toc19048"/>
      <w:bookmarkStart w:id="87" w:name="_Toc13711"/>
      <w:bookmarkStart w:id="88" w:name="_Toc30373"/>
      <w:bookmarkStart w:id="89" w:name="_Toc17393"/>
      <w:bookmarkStart w:id="90" w:name="_Toc7492"/>
      <w:bookmarkStart w:id="91" w:name="_Toc32452"/>
      <w:bookmarkStart w:id="92" w:name="_Toc13487"/>
      <w:bookmarkStart w:id="93" w:name="_Toc7114"/>
      <w:bookmarkStart w:id="94" w:name="_Toc32440"/>
      <w:bookmarkStart w:id="95" w:name="_Toc19340"/>
      <w:r>
        <w:rPr>
          <w:rFonts w:hint="eastAsia" w:ascii="华文仿宋" w:hAnsi="华文仿宋" w:cs="华文仿宋"/>
          <w:color w:val="auto"/>
          <w:sz w:val="28"/>
          <w:szCs w:val="28"/>
          <w:highlight w:val="none"/>
        </w:rPr>
        <w:t>（三）质疑和投诉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000C960">
      <w:pPr>
        <w:keepNext w:val="0"/>
        <w:keepLines w:val="0"/>
        <w:pageBreakBefore w:val="0"/>
        <w:widowControl w:val="0"/>
        <w:kinsoku/>
        <w:wordWrap/>
        <w:overflowPunct/>
        <w:topLinePunct w:val="0"/>
        <w:autoSpaceDE/>
        <w:autoSpaceDN/>
        <w:bidi w:val="0"/>
        <w:adjustRightInd/>
        <w:snapToGrid/>
        <w:spacing w:line="50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供应商如果认为磋商文件（包括采购需求、供应商资格条件、商务条款等）使自身的合法权益受到损害，可以在获取磋商文件之日起7个工作日内，以书面形式向采购人提出质疑；供应商如果认为采购过程或成交结果使自身的合法权益受到损害，可以在知道或者应知其权益受到损害之日起</w:t>
      </w:r>
      <w:r>
        <w:rPr>
          <w:rFonts w:hint="eastAsia" w:ascii="仿宋" w:hAnsi="仿宋" w:eastAsia="仿宋" w:cs="仿宋"/>
          <w:color w:val="auto"/>
          <w:highlight w:val="none"/>
        </w:rPr>
        <w:t>７</w:t>
      </w:r>
      <w:r>
        <w:rPr>
          <w:rFonts w:hint="eastAsia" w:ascii="华文仿宋" w:hAnsi="华文仿宋" w:cs="华文仿宋"/>
          <w:color w:val="auto"/>
          <w:highlight w:val="none"/>
        </w:rPr>
        <w:t>个工作日内，以书面形式向陕西省省级单位政府采购中心提出质疑。</w:t>
      </w:r>
    </w:p>
    <w:p w14:paraId="4ACD5D5A">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1、供应商提出质疑应当提交质疑函和必要的证明材料，并按财政部《质疑函范本》给定的格式进行填写，范本下载详见【财政部国库司（</w:t>
      </w:r>
      <w:r>
        <w:rPr>
          <w:rFonts w:hint="eastAsia" w:ascii="仿宋" w:hAnsi="仿宋" w:eastAsia="仿宋" w:cs="仿宋"/>
          <w:color w:val="auto"/>
          <w:highlight w:val="none"/>
        </w:rPr>
        <w:t>gks.mof.gov.cn</w:t>
      </w:r>
      <w:r>
        <w:rPr>
          <w:rFonts w:hint="eastAsia" w:ascii="华文仿宋" w:hAnsi="华文仿宋" w:cs="华文仿宋"/>
          <w:color w:val="auto"/>
          <w:highlight w:val="none"/>
        </w:rPr>
        <w:t>）】网站〖首页•〉政府采购管理〗栏目中的《政府采购供应商质疑函范本》。</w:t>
      </w:r>
    </w:p>
    <w:p w14:paraId="259B7728">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《政府采购供应商质疑函范本》链接地址：</w:t>
      </w:r>
    </w:p>
    <w:p w14:paraId="4EE670B1">
      <w:pPr>
        <w:spacing w:line="500" w:lineRule="exact"/>
        <w:ind w:firstLine="566"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"http://gks.mof.gov.cn/ztztz/zhengfucaigouguanli/201802/t20180201_2804589.htm"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http://gks.mof.gov.cn/ztztz/zhengfucaigouguanli/201802/t20180201_2804589.htm</w:t>
      </w:r>
      <w:r>
        <w:rPr>
          <w:rFonts w:hint="eastAsia" w:ascii="仿宋" w:hAnsi="仿宋" w:eastAsia="仿宋" w:cs="仿宋"/>
          <w:color w:val="auto"/>
          <w:highlight w:val="none"/>
        </w:rPr>
        <w:fldChar w:fldCharType="end"/>
      </w:r>
    </w:p>
    <w:p w14:paraId="2BDCC42C">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2、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1845DAA9">
      <w:pPr>
        <w:spacing w:line="500" w:lineRule="exact"/>
        <w:ind w:firstLine="566" w:firstLineChars="200"/>
        <w:contextualSpacing/>
        <w:rPr>
          <w:color w:val="auto"/>
          <w:highlight w:val="none"/>
        </w:rPr>
      </w:pPr>
      <w:r>
        <w:rPr>
          <w:rFonts w:hint="eastAsia" w:ascii="华文仿宋" w:hAnsi="华文仿宋" w:cs="华文仿宋"/>
          <w:color w:val="auto"/>
          <w:highlight w:val="none"/>
        </w:rPr>
        <w:t>3、在法定质疑期内，针对同一采购程序环节的质疑应当一次性提出。陕西省省级单位政府采购中心或采购人将在收到书面质疑后</w:t>
      </w:r>
      <w:r>
        <w:rPr>
          <w:rFonts w:hint="eastAsia" w:ascii="仿宋" w:hAnsi="仿宋" w:eastAsia="仿宋" w:cs="仿宋"/>
          <w:color w:val="auto"/>
          <w:highlight w:val="none"/>
        </w:rPr>
        <w:t>7</w:t>
      </w:r>
      <w:r>
        <w:rPr>
          <w:rFonts w:hint="eastAsia" w:ascii="华文仿宋" w:hAnsi="华文仿宋" w:cs="华文仿宋"/>
          <w:color w:val="auto"/>
          <w:highlight w:val="none"/>
        </w:rPr>
        <w:t>个工作日内做出答复，并以书面形式通知质疑人和其他有关供应商。</w:t>
      </w:r>
    </w:p>
    <w:p w14:paraId="5F17AEEB">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4、有下列情形之一的，属于无效质疑，陕西省省级单位政府采购中心和采购人不予受理：</w:t>
      </w:r>
    </w:p>
    <w:p w14:paraId="696621BC">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（1）质疑人不是参与本次政府采购项目的供应商或潜在供应商；</w:t>
      </w:r>
    </w:p>
    <w:p w14:paraId="2B63B426">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（2）质疑人与质疑事项不存在利害关系的；</w:t>
      </w:r>
    </w:p>
    <w:p w14:paraId="4FEF8A9D">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（3）未在法定期限内提出质疑的；</w:t>
      </w:r>
    </w:p>
    <w:p w14:paraId="7A6C7E33">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（4）质疑未以书面形式提出，或质疑函主要内容构成不完整的，或缺乏必要的证明材料及证明材料不完整的；</w:t>
      </w:r>
    </w:p>
    <w:p w14:paraId="2E598EA7">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（5）质疑函没有合法有效的签字、盖章或授权的；</w:t>
      </w:r>
    </w:p>
    <w:p w14:paraId="4E88BF70">
      <w:pPr>
        <w:spacing w:line="50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（6）以非法手段取得证据、材料的；</w:t>
      </w:r>
    </w:p>
    <w:p w14:paraId="178FA4DA">
      <w:pPr>
        <w:keepNext w:val="0"/>
        <w:keepLines w:val="0"/>
        <w:pageBreakBefore w:val="0"/>
        <w:widowControl w:val="0"/>
        <w:kinsoku/>
        <w:wordWrap/>
        <w:overflowPunct/>
        <w:topLinePunct w:val="0"/>
        <w:autoSpaceDE/>
        <w:autoSpaceDN/>
        <w:bidi w:val="0"/>
        <w:adjustRightInd/>
        <w:snapToGrid/>
        <w:spacing w:line="50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（7）不符合法律、法规、规章和政府采购监管机构规定的其他条件的。</w:t>
      </w:r>
    </w:p>
    <w:p w14:paraId="21BDBE73">
      <w:pPr>
        <w:keepNext w:val="0"/>
        <w:keepLines w:val="0"/>
        <w:pageBreakBefore w:val="0"/>
        <w:widowControl w:val="0"/>
        <w:kinsoku/>
        <w:wordWrap/>
        <w:overflowPunct/>
        <w:topLinePunct w:val="0"/>
        <w:autoSpaceDE/>
        <w:autoSpaceDN/>
        <w:bidi w:val="0"/>
        <w:adjustRightInd/>
        <w:snapToGrid/>
        <w:spacing w:line="50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5、质疑人对陕西省省级单位政府采购中心或采购人的答复不满意，以及陕西省省级单位政府采购中心或采购人未在规定时间内做出答复的，可以在答复期满后</w:t>
      </w:r>
      <w:r>
        <w:rPr>
          <w:rFonts w:hint="eastAsia" w:ascii="仿宋" w:hAnsi="仿宋" w:eastAsia="仿宋" w:cs="仿宋"/>
          <w:color w:val="auto"/>
          <w:highlight w:val="none"/>
        </w:rPr>
        <w:t>15</w:t>
      </w:r>
      <w:r>
        <w:rPr>
          <w:rFonts w:hint="eastAsia" w:ascii="华文仿宋" w:hAnsi="华文仿宋" w:cs="华文仿宋"/>
          <w:color w:val="auto"/>
          <w:highlight w:val="none"/>
        </w:rPr>
        <w:t>个工作日内向政府采购监管机构提出投诉。</w:t>
      </w:r>
    </w:p>
    <w:p w14:paraId="42913422">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6、供应商投诉的事项不得超出已质疑事项的范围。</w:t>
      </w:r>
    </w:p>
    <w:p w14:paraId="5AEB658F">
      <w:pPr>
        <w:spacing w:line="500" w:lineRule="exact"/>
        <w:ind w:firstLine="566" w:firstLineChars="200"/>
        <w:rPr>
          <w:rFonts w:ascii="华文仿宋" w:hAnsi="华文仿宋" w:cs="华文仿宋"/>
          <w:b/>
          <w:color w:val="auto"/>
          <w:highlight w:val="none"/>
        </w:rPr>
      </w:pPr>
      <w:r>
        <w:rPr>
          <w:rFonts w:hint="eastAsia" w:ascii="华文仿宋" w:hAnsi="华文仿宋" w:cs="华文仿宋"/>
          <w:b/>
          <w:bCs/>
          <w:color w:val="auto"/>
          <w:highlight w:val="none"/>
        </w:rPr>
        <w:t>7、</w:t>
      </w:r>
      <w:r>
        <w:rPr>
          <w:rFonts w:hint="eastAsia" w:ascii="华文仿宋" w:hAnsi="华文仿宋" w:cs="华文仿宋"/>
          <w:b/>
          <w:color w:val="auto"/>
          <w:highlight w:val="none"/>
        </w:rPr>
        <w:t>对捏造事实、提供虚假材料进行质疑、投诉的行为予以严肃处理：</w:t>
      </w:r>
    </w:p>
    <w:p w14:paraId="047ED594">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依据</w:t>
      </w:r>
      <w:r>
        <w:rPr>
          <w:rFonts w:hint="eastAsia"/>
          <w:color w:val="auto"/>
          <w:highlight w:val="none"/>
        </w:rPr>
        <w:t>《中华人民共和国政府采购法》及其实施条例、《政府采购竞争性磋商</w:t>
      </w:r>
      <w:r>
        <w:rPr>
          <w:rFonts w:hint="eastAsia"/>
          <w:color w:val="auto"/>
          <w:highlight w:val="none"/>
          <w:lang w:eastAsia="zh-CN"/>
        </w:rPr>
        <w:t>采购人</w:t>
      </w:r>
      <w:r>
        <w:rPr>
          <w:rFonts w:hint="eastAsia"/>
          <w:color w:val="auto"/>
          <w:highlight w:val="none"/>
        </w:rPr>
        <w:t>式管理暂行办法》及有关问题的补充通知、《政府采购质疑和投诉办法》等法律法规文件的规定，供应商质疑、投诉应当有明确的请求和必要的证明材料。</w:t>
      </w:r>
      <w:r>
        <w:rPr>
          <w:rFonts w:hint="eastAsia"/>
          <w:b/>
          <w:bCs/>
          <w:color w:val="auto"/>
          <w:highlight w:val="none"/>
        </w:rPr>
        <w:t>投诉人在全国范围内十二个月内三次以上投诉查无实据的，由财政部门列入不良行为记录名单</w:t>
      </w:r>
      <w:r>
        <w:rPr>
          <w:rFonts w:hint="eastAsia"/>
          <w:color w:val="auto"/>
          <w:highlight w:val="none"/>
        </w:rPr>
        <w:t>。对于捏造事实、提供虚假材料或者以非法手段取得证明材料进行投诉的，财政部门应当予以驳回，并将其列入不良行为记录名单，禁止其一至三年内参加政府采购活动。</w:t>
      </w:r>
    </w:p>
    <w:p w14:paraId="2FC121A7">
      <w:pPr>
        <w:spacing w:line="500" w:lineRule="exact"/>
        <w:ind w:firstLine="566" w:firstLineChars="200"/>
        <w:rPr>
          <w:rFonts w:ascii="华文仿宋" w:hAnsi="华文仿宋" w:cs="华文仿宋"/>
          <w:b/>
          <w:color w:val="auto"/>
          <w:highlight w:val="none"/>
        </w:rPr>
      </w:pPr>
      <w:r>
        <w:rPr>
          <w:rFonts w:hint="eastAsia" w:ascii="华文仿宋" w:hAnsi="华文仿宋" w:cs="华文仿宋"/>
          <w:color w:val="auto"/>
          <w:highlight w:val="none"/>
        </w:rPr>
        <w:t>8、</w:t>
      </w:r>
      <w:r>
        <w:rPr>
          <w:rFonts w:hint="eastAsia" w:ascii="华文仿宋" w:hAnsi="华文仿宋" w:cs="华文仿宋"/>
          <w:b/>
          <w:color w:val="auto"/>
          <w:highlight w:val="none"/>
        </w:rPr>
        <w:t>对捏造事实诬告陷害他人、诽谤他人的法律适用：</w:t>
      </w:r>
    </w:p>
    <w:p w14:paraId="1306D8F5">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《中华人民共和国刑法》第</w:t>
      </w:r>
      <w:r>
        <w:rPr>
          <w:rFonts w:hint="eastAsia" w:ascii="仿宋" w:hAnsi="仿宋" w:eastAsia="仿宋" w:cs="仿宋"/>
          <w:color w:val="auto"/>
          <w:highlight w:val="none"/>
        </w:rPr>
        <w:t>243</w:t>
      </w:r>
      <w:r>
        <w:rPr>
          <w:rFonts w:hint="eastAsia" w:ascii="华文仿宋" w:hAnsi="华文仿宋" w:cs="华文仿宋"/>
          <w:color w:val="auto"/>
          <w:highlight w:val="none"/>
        </w:rPr>
        <w:t>条【诬告陷害罪】捏造事实诬告陷害他人，意图使他人受刑事追究，情节严重的，处三年以下有期徒刑、拘役或者管制；造成严重后果的，处三年以上十年以下有期徒刑。</w:t>
      </w:r>
    </w:p>
    <w:p w14:paraId="275D39C8">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《中华人民共和国刑法》第</w:t>
      </w:r>
      <w:r>
        <w:rPr>
          <w:rFonts w:hint="eastAsia" w:ascii="仿宋" w:hAnsi="仿宋" w:eastAsia="仿宋" w:cs="仿宋"/>
          <w:color w:val="auto"/>
          <w:highlight w:val="none"/>
        </w:rPr>
        <w:t>246</w:t>
      </w:r>
      <w:r>
        <w:rPr>
          <w:rFonts w:hint="eastAsia" w:ascii="华文仿宋" w:hAnsi="华文仿宋" w:cs="华文仿宋"/>
          <w:color w:val="auto"/>
          <w:highlight w:val="none"/>
        </w:rPr>
        <w:t>条【侮辱罪、诽谤罪】以暴力或者其他方法公然侮辱他人或者捏造事实诽谤他人，情节严重的，处三年以下有期徒刑、拘役、管制或者剥夺政治权利。</w:t>
      </w:r>
    </w:p>
    <w:p w14:paraId="2B09052D">
      <w:pPr>
        <w:spacing w:line="500" w:lineRule="exact"/>
        <w:ind w:firstLine="566" w:firstLineChars="200"/>
        <w:contextualSpacing/>
        <w:rPr>
          <w:rFonts w:ascii="仿宋" w:hAnsi="仿宋" w:eastAsia="仿宋"/>
          <w:color w:val="auto"/>
          <w:highlight w:val="none"/>
        </w:rPr>
      </w:pPr>
      <w:r>
        <w:rPr>
          <w:rFonts w:hint="eastAsia" w:ascii="华文仿宋" w:hAnsi="华文仿宋" w:cs="华文仿宋"/>
          <w:color w:val="auto"/>
          <w:highlight w:val="none"/>
        </w:rPr>
        <w:t>9、</w:t>
      </w:r>
      <w:r>
        <w:rPr>
          <w:rFonts w:hint="eastAsia" w:ascii="仿宋" w:hAnsi="仿宋" w:eastAsia="仿宋" w:cs="Times New Roman"/>
          <w:color w:val="auto"/>
          <w:highlight w:val="none"/>
        </w:rPr>
        <w:t>质疑函递交地址：陕西省公共资源交易中心交易受理处</w:t>
      </w:r>
    </w:p>
    <w:p w14:paraId="67FE1AAE">
      <w:pPr>
        <w:spacing w:line="500" w:lineRule="exact"/>
        <w:ind w:firstLine="566" w:firstLineChars="200"/>
        <w:contextualSpacing/>
        <w:rPr>
          <w:rFonts w:hint="eastAsia" w:ascii="仿宋" w:hAnsi="仿宋" w:eastAsia="仿宋"/>
          <w:color w:val="auto"/>
          <w:highlight w:val="none"/>
          <w:lang w:eastAsia="zh-CN"/>
        </w:rPr>
      </w:pPr>
      <w:r>
        <w:rPr>
          <w:rFonts w:hint="eastAsia" w:ascii="仿宋" w:hAnsi="仿宋" w:eastAsia="仿宋"/>
          <w:color w:val="auto"/>
          <w:highlight w:val="none"/>
        </w:rPr>
        <w:t>联系电话：</w:t>
      </w:r>
      <w:r>
        <w:rPr>
          <w:rFonts w:ascii="仿宋" w:hAnsi="仿宋" w:eastAsia="仿宋"/>
          <w:color w:val="auto"/>
          <w:highlight w:val="none"/>
        </w:rPr>
        <w:t>029-8866125</w:t>
      </w:r>
      <w:r>
        <w:rPr>
          <w:rFonts w:hint="eastAsia" w:ascii="仿宋" w:hAnsi="仿宋" w:eastAsia="仿宋"/>
          <w:color w:val="auto"/>
          <w:highlight w:val="none"/>
          <w:lang w:val="en-US" w:eastAsia="zh-CN"/>
        </w:rPr>
        <w:t>7</w:t>
      </w:r>
    </w:p>
    <w:p w14:paraId="6F8CC86F">
      <w:pPr>
        <w:pStyle w:val="42"/>
        <w:spacing w:line="500" w:lineRule="exact"/>
        <w:ind w:firstLine="566" w:firstLineChars="200"/>
        <w:contextualSpacing/>
        <w:rPr>
          <w:rFonts w:ascii="仿宋" w:hAnsi="仿宋" w:eastAsia="仿宋"/>
          <w:color w:val="auto"/>
          <w:highlight w:val="none"/>
        </w:rPr>
      </w:pPr>
      <w:r>
        <w:rPr>
          <w:rFonts w:hint="eastAsia" w:ascii="仿宋" w:hAnsi="仿宋" w:eastAsia="仿宋"/>
          <w:color w:val="auto"/>
          <w:highlight w:val="none"/>
        </w:rPr>
        <w:t>投诉书递交地址：</w:t>
      </w:r>
      <w:r>
        <w:rPr>
          <w:rFonts w:hint="eastAsia"/>
          <w:color w:val="auto"/>
          <w:highlight w:val="none"/>
        </w:rPr>
        <w:t>西安市莲湖区冰窖巷</w:t>
      </w:r>
      <w:r>
        <w:rPr>
          <w:rFonts w:hint="eastAsia" w:ascii="仿宋" w:hAnsi="仿宋" w:eastAsia="仿宋" w:cs="仿宋"/>
          <w:color w:val="auto"/>
          <w:highlight w:val="none"/>
        </w:rPr>
        <w:t>6</w:t>
      </w:r>
      <w:r>
        <w:rPr>
          <w:rFonts w:hint="eastAsia"/>
          <w:color w:val="auto"/>
          <w:highlight w:val="none"/>
        </w:rPr>
        <w:t>号</w:t>
      </w:r>
      <w:r>
        <w:rPr>
          <w:rFonts w:hint="eastAsia" w:ascii="仿宋" w:hAnsi="仿宋" w:eastAsia="仿宋"/>
          <w:color w:val="auto"/>
          <w:highlight w:val="none"/>
        </w:rPr>
        <w:t>陕西省财政厅</w:t>
      </w:r>
      <w:r>
        <w:rPr>
          <w:rFonts w:ascii="仿宋" w:hAnsi="仿宋" w:eastAsia="仿宋"/>
          <w:color w:val="auto"/>
          <w:highlight w:val="none"/>
        </w:rPr>
        <w:t>509</w:t>
      </w:r>
      <w:r>
        <w:rPr>
          <w:rFonts w:hint="eastAsia" w:ascii="仿宋" w:hAnsi="仿宋" w:eastAsia="仿宋"/>
          <w:color w:val="auto"/>
          <w:highlight w:val="none"/>
        </w:rPr>
        <w:t>室</w:t>
      </w:r>
    </w:p>
    <w:p w14:paraId="615B9146">
      <w:pPr>
        <w:spacing w:line="500" w:lineRule="exact"/>
        <w:ind w:firstLine="566" w:firstLineChars="200"/>
        <w:contextualSpacing/>
        <w:rPr>
          <w:rFonts w:ascii="华文仿宋" w:hAnsi="华文仿宋" w:cs="华文仿宋"/>
          <w:color w:val="auto"/>
          <w:highlight w:val="none"/>
        </w:rPr>
      </w:pPr>
      <w:r>
        <w:rPr>
          <w:rFonts w:hint="eastAsia" w:ascii="仿宋" w:hAnsi="仿宋" w:eastAsia="仿宋"/>
          <w:color w:val="auto"/>
          <w:highlight w:val="none"/>
        </w:rPr>
        <w:t>联系电话：</w:t>
      </w:r>
      <w:r>
        <w:rPr>
          <w:rFonts w:ascii="仿宋" w:hAnsi="仿宋" w:eastAsia="仿宋"/>
          <w:color w:val="auto"/>
          <w:highlight w:val="none"/>
        </w:rPr>
        <w:t>029-68936154</w:t>
      </w:r>
    </w:p>
    <w:p w14:paraId="44E94A6C">
      <w:pPr>
        <w:pStyle w:val="7"/>
        <w:widowControl w:val="0"/>
        <w:spacing w:line="500" w:lineRule="exact"/>
        <w:ind w:firstLine="566" w:firstLineChars="200"/>
        <w:rPr>
          <w:rFonts w:ascii="华文仿宋" w:cs="Times New Roman"/>
          <w:color w:val="auto"/>
          <w:sz w:val="28"/>
          <w:szCs w:val="28"/>
          <w:highlight w:val="none"/>
        </w:rPr>
      </w:pPr>
      <w:bookmarkStart w:id="96" w:name="_Toc7801"/>
      <w:bookmarkStart w:id="97" w:name="_Toc5260"/>
      <w:bookmarkStart w:id="98" w:name="_Toc6747"/>
      <w:bookmarkStart w:id="99" w:name="_Toc13615"/>
      <w:bookmarkStart w:id="100" w:name="_Toc25731"/>
      <w:bookmarkStart w:id="101" w:name="_Toc18975"/>
      <w:r>
        <w:rPr>
          <w:rFonts w:hint="eastAsia" w:ascii="华文仿宋" w:hAnsi="华文仿宋" w:cs="华文仿宋"/>
          <w:color w:val="auto"/>
          <w:sz w:val="28"/>
          <w:szCs w:val="28"/>
          <w:highlight w:val="none"/>
        </w:rPr>
        <w:t>（四）关于信用记录的查询和使用</w:t>
      </w:r>
      <w:bookmarkEnd w:id="96"/>
      <w:bookmarkEnd w:id="97"/>
      <w:bookmarkEnd w:id="98"/>
      <w:bookmarkEnd w:id="99"/>
      <w:bookmarkEnd w:id="100"/>
      <w:bookmarkEnd w:id="101"/>
    </w:p>
    <w:p w14:paraId="60568677">
      <w:pPr>
        <w:widowControl w:val="0"/>
        <w:wordWrap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磋商小组</w:t>
      </w:r>
      <w:r>
        <w:rPr>
          <w:rFonts w:hint="eastAsia" w:ascii="华文仿宋" w:hAnsi="华文仿宋" w:cs="华文仿宋"/>
          <w:color w:val="auto"/>
          <w:highlight w:val="none"/>
        </w:rPr>
        <w:t>将在资格审查阶段通过【</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5"/>
          <w:rFonts w:hint="eastAsia" w:ascii="华文仿宋" w:hAnsi="华文仿宋" w:cs="华文仿宋"/>
          <w:color w:val="auto"/>
          <w:sz w:val="28"/>
          <w:szCs w:val="28"/>
          <w:highlight w:val="none"/>
        </w:rPr>
        <w:t>信用中国</w:t>
      </w:r>
      <w:r>
        <w:rPr>
          <w:rStyle w:val="35"/>
          <w:rFonts w:hint="eastAsia" w:ascii="华文仿宋" w:hAnsi="华文仿宋" w:cs="华文仿宋"/>
          <w:color w:val="auto"/>
          <w:sz w:val="28"/>
          <w:szCs w:val="28"/>
          <w:highlight w:val="none"/>
        </w:rPr>
        <w:fldChar w:fldCharType="end"/>
      </w:r>
      <w:r>
        <w:rPr>
          <w:rFonts w:hint="eastAsia" w:ascii="华文仿宋" w:hAnsi="华文仿宋" w:cs="华文仿宋"/>
          <w:color w:val="auto"/>
          <w:highlight w:val="none"/>
        </w:rPr>
        <w:t>（</w:t>
      </w:r>
      <w:r>
        <w:rPr>
          <w:rFonts w:ascii="仿宋" w:hAnsi="仿宋" w:eastAsia="仿宋" w:cs="仿宋"/>
          <w:color w:val="auto"/>
          <w:highlight w:val="none"/>
        </w:rPr>
        <w:t>www.creditchina.gov.cn</w:t>
      </w:r>
      <w:r>
        <w:rPr>
          <w:rFonts w:hint="eastAsia" w:ascii="华文仿宋" w:hAnsi="华文仿宋" w:cs="华文仿宋"/>
          <w:color w:val="auto"/>
          <w:highlight w:val="none"/>
        </w:rPr>
        <w:t>）】、【</w:t>
      </w:r>
      <w:r>
        <w:rPr>
          <w:color w:val="auto"/>
          <w:highlight w:val="none"/>
        </w:rPr>
        <w:fldChar w:fldCharType="begin"/>
      </w:r>
      <w:r>
        <w:rPr>
          <w:color w:val="auto"/>
          <w:highlight w:val="none"/>
        </w:rPr>
        <w:instrText xml:space="preserve"> HYPERLINK "http://www.ccgp.gov.cn/cr/list" </w:instrText>
      </w:r>
      <w:r>
        <w:rPr>
          <w:color w:val="auto"/>
          <w:highlight w:val="none"/>
        </w:rPr>
        <w:fldChar w:fldCharType="separate"/>
      </w:r>
      <w:r>
        <w:rPr>
          <w:rStyle w:val="35"/>
          <w:rFonts w:hint="eastAsia" w:ascii="华文仿宋" w:hAnsi="华文仿宋" w:cs="华文仿宋"/>
          <w:color w:val="auto"/>
          <w:sz w:val="28"/>
          <w:szCs w:val="28"/>
          <w:highlight w:val="none"/>
        </w:rPr>
        <w:t>中国政府采购网</w:t>
      </w:r>
      <w:r>
        <w:rPr>
          <w:rStyle w:val="35"/>
          <w:rFonts w:hint="eastAsia" w:ascii="华文仿宋" w:hAnsi="华文仿宋" w:cs="华文仿宋"/>
          <w:color w:val="auto"/>
          <w:sz w:val="28"/>
          <w:szCs w:val="28"/>
          <w:highlight w:val="none"/>
        </w:rPr>
        <w:fldChar w:fldCharType="end"/>
      </w:r>
      <w:r>
        <w:rPr>
          <w:rFonts w:hint="eastAsia" w:ascii="华文仿宋" w:hAnsi="华文仿宋" w:cs="华文仿宋"/>
          <w:color w:val="auto"/>
          <w:highlight w:val="none"/>
        </w:rPr>
        <w:t>（</w:t>
      </w:r>
      <w:r>
        <w:rPr>
          <w:rFonts w:ascii="仿宋" w:hAnsi="仿宋" w:eastAsia="仿宋" w:cs="仿宋"/>
          <w:color w:val="auto"/>
          <w:highlight w:val="none"/>
        </w:rPr>
        <w:t>www.ccgp.gov.cn</w:t>
      </w:r>
      <w:r>
        <w:rPr>
          <w:rFonts w:hint="eastAsia" w:ascii="华文仿宋" w:hAnsi="华文仿宋" w:cs="华文仿宋"/>
          <w:color w:val="auto"/>
          <w:highlight w:val="none"/>
        </w:rPr>
        <w:t>）】网站对</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中的《供应商信用记录书面声明函》的信用情况进行甄别。对列入失信被执行人、重大税收违法案件当事人名单、政府采购严重违法失信行为记录名单及其他不符合《中华人民共和国政府采购法》第二十二条规定条件的</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，根据《关于在政府采购活动中查询及使用信用记录有关问题的通知》（财库</w:t>
      </w:r>
      <w:r>
        <w:rPr>
          <w:rFonts w:hint="eastAsia" w:ascii="仿宋" w:hAnsi="仿宋" w:eastAsia="仿宋" w:cs="仿宋"/>
          <w:color w:val="auto"/>
          <w:highlight w:val="none"/>
        </w:rPr>
        <w:t>〔</w:t>
      </w:r>
      <w:r>
        <w:rPr>
          <w:rFonts w:ascii="仿宋" w:hAnsi="仿宋" w:eastAsia="仿宋" w:cs="仿宋"/>
          <w:color w:val="auto"/>
          <w:highlight w:val="none"/>
        </w:rPr>
        <w:t>2016</w:t>
      </w:r>
      <w:r>
        <w:rPr>
          <w:rFonts w:hint="eastAsia" w:ascii="仿宋" w:hAnsi="仿宋" w:eastAsia="仿宋" w:cs="仿宋"/>
          <w:color w:val="auto"/>
          <w:highlight w:val="none"/>
        </w:rPr>
        <w:t>〕</w:t>
      </w:r>
      <w:r>
        <w:rPr>
          <w:rFonts w:ascii="仿宋" w:hAnsi="仿宋" w:eastAsia="仿宋" w:cs="仿宋"/>
          <w:color w:val="auto"/>
          <w:highlight w:val="none"/>
        </w:rPr>
        <w:t>125</w:t>
      </w:r>
      <w:r>
        <w:rPr>
          <w:rFonts w:hint="eastAsia" w:ascii="华文仿宋" w:hAnsi="华文仿宋" w:cs="华文仿宋"/>
          <w:color w:val="auto"/>
          <w:highlight w:val="none"/>
        </w:rPr>
        <w:t>号）的第二条第（三）款规定，其</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或成交资格将被取消。</w:t>
      </w:r>
    </w:p>
    <w:p w14:paraId="20577345">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在参加政府采购活动前</w:t>
      </w:r>
      <w:r>
        <w:rPr>
          <w:rFonts w:ascii="仿宋" w:hAnsi="仿宋" w:eastAsia="仿宋" w:cs="仿宋"/>
          <w:color w:val="auto"/>
          <w:highlight w:val="none"/>
        </w:rPr>
        <w:t>3</w:t>
      </w:r>
      <w:r>
        <w:rPr>
          <w:rFonts w:hint="eastAsia" w:ascii="华文仿宋" w:hAnsi="华文仿宋" w:cs="华文仿宋"/>
          <w:color w:val="auto"/>
          <w:highlight w:val="none"/>
        </w:rPr>
        <w:t>年内因违法经营被禁止在一定期限内参加政府采购活动，期限届满的，可以参加政府采购活动的，但</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应提供相关证明材料。</w:t>
      </w:r>
    </w:p>
    <w:p w14:paraId="4D058014">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3</w:t>
      </w:r>
      <w:r>
        <w:rPr>
          <w:rFonts w:hint="eastAsia" w:ascii="华文仿宋" w:hAnsi="华文仿宋" w:cs="华文仿宋"/>
          <w:color w:val="auto"/>
          <w:highlight w:val="none"/>
        </w:rPr>
        <w:t>、供应商信用记录及</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基本信息查询的时间段为“磋商公告发布之日（含当日）至提交响应文件截止之日（含当日）”。信用记录查询的结果，可以纸质截图或将截图保存至电子介质的形式留存。供应商未如实填报《供应商信用记录书面声明函》的，视为“供应商提供虚假材料谋取中标、成交的”行为。</w:t>
      </w:r>
    </w:p>
    <w:p w14:paraId="4BA71511">
      <w:pPr>
        <w:widowControl w:val="0"/>
        <w:spacing w:line="500" w:lineRule="exact"/>
        <w:ind w:firstLine="566" w:firstLineChars="200"/>
        <w:rPr>
          <w:rFonts w:ascii="华文仿宋" w:cs="Times New Roman"/>
          <w:b/>
          <w:bCs/>
          <w:color w:val="auto"/>
          <w:highlight w:val="none"/>
        </w:rPr>
      </w:pPr>
      <w:r>
        <w:rPr>
          <w:rFonts w:ascii="华文仿宋" w:hAnsi="华文仿宋" w:cs="华文仿宋"/>
          <w:color w:val="auto"/>
          <w:highlight w:val="none"/>
        </w:rPr>
        <w:t>4</w:t>
      </w:r>
      <w:r>
        <w:rPr>
          <w:rFonts w:hint="eastAsia" w:ascii="华文仿宋" w:hAnsi="华文仿宋" w:cs="华文仿宋"/>
          <w:color w:val="auto"/>
          <w:highlight w:val="none"/>
        </w:rPr>
        <w:t>、两个以上的自然人、法人或者其他组织组成一个联合体，以一个</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的身份共同参加政府采购活动的，应当对所有联合体成员进行信用记录查询，联合体成员存在不良信用记录的，视同联合体存在不良信用记录。</w:t>
      </w:r>
    </w:p>
    <w:p w14:paraId="6872B942">
      <w:pPr>
        <w:pStyle w:val="7"/>
        <w:widowControl w:val="0"/>
        <w:spacing w:line="500" w:lineRule="exact"/>
        <w:ind w:firstLine="566" w:firstLineChars="200"/>
        <w:rPr>
          <w:rFonts w:ascii="华文仿宋" w:cs="Times New Roman"/>
          <w:color w:val="auto"/>
          <w:sz w:val="28"/>
          <w:szCs w:val="28"/>
          <w:highlight w:val="none"/>
        </w:rPr>
      </w:pPr>
      <w:bookmarkStart w:id="102" w:name="_Toc21151"/>
      <w:bookmarkStart w:id="103" w:name="_Toc5640"/>
      <w:bookmarkStart w:id="104" w:name="_Toc8532"/>
      <w:bookmarkStart w:id="105" w:name="_Toc17203"/>
      <w:bookmarkStart w:id="106" w:name="_Toc22297"/>
      <w:bookmarkStart w:id="107" w:name="_Toc24208"/>
      <w:r>
        <w:rPr>
          <w:rFonts w:hint="eastAsia" w:ascii="华文仿宋" w:hAnsi="华文仿宋" w:cs="华文仿宋"/>
          <w:color w:val="auto"/>
          <w:sz w:val="28"/>
          <w:szCs w:val="28"/>
          <w:highlight w:val="none"/>
        </w:rPr>
        <w:t>（五）落实的政府采购政策</w:t>
      </w:r>
      <w:bookmarkEnd w:id="102"/>
      <w:bookmarkEnd w:id="103"/>
      <w:bookmarkEnd w:id="104"/>
      <w:bookmarkEnd w:id="105"/>
      <w:bookmarkEnd w:id="106"/>
      <w:bookmarkEnd w:id="107"/>
    </w:p>
    <w:p w14:paraId="3BFD1EF2">
      <w:pPr>
        <w:widowControl w:val="0"/>
        <w:spacing w:line="500" w:lineRule="exact"/>
        <w:ind w:firstLine="566" w:firstLineChars="200"/>
        <w:rPr>
          <w:rFonts w:ascii="华文仿宋" w:hAnsi="华文仿宋" w:cs="华文仿宋"/>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、根据《政府采购促进</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发展管理办法》（财库</w:t>
      </w:r>
      <w:r>
        <w:rPr>
          <w:rFonts w:hint="eastAsia" w:ascii="仿宋" w:hAnsi="仿宋" w:eastAsia="仿宋" w:cs="仿宋"/>
          <w:color w:val="auto"/>
          <w:highlight w:val="none"/>
        </w:rPr>
        <w:t>〔2020〕46</w:t>
      </w:r>
      <w:r>
        <w:rPr>
          <w:rFonts w:hint="eastAsia" w:ascii="华文仿宋" w:hAnsi="华文仿宋" w:cs="华文仿宋"/>
          <w:color w:val="auto"/>
          <w:highlight w:val="none"/>
        </w:rPr>
        <w:t>号）的有关规定，在货物采购项目中，货物由</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制造，即货物由</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生产且使用该</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商号或者注册商标；在工程采购项目中，工程由</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承建，即工程施工单位为</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；在服务采购项目中，服务由</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承接，即提供服务的人员为</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依照《中华人民共和国民法典》订立劳动合同的从业人员，则参与政府采购活动时，享受</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扶持政策。</w:t>
      </w:r>
    </w:p>
    <w:p w14:paraId="11E0D74B">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在货物采购项目中，</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提供的货物既有</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制造货物，也有大型</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制造货物的，不享受政府采购价格扣除优惠政策。</w:t>
      </w:r>
    </w:p>
    <w:p w14:paraId="353E2850">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接受大中型</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与</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组成联合体或者允许大中型</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向一家或者多家</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分包的采购项目，对于联合协议或者分包意向协议约定</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的合同份额占到合同总金额</w:t>
      </w:r>
      <w:r>
        <w:rPr>
          <w:rFonts w:hint="eastAsia" w:ascii="仿宋" w:hAnsi="仿宋" w:eastAsia="仿宋" w:cs="仿宋"/>
          <w:color w:val="auto"/>
          <w:highlight w:val="none"/>
        </w:rPr>
        <w:t>30%</w:t>
      </w:r>
      <w:r>
        <w:rPr>
          <w:rFonts w:hint="eastAsia" w:ascii="华文仿宋" w:hAnsi="华文仿宋" w:cs="华文仿宋"/>
          <w:color w:val="auto"/>
          <w:highlight w:val="none"/>
        </w:rPr>
        <w:t>以上的，货物和服务项目可给予联合体或者大中型</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的报价</w:t>
      </w:r>
      <w:r>
        <w:rPr>
          <w:rFonts w:hint="eastAsia" w:ascii="仿宋" w:hAnsi="仿宋" w:eastAsia="仿宋" w:cs="仿宋"/>
          <w:color w:val="auto"/>
          <w:highlight w:val="none"/>
        </w:rPr>
        <w:t>2%-3%</w:t>
      </w:r>
      <w:r>
        <w:rPr>
          <w:rFonts w:hint="eastAsia" w:ascii="华文仿宋" w:hAnsi="华文仿宋" w:cs="华文仿宋"/>
          <w:color w:val="auto"/>
          <w:highlight w:val="none"/>
        </w:rPr>
        <w:t>的扣除，工程项目为</w:t>
      </w:r>
      <w:r>
        <w:rPr>
          <w:rFonts w:hint="eastAsia" w:ascii="仿宋" w:hAnsi="仿宋" w:eastAsia="仿宋" w:cs="仿宋"/>
          <w:color w:val="auto"/>
          <w:highlight w:val="none"/>
        </w:rPr>
        <w:t>1%—2%</w:t>
      </w:r>
      <w:r>
        <w:rPr>
          <w:rFonts w:hint="eastAsia" w:ascii="华文仿宋" w:hAnsi="华文仿宋" w:cs="华文仿宋"/>
          <w:color w:val="auto"/>
          <w:highlight w:val="none"/>
        </w:rPr>
        <w:t>的扣除。联合体各方均为小型、</w:t>
      </w:r>
      <w:r>
        <w:rPr>
          <w:rFonts w:hint="eastAsia" w:ascii="华文仿宋" w:hAnsi="华文仿宋" w:cs="华文仿宋"/>
          <w:color w:val="auto"/>
          <w:highlight w:val="none"/>
          <w:lang w:eastAsia="zh-CN"/>
        </w:rPr>
        <w:t>微型企业</w:t>
      </w:r>
      <w:r>
        <w:rPr>
          <w:rFonts w:hint="eastAsia" w:ascii="华文仿宋" w:hAnsi="华文仿宋" w:cs="华文仿宋"/>
          <w:color w:val="auto"/>
          <w:highlight w:val="none"/>
        </w:rPr>
        <w:t>的，联合体视同为小型、</w:t>
      </w:r>
      <w:r>
        <w:rPr>
          <w:rFonts w:hint="eastAsia" w:ascii="华文仿宋" w:hAnsi="华文仿宋" w:cs="华文仿宋"/>
          <w:color w:val="auto"/>
          <w:highlight w:val="none"/>
          <w:lang w:eastAsia="zh-CN"/>
        </w:rPr>
        <w:t>微型企业</w:t>
      </w:r>
      <w:r>
        <w:rPr>
          <w:rFonts w:hint="eastAsia" w:ascii="华文仿宋" w:hAnsi="华文仿宋" w:cs="华文仿宋"/>
          <w:color w:val="auto"/>
          <w:highlight w:val="none"/>
        </w:rPr>
        <w:t>。组成联合体或者接受分包的</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与联合体内其他</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、分包</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之间存在直接控股、管理关系的，不享受价格扣除优惠政策。</w:t>
      </w:r>
    </w:p>
    <w:p w14:paraId="43441FCA">
      <w:pPr>
        <w:widowControl w:val="0"/>
        <w:spacing w:line="500" w:lineRule="exact"/>
        <w:ind w:firstLine="566" w:firstLineChars="200"/>
        <w:rPr>
          <w:color w:val="auto"/>
          <w:highlight w:val="none"/>
        </w:rPr>
      </w:pPr>
      <w:r>
        <w:rPr>
          <w:rFonts w:hint="eastAsia" w:ascii="华文仿宋" w:hAnsi="华文仿宋" w:cs="华文仿宋"/>
          <w:color w:val="auto"/>
          <w:highlight w:val="none"/>
        </w:rPr>
        <w:t>根据《关于进一步加大政府采购支持</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力度的通知》（财库</w:t>
      </w:r>
      <w:r>
        <w:rPr>
          <w:rFonts w:hint="eastAsia" w:ascii="仿宋" w:hAnsi="仿宋" w:eastAsia="仿宋" w:cs="仿宋"/>
          <w:color w:val="auto"/>
          <w:highlight w:val="none"/>
        </w:rPr>
        <w:t>〔2022〕19</w:t>
      </w:r>
      <w:r>
        <w:rPr>
          <w:rFonts w:hint="eastAsia" w:ascii="华文仿宋" w:hAnsi="华文仿宋" w:cs="华文仿宋"/>
          <w:color w:val="auto"/>
          <w:highlight w:val="none"/>
        </w:rPr>
        <w:t>号）的有关规定，货物服务采购项目给予</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的价格扣除优惠，由财库</w:t>
      </w:r>
      <w:r>
        <w:rPr>
          <w:rFonts w:hint="eastAsia" w:ascii="仿宋" w:hAnsi="仿宋" w:eastAsia="仿宋" w:cs="仿宋"/>
          <w:color w:val="auto"/>
          <w:highlight w:val="none"/>
        </w:rPr>
        <w:t>〔2020〕46</w:t>
      </w:r>
      <w:r>
        <w:rPr>
          <w:rFonts w:hint="eastAsia" w:ascii="华文仿宋" w:hAnsi="华文仿宋" w:cs="华文仿宋"/>
          <w:color w:val="auto"/>
          <w:highlight w:val="none"/>
        </w:rPr>
        <w:t>号文件规定的</w:t>
      </w:r>
      <w:r>
        <w:rPr>
          <w:rFonts w:hint="eastAsia" w:ascii="仿宋" w:hAnsi="仿宋" w:eastAsia="仿宋" w:cs="仿宋"/>
          <w:color w:val="auto"/>
          <w:highlight w:val="none"/>
        </w:rPr>
        <w:t>6%—10%</w:t>
      </w:r>
      <w:r>
        <w:rPr>
          <w:rFonts w:hint="eastAsia" w:ascii="华文仿宋" w:hAnsi="华文仿宋" w:cs="华文仿宋"/>
          <w:color w:val="auto"/>
          <w:highlight w:val="none"/>
        </w:rPr>
        <w:t>提高至</w:t>
      </w:r>
      <w:r>
        <w:rPr>
          <w:rFonts w:hint="eastAsia" w:ascii="仿宋" w:hAnsi="仿宋" w:eastAsia="仿宋" w:cs="仿宋"/>
          <w:color w:val="auto"/>
          <w:highlight w:val="none"/>
        </w:rPr>
        <w:t>10%—20%</w:t>
      </w:r>
      <w:r>
        <w:rPr>
          <w:rFonts w:hint="eastAsia" w:ascii="华文仿宋" w:hAnsi="华文仿宋" w:cs="华文仿宋"/>
          <w:color w:val="auto"/>
          <w:highlight w:val="none"/>
        </w:rPr>
        <w:t>。大中型</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与</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组成联合体或者大中型</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向</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分包的，评审优惠幅度由</w:t>
      </w:r>
      <w:r>
        <w:rPr>
          <w:rFonts w:hint="eastAsia" w:ascii="仿宋" w:hAnsi="仿宋" w:eastAsia="仿宋" w:cs="仿宋"/>
          <w:color w:val="auto"/>
          <w:highlight w:val="none"/>
        </w:rPr>
        <w:t>2%—3%</w:t>
      </w:r>
      <w:r>
        <w:rPr>
          <w:rFonts w:hint="eastAsia" w:ascii="华文仿宋" w:hAnsi="华文仿宋" w:cs="华文仿宋"/>
          <w:color w:val="auto"/>
          <w:highlight w:val="none"/>
        </w:rPr>
        <w:t>提高至</w:t>
      </w:r>
      <w:r>
        <w:rPr>
          <w:rFonts w:hint="eastAsia" w:ascii="仿宋" w:hAnsi="仿宋" w:eastAsia="仿宋" w:cs="仿宋"/>
          <w:color w:val="auto"/>
          <w:highlight w:val="none"/>
        </w:rPr>
        <w:t>4%—6%。</w:t>
      </w:r>
      <w:r>
        <w:rPr>
          <w:rFonts w:hint="eastAsia" w:ascii="华文仿宋" w:hAnsi="华文仿宋" w:cs="华文仿宋"/>
          <w:color w:val="auto"/>
          <w:highlight w:val="none"/>
        </w:rPr>
        <w:t>政府采购工程的价格评审优惠按照财库</w:t>
      </w:r>
      <w:r>
        <w:rPr>
          <w:rFonts w:hint="eastAsia" w:ascii="仿宋" w:hAnsi="仿宋" w:eastAsia="仿宋" w:cs="仿宋"/>
          <w:color w:val="auto"/>
          <w:highlight w:val="none"/>
        </w:rPr>
        <w:t>〔2020〕46</w:t>
      </w:r>
      <w:r>
        <w:rPr>
          <w:rFonts w:hint="eastAsia" w:ascii="华文仿宋" w:hAnsi="华文仿宋" w:cs="华文仿宋"/>
          <w:color w:val="auto"/>
          <w:highlight w:val="none"/>
        </w:rPr>
        <w:t>号文件的规定执行。</w:t>
      </w:r>
    </w:p>
    <w:p w14:paraId="0FEC3D4B">
      <w:pPr>
        <w:widowControl w:val="0"/>
        <w:spacing w:line="500" w:lineRule="exact"/>
        <w:ind w:firstLine="566" w:firstLineChars="200"/>
        <w:rPr>
          <w:rFonts w:ascii="华文仿宋" w:hAnsi="华文仿宋" w:cs="华文仿宋"/>
          <w:color w:val="auto"/>
          <w:highlight w:val="none"/>
        </w:rPr>
      </w:pPr>
      <w:r>
        <w:rPr>
          <w:rFonts w:hint="eastAsia" w:ascii="仿宋" w:hAnsi="仿宋" w:eastAsia="仿宋" w:cs="仿宋"/>
          <w:b/>
          <w:bCs/>
          <w:color w:val="000000" w:themeColor="text1"/>
          <w:highlight w:val="none"/>
          <w14:textFill>
            <w14:solidFill>
              <w14:schemeClr w14:val="tx1"/>
            </w14:solidFill>
          </w14:textFill>
        </w:rPr>
        <w:t>参加政府采购活动的</w:t>
      </w:r>
      <w:r>
        <w:rPr>
          <w:rFonts w:hint="eastAsia" w:ascii="仿宋" w:hAnsi="仿宋" w:eastAsia="仿宋" w:cs="仿宋"/>
          <w:b/>
          <w:bCs/>
          <w:color w:val="000000" w:themeColor="text1"/>
          <w:highlight w:val="none"/>
          <w:lang w:val="en-US" w:eastAsia="zh-CN"/>
          <w14:textFill>
            <w14:solidFill>
              <w14:schemeClr w14:val="tx1"/>
            </w14:solidFill>
          </w14:textFill>
        </w:rPr>
        <w:t>小微</w:t>
      </w:r>
      <w:r>
        <w:rPr>
          <w:rFonts w:hint="eastAsia" w:ascii="仿宋" w:hAnsi="仿宋" w:eastAsia="仿宋" w:cs="仿宋"/>
          <w:b/>
          <w:bCs/>
          <w:color w:val="000000" w:themeColor="text1"/>
          <w:highlight w:val="none"/>
          <w14:textFill>
            <w14:solidFill>
              <w14:schemeClr w14:val="tx1"/>
            </w14:solidFill>
          </w14:textFill>
        </w:rPr>
        <w:t>企业应提供《</w:t>
      </w:r>
      <w:r>
        <w:rPr>
          <w:rFonts w:hint="eastAsia" w:ascii="仿宋" w:hAnsi="仿宋" w:eastAsia="仿宋" w:cs="仿宋"/>
          <w:b/>
          <w:bCs/>
          <w:color w:val="000000" w:themeColor="text1"/>
          <w:highlight w:val="none"/>
          <w:lang w:val="en-US" w:eastAsia="zh-CN"/>
          <w14:textFill>
            <w14:solidFill>
              <w14:schemeClr w14:val="tx1"/>
            </w14:solidFill>
          </w14:textFill>
        </w:rPr>
        <w:t>小微</w:t>
      </w:r>
      <w:r>
        <w:rPr>
          <w:rFonts w:hint="eastAsia" w:ascii="仿宋" w:hAnsi="仿宋" w:eastAsia="仿宋" w:cs="仿宋"/>
          <w:b/>
          <w:bCs/>
          <w:color w:val="000000" w:themeColor="text1"/>
          <w:highlight w:val="none"/>
          <w14:textFill>
            <w14:solidFill>
              <w14:schemeClr w14:val="tx1"/>
            </w14:solidFill>
          </w14:textFill>
        </w:rPr>
        <w:t>企业声明函》原件。未提供上述声明函原件的，不能享受</w:t>
      </w:r>
      <w:r>
        <w:rPr>
          <w:rFonts w:hint="eastAsia" w:ascii="仿宋" w:hAnsi="仿宋" w:eastAsia="仿宋" w:cs="仿宋"/>
          <w:b/>
          <w:bCs/>
          <w:color w:val="000000" w:themeColor="text1"/>
          <w:highlight w:val="none"/>
          <w:lang w:eastAsia="zh-CN"/>
          <w14:textFill>
            <w14:solidFill>
              <w14:schemeClr w14:val="tx1"/>
            </w14:solidFill>
          </w14:textFill>
        </w:rPr>
        <w:t>磋商文件</w:t>
      </w:r>
      <w:r>
        <w:rPr>
          <w:rFonts w:hint="eastAsia" w:ascii="仿宋" w:hAnsi="仿宋" w:eastAsia="仿宋" w:cs="仿宋"/>
          <w:b/>
          <w:bCs/>
          <w:color w:val="000000" w:themeColor="text1"/>
          <w:highlight w:val="none"/>
          <w14:textFill>
            <w14:solidFill>
              <w14:schemeClr w14:val="tx1"/>
            </w14:solidFill>
          </w14:textFill>
        </w:rPr>
        <w:t>规定的价格扣除，但不影响</w:t>
      </w:r>
      <w:r>
        <w:rPr>
          <w:rFonts w:hint="eastAsia" w:ascii="仿宋" w:hAnsi="仿宋" w:eastAsia="仿宋" w:cs="仿宋"/>
          <w:b/>
          <w:bCs/>
          <w:color w:val="000000" w:themeColor="text1"/>
          <w:highlight w:val="none"/>
          <w:lang w:eastAsia="zh-CN"/>
          <w14:textFill>
            <w14:solidFill>
              <w14:schemeClr w14:val="tx1"/>
            </w14:solidFill>
          </w14:textFill>
        </w:rPr>
        <w:t>响应文件</w:t>
      </w:r>
      <w:r>
        <w:rPr>
          <w:rFonts w:hint="eastAsia" w:ascii="仿宋" w:hAnsi="仿宋" w:eastAsia="仿宋" w:cs="仿宋"/>
          <w:b/>
          <w:bCs/>
          <w:color w:val="000000" w:themeColor="text1"/>
          <w:highlight w:val="none"/>
          <w14:textFill>
            <w14:solidFill>
              <w14:schemeClr w14:val="tx1"/>
            </w14:solidFill>
          </w14:textFill>
        </w:rPr>
        <w:t>的有效性。</w:t>
      </w:r>
    </w:p>
    <w:p w14:paraId="4DF9BFDA">
      <w:pPr>
        <w:pStyle w:val="8"/>
        <w:widowControl w:val="0"/>
        <w:ind w:firstLine="486" w:firstLineChars="200"/>
        <w:rPr>
          <w:rFonts w:ascii="华文仿宋" w:hAnsi="华文仿宋" w:cs="华文仿宋"/>
          <w:color w:val="auto"/>
          <w:sz w:val="24"/>
          <w:szCs w:val="24"/>
          <w:highlight w:val="none"/>
        </w:rPr>
      </w:pPr>
      <w:r>
        <w:rPr>
          <w:rFonts w:hint="eastAsia" w:ascii="华文仿宋" w:hAnsi="华文仿宋" w:cs="华文仿宋"/>
          <w:color w:val="auto"/>
          <w:sz w:val="24"/>
          <w:szCs w:val="24"/>
          <w:highlight w:val="none"/>
        </w:rPr>
        <w:t>备注：</w:t>
      </w:r>
      <w:r>
        <w:rPr>
          <w:rFonts w:hint="eastAsia" w:ascii="华文仿宋" w:hAnsi="华文仿宋" w:cs="华文仿宋"/>
          <w:color w:val="auto"/>
          <w:sz w:val="24"/>
          <w:szCs w:val="24"/>
          <w:highlight w:val="none"/>
          <w:lang w:val="en-US" w:eastAsia="zh-CN"/>
        </w:rPr>
        <w:t>小微</w:t>
      </w:r>
      <w:r>
        <w:rPr>
          <w:rFonts w:hint="eastAsia" w:ascii="华文仿宋" w:hAnsi="华文仿宋" w:cs="华文仿宋"/>
          <w:color w:val="auto"/>
          <w:sz w:val="24"/>
          <w:szCs w:val="24"/>
          <w:highlight w:val="none"/>
          <w:lang w:eastAsia="zh-CN"/>
        </w:rPr>
        <w:t>企业</w:t>
      </w:r>
      <w:r>
        <w:rPr>
          <w:rFonts w:hint="eastAsia" w:ascii="华文仿宋" w:hAnsi="华文仿宋" w:cs="华文仿宋"/>
          <w:color w:val="auto"/>
          <w:sz w:val="24"/>
          <w:szCs w:val="24"/>
          <w:highlight w:val="none"/>
        </w:rPr>
        <w:t>划分标准参照《</w:t>
      </w:r>
      <w:r>
        <w:rPr>
          <w:rFonts w:hint="eastAsia" w:ascii="华文仿宋" w:hAnsi="华文仿宋" w:cs="华文仿宋"/>
          <w:color w:val="auto"/>
          <w:sz w:val="24"/>
          <w:szCs w:val="24"/>
          <w:highlight w:val="none"/>
          <w:lang w:eastAsia="zh-CN"/>
        </w:rPr>
        <w:t>中小企业</w:t>
      </w:r>
      <w:r>
        <w:rPr>
          <w:rFonts w:hint="eastAsia" w:ascii="华文仿宋" w:hAnsi="华文仿宋" w:cs="华文仿宋"/>
          <w:color w:val="auto"/>
          <w:sz w:val="24"/>
          <w:szCs w:val="24"/>
          <w:highlight w:val="none"/>
        </w:rPr>
        <w:t>划型标准规定》（工信部联</w:t>
      </w:r>
      <w:r>
        <w:rPr>
          <w:rFonts w:hint="eastAsia" w:ascii="华文仿宋" w:hAnsi="华文仿宋" w:cs="华文仿宋"/>
          <w:color w:val="auto"/>
          <w:sz w:val="24"/>
          <w:szCs w:val="24"/>
          <w:highlight w:val="none"/>
          <w:lang w:eastAsia="zh-CN"/>
        </w:rPr>
        <w:t>供应商</w:t>
      </w:r>
      <w:r>
        <w:rPr>
          <w:rFonts w:hint="eastAsia" w:ascii="仿宋" w:hAnsi="仿宋" w:eastAsia="仿宋" w:cs="仿宋"/>
          <w:color w:val="auto"/>
          <w:sz w:val="24"/>
          <w:szCs w:val="24"/>
          <w:highlight w:val="none"/>
        </w:rPr>
        <w:t>〔2011〕300</w:t>
      </w:r>
      <w:r>
        <w:rPr>
          <w:rFonts w:hint="eastAsia" w:ascii="华文仿宋" w:hAnsi="华文仿宋" w:cs="华文仿宋"/>
          <w:color w:val="auto"/>
          <w:sz w:val="24"/>
          <w:szCs w:val="24"/>
          <w:highlight w:val="none"/>
        </w:rPr>
        <w:t>号）执行。</w:t>
      </w:r>
    </w:p>
    <w:p w14:paraId="1FE08C51">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w:t>
      </w:r>
      <w:r>
        <w:rPr>
          <w:rFonts w:hint="eastAsia" w:ascii="华文仿宋" w:hAnsi="华文仿宋" w:cs="华文仿宋"/>
          <w:color w:val="auto"/>
          <w:highlight w:val="none"/>
          <w:lang w:val="zh-CN"/>
        </w:rPr>
        <w:t>监狱企业应符合《财政部</w:t>
      </w:r>
      <w:r>
        <w:rPr>
          <w:rFonts w:hint="eastAsia" w:ascii="华文仿宋" w:hAnsi="华文仿宋" w:cs="华文仿宋"/>
          <w:color w:val="auto"/>
          <w:highlight w:val="none"/>
          <w:lang w:val="en-US" w:eastAsia="zh-CN"/>
        </w:rPr>
        <w:t xml:space="preserve"> </w:t>
      </w:r>
      <w:r>
        <w:rPr>
          <w:rFonts w:hint="eastAsia" w:ascii="华文仿宋" w:hAnsi="华文仿宋" w:cs="华文仿宋"/>
          <w:color w:val="auto"/>
          <w:highlight w:val="none"/>
        </w:rPr>
        <w:t>司法部关于政府采购支持</w:t>
      </w:r>
      <w:r>
        <w:rPr>
          <w:rFonts w:hint="eastAsia" w:ascii="华文仿宋" w:hAnsi="华文仿宋" w:cs="华文仿宋"/>
          <w:color w:val="auto"/>
          <w:highlight w:val="none"/>
          <w:lang w:eastAsia="zh-CN"/>
        </w:rPr>
        <w:t>监狱企业</w:t>
      </w:r>
      <w:r>
        <w:rPr>
          <w:rFonts w:hint="eastAsia" w:ascii="华文仿宋" w:hAnsi="华文仿宋" w:cs="华文仿宋"/>
          <w:color w:val="auto"/>
          <w:highlight w:val="none"/>
        </w:rPr>
        <w:t>发展有关问题的通知》（财库〔</w:t>
      </w:r>
      <w:r>
        <w:rPr>
          <w:rFonts w:hint="eastAsia" w:ascii="仿宋" w:hAnsi="仿宋" w:eastAsia="仿宋" w:cs="仿宋"/>
          <w:color w:val="auto"/>
          <w:highlight w:val="none"/>
        </w:rPr>
        <w:t>2014</w:t>
      </w:r>
      <w:r>
        <w:rPr>
          <w:rFonts w:hint="eastAsia" w:ascii="华文仿宋" w:hAnsi="华文仿宋" w:cs="华文仿宋"/>
          <w:color w:val="auto"/>
          <w:highlight w:val="none"/>
        </w:rPr>
        <w:t>〕</w:t>
      </w:r>
      <w:r>
        <w:rPr>
          <w:rFonts w:hint="eastAsia" w:ascii="仿宋" w:hAnsi="仿宋" w:eastAsia="仿宋" w:cs="仿宋"/>
          <w:color w:val="auto"/>
          <w:highlight w:val="none"/>
        </w:rPr>
        <w:t>68</w:t>
      </w:r>
      <w:r>
        <w:rPr>
          <w:rFonts w:hint="eastAsia" w:ascii="华文仿宋" w:hAnsi="华文仿宋" w:cs="华文仿宋"/>
          <w:color w:val="auto"/>
          <w:highlight w:val="none"/>
        </w:rPr>
        <w:t>号）文件规定</w:t>
      </w:r>
      <w:r>
        <w:rPr>
          <w:rFonts w:hint="eastAsia" w:ascii="华文仿宋" w:hAnsi="华文仿宋" w:cs="华文仿宋"/>
          <w:color w:val="auto"/>
          <w:highlight w:val="none"/>
          <w:lang w:val="zh-CN"/>
        </w:rPr>
        <w:t>，并提供由省级以上监狱管理局、戒毒管理局</w:t>
      </w:r>
      <w:r>
        <w:rPr>
          <w:rFonts w:ascii="华文仿宋" w:hAnsi="华文仿宋" w:cs="华文仿宋"/>
          <w:color w:val="auto"/>
          <w:highlight w:val="none"/>
          <w:lang w:val="zh-CN"/>
        </w:rPr>
        <w:t>(</w:t>
      </w:r>
      <w:r>
        <w:rPr>
          <w:rFonts w:hint="eastAsia" w:ascii="华文仿宋" w:hAnsi="华文仿宋" w:cs="华文仿宋"/>
          <w:color w:val="auto"/>
          <w:highlight w:val="none"/>
          <w:lang w:val="zh-CN"/>
        </w:rPr>
        <w:t>含新疆生产建设兵团</w:t>
      </w:r>
      <w:r>
        <w:rPr>
          <w:rFonts w:ascii="华文仿宋" w:hAnsi="华文仿宋" w:cs="华文仿宋"/>
          <w:color w:val="auto"/>
          <w:highlight w:val="none"/>
          <w:lang w:val="zh-CN"/>
        </w:rPr>
        <w:t>)</w:t>
      </w:r>
      <w:r>
        <w:rPr>
          <w:rFonts w:hint="eastAsia" w:ascii="华文仿宋" w:hAnsi="华文仿宋" w:cs="华文仿宋"/>
          <w:color w:val="auto"/>
          <w:highlight w:val="none"/>
          <w:lang w:val="zh-CN"/>
        </w:rPr>
        <w:t>出具的属于</w:t>
      </w:r>
      <w:r>
        <w:rPr>
          <w:rFonts w:hint="eastAsia" w:ascii="华文仿宋" w:hAnsi="华文仿宋" w:cs="华文仿宋"/>
          <w:b/>
          <w:bCs/>
          <w:color w:val="auto"/>
          <w:highlight w:val="none"/>
          <w:lang w:val="zh-CN"/>
        </w:rPr>
        <w:t>监狱企业的证明文件</w:t>
      </w:r>
      <w:r>
        <w:rPr>
          <w:rFonts w:hint="eastAsia" w:ascii="华文仿宋" w:hAnsi="华文仿宋" w:cs="华文仿宋"/>
          <w:color w:val="auto"/>
          <w:highlight w:val="none"/>
          <w:lang w:val="zh-CN"/>
        </w:rPr>
        <w:t>复印件，监狱和戒毒供应商</w:t>
      </w:r>
      <w:r>
        <w:rPr>
          <w:rFonts w:hint="eastAsia" w:ascii="华文仿宋" w:hAnsi="华文仿宋" w:cs="华文仿宋"/>
          <w:color w:val="auto"/>
          <w:highlight w:val="none"/>
        </w:rPr>
        <w:t>视同小型、</w:t>
      </w:r>
      <w:r>
        <w:rPr>
          <w:rFonts w:hint="eastAsia" w:ascii="华文仿宋" w:hAnsi="华文仿宋" w:cs="华文仿宋"/>
          <w:color w:val="auto"/>
          <w:highlight w:val="none"/>
          <w:lang w:eastAsia="zh-CN"/>
        </w:rPr>
        <w:t>微型企业</w:t>
      </w:r>
      <w:r>
        <w:rPr>
          <w:rFonts w:hint="eastAsia" w:ascii="华文仿宋" w:hAnsi="华文仿宋" w:cs="华文仿宋"/>
          <w:color w:val="auto"/>
          <w:highlight w:val="none"/>
        </w:rPr>
        <w:t>。</w:t>
      </w:r>
    </w:p>
    <w:p w14:paraId="18A29CD1">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3</w:t>
      </w:r>
      <w:r>
        <w:rPr>
          <w:rFonts w:hint="eastAsia" w:ascii="华文仿宋" w:hAnsi="华文仿宋" w:cs="华文仿宋"/>
          <w:color w:val="auto"/>
          <w:highlight w:val="none"/>
        </w:rPr>
        <w:t>、根据财政部、民政部、中国残疾人联合会下发的《关于促进残疾人就业政府采购政策的通知》（财库</w:t>
      </w:r>
      <w:r>
        <w:rPr>
          <w:rFonts w:hint="eastAsia" w:ascii="仿宋" w:hAnsi="仿宋" w:eastAsia="仿宋" w:cs="仿宋"/>
          <w:color w:val="auto"/>
          <w:highlight w:val="none"/>
        </w:rPr>
        <w:t>〔</w:t>
      </w:r>
      <w:r>
        <w:rPr>
          <w:rFonts w:ascii="仿宋" w:hAnsi="仿宋" w:eastAsia="仿宋" w:cs="仿宋"/>
          <w:color w:val="auto"/>
          <w:highlight w:val="none"/>
        </w:rPr>
        <w:t>2017</w:t>
      </w:r>
      <w:r>
        <w:rPr>
          <w:rFonts w:hint="eastAsia" w:ascii="仿宋" w:hAnsi="仿宋" w:eastAsia="仿宋" w:cs="仿宋"/>
          <w:color w:val="auto"/>
          <w:highlight w:val="none"/>
        </w:rPr>
        <w:t>〕</w:t>
      </w:r>
      <w:r>
        <w:rPr>
          <w:rFonts w:ascii="仿宋" w:hAnsi="仿宋" w:eastAsia="仿宋" w:cs="仿宋"/>
          <w:color w:val="auto"/>
          <w:highlight w:val="none"/>
        </w:rPr>
        <w:t>141</w:t>
      </w:r>
      <w:r>
        <w:rPr>
          <w:rFonts w:hint="eastAsia" w:ascii="华文仿宋" w:hAnsi="华文仿宋" w:cs="华文仿宋"/>
          <w:color w:val="auto"/>
          <w:highlight w:val="none"/>
        </w:rPr>
        <w:t>号）的规定，残疾人福利性单位提供本单位制造的货物、承担的工程或者服务（以下简称产品），或者提供其他残疾人福利性单位制造的货物（不包括使用非残疾人福利性单位注册商标的货物）参与政府采购活动时，视同小型、</w:t>
      </w:r>
      <w:r>
        <w:rPr>
          <w:rFonts w:hint="eastAsia" w:ascii="华文仿宋" w:hAnsi="华文仿宋" w:cs="华文仿宋"/>
          <w:color w:val="auto"/>
          <w:highlight w:val="none"/>
          <w:lang w:eastAsia="zh-CN"/>
        </w:rPr>
        <w:t>微型企业</w:t>
      </w:r>
      <w:r>
        <w:rPr>
          <w:rFonts w:hint="eastAsia" w:ascii="华文仿宋" w:hAnsi="华文仿宋" w:cs="华文仿宋"/>
          <w:color w:val="auto"/>
          <w:highlight w:val="none"/>
        </w:rPr>
        <w:t>，享受预留份额、评审中价格扣除等促进</w:t>
      </w:r>
      <w:r>
        <w:rPr>
          <w:rFonts w:hint="eastAsia" w:ascii="华文仿宋" w:hAnsi="华文仿宋" w:cs="华文仿宋"/>
          <w:color w:val="auto"/>
          <w:highlight w:val="none"/>
          <w:lang w:eastAsia="zh-CN"/>
        </w:rPr>
        <w:t>中小企业</w:t>
      </w:r>
      <w:r>
        <w:rPr>
          <w:rFonts w:hint="eastAsia" w:ascii="华文仿宋" w:hAnsi="华文仿宋" w:cs="华文仿宋"/>
          <w:color w:val="auto"/>
          <w:highlight w:val="none"/>
        </w:rPr>
        <w:t>发展的政府采购政策。残疾人福利性单位属于小型、</w:t>
      </w:r>
      <w:r>
        <w:rPr>
          <w:rFonts w:hint="eastAsia" w:ascii="华文仿宋" w:hAnsi="华文仿宋" w:cs="华文仿宋"/>
          <w:color w:val="auto"/>
          <w:highlight w:val="none"/>
          <w:lang w:eastAsia="zh-CN"/>
        </w:rPr>
        <w:t>微型企业</w:t>
      </w:r>
      <w:r>
        <w:rPr>
          <w:rFonts w:hint="eastAsia" w:ascii="华文仿宋" w:hAnsi="华文仿宋" w:cs="华文仿宋"/>
          <w:color w:val="auto"/>
          <w:highlight w:val="none"/>
        </w:rPr>
        <w:t>的，不重复享受政策。</w:t>
      </w:r>
    </w:p>
    <w:p w14:paraId="7D1BBF0E">
      <w:pPr>
        <w:widowControl w:val="0"/>
        <w:spacing w:line="500" w:lineRule="exact"/>
        <w:ind w:firstLine="566" w:firstLineChars="200"/>
        <w:rPr>
          <w:rFonts w:ascii="华文仿宋" w:hAnsi="华文仿宋" w:cs="华文仿宋"/>
          <w:color w:val="auto"/>
          <w:highlight w:val="none"/>
        </w:rPr>
      </w:pPr>
      <w:r>
        <w:rPr>
          <w:rFonts w:hint="eastAsia" w:ascii="仿宋" w:hAnsi="仿宋" w:eastAsia="仿宋" w:cs="仿宋"/>
          <w:b/>
          <w:bCs/>
          <w:color w:val="000000" w:themeColor="text1"/>
          <w:highlight w:val="none"/>
          <w14:textFill>
            <w14:solidFill>
              <w14:schemeClr w14:val="tx1"/>
            </w14:solidFill>
          </w14:textFill>
        </w:rPr>
        <w:t>参加政府采购活动的残疾人单位应提供《残疾人福利性单位声明函》原件。未提供上述声明函原件，不能享受</w:t>
      </w:r>
      <w:r>
        <w:rPr>
          <w:rFonts w:hint="eastAsia" w:ascii="仿宋" w:hAnsi="仿宋" w:eastAsia="仿宋" w:cs="仿宋"/>
          <w:b/>
          <w:bCs/>
          <w:color w:val="000000" w:themeColor="text1"/>
          <w:highlight w:val="none"/>
          <w:lang w:eastAsia="zh-CN"/>
          <w14:textFill>
            <w14:solidFill>
              <w14:schemeClr w14:val="tx1"/>
            </w14:solidFill>
          </w14:textFill>
        </w:rPr>
        <w:t>磋商文件</w:t>
      </w:r>
      <w:r>
        <w:rPr>
          <w:rFonts w:hint="eastAsia" w:ascii="仿宋" w:hAnsi="仿宋" w:eastAsia="仿宋" w:cs="仿宋"/>
          <w:b/>
          <w:bCs/>
          <w:color w:val="000000" w:themeColor="text1"/>
          <w:highlight w:val="none"/>
          <w14:textFill>
            <w14:solidFill>
              <w14:schemeClr w14:val="tx1"/>
            </w14:solidFill>
          </w14:textFill>
        </w:rPr>
        <w:t>规定的价格扣除，但不影响</w:t>
      </w:r>
      <w:r>
        <w:rPr>
          <w:rFonts w:hint="eastAsia" w:ascii="仿宋" w:hAnsi="仿宋" w:eastAsia="仿宋" w:cs="仿宋"/>
          <w:b/>
          <w:bCs/>
          <w:color w:val="000000" w:themeColor="text1"/>
          <w:highlight w:val="none"/>
          <w:lang w:eastAsia="zh-CN"/>
          <w14:textFill>
            <w14:solidFill>
              <w14:schemeClr w14:val="tx1"/>
            </w14:solidFill>
          </w14:textFill>
        </w:rPr>
        <w:t>响应文件</w:t>
      </w:r>
      <w:r>
        <w:rPr>
          <w:rFonts w:hint="eastAsia" w:ascii="仿宋" w:hAnsi="仿宋" w:eastAsia="仿宋" w:cs="仿宋"/>
          <w:b/>
          <w:bCs/>
          <w:color w:val="000000" w:themeColor="text1"/>
          <w:highlight w:val="none"/>
          <w14:textFill>
            <w14:solidFill>
              <w14:schemeClr w14:val="tx1"/>
            </w14:solidFill>
          </w14:textFill>
        </w:rPr>
        <w:t>的有效性。</w:t>
      </w:r>
    </w:p>
    <w:p w14:paraId="46066133">
      <w:pPr>
        <w:pStyle w:val="17"/>
        <w:spacing w:line="500" w:lineRule="exact"/>
        <w:ind w:firstLine="566"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4、根据财政部、国家发改委、生态环境部、市场监管总局联合印发《关于调整优化节能产品、环境标志产品政府采购执行机制的通知》（财库</w:t>
      </w:r>
      <w:r>
        <w:rPr>
          <w:rFonts w:hint="eastAsia" w:ascii="仿宋" w:hAnsi="仿宋" w:eastAsia="仿宋" w:cs="仿宋"/>
          <w:color w:val="auto"/>
          <w:sz w:val="28"/>
          <w:szCs w:val="28"/>
          <w:highlight w:val="none"/>
        </w:rPr>
        <w:t>〔2019〕9</w:t>
      </w:r>
      <w:r>
        <w:rPr>
          <w:rFonts w:hint="eastAsia" w:ascii="华文仿宋" w:hAnsi="华文仿宋" w:eastAsia="华文仿宋" w:cs="华文仿宋"/>
          <w:color w:val="auto"/>
          <w:sz w:val="28"/>
          <w:szCs w:val="28"/>
          <w:highlight w:val="none"/>
        </w:rPr>
        <w:t>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49B31A">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kern w:val="0"/>
          <w:highlight w:val="none"/>
        </w:rPr>
        <w:t>5、根据国务院办公厅《关于建立政府强制采购节能产品制度的通知》（国办发</w:t>
      </w:r>
      <w:r>
        <w:rPr>
          <w:rFonts w:hint="eastAsia" w:ascii="仿宋" w:hAnsi="仿宋" w:eastAsia="仿宋" w:cs="仿宋"/>
          <w:color w:val="auto"/>
          <w:kern w:val="0"/>
          <w:highlight w:val="none"/>
        </w:rPr>
        <w:t>〔2007〕51</w:t>
      </w:r>
      <w:r>
        <w:rPr>
          <w:rFonts w:hint="eastAsia" w:ascii="华文仿宋" w:hAnsi="华文仿宋" w:cs="华文仿宋"/>
          <w:color w:val="auto"/>
          <w:kern w:val="0"/>
          <w:highlight w:val="none"/>
        </w:rPr>
        <w:t>号）有关要求，在技术、服务等指标满足采购需求的前提下，要优先采购节能产品，对部分节能效果、性能等达到要求的产品，实行强制采购。</w:t>
      </w:r>
    </w:p>
    <w:p w14:paraId="014CBCAB">
      <w:pPr>
        <w:pStyle w:val="8"/>
        <w:widowControl w:val="0"/>
        <w:spacing w:line="500" w:lineRule="exact"/>
        <w:ind w:firstLine="566" w:firstLineChars="200"/>
        <w:rPr>
          <w:rFonts w:ascii="华文仿宋" w:hAnsi="华文仿宋" w:cs="华文仿宋"/>
          <w:color w:val="auto"/>
          <w:kern w:val="0"/>
          <w:highlight w:val="none"/>
        </w:rPr>
      </w:pPr>
      <w:r>
        <w:rPr>
          <w:rFonts w:hint="eastAsia" w:ascii="华文仿宋" w:hAnsi="华文仿宋" w:cs="华文仿宋"/>
          <w:color w:val="auto"/>
          <w:kern w:val="0"/>
          <w:highlight w:val="none"/>
        </w:rPr>
        <w:t>6、节能产品政府采购品目清单详见财政部、发展改革委《关于印发节能产品政府采购品目清单的通知》（财库</w:t>
      </w:r>
      <w:r>
        <w:rPr>
          <w:rFonts w:hint="eastAsia" w:ascii="仿宋" w:hAnsi="仿宋" w:eastAsia="仿宋" w:cs="仿宋"/>
          <w:color w:val="auto"/>
          <w:kern w:val="0"/>
          <w:highlight w:val="none"/>
        </w:rPr>
        <w:t>〔2019〕19</w:t>
      </w:r>
      <w:r>
        <w:rPr>
          <w:rFonts w:hint="eastAsia" w:ascii="华文仿宋" w:hAnsi="华文仿宋" w:cs="华文仿宋"/>
          <w:color w:val="auto"/>
          <w:kern w:val="0"/>
          <w:highlight w:val="none"/>
        </w:rPr>
        <w:t>号）。</w:t>
      </w:r>
    </w:p>
    <w:p w14:paraId="43565F27">
      <w:pPr>
        <w:pStyle w:val="8"/>
        <w:widowControl w:val="0"/>
        <w:spacing w:line="500" w:lineRule="exact"/>
        <w:ind w:firstLine="566" w:firstLineChars="200"/>
        <w:rPr>
          <w:rFonts w:ascii="华文仿宋" w:hAnsi="华文仿宋" w:cs="华文仿宋"/>
          <w:color w:val="auto"/>
          <w:kern w:val="0"/>
          <w:highlight w:val="none"/>
        </w:rPr>
      </w:pPr>
      <w:r>
        <w:rPr>
          <w:rFonts w:hint="eastAsia" w:ascii="华文仿宋" w:hAnsi="华文仿宋" w:cs="华文仿宋"/>
          <w:color w:val="auto"/>
          <w:kern w:val="0"/>
          <w:highlight w:val="none"/>
        </w:rPr>
        <w:t>7、环境标志产品政府采购品目清单详见财政部、生态环境部《关于印发环境标志产品政府采购品目清单的通知》（财库</w:t>
      </w:r>
      <w:r>
        <w:rPr>
          <w:rFonts w:hint="eastAsia" w:ascii="仿宋" w:hAnsi="仿宋" w:eastAsia="仿宋" w:cs="仿宋"/>
          <w:color w:val="auto"/>
          <w:kern w:val="0"/>
          <w:highlight w:val="none"/>
        </w:rPr>
        <w:t>〔2019〕18</w:t>
      </w:r>
      <w:r>
        <w:rPr>
          <w:rFonts w:hint="eastAsia" w:ascii="华文仿宋" w:hAnsi="华文仿宋" w:cs="华文仿宋"/>
          <w:color w:val="auto"/>
          <w:kern w:val="0"/>
          <w:highlight w:val="none"/>
        </w:rPr>
        <w:t>号）。</w:t>
      </w:r>
    </w:p>
    <w:p w14:paraId="2254C045">
      <w:pPr>
        <w:pStyle w:val="8"/>
        <w:widowControl w:val="0"/>
        <w:spacing w:line="500" w:lineRule="exact"/>
        <w:ind w:firstLine="566" w:firstLineChars="200"/>
        <w:rPr>
          <w:rFonts w:ascii="华文仿宋" w:hAnsi="华文仿宋" w:cs="华文仿宋"/>
          <w:color w:val="auto"/>
          <w:kern w:val="0"/>
          <w:highlight w:val="none"/>
        </w:rPr>
      </w:pPr>
      <w:r>
        <w:rPr>
          <w:rFonts w:hint="eastAsia" w:ascii="华文仿宋" w:hAnsi="华文仿宋" w:cs="华文仿宋"/>
          <w:color w:val="auto"/>
          <w:kern w:val="0"/>
          <w:highlight w:val="none"/>
        </w:rPr>
        <w:t>8、国家确定的节能产品、环境标志产品认证机构详见市场监管总局《关于发布参与实施政府采购节能产品、环境标志产品认证机构名录的公告》（</w:t>
      </w:r>
      <w:r>
        <w:rPr>
          <w:rFonts w:hint="eastAsia" w:ascii="仿宋" w:hAnsi="仿宋" w:eastAsia="仿宋" w:cs="仿宋"/>
          <w:color w:val="auto"/>
          <w:kern w:val="0"/>
          <w:highlight w:val="none"/>
        </w:rPr>
        <w:t>2019</w:t>
      </w:r>
      <w:r>
        <w:rPr>
          <w:rFonts w:hint="eastAsia" w:ascii="华文仿宋" w:hAnsi="华文仿宋" w:cs="华文仿宋"/>
          <w:color w:val="auto"/>
          <w:kern w:val="0"/>
          <w:highlight w:val="none"/>
        </w:rPr>
        <w:t>年第</w:t>
      </w:r>
      <w:r>
        <w:rPr>
          <w:rFonts w:hint="eastAsia" w:ascii="仿宋" w:hAnsi="仿宋" w:eastAsia="仿宋" w:cs="仿宋"/>
          <w:color w:val="auto"/>
          <w:kern w:val="0"/>
          <w:highlight w:val="none"/>
        </w:rPr>
        <w:t>16</w:t>
      </w:r>
      <w:r>
        <w:rPr>
          <w:rFonts w:hint="eastAsia" w:ascii="华文仿宋" w:hAnsi="华文仿宋" w:cs="华文仿宋"/>
          <w:color w:val="auto"/>
          <w:kern w:val="0"/>
          <w:highlight w:val="none"/>
        </w:rPr>
        <w:t>号）。</w:t>
      </w:r>
    </w:p>
    <w:p w14:paraId="44583C0F">
      <w:pPr>
        <w:pStyle w:val="8"/>
        <w:widowControl w:val="0"/>
        <w:spacing w:line="500" w:lineRule="exact"/>
        <w:ind w:firstLine="566" w:firstLineChars="200"/>
        <w:rPr>
          <w:rFonts w:ascii="华文仿宋" w:hAnsi="华文仿宋" w:cs="华文仿宋"/>
          <w:color w:val="auto"/>
          <w:kern w:val="0"/>
          <w:highlight w:val="none"/>
        </w:rPr>
      </w:pPr>
      <w:r>
        <w:rPr>
          <w:rFonts w:hint="eastAsia" w:ascii="华文仿宋" w:hAnsi="华文仿宋" w:cs="华文仿宋"/>
          <w:color w:val="auto"/>
          <w:kern w:val="0"/>
          <w:highlight w:val="none"/>
        </w:rPr>
        <w:t>9、根据《财政部 农业农村部 国家乡村振兴局关于运用政府采购政策支持乡村产业振兴的通知》（财库</w:t>
      </w:r>
      <w:r>
        <w:rPr>
          <w:rFonts w:hint="eastAsia" w:ascii="仿宋" w:hAnsi="仿宋" w:eastAsia="仿宋" w:cs="仿宋"/>
          <w:color w:val="auto"/>
          <w:kern w:val="0"/>
          <w:highlight w:val="none"/>
        </w:rPr>
        <w:t>〔2021〕19</w:t>
      </w:r>
      <w:r>
        <w:rPr>
          <w:rFonts w:hint="eastAsia" w:ascii="华文仿宋" w:hAnsi="华文仿宋" w:cs="华文仿宋"/>
          <w:color w:val="auto"/>
          <w:kern w:val="0"/>
          <w:highlight w:val="none"/>
        </w:rPr>
        <w:t>号），自</w:t>
      </w:r>
      <w:r>
        <w:rPr>
          <w:rFonts w:hint="eastAsia" w:ascii="仿宋" w:hAnsi="仿宋" w:eastAsia="仿宋" w:cs="仿宋"/>
          <w:color w:val="auto"/>
          <w:kern w:val="0"/>
          <w:highlight w:val="none"/>
        </w:rPr>
        <w:t>2021</w:t>
      </w:r>
      <w:r>
        <w:rPr>
          <w:rFonts w:hint="eastAsia" w:ascii="华文仿宋" w:hAnsi="华文仿宋" w:cs="华文仿宋"/>
          <w:color w:val="auto"/>
          <w:kern w:val="0"/>
          <w:highlight w:val="none"/>
        </w:rPr>
        <w:t>年起，各级预算单位应当按照不低于</w:t>
      </w:r>
      <w:r>
        <w:rPr>
          <w:rFonts w:hint="eastAsia" w:ascii="仿宋" w:hAnsi="仿宋" w:eastAsia="仿宋" w:cs="仿宋"/>
          <w:color w:val="auto"/>
          <w:highlight w:val="none"/>
        </w:rPr>
        <w:t>10%</w:t>
      </w:r>
      <w:r>
        <w:rPr>
          <w:rFonts w:hint="eastAsia" w:ascii="华文仿宋" w:hAnsi="华文仿宋" w:cs="华文仿宋"/>
          <w:color w:val="auto"/>
          <w:kern w:val="0"/>
          <w:highlight w:val="none"/>
        </w:rPr>
        <w:t>的比例预留年度食堂食材采购份额，通过脱贫地区农副产品网络销售平台采购脱贫地区农副产品。</w:t>
      </w:r>
    </w:p>
    <w:p w14:paraId="6E537FD0">
      <w:pPr>
        <w:pStyle w:val="8"/>
        <w:widowControl w:val="0"/>
        <w:spacing w:line="500" w:lineRule="exact"/>
        <w:ind w:firstLine="566" w:firstLineChars="200"/>
        <w:rPr>
          <w:rFonts w:ascii="华文仿宋" w:hAnsi="华文仿宋" w:cs="华文仿宋"/>
          <w:color w:val="auto"/>
          <w:kern w:val="0"/>
          <w:highlight w:val="none"/>
        </w:rPr>
      </w:pPr>
      <w:r>
        <w:rPr>
          <w:rFonts w:hint="eastAsia" w:ascii="华文仿宋" w:hAnsi="华文仿宋" w:cs="华文仿宋"/>
          <w:color w:val="auto"/>
          <w:kern w:val="0"/>
          <w:highlight w:val="none"/>
        </w:rPr>
        <w:t>10、根据《财政部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color w:val="auto"/>
          <w:kern w:val="0"/>
          <w:highlight w:val="none"/>
        </w:rPr>
        <w:t>〔2021〕20</w:t>
      </w:r>
      <w:r>
        <w:rPr>
          <w:rFonts w:hint="eastAsia" w:ascii="华文仿宋" w:hAnsi="华文仿宋" w:cs="华文仿宋"/>
          <w:color w:val="auto"/>
          <w:kern w:val="0"/>
          <w:highlight w:val="none"/>
        </w:rPr>
        <w:t>号），各级预算单位要按照不低于</w:t>
      </w:r>
      <w:r>
        <w:rPr>
          <w:rFonts w:hint="eastAsia" w:ascii="仿宋" w:hAnsi="仿宋" w:eastAsia="仿宋" w:cs="仿宋"/>
          <w:color w:val="auto"/>
          <w:kern w:val="0"/>
          <w:highlight w:val="none"/>
        </w:rPr>
        <w:t>10%</w:t>
      </w:r>
      <w:r>
        <w:rPr>
          <w:rFonts w:hint="eastAsia" w:ascii="华文仿宋" w:hAnsi="华文仿宋" w:cs="华文仿宋"/>
          <w:color w:val="auto"/>
          <w:kern w:val="0"/>
          <w:highlight w:val="none"/>
        </w:rPr>
        <w:t>的预留比例在“</w:t>
      </w:r>
      <w:r>
        <w:rPr>
          <w:rFonts w:hint="eastAsia" w:ascii="仿宋" w:hAnsi="仿宋" w:eastAsia="仿宋" w:cs="仿宋"/>
          <w:color w:val="auto"/>
          <w:kern w:val="0"/>
          <w:highlight w:val="none"/>
        </w:rPr>
        <w:t>832</w:t>
      </w:r>
      <w:r>
        <w:rPr>
          <w:rFonts w:hint="eastAsia" w:ascii="华文仿宋" w:hAnsi="华文仿宋" w:cs="华文仿宋"/>
          <w:color w:val="auto"/>
          <w:kern w:val="0"/>
          <w:highlight w:val="none"/>
        </w:rPr>
        <w:t>平台”填报预留份额。鼓励各级预算单位工会组织通过“</w:t>
      </w:r>
      <w:r>
        <w:rPr>
          <w:rFonts w:hint="eastAsia" w:ascii="仿宋" w:hAnsi="仿宋" w:eastAsia="仿宋" w:cs="仿宋"/>
          <w:color w:val="auto"/>
          <w:kern w:val="0"/>
          <w:highlight w:val="none"/>
        </w:rPr>
        <w:t>832</w:t>
      </w:r>
      <w:r>
        <w:rPr>
          <w:rFonts w:hint="eastAsia" w:ascii="华文仿宋" w:hAnsi="华文仿宋" w:cs="华文仿宋"/>
          <w:color w:val="auto"/>
          <w:kern w:val="0"/>
          <w:highlight w:val="none"/>
        </w:rPr>
        <w:t>平台”采购工会福利、慰问品等，有关采购金额计入本单位年度采购总额。</w:t>
      </w:r>
    </w:p>
    <w:p w14:paraId="2BF8287B">
      <w:pPr>
        <w:pStyle w:val="8"/>
        <w:widowControl w:val="0"/>
        <w:spacing w:line="500" w:lineRule="exact"/>
        <w:ind w:firstLine="566" w:firstLineChars="200"/>
        <w:rPr>
          <w:rFonts w:ascii="华文仿宋" w:hAnsi="华文仿宋" w:cs="华文仿宋"/>
          <w:color w:val="auto"/>
          <w:kern w:val="0"/>
          <w:highlight w:val="none"/>
        </w:rPr>
      </w:pPr>
      <w:r>
        <w:rPr>
          <w:rFonts w:hint="eastAsia" w:ascii="华文仿宋" w:hAnsi="华文仿宋" w:cs="华文仿宋"/>
          <w:color w:val="auto"/>
          <w:kern w:val="0"/>
          <w:highlight w:val="none"/>
        </w:rPr>
        <w:t>11、根据《陕西省财政厅关于加快推进我省</w:t>
      </w:r>
      <w:r>
        <w:rPr>
          <w:rFonts w:hint="eastAsia" w:ascii="华文仿宋" w:hAnsi="华文仿宋" w:cs="华文仿宋"/>
          <w:color w:val="auto"/>
          <w:kern w:val="0"/>
          <w:highlight w:val="none"/>
          <w:lang w:eastAsia="zh-CN"/>
        </w:rPr>
        <w:t>中小企业</w:t>
      </w:r>
      <w:r>
        <w:rPr>
          <w:rFonts w:hint="eastAsia" w:ascii="华文仿宋" w:hAnsi="华文仿宋" w:cs="华文仿宋"/>
          <w:color w:val="auto"/>
          <w:kern w:val="0"/>
          <w:highlight w:val="none"/>
        </w:rPr>
        <w:t>政府采购信用融资工作的通知》（陕财办采</w:t>
      </w:r>
      <w:r>
        <w:rPr>
          <w:rFonts w:hint="eastAsia" w:ascii="仿宋" w:hAnsi="仿宋" w:eastAsia="仿宋" w:cs="仿宋"/>
          <w:color w:val="auto"/>
          <w:kern w:val="0"/>
          <w:highlight w:val="none"/>
        </w:rPr>
        <w:t>〔2020〕15</w:t>
      </w:r>
      <w:r>
        <w:rPr>
          <w:rFonts w:hint="eastAsia" w:ascii="华文仿宋" w:hAnsi="华文仿宋" w:cs="华文仿宋"/>
          <w:color w:val="auto"/>
          <w:kern w:val="0"/>
          <w:highlight w:val="none"/>
        </w:rPr>
        <w:t>号）规定“有融资需求的</w:t>
      </w:r>
      <w:r>
        <w:rPr>
          <w:rFonts w:hint="eastAsia" w:ascii="华文仿宋" w:hAnsi="华文仿宋" w:cs="华文仿宋"/>
          <w:color w:val="auto"/>
          <w:kern w:val="0"/>
          <w:highlight w:val="none"/>
          <w:lang w:eastAsia="zh-CN"/>
        </w:rPr>
        <w:t>供应商</w:t>
      </w:r>
      <w:r>
        <w:rPr>
          <w:rFonts w:hint="eastAsia" w:ascii="华文仿宋" w:hAnsi="华文仿宋" w:cs="华文仿宋"/>
          <w:color w:val="auto"/>
          <w:kern w:val="0"/>
          <w:highlight w:val="none"/>
        </w:rPr>
        <w:t>可根据自身情况，在陕西省政府采购信用融资平台（含各市分平台）自主选择金融机构及其融资产品，凭政府采购中标（成交）通知书或政府采购合同向金融机构提出融资申请。”</w:t>
      </w:r>
    </w:p>
    <w:p w14:paraId="62846E60">
      <w:pPr>
        <w:widowControl w:val="0"/>
        <w:spacing w:line="500" w:lineRule="exact"/>
        <w:ind w:firstLine="566" w:firstLineChars="200"/>
        <w:jc w:val="left"/>
        <w:rPr>
          <w:rFonts w:ascii="华文仿宋" w:hAnsi="华文仿宋" w:cs="华文仿宋"/>
          <w:color w:val="auto"/>
          <w:kern w:val="0"/>
          <w:highlight w:val="none"/>
        </w:rPr>
      </w:pPr>
      <w:bookmarkStart w:id="108" w:name="_Toc10798"/>
      <w:bookmarkStart w:id="109" w:name="_Toc1927"/>
      <w:bookmarkStart w:id="110" w:name="_Toc22218"/>
      <w:bookmarkStart w:id="111" w:name="_Toc29136"/>
      <w:bookmarkStart w:id="112" w:name="_Toc23236"/>
      <w:bookmarkStart w:id="113" w:name="_Toc6102"/>
      <w:r>
        <w:rPr>
          <w:rFonts w:hint="eastAsia" w:ascii="华文仿宋" w:hAnsi="华文仿宋" w:cs="华文仿宋"/>
          <w:color w:val="auto"/>
          <w:kern w:val="0"/>
          <w:highlight w:val="none"/>
        </w:rPr>
        <w:t>12、根据陕西省财政厅关于印发《陕西省</w:t>
      </w:r>
      <w:r>
        <w:rPr>
          <w:rFonts w:hint="eastAsia" w:ascii="华文仿宋" w:hAnsi="华文仿宋" w:cs="华文仿宋"/>
          <w:color w:val="auto"/>
          <w:kern w:val="0"/>
          <w:highlight w:val="none"/>
          <w:lang w:eastAsia="zh-CN"/>
        </w:rPr>
        <w:t>中小企业</w:t>
      </w:r>
      <w:r>
        <w:rPr>
          <w:rFonts w:hint="eastAsia" w:ascii="华文仿宋" w:hAnsi="华文仿宋" w:cs="华文仿宋"/>
          <w:color w:val="auto"/>
          <w:kern w:val="0"/>
          <w:highlight w:val="none"/>
        </w:rPr>
        <w:t xml:space="preserve">政府采购信用融资 </w:t>
      </w:r>
    </w:p>
    <w:p w14:paraId="5A35E43A">
      <w:pPr>
        <w:widowControl w:val="0"/>
        <w:wordWrap w:val="0"/>
        <w:spacing w:line="500" w:lineRule="exact"/>
        <w:jc w:val="left"/>
        <w:rPr>
          <w:b/>
          <w:bCs/>
          <w:color w:val="auto"/>
          <w:highlight w:val="none"/>
        </w:rPr>
      </w:pPr>
      <w:r>
        <w:rPr>
          <w:rFonts w:hint="eastAsia" w:ascii="华文仿宋" w:hAnsi="华文仿宋" w:cs="华文仿宋"/>
          <w:color w:val="auto"/>
          <w:kern w:val="0"/>
          <w:highlight w:val="none"/>
        </w:rPr>
        <w:t>办法》（陕财办采</w:t>
      </w:r>
      <w:r>
        <w:rPr>
          <w:rFonts w:hint="eastAsia" w:ascii="仿宋" w:hAnsi="仿宋" w:eastAsia="仿宋" w:cs="仿宋"/>
          <w:color w:val="auto"/>
          <w:highlight w:val="none"/>
        </w:rPr>
        <w:t>〔2018〕23</w:t>
      </w:r>
      <w:r>
        <w:rPr>
          <w:rFonts w:hint="eastAsia" w:ascii="华文仿宋" w:hAnsi="华文仿宋" w:cs="华文仿宋"/>
          <w:color w:val="auto"/>
          <w:kern w:val="0"/>
          <w:highlight w:val="none"/>
        </w:rPr>
        <w:t>号）规定“</w:t>
      </w:r>
      <w:r>
        <w:rPr>
          <w:rFonts w:hint="eastAsia" w:ascii="仿宋" w:hAnsi="仿宋" w:eastAsia="仿宋" w:cs="仿宋"/>
          <w:color w:val="auto"/>
          <w:highlight w:val="none"/>
          <w:lang w:eastAsia="zh-CN"/>
        </w:rPr>
        <w:t>中小企业</w:t>
      </w:r>
      <w:r>
        <w:rPr>
          <w:rFonts w:hint="eastAsia" w:ascii="仿宋" w:hAnsi="仿宋" w:eastAsia="仿宋" w:cs="仿宋"/>
          <w:color w:val="auto"/>
          <w:highlight w:val="none"/>
        </w:rPr>
        <w:t>可根据各银行提供的方案，自行选择符合自身情况的金融产品，并根据方案中列明的联系方式和要求向相关银行提出信用融资申请。银行根据</w:t>
      </w:r>
      <w:r>
        <w:rPr>
          <w:rFonts w:hint="eastAsia" w:ascii="仿宋" w:hAnsi="仿宋" w:eastAsia="仿宋" w:cs="仿宋"/>
          <w:color w:val="auto"/>
          <w:highlight w:val="none"/>
          <w:lang w:eastAsia="zh-CN"/>
        </w:rPr>
        <w:t>中小企业</w:t>
      </w:r>
      <w:r>
        <w:rPr>
          <w:rFonts w:hint="eastAsia" w:ascii="仿宋" w:hAnsi="仿宋" w:eastAsia="仿宋" w:cs="仿宋"/>
          <w:color w:val="auto"/>
          <w:highlight w:val="none"/>
        </w:rPr>
        <w:t>的申请开展尽职调查，合理确定融资授信额度。</w:t>
      </w:r>
      <w:r>
        <w:rPr>
          <w:rFonts w:hint="eastAsia" w:ascii="仿宋" w:hAnsi="仿宋" w:eastAsia="仿宋" w:cs="仿宋"/>
          <w:color w:val="auto"/>
          <w:highlight w:val="none"/>
          <w:lang w:eastAsia="zh-CN"/>
        </w:rPr>
        <w:t>中小企业</w:t>
      </w:r>
      <w:r>
        <w:rPr>
          <w:rFonts w:hint="eastAsia" w:ascii="仿宋" w:hAnsi="仿宋" w:eastAsia="仿宋" w:cs="仿宋"/>
          <w:color w:val="auto"/>
          <w:highlight w:val="none"/>
        </w:rPr>
        <w:t>获得政府采购合同后，凭政府采购合同向银行提出融资申请。”</w:t>
      </w:r>
      <w:r>
        <w:rPr>
          <w:rFonts w:hint="eastAsia" w:ascii="华文仿宋" w:hAnsi="华文仿宋" w:cs="华文仿宋"/>
          <w:color w:val="auto"/>
          <w:kern w:val="0"/>
          <w:highlight w:val="none"/>
        </w:rPr>
        <w:t>（</w:t>
      </w:r>
      <w:r>
        <w:rPr>
          <w:color w:val="auto"/>
          <w:highlight w:val="none"/>
        </w:rPr>
        <w:fldChar w:fldCharType="begin"/>
      </w:r>
      <w:r>
        <w:rPr>
          <w:color w:val="auto"/>
          <w:highlight w:val="none"/>
        </w:rPr>
        <w:instrText xml:space="preserve"> HYPERLINK "http://www.ccgp-shaanxi.gov.cn/zcdservice/zcd/shanxi/" </w:instrText>
      </w:r>
      <w:r>
        <w:rPr>
          <w:color w:val="auto"/>
          <w:highlight w:val="none"/>
        </w:rPr>
        <w:fldChar w:fldCharType="separate"/>
      </w:r>
      <w:r>
        <w:rPr>
          <w:rFonts w:hint="eastAsia" w:ascii="华文仿宋" w:hAnsi="华文仿宋" w:cs="华文仿宋"/>
          <w:color w:val="auto"/>
          <w:kern w:val="0"/>
          <w:highlight w:val="none"/>
        </w:rPr>
        <w:t>陕西省政府采购信用融资平台</w:t>
      </w:r>
      <w:r>
        <w:rPr>
          <w:rFonts w:hint="eastAsia" w:ascii="华文仿宋" w:hAnsi="华文仿宋" w:cs="华文仿宋"/>
          <w:color w:val="auto"/>
          <w:kern w:val="0"/>
          <w:highlight w:val="none"/>
        </w:rPr>
        <w:fldChar w:fldCharType="end"/>
      </w:r>
      <w:r>
        <w:rPr>
          <w:rFonts w:hint="eastAsia" w:ascii="华文仿宋" w:hAnsi="华文仿宋" w:cs="华文仿宋"/>
          <w:color w:val="auto"/>
          <w:kern w:val="0"/>
          <w:highlight w:val="none"/>
        </w:rPr>
        <w:t>：</w:t>
      </w:r>
      <w:r>
        <w:rPr>
          <w:color w:val="auto"/>
          <w:highlight w:val="none"/>
        </w:rPr>
        <w:fldChar w:fldCharType="begin"/>
      </w:r>
      <w:r>
        <w:rPr>
          <w:color w:val="auto"/>
          <w:highlight w:val="none"/>
        </w:rPr>
        <w:instrText xml:space="preserve"> HYPERLINK "http://www.ccgp-shaanxi.gov.cn/zcdservice/zcd/shanxi/）。" </w:instrText>
      </w:r>
      <w:r>
        <w:rPr>
          <w:color w:val="auto"/>
          <w:highlight w:val="none"/>
        </w:rPr>
        <w:fldChar w:fldCharType="separate"/>
      </w:r>
      <w:r>
        <w:rPr>
          <w:rFonts w:hint="eastAsia" w:ascii="华文仿宋" w:hAnsi="华文仿宋" w:cs="华文仿宋"/>
          <w:color w:val="auto"/>
          <w:kern w:val="0"/>
          <w:highlight w:val="none"/>
        </w:rPr>
        <w:t>http://www.ccgp-shaanxi.gov.cn/zcdservice/zcd/shanxi/）。</w:t>
      </w:r>
      <w:r>
        <w:rPr>
          <w:rFonts w:hint="eastAsia" w:ascii="华文仿宋" w:hAnsi="华文仿宋" w:cs="华文仿宋"/>
          <w:color w:val="auto"/>
          <w:kern w:val="0"/>
          <w:highlight w:val="none"/>
        </w:rPr>
        <w:fldChar w:fldCharType="end"/>
      </w:r>
    </w:p>
    <w:p w14:paraId="052EF25C">
      <w:pPr>
        <w:spacing w:line="500" w:lineRule="exact"/>
        <w:ind w:firstLine="566"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rPr>
        <w:t>本项目采购标的对应的小微企业划分标准所属行业为</w:t>
      </w:r>
      <w:r>
        <w:rPr>
          <w:rFonts w:hint="eastAsia" w:ascii="仿宋" w:hAnsi="仿宋" w:eastAsia="仿宋" w:cs="仿宋"/>
          <w:b/>
          <w:bCs/>
          <w:color w:val="auto"/>
          <w:highlight w:val="none"/>
          <w:u w:val="single"/>
          <w:lang w:val="en-US" w:eastAsia="zh-CN"/>
        </w:rPr>
        <w:t>软件和信息技术服务业</w:t>
      </w:r>
      <w:r>
        <w:rPr>
          <w:rFonts w:hint="eastAsia" w:ascii="仿宋" w:hAnsi="仿宋" w:eastAsia="仿宋" w:cs="仿宋"/>
          <w:b/>
          <w:bCs/>
          <w:color w:val="auto"/>
          <w:highlight w:val="none"/>
        </w:rPr>
        <w:t>。</w:t>
      </w:r>
    </w:p>
    <w:p w14:paraId="26B4DF8E">
      <w:pPr>
        <w:spacing w:line="500" w:lineRule="exact"/>
        <w:ind w:firstLine="566" w:firstLineChars="200"/>
        <w:rPr>
          <w:rFonts w:ascii="仿宋" w:hAnsi="仿宋" w:eastAsia="仿宋" w:cs="仿宋"/>
          <w:color w:val="auto"/>
          <w:highlight w:val="none"/>
        </w:rPr>
      </w:pPr>
      <w:r>
        <w:rPr>
          <w:rFonts w:hint="eastAsia" w:ascii="仿宋" w:hAnsi="仿宋" w:eastAsia="仿宋" w:cs="仿宋"/>
          <w:color w:val="auto"/>
          <w:highlight w:val="none"/>
          <w:u w:val="single"/>
        </w:rPr>
        <w:t>货物服务采购项目</w:t>
      </w:r>
      <w:r>
        <w:rPr>
          <w:rFonts w:hint="eastAsia" w:ascii="仿宋" w:hAnsi="仿宋" w:eastAsia="仿宋" w:cs="仿宋"/>
          <w:color w:val="auto"/>
          <w:highlight w:val="none"/>
        </w:rPr>
        <w:t>，对符合价格扣除条件的小微企业报价给予</w:t>
      </w:r>
      <w:r>
        <w:rPr>
          <w:rFonts w:hint="eastAsia" w:ascii="仿宋" w:hAnsi="仿宋" w:eastAsia="仿宋" w:cs="仿宋"/>
          <w:b/>
          <w:bCs/>
          <w:color w:val="auto"/>
          <w:highlight w:val="none"/>
          <w:u w:val="single"/>
        </w:rPr>
        <w:t>10</w:t>
      </w:r>
      <w:r>
        <w:rPr>
          <w:rFonts w:hint="eastAsia" w:ascii="仿宋" w:hAnsi="仿宋" w:eastAsia="仿宋" w:cs="仿宋"/>
          <w:b/>
          <w:bCs/>
          <w:color w:val="auto"/>
          <w:highlight w:val="none"/>
        </w:rPr>
        <w:t>%</w:t>
      </w:r>
      <w:r>
        <w:rPr>
          <w:rFonts w:hint="eastAsia" w:ascii="仿宋" w:hAnsi="仿宋" w:eastAsia="仿宋" w:cs="仿宋"/>
          <w:color w:val="auto"/>
          <w:highlight w:val="none"/>
        </w:rPr>
        <w:t>的扣除，用扣除后的价格参加评审。工程项目，对符合价格扣除条件的小微企业报价给予</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%的扣除，用扣除后的价格参加评审。</w:t>
      </w:r>
    </w:p>
    <w:p w14:paraId="12F92AFF">
      <w:pPr>
        <w:widowControl w:val="0"/>
        <w:wordWrap w:val="0"/>
        <w:spacing w:line="500" w:lineRule="exact"/>
        <w:ind w:firstLine="566" w:firstLineChars="200"/>
        <w:jc w:val="left"/>
        <w:rPr>
          <w:rFonts w:ascii="仿宋" w:hAnsi="仿宋" w:eastAsia="仿宋" w:cs="仿宋"/>
          <w:color w:val="auto"/>
          <w:highlight w:val="none"/>
        </w:rPr>
      </w:pPr>
      <w:r>
        <w:rPr>
          <w:rFonts w:hint="eastAsia" w:ascii="仿宋" w:hAnsi="仿宋" w:eastAsia="仿宋" w:cs="仿宋"/>
          <w:color w:val="auto"/>
          <w:highlight w:val="none"/>
        </w:rPr>
        <w:t>接受大中型企业与小微企业组成联合体或者允许大中型企业向一家或者多家小微企业分包的采购项目，联合协议或者分包协议约定小微企业的合同份额占到合同总金额30%以上的，对联合体或者大中型企业的报价给予</w:t>
      </w:r>
      <w:r>
        <w:rPr>
          <w:rFonts w:hint="eastAsia" w:ascii="仿宋" w:hAnsi="仿宋" w:eastAsia="仿宋" w:cs="仿宋"/>
          <w:b/>
          <w:bCs/>
          <w:color w:val="auto"/>
          <w:highlight w:val="none"/>
          <w:u w:val="single"/>
        </w:rPr>
        <w:t xml:space="preserve"> / </w:t>
      </w:r>
      <w:r>
        <w:rPr>
          <w:rFonts w:hint="eastAsia" w:ascii="仿宋" w:hAnsi="仿宋" w:eastAsia="仿宋" w:cs="仿宋"/>
          <w:color w:val="auto"/>
          <w:highlight w:val="none"/>
        </w:rPr>
        <w:t>%（货物服务采购项目为4%-6%，工程项目为1%-2%）的扣除，用扣除后的价格参加评审（如本项目接受联合体或允许分包），除此之外的其他情形均不适用本款规定。未提供中小企业声明函的不享受价格折扣。</w:t>
      </w:r>
    </w:p>
    <w:p w14:paraId="3185B9A1">
      <w:pPr>
        <w:pStyle w:val="7"/>
        <w:keepNext w:val="0"/>
        <w:keepLines w:val="0"/>
        <w:widowControl w:val="0"/>
        <w:spacing w:line="500" w:lineRule="exact"/>
        <w:ind w:firstLine="486" w:firstLineChars="200"/>
        <w:rPr>
          <w:rFonts w:ascii="华文仿宋" w:hAnsi="华文仿宋" w:cs="华文仿宋"/>
          <w:color w:val="auto"/>
          <w:sz w:val="24"/>
          <w:szCs w:val="24"/>
          <w:highlight w:val="none"/>
        </w:rPr>
      </w:pPr>
      <w:r>
        <w:rPr>
          <w:rFonts w:hint="eastAsia" w:ascii="华文仿宋" w:hAnsi="华文仿宋" w:cs="华文仿宋"/>
          <w:b w:val="0"/>
          <w:bCs w:val="0"/>
          <w:color w:val="auto"/>
          <w:sz w:val="24"/>
          <w:szCs w:val="24"/>
          <w:highlight w:val="none"/>
        </w:rPr>
        <w:t>备注：</w:t>
      </w:r>
      <w:r>
        <w:rPr>
          <w:rFonts w:hint="eastAsia" w:ascii="华文仿宋" w:hAnsi="华文仿宋" w:cs="华文仿宋"/>
          <w:b w:val="0"/>
          <w:bCs w:val="0"/>
          <w:color w:val="auto"/>
          <w:sz w:val="24"/>
          <w:szCs w:val="24"/>
          <w:highlight w:val="none"/>
          <w:lang w:eastAsia="zh-CN"/>
        </w:rPr>
        <w:t>中小企业</w:t>
      </w:r>
      <w:r>
        <w:rPr>
          <w:rFonts w:hint="eastAsia" w:ascii="华文仿宋" w:hAnsi="华文仿宋" w:cs="华文仿宋"/>
          <w:b w:val="0"/>
          <w:bCs w:val="0"/>
          <w:color w:val="auto"/>
          <w:sz w:val="24"/>
          <w:szCs w:val="24"/>
          <w:highlight w:val="none"/>
        </w:rPr>
        <w:t>的定义参照本款第一至三条。</w:t>
      </w:r>
    </w:p>
    <w:p w14:paraId="68D95FE8">
      <w:pPr>
        <w:pStyle w:val="7"/>
        <w:keepNext w:val="0"/>
        <w:keepLines w:val="0"/>
        <w:widowControl w:val="0"/>
        <w:spacing w:line="500" w:lineRule="exact"/>
        <w:ind w:firstLine="566" w:firstLineChars="200"/>
        <w:rPr>
          <w:rFonts w:ascii="华文仿宋" w:cs="Times New Roman"/>
          <w:color w:val="auto"/>
          <w:sz w:val="28"/>
          <w:szCs w:val="28"/>
          <w:highlight w:val="none"/>
        </w:rPr>
      </w:pPr>
      <w:r>
        <w:rPr>
          <w:rFonts w:hint="eastAsia" w:ascii="华文仿宋" w:hAnsi="华文仿宋" w:cs="华文仿宋"/>
          <w:color w:val="auto"/>
          <w:sz w:val="28"/>
          <w:szCs w:val="28"/>
          <w:highlight w:val="none"/>
        </w:rPr>
        <w:t>（六）关于产品和服务</w:t>
      </w:r>
      <w:bookmarkEnd w:id="108"/>
      <w:bookmarkEnd w:id="109"/>
      <w:bookmarkEnd w:id="110"/>
      <w:bookmarkEnd w:id="111"/>
      <w:bookmarkEnd w:id="112"/>
      <w:bookmarkEnd w:id="113"/>
    </w:p>
    <w:p w14:paraId="5E04B3DF">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、所有产品必须具有在中国境内法定许可的生产及销售资格，且为全新原厂制造，其核心关键部分为近</w:t>
      </w:r>
      <w:r>
        <w:rPr>
          <w:rFonts w:ascii="仿宋" w:hAnsi="仿宋" w:eastAsia="仿宋" w:cs="仿宋"/>
          <w:color w:val="auto"/>
          <w:highlight w:val="none"/>
        </w:rPr>
        <w:t>10</w:t>
      </w:r>
      <w:r>
        <w:rPr>
          <w:rFonts w:hint="eastAsia" w:ascii="华文仿宋" w:hAnsi="华文仿宋" w:cs="华文仿宋"/>
          <w:color w:val="auto"/>
          <w:highlight w:val="none"/>
        </w:rPr>
        <w:t>个月内所生产的非淘汰类产品；属于《中华人民共和国实施强制性产品认证的产品目录》的产品，就不能提供超出此目录范畴外的替代品，此外，还须同时具备国家认监委颁布《中国强制认证》（</w:t>
      </w:r>
      <w:r>
        <w:rPr>
          <w:rFonts w:hint="eastAsia" w:ascii="仿宋" w:hAnsi="仿宋" w:eastAsia="仿宋" w:cs="仿宋"/>
          <w:color w:val="auto"/>
          <w:highlight w:val="none"/>
        </w:rPr>
        <w:t>CCC</w:t>
      </w:r>
      <w:r>
        <w:rPr>
          <w:rFonts w:hint="eastAsia" w:ascii="华文仿宋" w:hAnsi="华文仿宋" w:cs="华文仿宋"/>
          <w:color w:val="auto"/>
          <w:highlight w:val="none"/>
        </w:rPr>
        <w:t>认证）。</w:t>
      </w:r>
    </w:p>
    <w:p w14:paraId="49D9275F">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、采购的产品属于政府采购节能产品、环境标志产品品目清单范围的，</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需提供国家确定的认证机构出具的、处于有效期之内的节能产品、环境标志产品认证证书，对获得证书的产品实施政府优先采购或强制采购。</w:t>
      </w:r>
    </w:p>
    <w:p w14:paraId="23C230C3">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3</w:t>
      </w:r>
      <w:r>
        <w:rPr>
          <w:rFonts w:hint="eastAsia" w:ascii="华文仿宋" w:hAnsi="华文仿宋" w:cs="华文仿宋"/>
          <w:color w:val="auto"/>
          <w:highlight w:val="none"/>
        </w:rPr>
        <w:t>、主机设备要有标准配置清单，使用操作及安全须知等重要资料应附有中文说明；国内制造的产品必须同时具备出厂合格证和相关检测报告。购置的计算机设备必须配有正版合法的经采购人认可的操作系统和软件。</w:t>
      </w:r>
    </w:p>
    <w:p w14:paraId="3F32B074">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4</w:t>
      </w:r>
      <w:r>
        <w:rPr>
          <w:rFonts w:hint="eastAsia" w:ascii="华文仿宋" w:hAnsi="华文仿宋" w:cs="华文仿宋"/>
          <w:color w:val="auto"/>
          <w:highlight w:val="none"/>
        </w:rPr>
        <w:t>、根据《政府采购进口产品管理办法》（财库</w:t>
      </w:r>
      <w:r>
        <w:rPr>
          <w:rFonts w:hint="eastAsia" w:ascii="仿宋" w:hAnsi="仿宋" w:eastAsia="仿宋" w:cs="仿宋"/>
          <w:color w:val="auto"/>
          <w:highlight w:val="none"/>
        </w:rPr>
        <w:t>〔</w:t>
      </w:r>
      <w:r>
        <w:rPr>
          <w:rFonts w:ascii="仿宋" w:hAnsi="仿宋" w:eastAsia="仿宋" w:cs="仿宋"/>
          <w:color w:val="auto"/>
          <w:highlight w:val="none"/>
        </w:rPr>
        <w:t>2007</w:t>
      </w:r>
      <w:r>
        <w:rPr>
          <w:rFonts w:hint="eastAsia" w:ascii="仿宋" w:hAnsi="仿宋" w:eastAsia="仿宋" w:cs="仿宋"/>
          <w:color w:val="auto"/>
          <w:highlight w:val="none"/>
        </w:rPr>
        <w:t>〕</w:t>
      </w:r>
      <w:r>
        <w:rPr>
          <w:rFonts w:ascii="仿宋" w:hAnsi="仿宋" w:eastAsia="仿宋" w:cs="仿宋"/>
          <w:color w:val="auto"/>
          <w:highlight w:val="none"/>
        </w:rPr>
        <w:t>119</w:t>
      </w:r>
      <w:r>
        <w:rPr>
          <w:rFonts w:hint="eastAsia" w:ascii="华文仿宋" w:hAnsi="华文仿宋" w:cs="华文仿宋"/>
          <w:color w:val="auto"/>
          <w:highlight w:val="none"/>
        </w:rPr>
        <w:t>号）与《关于政府采购进口产品管理有关问题的通知》（财办库</w:t>
      </w:r>
      <w:r>
        <w:rPr>
          <w:rFonts w:ascii="仿宋" w:hAnsi="仿宋" w:eastAsia="仿宋" w:cs="仿宋"/>
          <w:color w:val="auto"/>
          <w:highlight w:val="none"/>
        </w:rPr>
        <w:t>[2008]248</w:t>
      </w:r>
      <w:r>
        <w:rPr>
          <w:rFonts w:hint="eastAsia" w:ascii="华文仿宋" w:hAnsi="华文仿宋" w:cs="华文仿宋"/>
          <w:color w:val="auto"/>
          <w:highlight w:val="none"/>
        </w:rPr>
        <w:t>号）的有关规定，未经核准同意，</w:t>
      </w:r>
      <w:r>
        <w:rPr>
          <w:rFonts w:hint="eastAsia" w:ascii="华文仿宋" w:hAnsi="华文仿宋" w:cs="华文仿宋"/>
          <w:color w:val="auto"/>
          <w:highlight w:val="none"/>
          <w:lang w:eastAsia="zh-CN"/>
        </w:rPr>
        <w:t>供应商磋商</w:t>
      </w:r>
      <w:r>
        <w:rPr>
          <w:rFonts w:hint="eastAsia" w:ascii="华文仿宋" w:hAnsi="华文仿宋" w:cs="华文仿宋"/>
          <w:color w:val="auto"/>
          <w:highlight w:val="none"/>
        </w:rPr>
        <w:t>时必须提供本国产品，</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以进口产品参与</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的，将作无效</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处理。</w:t>
      </w:r>
    </w:p>
    <w:p w14:paraId="2EAB7AB4">
      <w:pPr>
        <w:widowControl w:val="0"/>
        <w:spacing w:line="500" w:lineRule="exact"/>
        <w:ind w:firstLine="566" w:firstLineChars="200"/>
        <w:rPr>
          <w:rFonts w:hint="eastAsia" w:ascii="华文仿宋" w:hAnsi="华文仿宋" w:eastAsia="华文仿宋" w:cs="华文仿宋"/>
          <w:color w:val="auto"/>
          <w:highlight w:val="none"/>
          <w:lang w:eastAsia="zh-CN"/>
        </w:rPr>
      </w:pPr>
      <w:r>
        <w:rPr>
          <w:rFonts w:hint="eastAsia" w:ascii="华文仿宋" w:hAnsi="华文仿宋" w:cs="华文仿宋"/>
          <w:color w:val="auto"/>
          <w:highlight w:val="none"/>
        </w:rPr>
        <w:t>5、如</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中已说明，经政府采购管理部门审核同意，允许部分或全部产品采购进口产品，</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既可提供本国产品，也可以提供进口产品。在提供的进口产品中，优先采购向我国</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转让技术、与我国</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签订消化吸收再创新方案的</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的进口产品。进口产品必须同时具备原产地证明、中国商检证明及合法进货渠道全套单证</w:t>
      </w:r>
      <w:r>
        <w:rPr>
          <w:rFonts w:hint="eastAsia" w:ascii="华文仿宋" w:hAnsi="华文仿宋" w:cs="华文仿宋"/>
          <w:color w:val="auto"/>
          <w:highlight w:val="none"/>
          <w:lang w:eastAsia="zh-CN"/>
        </w:rPr>
        <w:t>。</w:t>
      </w:r>
    </w:p>
    <w:p w14:paraId="07BBAAA8">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lang w:val="en-US" w:eastAsia="zh-CN"/>
        </w:rPr>
        <w:t>6、如采购的产品属于列入《网络关键设备和网络安全专用产品目录》（如目录有更新，以最新的为准）的网络安全专用产品的，供应商应当提供经安全检测或安全认证的产品或已经获得《计算机信息系统安全专用产品销售许可证》且尚在有效期内的产品</w:t>
      </w:r>
      <w:r>
        <w:rPr>
          <w:rFonts w:hint="eastAsia" w:ascii="华文仿宋" w:hAnsi="华文仿宋" w:cs="华文仿宋"/>
          <w:color w:val="auto"/>
          <w:highlight w:val="none"/>
        </w:rPr>
        <w:t>。</w:t>
      </w:r>
    </w:p>
    <w:p w14:paraId="1B77C0EF">
      <w:pPr>
        <w:pStyle w:val="7"/>
        <w:widowControl w:val="0"/>
        <w:spacing w:line="500" w:lineRule="exact"/>
        <w:ind w:firstLine="566" w:firstLineChars="200"/>
        <w:rPr>
          <w:rFonts w:ascii="华文仿宋" w:cs="Times New Roman"/>
          <w:color w:val="auto"/>
          <w:sz w:val="28"/>
          <w:szCs w:val="28"/>
          <w:highlight w:val="none"/>
        </w:rPr>
      </w:pPr>
      <w:bookmarkStart w:id="114" w:name="_Toc4616"/>
      <w:bookmarkStart w:id="115" w:name="_Toc8680"/>
      <w:bookmarkStart w:id="116" w:name="_Toc7045"/>
      <w:bookmarkStart w:id="117" w:name="_Toc8496"/>
      <w:bookmarkStart w:id="118" w:name="_Toc27587"/>
      <w:bookmarkStart w:id="119" w:name="_Toc14421"/>
      <w:r>
        <w:rPr>
          <w:rFonts w:hint="eastAsia" w:ascii="华文仿宋" w:hAnsi="华文仿宋" w:cs="华文仿宋"/>
          <w:color w:val="auto"/>
          <w:sz w:val="28"/>
          <w:szCs w:val="28"/>
          <w:highlight w:val="none"/>
        </w:rPr>
        <w:t>（七）关于同一品牌产品的处理</w:t>
      </w:r>
      <w:bookmarkEnd w:id="114"/>
      <w:bookmarkEnd w:id="115"/>
      <w:bookmarkEnd w:id="116"/>
      <w:bookmarkEnd w:id="117"/>
      <w:bookmarkEnd w:id="118"/>
      <w:bookmarkEnd w:id="119"/>
    </w:p>
    <w:p w14:paraId="5948C752">
      <w:pPr>
        <w:spacing w:line="500" w:lineRule="exact"/>
        <w:ind w:firstLine="566" w:firstLineChars="200"/>
        <w:rPr>
          <w:rFonts w:ascii="华文仿宋" w:hAnsi="华文仿宋" w:cs="华文仿宋"/>
          <w:bCs/>
          <w:color w:val="auto"/>
          <w:highlight w:val="none"/>
        </w:rPr>
      </w:pPr>
      <w:r>
        <w:rPr>
          <w:rFonts w:hint="eastAsia" w:ascii="华文仿宋" w:hAnsi="华文仿宋" w:cs="华文仿宋"/>
          <w:bCs/>
          <w:color w:val="auto"/>
          <w:highlight w:val="none"/>
        </w:rPr>
        <w:t>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最后报价最低的方式确定一个获得成交供应商推荐资格，其他同品牌供应商不作为成交候选人。</w:t>
      </w:r>
    </w:p>
    <w:p w14:paraId="1D88782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Cs/>
          <w:color w:val="auto"/>
          <w:highlight w:val="none"/>
        </w:rPr>
      </w:pPr>
      <w:r>
        <w:rPr>
          <w:rFonts w:hint="eastAsia" w:ascii="华文仿宋" w:hAnsi="华文仿宋" w:cs="华文仿宋"/>
          <w:bCs/>
          <w:color w:val="auto"/>
          <w:highlight w:val="none"/>
        </w:rPr>
        <w:t>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最后报价最低的方式确定一个获得成交供应商推荐资格，其他同品牌供应商不作为成交候选人。</w:t>
      </w:r>
    </w:p>
    <w:p w14:paraId="75803C88">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Cs/>
          <w:color w:val="auto"/>
          <w:highlight w:val="none"/>
        </w:rPr>
      </w:pPr>
      <w:r>
        <w:rPr>
          <w:rFonts w:hint="eastAsia" w:ascii="华文仿宋" w:hAnsi="华文仿宋" w:cs="华文仿宋"/>
          <w:bCs/>
          <w:color w:val="auto"/>
          <w:highlight w:val="none"/>
        </w:rPr>
        <w:t>3、核心产品为两个以上时，多家供应商提供的核心产品有部分采用或全部采用相同品牌的，按一家供应商计算。</w:t>
      </w:r>
    </w:p>
    <w:p w14:paraId="03784E70">
      <w:pPr>
        <w:pStyle w:val="7"/>
        <w:widowControl w:val="0"/>
        <w:spacing w:line="500" w:lineRule="exact"/>
        <w:ind w:firstLine="566" w:firstLineChars="200"/>
        <w:rPr>
          <w:rFonts w:ascii="华文仿宋" w:cs="Times New Roman"/>
          <w:color w:val="auto"/>
          <w:sz w:val="28"/>
          <w:szCs w:val="28"/>
          <w:highlight w:val="none"/>
        </w:rPr>
      </w:pPr>
      <w:bookmarkStart w:id="120" w:name="_Toc8711"/>
      <w:bookmarkStart w:id="121" w:name="_Toc13357"/>
      <w:bookmarkStart w:id="122" w:name="_Toc16906"/>
      <w:bookmarkStart w:id="123" w:name="_Toc14044"/>
      <w:bookmarkStart w:id="124" w:name="_Toc13431"/>
      <w:bookmarkStart w:id="125" w:name="_Toc24108"/>
      <w:r>
        <w:rPr>
          <w:rFonts w:hint="eastAsia" w:ascii="华文仿宋" w:hAnsi="华文仿宋" w:cs="华文仿宋"/>
          <w:color w:val="auto"/>
          <w:sz w:val="28"/>
          <w:szCs w:val="28"/>
          <w:highlight w:val="none"/>
        </w:rPr>
        <w:t>（八）知识产权与保密事项</w:t>
      </w:r>
      <w:bookmarkEnd w:id="120"/>
      <w:bookmarkEnd w:id="121"/>
      <w:bookmarkEnd w:id="122"/>
      <w:bookmarkEnd w:id="123"/>
      <w:bookmarkEnd w:id="124"/>
      <w:bookmarkEnd w:id="125"/>
    </w:p>
    <w:p w14:paraId="372DD29B">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、所有涉及知识产权的产品及设计，</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必须确保采购人拥有其合法的、不受限制的无偿使用权，并免受任何侵权诉讼或索偿，否则，由此产生的一切经济损失和法律责任由</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承担。</w:t>
      </w:r>
    </w:p>
    <w:p w14:paraId="68C7A822">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、由采购人向</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提供的用户需求书、图纸、样品、模型、模件和所有资料，</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获得后，应对其保密。除非采购人同意，</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不得向第三方透露或将其用于本次</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以外的任何用途。开标后，若采购人有要求，</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须归还采购人认为需保密的文件和资料，并销毁所有相应的备份文件及资料。</w:t>
      </w:r>
    </w:p>
    <w:p w14:paraId="245475A3">
      <w:pPr>
        <w:pStyle w:val="7"/>
        <w:keepNext w:val="0"/>
        <w:keepLines w:val="0"/>
        <w:widowControl w:val="0"/>
        <w:spacing w:line="500" w:lineRule="exact"/>
        <w:ind w:firstLine="566" w:firstLineChars="200"/>
        <w:rPr>
          <w:rFonts w:ascii="华文仿宋" w:cs="Times New Roman"/>
          <w:color w:val="auto"/>
          <w:sz w:val="28"/>
          <w:szCs w:val="28"/>
          <w:highlight w:val="none"/>
        </w:rPr>
      </w:pPr>
      <w:bookmarkStart w:id="126" w:name="_Toc19717"/>
      <w:bookmarkStart w:id="127" w:name="_Toc20526"/>
      <w:bookmarkStart w:id="128" w:name="_Toc7162"/>
      <w:bookmarkStart w:id="129" w:name="_Toc8678"/>
      <w:bookmarkStart w:id="130" w:name="_Toc18494"/>
      <w:bookmarkStart w:id="131" w:name="_Toc9761"/>
      <w:r>
        <w:rPr>
          <w:rFonts w:hint="eastAsia" w:ascii="华文仿宋" w:hAnsi="华文仿宋" w:cs="华文仿宋"/>
          <w:color w:val="auto"/>
          <w:sz w:val="28"/>
          <w:szCs w:val="28"/>
          <w:highlight w:val="none"/>
        </w:rPr>
        <w:t>（九）</w:t>
      </w:r>
      <w:r>
        <w:rPr>
          <w:rFonts w:hint="eastAsia" w:ascii="华文仿宋" w:hAnsi="华文仿宋" w:cs="华文仿宋"/>
          <w:color w:val="auto"/>
          <w:sz w:val="28"/>
          <w:szCs w:val="28"/>
          <w:highlight w:val="none"/>
          <w:lang w:eastAsia="zh-CN"/>
        </w:rPr>
        <w:t>供应商</w:t>
      </w:r>
      <w:r>
        <w:rPr>
          <w:rFonts w:hint="eastAsia" w:ascii="华文仿宋" w:hAnsi="华文仿宋" w:cs="华文仿宋"/>
          <w:color w:val="auto"/>
          <w:sz w:val="28"/>
          <w:szCs w:val="28"/>
          <w:highlight w:val="none"/>
        </w:rPr>
        <w:t>的</w:t>
      </w:r>
      <w:r>
        <w:rPr>
          <w:rFonts w:hint="eastAsia" w:ascii="华文仿宋" w:hAnsi="华文仿宋" w:cs="华文仿宋"/>
          <w:color w:val="auto"/>
          <w:sz w:val="28"/>
          <w:szCs w:val="28"/>
          <w:highlight w:val="none"/>
          <w:lang w:eastAsia="zh-CN"/>
        </w:rPr>
        <w:t>磋商</w:t>
      </w:r>
      <w:r>
        <w:rPr>
          <w:rFonts w:hint="eastAsia" w:ascii="华文仿宋" w:hAnsi="华文仿宋" w:cs="华文仿宋"/>
          <w:color w:val="auto"/>
          <w:sz w:val="28"/>
          <w:szCs w:val="28"/>
          <w:highlight w:val="none"/>
        </w:rPr>
        <w:t>费用自理</w:t>
      </w:r>
      <w:bookmarkEnd w:id="126"/>
      <w:bookmarkEnd w:id="127"/>
      <w:bookmarkEnd w:id="128"/>
      <w:bookmarkEnd w:id="129"/>
      <w:bookmarkEnd w:id="130"/>
      <w:bookmarkEnd w:id="131"/>
    </w:p>
    <w:p w14:paraId="53552C03">
      <w:pPr>
        <w:pStyle w:val="7"/>
        <w:keepNext w:val="0"/>
        <w:keepLines w:val="0"/>
        <w:widowControl w:val="0"/>
        <w:spacing w:line="500" w:lineRule="exact"/>
        <w:ind w:firstLine="566" w:firstLineChars="200"/>
        <w:rPr>
          <w:rFonts w:hint="eastAsia" w:ascii="华文仿宋" w:eastAsia="华文仿宋" w:cs="Times New Roman"/>
          <w:color w:val="auto"/>
          <w:sz w:val="28"/>
          <w:szCs w:val="28"/>
          <w:highlight w:val="none"/>
          <w:lang w:eastAsia="zh-CN"/>
        </w:rPr>
      </w:pPr>
      <w:bookmarkStart w:id="132" w:name="_Toc24468"/>
      <w:r>
        <w:rPr>
          <w:rFonts w:hint="eastAsia" w:ascii="华文仿宋" w:hAnsi="华文仿宋" w:cs="华文仿宋"/>
          <w:color w:val="auto"/>
          <w:sz w:val="28"/>
          <w:szCs w:val="28"/>
          <w:highlight w:val="none"/>
        </w:rPr>
        <w:t>三、</w:t>
      </w:r>
      <w:bookmarkEnd w:id="132"/>
      <w:r>
        <w:rPr>
          <w:rFonts w:hint="eastAsia" w:ascii="华文仿宋" w:hAnsi="华文仿宋" w:cs="华文仿宋"/>
          <w:color w:val="auto"/>
          <w:sz w:val="28"/>
          <w:szCs w:val="28"/>
          <w:highlight w:val="none"/>
          <w:lang w:eastAsia="zh-CN"/>
        </w:rPr>
        <w:t>磋商文件</w:t>
      </w:r>
    </w:p>
    <w:p w14:paraId="0C2F6E5B">
      <w:pPr>
        <w:pStyle w:val="7"/>
        <w:keepNext w:val="0"/>
        <w:keepLines w:val="0"/>
        <w:widowControl w:val="0"/>
        <w:spacing w:line="500" w:lineRule="exact"/>
        <w:ind w:firstLine="566" w:firstLineChars="200"/>
        <w:rPr>
          <w:rFonts w:ascii="华文仿宋" w:cs="Times New Roman"/>
          <w:color w:val="auto"/>
          <w:sz w:val="28"/>
          <w:szCs w:val="28"/>
          <w:highlight w:val="none"/>
        </w:rPr>
      </w:pPr>
      <w:bookmarkStart w:id="133" w:name="_Toc21427"/>
      <w:bookmarkStart w:id="134" w:name="_Toc6250"/>
      <w:bookmarkStart w:id="135" w:name="_Toc31772"/>
      <w:bookmarkStart w:id="136" w:name="_Toc24360"/>
      <w:bookmarkStart w:id="137" w:name="_Toc2499"/>
      <w:bookmarkStart w:id="138" w:name="_Toc9775"/>
      <w:r>
        <w:rPr>
          <w:rFonts w:hint="eastAsia" w:ascii="华文仿宋" w:hAnsi="华文仿宋" w:cs="华文仿宋"/>
          <w:color w:val="auto"/>
          <w:sz w:val="28"/>
          <w:szCs w:val="28"/>
          <w:highlight w:val="none"/>
        </w:rPr>
        <w:t>（一）</w:t>
      </w:r>
      <w:r>
        <w:rPr>
          <w:rFonts w:hint="eastAsia" w:ascii="华文仿宋" w:hAnsi="华文仿宋" w:cs="华文仿宋"/>
          <w:color w:val="auto"/>
          <w:sz w:val="28"/>
          <w:szCs w:val="28"/>
          <w:highlight w:val="none"/>
          <w:lang w:eastAsia="zh-CN"/>
        </w:rPr>
        <w:t>磋商文件</w:t>
      </w:r>
      <w:r>
        <w:rPr>
          <w:rFonts w:hint="eastAsia" w:ascii="华文仿宋" w:hAnsi="华文仿宋" w:cs="华文仿宋"/>
          <w:color w:val="auto"/>
          <w:sz w:val="28"/>
          <w:szCs w:val="28"/>
          <w:highlight w:val="none"/>
        </w:rPr>
        <w:t>包括下列内容</w:t>
      </w:r>
      <w:bookmarkEnd w:id="133"/>
      <w:bookmarkEnd w:id="134"/>
      <w:bookmarkEnd w:id="135"/>
      <w:bookmarkEnd w:id="136"/>
      <w:bookmarkEnd w:id="137"/>
      <w:bookmarkEnd w:id="138"/>
    </w:p>
    <w:p w14:paraId="6F854C94">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第一章　</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邀请函</w:t>
      </w:r>
    </w:p>
    <w:p w14:paraId="690FEFD2">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第二章　</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须知</w:t>
      </w:r>
    </w:p>
    <w:p w14:paraId="31075294">
      <w:pPr>
        <w:widowControl w:val="0"/>
        <w:spacing w:line="500" w:lineRule="exact"/>
        <w:ind w:firstLine="566" w:firstLineChars="200"/>
        <w:rPr>
          <w:rFonts w:hint="eastAsia" w:ascii="华文仿宋" w:eastAsia="华文仿宋" w:cs="Times New Roman"/>
          <w:color w:val="auto"/>
          <w:highlight w:val="none"/>
          <w:lang w:eastAsia="zh-CN"/>
        </w:rPr>
      </w:pPr>
      <w:r>
        <w:rPr>
          <w:rFonts w:hint="eastAsia" w:ascii="华文仿宋" w:hAnsi="华文仿宋" w:cs="华文仿宋"/>
          <w:color w:val="auto"/>
          <w:highlight w:val="none"/>
        </w:rPr>
        <w:t>第三章　</w:t>
      </w:r>
      <w:r>
        <w:rPr>
          <w:rFonts w:hint="eastAsia" w:ascii="华文仿宋" w:hAnsi="华文仿宋" w:cs="华文仿宋"/>
          <w:color w:val="auto"/>
          <w:highlight w:val="none"/>
          <w:lang w:eastAsia="zh-CN"/>
        </w:rPr>
        <w:t>磋商内容及采购要求</w:t>
      </w:r>
    </w:p>
    <w:p w14:paraId="7CAB68E1">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第四章　合同</w:t>
      </w:r>
      <w:r>
        <w:rPr>
          <w:rFonts w:hint="eastAsia" w:ascii="华文仿宋" w:hAnsi="华文仿宋" w:cs="华文仿宋"/>
          <w:color w:val="auto"/>
          <w:highlight w:val="none"/>
          <w:lang w:eastAsia="zh-CN"/>
        </w:rPr>
        <w:t>草案</w:t>
      </w:r>
      <w:r>
        <w:rPr>
          <w:rFonts w:hint="eastAsia" w:ascii="华文仿宋" w:hAnsi="华文仿宋" w:cs="华文仿宋"/>
          <w:color w:val="auto"/>
          <w:highlight w:val="none"/>
        </w:rPr>
        <w:t>条款</w:t>
      </w:r>
    </w:p>
    <w:p w14:paraId="6076190D">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第</w:t>
      </w:r>
      <w:r>
        <w:rPr>
          <w:rFonts w:hint="eastAsia" w:ascii="华文仿宋" w:hAnsi="华文仿宋" w:cs="华文仿宋"/>
          <w:color w:val="auto"/>
          <w:highlight w:val="none"/>
          <w:lang w:eastAsia="zh-CN"/>
        </w:rPr>
        <w:t>五</w:t>
      </w:r>
      <w:r>
        <w:rPr>
          <w:rFonts w:hint="eastAsia" w:ascii="华文仿宋" w:hAnsi="华文仿宋" w:cs="华文仿宋"/>
          <w:color w:val="auto"/>
          <w:highlight w:val="none"/>
        </w:rPr>
        <w:t>章　</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构成及格式</w:t>
      </w:r>
    </w:p>
    <w:p w14:paraId="52F8BAC9">
      <w:pPr>
        <w:pStyle w:val="7"/>
        <w:keepNext w:val="0"/>
        <w:keepLines w:val="0"/>
        <w:widowControl w:val="0"/>
        <w:spacing w:line="500" w:lineRule="exact"/>
        <w:ind w:firstLine="283" w:firstLineChars="100"/>
        <w:rPr>
          <w:rFonts w:ascii="华文仿宋" w:cs="Times New Roman"/>
          <w:color w:val="auto"/>
          <w:sz w:val="28"/>
          <w:szCs w:val="28"/>
          <w:highlight w:val="none"/>
        </w:rPr>
      </w:pPr>
      <w:bookmarkStart w:id="139" w:name="_Toc17501"/>
      <w:bookmarkStart w:id="140" w:name="_Toc20821"/>
      <w:bookmarkStart w:id="141" w:name="_Toc12109"/>
      <w:bookmarkStart w:id="142" w:name="_Toc16023"/>
      <w:bookmarkStart w:id="143" w:name="_Toc15437"/>
      <w:bookmarkStart w:id="144" w:name="_Toc5020"/>
      <w:r>
        <w:rPr>
          <w:rFonts w:hint="eastAsia" w:ascii="华文仿宋" w:hAnsi="华文仿宋" w:cs="华文仿宋"/>
          <w:color w:val="auto"/>
          <w:sz w:val="28"/>
          <w:szCs w:val="28"/>
          <w:highlight w:val="none"/>
        </w:rPr>
        <w:t>（二）</w:t>
      </w:r>
      <w:r>
        <w:rPr>
          <w:rFonts w:hint="eastAsia" w:ascii="华文仿宋" w:hAnsi="华文仿宋" w:cs="华文仿宋"/>
          <w:color w:val="auto"/>
          <w:sz w:val="28"/>
          <w:szCs w:val="28"/>
          <w:highlight w:val="none"/>
          <w:lang w:eastAsia="zh-CN"/>
        </w:rPr>
        <w:t>磋商文件</w:t>
      </w:r>
      <w:r>
        <w:rPr>
          <w:rFonts w:hint="eastAsia" w:ascii="华文仿宋" w:hAnsi="华文仿宋" w:cs="华文仿宋"/>
          <w:color w:val="auto"/>
          <w:sz w:val="28"/>
          <w:szCs w:val="28"/>
          <w:highlight w:val="none"/>
        </w:rPr>
        <w:t>的检查及阅读</w:t>
      </w:r>
      <w:bookmarkEnd w:id="139"/>
      <w:bookmarkEnd w:id="140"/>
      <w:bookmarkEnd w:id="141"/>
      <w:bookmarkEnd w:id="142"/>
      <w:bookmarkEnd w:id="143"/>
      <w:bookmarkEnd w:id="144"/>
    </w:p>
    <w:p w14:paraId="46E83CC6">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下载</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后应仔细阅读检查</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中的所有内容，按照</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中所列事项、条款、规范要求及格式，在</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中对</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做出全面的响应，并按</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的要求提交全部资料。</w:t>
      </w:r>
    </w:p>
    <w:p w14:paraId="6A2E9C3B">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项目废标后重新组织招标的，陕西省省级单位政府采购中心将重新编制、发布新版</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应按新版</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重新编制</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。原</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及</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失效。</w:t>
      </w:r>
    </w:p>
    <w:p w14:paraId="215DA549">
      <w:pPr>
        <w:widowControl w:val="0"/>
        <w:spacing w:line="500" w:lineRule="exact"/>
        <w:ind w:firstLine="566" w:firstLineChars="200"/>
        <w:rPr>
          <w:rFonts w:ascii="华文仿宋" w:cs="Times New Roman"/>
          <w:b/>
          <w:bCs/>
          <w:color w:val="auto"/>
          <w:highlight w:val="none"/>
        </w:rPr>
      </w:pPr>
      <w:r>
        <w:rPr>
          <w:rFonts w:hint="eastAsia" w:ascii="华文仿宋" w:hAnsi="华文仿宋" w:cs="华文仿宋"/>
          <w:b/>
          <w:bCs/>
          <w:color w:val="auto"/>
          <w:highlight w:val="none"/>
          <w:lang w:eastAsia="zh-CN"/>
        </w:rPr>
        <w:t>响应文件</w:t>
      </w:r>
      <w:r>
        <w:rPr>
          <w:rFonts w:hint="eastAsia" w:ascii="华文仿宋" w:hAnsi="华文仿宋" w:cs="华文仿宋"/>
          <w:b/>
          <w:bCs/>
          <w:color w:val="auto"/>
          <w:highlight w:val="none"/>
        </w:rPr>
        <w:t>封面、</w:t>
      </w:r>
      <w:r>
        <w:rPr>
          <w:rFonts w:hint="eastAsia" w:ascii="华文仿宋" w:hAnsi="华文仿宋" w:cs="华文仿宋"/>
          <w:b/>
          <w:bCs/>
          <w:color w:val="auto"/>
          <w:highlight w:val="none"/>
          <w:lang w:eastAsia="zh-CN"/>
        </w:rPr>
        <w:t>响应</w:t>
      </w:r>
      <w:r>
        <w:rPr>
          <w:rFonts w:hint="eastAsia" w:ascii="华文仿宋" w:hAnsi="华文仿宋" w:cs="华文仿宋"/>
          <w:b/>
          <w:bCs/>
          <w:color w:val="auto"/>
          <w:highlight w:val="none"/>
        </w:rPr>
        <w:t>函以及法定代表人授权委托书三处的项目名称、项目编号、标段（如有）应当与最新发布的</w:t>
      </w:r>
      <w:r>
        <w:rPr>
          <w:rFonts w:hint="eastAsia" w:ascii="华文仿宋" w:hAnsi="华文仿宋" w:cs="华文仿宋"/>
          <w:b/>
          <w:bCs/>
          <w:color w:val="auto"/>
          <w:highlight w:val="none"/>
          <w:lang w:eastAsia="zh-CN"/>
        </w:rPr>
        <w:t>磋商文件</w:t>
      </w:r>
      <w:r>
        <w:rPr>
          <w:rFonts w:hint="eastAsia" w:ascii="华文仿宋" w:hAnsi="华文仿宋" w:cs="华文仿宋"/>
          <w:b/>
          <w:bCs/>
          <w:color w:val="auto"/>
          <w:highlight w:val="none"/>
        </w:rPr>
        <w:t>保持一致，否则将被视为无效</w:t>
      </w:r>
      <w:r>
        <w:rPr>
          <w:rFonts w:hint="eastAsia" w:ascii="华文仿宋" w:hAnsi="华文仿宋" w:cs="华文仿宋"/>
          <w:b/>
          <w:bCs/>
          <w:color w:val="auto"/>
          <w:highlight w:val="none"/>
          <w:lang w:eastAsia="zh-CN"/>
        </w:rPr>
        <w:t>响应文件</w:t>
      </w:r>
      <w:r>
        <w:rPr>
          <w:rFonts w:hint="eastAsia" w:ascii="华文仿宋" w:hAnsi="华文仿宋" w:cs="华文仿宋"/>
          <w:b/>
          <w:bCs/>
          <w:color w:val="auto"/>
          <w:highlight w:val="none"/>
        </w:rPr>
        <w:t>。</w:t>
      </w:r>
    </w:p>
    <w:p w14:paraId="102770A0">
      <w:pPr>
        <w:pStyle w:val="7"/>
        <w:keepNext w:val="0"/>
        <w:keepLines w:val="0"/>
        <w:widowControl w:val="0"/>
        <w:spacing w:line="500" w:lineRule="exact"/>
        <w:ind w:firstLine="283" w:firstLineChars="100"/>
        <w:rPr>
          <w:rFonts w:ascii="华文仿宋" w:cs="Times New Roman"/>
          <w:color w:val="auto"/>
          <w:sz w:val="28"/>
          <w:szCs w:val="28"/>
          <w:highlight w:val="none"/>
        </w:rPr>
      </w:pPr>
      <w:bookmarkStart w:id="145" w:name="_Toc8999"/>
      <w:bookmarkStart w:id="146" w:name="_Toc30912"/>
      <w:bookmarkStart w:id="147" w:name="_Toc163"/>
      <w:bookmarkStart w:id="148" w:name="_Toc24326"/>
      <w:bookmarkStart w:id="149" w:name="_Toc1771"/>
      <w:bookmarkStart w:id="150" w:name="_Toc2096"/>
      <w:r>
        <w:rPr>
          <w:rFonts w:hint="eastAsia" w:ascii="华文仿宋" w:hAnsi="华文仿宋" w:cs="华文仿宋"/>
          <w:color w:val="auto"/>
          <w:sz w:val="28"/>
          <w:szCs w:val="28"/>
          <w:highlight w:val="none"/>
        </w:rPr>
        <w:t>（三）</w:t>
      </w:r>
      <w:r>
        <w:rPr>
          <w:rFonts w:hint="eastAsia" w:ascii="华文仿宋" w:hAnsi="华文仿宋" w:cs="华文仿宋"/>
          <w:color w:val="auto"/>
          <w:sz w:val="28"/>
          <w:szCs w:val="28"/>
          <w:highlight w:val="none"/>
          <w:lang w:eastAsia="zh-CN"/>
        </w:rPr>
        <w:t>磋商文件</w:t>
      </w:r>
      <w:r>
        <w:rPr>
          <w:rFonts w:hint="eastAsia" w:ascii="华文仿宋" w:hAnsi="华文仿宋" w:cs="华文仿宋"/>
          <w:color w:val="auto"/>
          <w:sz w:val="28"/>
          <w:szCs w:val="28"/>
          <w:highlight w:val="none"/>
        </w:rPr>
        <w:t>的修改、澄清</w:t>
      </w:r>
      <w:bookmarkEnd w:id="145"/>
      <w:bookmarkEnd w:id="146"/>
      <w:bookmarkEnd w:id="147"/>
      <w:bookmarkEnd w:id="148"/>
      <w:bookmarkEnd w:id="149"/>
      <w:bookmarkEnd w:id="150"/>
    </w:p>
    <w:p w14:paraId="316827DC">
      <w:pPr>
        <w:spacing w:line="500" w:lineRule="exact"/>
        <w:ind w:firstLine="566" w:firstLineChars="200"/>
        <w:rPr>
          <w:rFonts w:ascii="华文仿宋" w:hAnsi="华文仿宋" w:cs="华文仿宋"/>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在提交响应文件截止之日前，陕西省省级单位政府采购中心可对已发出的磋商文件进行必要的澄清或者修改，澄清或者修改的内容作为磋商文件的组成部分。澄清或者修改的内容可能影响响应文件编制的，陕西省省级单位政府采购中心将在提交响应文件截止之日至少</w:t>
      </w:r>
      <w:r>
        <w:rPr>
          <w:rFonts w:hint="eastAsia" w:ascii="仿宋" w:hAnsi="仿宋" w:eastAsia="仿宋" w:cs="仿宋"/>
          <w:color w:val="auto"/>
          <w:highlight w:val="none"/>
        </w:rPr>
        <w:t>5</w:t>
      </w:r>
      <w:r>
        <w:rPr>
          <w:rFonts w:hint="eastAsia" w:ascii="华文仿宋" w:hAnsi="华文仿宋" w:cs="华文仿宋"/>
          <w:color w:val="auto"/>
          <w:highlight w:val="none"/>
        </w:rPr>
        <w:t>日前，在财政部门指定的政府采购信息发布媒体上</w:t>
      </w:r>
      <w:r>
        <w:rPr>
          <w:rFonts w:hint="eastAsia" w:ascii="华文仿宋" w:hAnsi="华文仿宋" w:cs="华文仿宋"/>
          <w:b/>
          <w:bCs/>
          <w:color w:val="auto"/>
          <w:highlight w:val="none"/>
        </w:rPr>
        <w:t>发布更正公告</w:t>
      </w:r>
      <w:r>
        <w:rPr>
          <w:rFonts w:hint="eastAsia" w:ascii="华文仿宋" w:hAnsi="华文仿宋" w:cs="华文仿宋"/>
          <w:color w:val="auto"/>
          <w:highlight w:val="none"/>
        </w:rPr>
        <w:t>；不足</w:t>
      </w:r>
      <w:r>
        <w:rPr>
          <w:rFonts w:hint="eastAsia" w:ascii="仿宋" w:hAnsi="仿宋" w:eastAsia="仿宋" w:cs="仿宋"/>
          <w:color w:val="auto"/>
          <w:highlight w:val="none"/>
        </w:rPr>
        <w:t>5</w:t>
      </w:r>
      <w:r>
        <w:rPr>
          <w:rFonts w:hint="eastAsia" w:ascii="华文仿宋" w:hAnsi="华文仿宋" w:cs="华文仿宋"/>
          <w:color w:val="auto"/>
          <w:highlight w:val="none"/>
        </w:rPr>
        <w:t>日，陕西省省级单位政府采购中心将顺延提交响应文件的截止时间。</w:t>
      </w:r>
    </w:p>
    <w:p w14:paraId="1DDCEDD2">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仿宋" w:hAnsi="仿宋" w:eastAsia="仿宋" w:cs="仿宋"/>
          <w:color w:val="auto"/>
          <w:highlight w:val="none"/>
        </w:rPr>
        <w:t>2</w:t>
      </w:r>
      <w:r>
        <w:rPr>
          <w:rFonts w:hint="eastAsia" w:ascii="华文仿宋" w:hAnsi="华文仿宋" w:cs="华文仿宋"/>
          <w:color w:val="auto"/>
          <w:highlight w:val="none"/>
        </w:rPr>
        <w:t>、供应商对磋商文件提出质疑的，应在获取磋商文件之日起起</w:t>
      </w:r>
      <w:r>
        <w:rPr>
          <w:rFonts w:hint="eastAsia" w:ascii="仿宋" w:hAnsi="仿宋" w:eastAsia="仿宋" w:cs="仿宋"/>
          <w:color w:val="auto"/>
          <w:highlight w:val="none"/>
        </w:rPr>
        <w:t>7</w:t>
      </w:r>
      <w:r>
        <w:rPr>
          <w:rFonts w:hint="eastAsia" w:ascii="华文仿宋" w:hAnsi="华文仿宋" w:cs="华文仿宋"/>
          <w:color w:val="auto"/>
          <w:highlight w:val="none"/>
        </w:rPr>
        <w:t>个工作日内以书面形式提出，采购人以书面形式予以答复；在此之后提出的针对磋商文件的质疑为无效质疑。答复的内容可能影响响应文件编制的，陕西省省级单位政府采购中心将在财政部门指定的政府采购信息发布媒体上</w:t>
      </w:r>
      <w:r>
        <w:rPr>
          <w:rFonts w:hint="eastAsia" w:ascii="华文仿宋" w:hAnsi="华文仿宋" w:cs="华文仿宋"/>
          <w:b/>
          <w:bCs/>
          <w:color w:val="auto"/>
          <w:highlight w:val="none"/>
        </w:rPr>
        <w:t>发布更正公告</w:t>
      </w:r>
      <w:r>
        <w:rPr>
          <w:rFonts w:hint="eastAsia" w:ascii="华文仿宋" w:hAnsi="华文仿宋" w:cs="华文仿宋"/>
          <w:color w:val="auto"/>
          <w:highlight w:val="none"/>
        </w:rPr>
        <w:t>。</w:t>
      </w:r>
    </w:p>
    <w:p w14:paraId="303543D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仿宋" w:hAnsi="仿宋" w:eastAsia="仿宋" w:cs="仿宋"/>
          <w:color w:val="auto"/>
          <w:highlight w:val="none"/>
        </w:rPr>
        <w:t>3</w:t>
      </w:r>
      <w:r>
        <w:rPr>
          <w:rFonts w:hint="eastAsia" w:ascii="华文仿宋" w:hAnsi="华文仿宋" w:cs="华文仿宋"/>
          <w:color w:val="auto"/>
          <w:highlight w:val="none"/>
        </w:rPr>
        <w:t>、各供应商在提交响应文件截止时间之前，应随时关注下列地址发布的变更公告，也可登录全国公共资源交易平台（陕西省）政府采购交易系统查看左上角的信息提醒，陕西省省级单位政府采购中心</w:t>
      </w:r>
      <w:r>
        <w:rPr>
          <w:rFonts w:hint="eastAsia" w:ascii="华文仿宋" w:hAnsi="华文仿宋" w:cs="华文仿宋"/>
          <w:b/>
          <w:bCs/>
          <w:color w:val="auto"/>
          <w:highlight w:val="none"/>
        </w:rPr>
        <w:t>不再单独通知，因供应商未及时关注所造成的一切后果由供应商自行承担：</w:t>
      </w:r>
    </w:p>
    <w:p w14:paraId="173D1871">
      <w:pPr>
        <w:wordWrap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（1）【</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35"/>
          <w:rFonts w:hint="eastAsia" w:ascii="华文仿宋" w:hAnsi="华文仿宋" w:cs="华文仿宋"/>
          <w:color w:val="auto"/>
          <w:sz w:val="28"/>
          <w:szCs w:val="28"/>
          <w:highlight w:val="none"/>
        </w:rPr>
        <w:t>陕西省政府采购网</w:t>
      </w:r>
      <w:r>
        <w:rPr>
          <w:rStyle w:val="35"/>
          <w:rFonts w:hint="eastAsia" w:ascii="华文仿宋" w:hAnsi="华文仿宋" w:cs="华文仿宋"/>
          <w:color w:val="auto"/>
          <w:sz w:val="28"/>
          <w:szCs w:val="28"/>
          <w:highlight w:val="none"/>
        </w:rPr>
        <w:fldChar w:fldCharType="end"/>
      </w:r>
      <w:r>
        <w:rPr>
          <w:rFonts w:hint="eastAsia" w:ascii="华文仿宋" w:hAnsi="华文仿宋" w:cs="华文仿宋"/>
          <w:color w:val="auto"/>
          <w:highlight w:val="none"/>
        </w:rPr>
        <w:t>（</w:t>
      </w:r>
      <w:r>
        <w:rPr>
          <w:rFonts w:hint="eastAsia" w:ascii="仿宋" w:hAnsi="仿宋" w:eastAsia="仿宋" w:cs="仿宋"/>
          <w:color w:val="auto"/>
          <w:highlight w:val="none"/>
        </w:rPr>
        <w:t>www.ccgp-shaanxi.gov.cn</w:t>
      </w:r>
      <w:r>
        <w:rPr>
          <w:rFonts w:hint="eastAsia" w:ascii="华文仿宋" w:hAnsi="华文仿宋" w:cs="华文仿宋"/>
          <w:color w:val="auto"/>
          <w:highlight w:val="none"/>
        </w:rPr>
        <w:t>）】中的〖首页·〉省级公告·〉更正公告〗；</w:t>
      </w:r>
    </w:p>
    <w:p w14:paraId="106DBF5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highlight w:val="none"/>
        </w:rPr>
      </w:pPr>
      <w:r>
        <w:rPr>
          <w:rFonts w:hint="eastAsia" w:ascii="华文仿宋" w:hAnsi="华文仿宋" w:cs="华文仿宋"/>
          <w:color w:val="auto"/>
          <w:highlight w:val="none"/>
        </w:rPr>
        <w:t>（2）【全国公共资源交易平台（陕西省）</w:t>
      </w:r>
      <w:r>
        <w:rPr>
          <w:rFonts w:hint="eastAsia" w:ascii="华文仿宋" w:hAnsi="华文仿宋" w:cs="华文仿宋"/>
          <w:color w:val="auto"/>
          <w:kern w:val="0"/>
          <w:highlight w:val="none"/>
        </w:rPr>
        <w:t>（</w:t>
      </w:r>
      <w:r>
        <w:rPr>
          <w:rFonts w:hint="eastAsia" w:ascii="仿宋" w:hAnsi="仿宋" w:eastAsia="仿宋" w:cs="仿宋"/>
          <w:color w:val="auto"/>
          <w:highlight w:val="none"/>
        </w:rPr>
        <w:t>http://www.sxggzyjy.cn/</w:t>
      </w:r>
      <w:r>
        <w:rPr>
          <w:rFonts w:hint="eastAsia" w:ascii="华文仿宋" w:hAnsi="华文仿宋" w:cs="华文仿宋"/>
          <w:color w:val="auto"/>
          <w:kern w:val="0"/>
          <w:highlight w:val="none"/>
        </w:rPr>
        <w:t>）</w:t>
      </w:r>
      <w:r>
        <w:rPr>
          <w:rFonts w:hint="eastAsia" w:ascii="华文仿宋" w:hAnsi="华文仿宋" w:cs="华文仿宋"/>
          <w:color w:val="auto"/>
          <w:highlight w:val="none"/>
        </w:rPr>
        <w:t>】中的〖首页·〉交易大厅·〉政府采购〗。</w:t>
      </w:r>
    </w:p>
    <w:p w14:paraId="403AFA27">
      <w:pPr>
        <w:pStyle w:val="7"/>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sz w:val="28"/>
          <w:szCs w:val="28"/>
          <w:highlight w:val="none"/>
        </w:rPr>
      </w:pPr>
      <w:bookmarkStart w:id="151" w:name="_Toc9031"/>
      <w:bookmarkStart w:id="152" w:name="_Toc3288"/>
      <w:bookmarkStart w:id="153" w:name="_Toc24054"/>
      <w:bookmarkStart w:id="154" w:name="_Toc11980"/>
      <w:bookmarkStart w:id="155" w:name="_Toc5846"/>
      <w:bookmarkStart w:id="156" w:name="_Toc27253"/>
      <w:r>
        <w:rPr>
          <w:rFonts w:hint="eastAsia" w:ascii="华文仿宋" w:hAnsi="华文仿宋" w:cs="华文仿宋"/>
          <w:color w:val="auto"/>
          <w:sz w:val="28"/>
          <w:szCs w:val="28"/>
          <w:highlight w:val="none"/>
        </w:rPr>
        <w:t>（四）</w:t>
      </w:r>
      <w:r>
        <w:rPr>
          <w:rFonts w:hint="eastAsia" w:ascii="华文仿宋" w:hAnsi="华文仿宋" w:cs="华文仿宋"/>
          <w:color w:val="auto"/>
          <w:sz w:val="28"/>
          <w:szCs w:val="28"/>
          <w:highlight w:val="none"/>
          <w:lang w:eastAsia="zh-CN"/>
        </w:rPr>
        <w:t>磋商文件</w:t>
      </w:r>
      <w:r>
        <w:rPr>
          <w:rFonts w:hint="eastAsia" w:ascii="华文仿宋" w:hAnsi="华文仿宋" w:cs="华文仿宋"/>
          <w:color w:val="auto"/>
          <w:sz w:val="28"/>
          <w:szCs w:val="28"/>
          <w:highlight w:val="none"/>
        </w:rPr>
        <w:t>的解释权归陕西省省级单位政府采购中心</w:t>
      </w:r>
      <w:bookmarkEnd w:id="151"/>
      <w:bookmarkEnd w:id="152"/>
      <w:bookmarkEnd w:id="153"/>
      <w:bookmarkEnd w:id="154"/>
      <w:bookmarkEnd w:id="155"/>
      <w:bookmarkEnd w:id="156"/>
    </w:p>
    <w:p w14:paraId="2763AE84">
      <w:pPr>
        <w:pStyle w:val="7"/>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sz w:val="28"/>
          <w:szCs w:val="28"/>
          <w:highlight w:val="none"/>
        </w:rPr>
      </w:pPr>
      <w:bookmarkStart w:id="157" w:name="_Toc14376"/>
      <w:r>
        <w:rPr>
          <w:rFonts w:hint="eastAsia" w:ascii="华文仿宋" w:hAnsi="华文仿宋" w:cs="华文仿宋"/>
          <w:color w:val="auto"/>
          <w:sz w:val="28"/>
          <w:szCs w:val="28"/>
          <w:highlight w:val="none"/>
        </w:rPr>
        <w:t>四、</w:t>
      </w:r>
      <w:r>
        <w:rPr>
          <w:rFonts w:hint="eastAsia" w:ascii="华文仿宋" w:hAnsi="华文仿宋" w:cs="华文仿宋"/>
          <w:color w:val="auto"/>
          <w:sz w:val="28"/>
          <w:szCs w:val="28"/>
          <w:highlight w:val="none"/>
          <w:lang w:eastAsia="zh-CN"/>
        </w:rPr>
        <w:t>磋商</w:t>
      </w:r>
      <w:r>
        <w:rPr>
          <w:rFonts w:hint="eastAsia" w:ascii="华文仿宋" w:hAnsi="华文仿宋" w:cs="华文仿宋"/>
          <w:color w:val="auto"/>
          <w:sz w:val="28"/>
          <w:szCs w:val="28"/>
          <w:highlight w:val="none"/>
        </w:rPr>
        <w:t>报价</w:t>
      </w:r>
      <w:bookmarkEnd w:id="157"/>
    </w:p>
    <w:p w14:paraId="3EFF645C">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磋商报价是供应商响应本项目要求的全部工作内容的价格体现，包括完成采购内容所需的直接费、间接费、利润、税金及其它相关的一切费用。供应商在报价时应充分考虑所有可能发生的费用，</w:t>
      </w:r>
      <w:r>
        <w:rPr>
          <w:rFonts w:hint="eastAsia" w:ascii="华文仿宋" w:hAnsi="华文仿宋" w:cs="华文仿宋"/>
          <w:color w:val="auto"/>
          <w:highlight w:val="none"/>
          <w:lang w:val="zh-CN"/>
        </w:rPr>
        <w:t>磋商</w:t>
      </w:r>
      <w:r>
        <w:rPr>
          <w:rFonts w:hint="eastAsia" w:ascii="华文仿宋" w:hAnsi="华文仿宋" w:cs="华文仿宋"/>
          <w:color w:val="auto"/>
          <w:highlight w:val="none"/>
        </w:rPr>
        <w:t>文件未列明，而供应商认为应当计取的费用均应列入报价中。报价时不论是否计取，采购人均按已计取对待。</w:t>
      </w:r>
    </w:p>
    <w:p w14:paraId="6D9D09FC">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（一）供应商应按照《响应文件构成及格式》中《第一次磋商报价表》中的相关要求填写需要响应的内容。</w:t>
      </w:r>
    </w:p>
    <w:p w14:paraId="7BC6A549">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b/>
          <w:bCs/>
          <w:color w:val="auto"/>
          <w:highlight w:val="none"/>
        </w:rPr>
        <w:t>（二）磋商报价采取多轮报价的办法，最后报价作为计算价格分值的依据。供应商应在磋商当天，磋商小组规定的报价时间内，使用制作响应文件的数字认证证书（</w:t>
      </w:r>
      <w:r>
        <w:rPr>
          <w:rFonts w:hint="eastAsia" w:ascii="仿宋" w:hAnsi="仿宋" w:eastAsia="仿宋" w:cs="仿宋"/>
          <w:b/>
          <w:bCs/>
          <w:color w:val="auto"/>
          <w:highlight w:val="none"/>
        </w:rPr>
        <w:t>CA</w:t>
      </w:r>
      <w:r>
        <w:rPr>
          <w:rFonts w:hint="eastAsia" w:ascii="华文仿宋" w:hAnsi="华文仿宋" w:cs="华文仿宋"/>
          <w:b/>
          <w:bCs/>
          <w:color w:val="auto"/>
          <w:highlight w:val="none"/>
        </w:rPr>
        <w:t>锁）登录全国公共资源交易平台（陕西省）网站〖首页·〉电子交易平台·〉</w:t>
      </w:r>
      <w:r>
        <w:rPr>
          <w:rFonts w:hint="eastAsia" w:ascii="华文仿宋" w:hAnsi="华文仿宋" w:cs="华文仿宋"/>
          <w:b/>
          <w:bCs/>
          <w:color w:val="auto"/>
          <w:highlight w:val="none"/>
          <w:lang w:eastAsia="zh-CN"/>
        </w:rPr>
        <w:t>供应商</w:t>
      </w:r>
      <w:r>
        <w:rPr>
          <w:rFonts w:hint="eastAsia" w:ascii="华文仿宋" w:hAnsi="华文仿宋" w:cs="华文仿宋"/>
          <w:b/>
          <w:bCs/>
          <w:color w:val="auto"/>
          <w:highlight w:val="none"/>
        </w:rPr>
        <w:t>端〗后，在〖我的项目〗下找到本次磋商的项目，填写最后报价表，签章并提交。</w:t>
      </w:r>
    </w:p>
    <w:p w14:paraId="01588F5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b/>
          <w:bCs/>
          <w:color w:val="auto"/>
          <w:highlight w:val="none"/>
        </w:rPr>
        <w:t>（三）如采购内容无实质性变更，各供应商的报价应逐次降低，本次报价超过采购预算或磋商文件规定的最高限价的，按无效响应处理；本次报价超过上次报价但未超过采购预算或磋商文件规定的最高限价的，或在规定时间内最后报价未提交、提交不成功的均为无效报价，按无效响应处理。</w:t>
      </w:r>
    </w:p>
    <w:p w14:paraId="7C0A1219">
      <w:pPr>
        <w:pStyle w:val="8"/>
        <w:keepNext w:val="0"/>
        <w:keepLines w:val="0"/>
        <w:pageBreakBefore w:val="0"/>
        <w:widowControl w:val="0"/>
        <w:kinsoku/>
        <w:wordWrap/>
        <w:overflowPunct/>
        <w:topLinePunct w:val="0"/>
        <w:autoSpaceDE/>
        <w:autoSpaceDN/>
        <w:bidi w:val="0"/>
        <w:adjustRightInd/>
        <w:snapToGrid/>
        <w:textAlignment w:val="auto"/>
        <w:rPr>
          <w:rFonts w:ascii="华文仿宋" w:hAnsi="华文仿宋" w:cs="华文仿宋"/>
          <w:color w:val="auto"/>
          <w:highlight w:val="none"/>
        </w:rPr>
      </w:pPr>
      <w:r>
        <w:rPr>
          <w:rFonts w:hint="eastAsia" w:ascii="华文仿宋" w:hAnsi="华文仿宋" w:cs="华文仿宋"/>
          <w:color w:val="auto"/>
          <w:highlight w:val="none"/>
        </w:rPr>
        <w:t>“规定时间”由现场工作人员具体确定。</w:t>
      </w:r>
    </w:p>
    <w:p w14:paraId="2CB8597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供应商最终报价较首次报价降价的，成交后，签订合同时应按照成交价较首次报价的下浮比率修改分项报价表中的相应报价。</w:t>
      </w:r>
    </w:p>
    <w:p w14:paraId="3B8CBC14">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（四）</w:t>
      </w:r>
      <w:r>
        <w:rPr>
          <w:rFonts w:hint="eastAsia" w:ascii="华文仿宋" w:hAnsi="华文仿宋" w:cs="华文仿宋"/>
          <w:color w:val="auto"/>
          <w:highlight w:val="none"/>
          <w:lang w:val="zh-CN"/>
        </w:rPr>
        <w:t>磋商</w:t>
      </w:r>
      <w:r>
        <w:rPr>
          <w:rFonts w:hint="eastAsia" w:ascii="华文仿宋" w:hAnsi="华文仿宋" w:cs="华文仿宋"/>
          <w:color w:val="auto"/>
          <w:highlight w:val="none"/>
        </w:rPr>
        <w:t>报价货币：</w:t>
      </w:r>
      <w:r>
        <w:rPr>
          <w:rFonts w:hint="eastAsia" w:ascii="华文仿宋" w:hAnsi="华文仿宋" w:cs="华文仿宋"/>
          <w:b/>
          <w:color w:val="auto"/>
          <w:highlight w:val="none"/>
        </w:rPr>
        <w:t>人民币</w:t>
      </w:r>
      <w:r>
        <w:rPr>
          <w:rFonts w:hint="eastAsia" w:ascii="华文仿宋" w:hAnsi="华文仿宋" w:cs="华文仿宋"/>
          <w:color w:val="auto"/>
          <w:highlight w:val="none"/>
        </w:rPr>
        <w:t>；</w:t>
      </w:r>
      <w:r>
        <w:rPr>
          <w:rFonts w:hint="eastAsia" w:ascii="华文仿宋" w:hAnsi="华文仿宋" w:cs="华文仿宋"/>
          <w:b/>
          <w:bCs/>
          <w:color w:val="auto"/>
          <w:highlight w:val="none"/>
        </w:rPr>
        <w:t>单位：元</w:t>
      </w:r>
      <w:r>
        <w:rPr>
          <w:rFonts w:hint="eastAsia" w:ascii="华文仿宋" w:hAnsi="华文仿宋" w:cs="华文仿宋"/>
          <w:bCs/>
          <w:color w:val="auto"/>
          <w:highlight w:val="none"/>
        </w:rPr>
        <w:t>，</w:t>
      </w:r>
      <w:r>
        <w:rPr>
          <w:rFonts w:hint="eastAsia" w:ascii="华文仿宋" w:hAnsi="华文仿宋" w:cs="华文仿宋"/>
          <w:b/>
          <w:color w:val="auto"/>
          <w:highlight w:val="none"/>
        </w:rPr>
        <w:t>保留到元</w:t>
      </w:r>
      <w:r>
        <w:rPr>
          <w:rFonts w:hint="eastAsia" w:ascii="华文仿宋" w:hAnsi="华文仿宋" w:cs="华文仿宋"/>
          <w:bCs/>
          <w:color w:val="auto"/>
          <w:highlight w:val="none"/>
        </w:rPr>
        <w:t>。</w:t>
      </w:r>
    </w:p>
    <w:p w14:paraId="7520B5CC">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（五）磋商报价大小写不一致的以大写为准。</w:t>
      </w:r>
    </w:p>
    <w:p w14:paraId="4AD1A797">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highlight w:val="none"/>
        </w:rPr>
      </w:pPr>
      <w:r>
        <w:rPr>
          <w:rFonts w:hint="eastAsia" w:ascii="华文仿宋" w:hAnsi="华文仿宋" w:cs="华文仿宋"/>
          <w:color w:val="auto"/>
          <w:highlight w:val="none"/>
        </w:rPr>
        <w:t>（六）因供应商对磋商文件理解不透、误解、疏漏或对市场行情了解不清造成的后果和风险，均由供应商自己负责。</w:t>
      </w:r>
    </w:p>
    <w:p w14:paraId="6EF120B0">
      <w:pPr>
        <w:pStyle w:val="7"/>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eastAsia="华文仿宋" w:cs="Times New Roman"/>
          <w:color w:val="auto"/>
          <w:sz w:val="28"/>
          <w:szCs w:val="28"/>
          <w:highlight w:val="none"/>
          <w:lang w:eastAsia="zh-CN"/>
        </w:rPr>
      </w:pPr>
      <w:bookmarkStart w:id="158" w:name="_Toc31692"/>
      <w:r>
        <w:rPr>
          <w:rFonts w:hint="eastAsia" w:ascii="华文仿宋" w:hAnsi="华文仿宋" w:cs="华文仿宋"/>
          <w:color w:val="auto"/>
          <w:sz w:val="28"/>
          <w:szCs w:val="28"/>
          <w:highlight w:val="none"/>
        </w:rPr>
        <w:t>五、</w:t>
      </w:r>
      <w:bookmarkEnd w:id="158"/>
      <w:r>
        <w:rPr>
          <w:rFonts w:hint="eastAsia" w:ascii="华文仿宋" w:hAnsi="华文仿宋" w:cs="华文仿宋"/>
          <w:color w:val="auto"/>
          <w:sz w:val="28"/>
          <w:szCs w:val="28"/>
          <w:highlight w:val="none"/>
          <w:lang w:eastAsia="zh-CN"/>
        </w:rPr>
        <w:t>响应文件</w:t>
      </w:r>
    </w:p>
    <w:p w14:paraId="32738F22">
      <w:pPr>
        <w:pStyle w:val="7"/>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sz w:val="28"/>
          <w:szCs w:val="28"/>
          <w:highlight w:val="none"/>
        </w:rPr>
      </w:pPr>
      <w:bookmarkStart w:id="159" w:name="_Toc10242"/>
      <w:bookmarkStart w:id="160" w:name="_Toc4717"/>
      <w:bookmarkStart w:id="161" w:name="_Toc1832"/>
      <w:bookmarkStart w:id="162" w:name="_Toc25351"/>
      <w:bookmarkStart w:id="163" w:name="_Toc8984"/>
      <w:bookmarkStart w:id="164" w:name="_Toc30764"/>
      <w:r>
        <w:rPr>
          <w:rFonts w:hint="eastAsia" w:ascii="华文仿宋" w:hAnsi="华文仿宋" w:cs="华文仿宋"/>
          <w:color w:val="auto"/>
          <w:sz w:val="28"/>
          <w:szCs w:val="28"/>
          <w:highlight w:val="none"/>
        </w:rPr>
        <w:t>（一）</w:t>
      </w:r>
      <w:r>
        <w:rPr>
          <w:rFonts w:hint="eastAsia" w:ascii="华文仿宋" w:hAnsi="华文仿宋" w:cs="华文仿宋"/>
          <w:color w:val="auto"/>
          <w:sz w:val="28"/>
          <w:szCs w:val="28"/>
          <w:highlight w:val="none"/>
          <w:lang w:eastAsia="zh-CN"/>
        </w:rPr>
        <w:t>响应文件</w:t>
      </w:r>
      <w:r>
        <w:rPr>
          <w:rFonts w:hint="eastAsia" w:ascii="华文仿宋" w:hAnsi="华文仿宋" w:cs="华文仿宋"/>
          <w:color w:val="auto"/>
          <w:sz w:val="28"/>
          <w:szCs w:val="28"/>
          <w:highlight w:val="none"/>
        </w:rPr>
        <w:t>形式</w:t>
      </w:r>
      <w:bookmarkEnd w:id="159"/>
      <w:bookmarkEnd w:id="160"/>
      <w:bookmarkEnd w:id="161"/>
      <w:bookmarkEnd w:id="162"/>
      <w:bookmarkEnd w:id="163"/>
      <w:bookmarkEnd w:id="164"/>
    </w:p>
    <w:p w14:paraId="41B25F6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highlight w:val="none"/>
        </w:rPr>
      </w:pPr>
      <w:r>
        <w:rPr>
          <w:rFonts w:hint="eastAsia" w:ascii="华文仿宋" w:hAnsi="华文仿宋" w:cs="华文仿宋"/>
          <w:color w:val="auto"/>
          <w:highlight w:val="none"/>
        </w:rPr>
        <w:t>本项目采用电子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的形式。</w:t>
      </w:r>
    </w:p>
    <w:p w14:paraId="4DEE77F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highlight w:val="none"/>
        </w:rPr>
      </w:pPr>
      <w:r>
        <w:rPr>
          <w:rFonts w:hint="eastAsia" w:ascii="华文仿宋" w:hAnsi="华文仿宋" w:cs="华文仿宋"/>
          <w:color w:val="auto"/>
          <w:highlight w:val="none"/>
        </w:rPr>
        <w:t>编制电子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时，应使用最新发布的电子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及专用制作工具进行编制。并使用数字认证证书（</w:t>
      </w:r>
      <w:r>
        <w:rPr>
          <w:rFonts w:hint="eastAsia" w:ascii="仿宋" w:hAnsi="仿宋" w:eastAsia="仿宋" w:cs="仿宋"/>
          <w:color w:val="auto"/>
          <w:highlight w:val="none"/>
        </w:rPr>
        <w:t>CA</w:t>
      </w:r>
      <w:r>
        <w:rPr>
          <w:rFonts w:hint="eastAsia" w:ascii="华文仿宋" w:hAnsi="华文仿宋" w:cs="华文仿宋"/>
          <w:color w:val="auto"/>
          <w:highlight w:val="none"/>
        </w:rPr>
        <w:t>锁）对电子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进行签署、加密、递交及磋商时解密等相关操作。</w:t>
      </w:r>
    </w:p>
    <w:p w14:paraId="5B0269C5">
      <w:pPr>
        <w:widowControl w:val="0"/>
        <w:spacing w:line="500" w:lineRule="exact"/>
        <w:ind w:firstLine="566" w:firstLineChars="200"/>
        <w:rPr>
          <w:rFonts w:ascii="华文仿宋" w:cs="Times New Roman"/>
          <w:color w:val="auto"/>
          <w:highlight w:val="none"/>
        </w:rPr>
      </w:pPr>
      <w:bookmarkStart w:id="165" w:name="_Toc8183"/>
      <w:bookmarkStart w:id="166" w:name="_Toc12406"/>
      <w:bookmarkStart w:id="167" w:name="_Toc14227"/>
      <w:r>
        <w:rPr>
          <w:rFonts w:ascii="华文仿宋" w:hAnsi="华文仿宋" w:cs="华文仿宋"/>
          <w:color w:val="auto"/>
          <w:highlight w:val="none"/>
        </w:rPr>
        <w:t>1</w:t>
      </w:r>
      <w:r>
        <w:rPr>
          <w:rFonts w:hint="eastAsia" w:ascii="华文仿宋" w:hAnsi="华文仿宋" w:cs="华文仿宋"/>
          <w:color w:val="auto"/>
          <w:highlight w:val="none"/>
        </w:rPr>
        <w:t>、电子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下载。</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登录全国公共资源交易平台（陕西省）网站〖首页·〉电子交易平台·〉</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端〗后，在〖招标公告</w:t>
      </w:r>
      <w:r>
        <w:rPr>
          <w:rFonts w:ascii="华文仿宋" w:hAnsi="华文仿宋" w:cs="华文仿宋"/>
          <w:color w:val="auto"/>
          <w:highlight w:val="none"/>
        </w:rPr>
        <w:t>/</w:t>
      </w:r>
      <w:r>
        <w:rPr>
          <w:rFonts w:hint="eastAsia" w:ascii="华文仿宋" w:hAnsi="华文仿宋" w:cs="华文仿宋"/>
          <w:color w:val="auto"/>
          <w:highlight w:val="none"/>
        </w:rPr>
        <w:t>出让公告〗模块中选择项目点击“我要</w:t>
      </w:r>
      <w:r>
        <w:rPr>
          <w:rFonts w:hint="eastAsia" w:ascii="华文仿宋" w:hAnsi="华文仿宋" w:cs="华文仿宋"/>
          <w:color w:val="auto"/>
          <w:highlight w:val="none"/>
          <w:lang w:eastAsia="zh-CN"/>
        </w:rPr>
        <w:t>投标</w:t>
      </w:r>
      <w:r>
        <w:rPr>
          <w:rFonts w:hint="eastAsia" w:ascii="华文仿宋" w:hAnsi="华文仿宋" w:cs="华文仿宋"/>
          <w:color w:val="auto"/>
          <w:highlight w:val="none"/>
        </w:rPr>
        <w:t>”，参与</w:t>
      </w:r>
      <w:r>
        <w:rPr>
          <w:rFonts w:hint="eastAsia" w:ascii="华文仿宋" w:hAnsi="华文仿宋" w:cs="华文仿宋"/>
          <w:color w:val="auto"/>
          <w:highlight w:val="none"/>
          <w:lang w:eastAsia="zh-CN"/>
        </w:rPr>
        <w:t>投标</w:t>
      </w:r>
      <w:r>
        <w:rPr>
          <w:rFonts w:hint="eastAsia" w:ascii="华文仿宋" w:hAnsi="华文仿宋" w:cs="华文仿宋"/>
          <w:color w:val="auto"/>
          <w:highlight w:val="none"/>
        </w:rPr>
        <w:t>活动。然后即可在〖我的项目〗中点击“项目流程</w:t>
      </w:r>
      <w:r>
        <w:rPr>
          <w:rFonts w:ascii="华文仿宋" w:hAnsi="华文仿宋" w:cs="华文仿宋"/>
          <w:color w:val="auto"/>
          <w:highlight w:val="none"/>
        </w:rPr>
        <w:t>&gt;</w:t>
      </w:r>
      <w:r>
        <w:rPr>
          <w:rFonts w:hint="eastAsia" w:ascii="华文仿宋" w:hAnsi="华文仿宋" w:cs="华文仿宋"/>
          <w:color w:val="auto"/>
          <w:highlight w:val="none"/>
        </w:rPr>
        <w:t>交易文件下载”下载电子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w:t>
      </w:r>
      <w:r>
        <w:rPr>
          <w:rFonts w:hint="eastAsia" w:ascii="仿宋" w:hAnsi="仿宋" w:eastAsia="仿宋" w:cs="仿宋"/>
          <w:color w:val="auto"/>
          <w:highlight w:val="none"/>
        </w:rPr>
        <w:t>*.SXSZF</w:t>
      </w:r>
      <w:r>
        <w:rPr>
          <w:rFonts w:hint="eastAsia" w:ascii="华文仿宋" w:hAnsi="华文仿宋" w:cs="华文仿宋"/>
          <w:color w:val="auto"/>
          <w:highlight w:val="none"/>
        </w:rPr>
        <w:t>）。</w:t>
      </w:r>
    </w:p>
    <w:p w14:paraId="3D8CD1B9">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注意：该项目如有变更文件，则应点击“项目流程</w:t>
      </w:r>
      <w:r>
        <w:rPr>
          <w:rFonts w:ascii="华文仿宋" w:hAnsi="华文仿宋" w:cs="华文仿宋"/>
          <w:color w:val="auto"/>
          <w:highlight w:val="none"/>
        </w:rPr>
        <w:t>&gt;</w:t>
      </w:r>
      <w:r>
        <w:rPr>
          <w:rFonts w:hint="eastAsia" w:ascii="华文仿宋" w:hAnsi="华文仿宋" w:cs="华文仿宋"/>
          <w:color w:val="auto"/>
          <w:highlight w:val="none"/>
        </w:rPr>
        <w:t>答疑文件下载”下载更新后的电子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w:t>
      </w:r>
      <w:r>
        <w:rPr>
          <w:rFonts w:hint="eastAsia" w:ascii="仿宋" w:hAnsi="仿宋" w:eastAsia="仿宋" w:cs="仿宋"/>
          <w:color w:val="auto"/>
          <w:highlight w:val="none"/>
        </w:rPr>
        <w:t>*.SXSCF</w:t>
      </w:r>
      <w:r>
        <w:rPr>
          <w:rFonts w:hint="eastAsia" w:ascii="华文仿宋" w:hAnsi="华文仿宋" w:cs="华文仿宋"/>
          <w:color w:val="auto"/>
          <w:highlight w:val="none"/>
        </w:rPr>
        <w:t>），</w:t>
      </w:r>
      <w:r>
        <w:rPr>
          <w:rFonts w:hint="eastAsia" w:ascii="华文仿宋" w:hAnsi="华文仿宋" w:cs="华文仿宋"/>
          <w:b/>
          <w:bCs/>
          <w:color w:val="auto"/>
          <w:highlight w:val="none"/>
        </w:rPr>
        <w:t>使用旧版电子</w:t>
      </w:r>
      <w:r>
        <w:rPr>
          <w:rFonts w:hint="eastAsia" w:ascii="华文仿宋" w:hAnsi="华文仿宋" w:cs="华文仿宋"/>
          <w:b/>
          <w:bCs/>
          <w:color w:val="auto"/>
          <w:highlight w:val="none"/>
          <w:lang w:eastAsia="zh-CN"/>
        </w:rPr>
        <w:t>磋商文件</w:t>
      </w:r>
      <w:r>
        <w:rPr>
          <w:rFonts w:hint="eastAsia" w:ascii="华文仿宋" w:hAnsi="华文仿宋" w:cs="华文仿宋"/>
          <w:b/>
          <w:bCs/>
          <w:color w:val="auto"/>
          <w:highlight w:val="none"/>
        </w:rPr>
        <w:t>制作的电子</w:t>
      </w:r>
      <w:r>
        <w:rPr>
          <w:rFonts w:hint="eastAsia" w:ascii="华文仿宋" w:hAnsi="华文仿宋" w:cs="华文仿宋"/>
          <w:b/>
          <w:bCs/>
          <w:color w:val="auto"/>
          <w:highlight w:val="none"/>
          <w:lang w:eastAsia="zh-CN"/>
        </w:rPr>
        <w:t>响应文件</w:t>
      </w:r>
      <w:r>
        <w:rPr>
          <w:rFonts w:hint="eastAsia" w:ascii="华文仿宋" w:hAnsi="华文仿宋" w:cs="华文仿宋"/>
          <w:b/>
          <w:bCs/>
          <w:color w:val="auto"/>
          <w:highlight w:val="none"/>
        </w:rPr>
        <w:t>，系统将拒绝接收。</w:t>
      </w:r>
    </w:p>
    <w:p w14:paraId="0A114C77">
      <w:pPr>
        <w:widowControl w:val="0"/>
        <w:numPr>
          <w:ilvl w:val="0"/>
          <w:numId w:val="2"/>
        </w:numPr>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需要使用专用软件打开、浏览。</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可在全国公共资源交易平台（陕西省）网站〖首页·〉服务指南·〉下载专区〗免费下载“陕西省公共资源交易平台政府采购电子标书制作工具”，并升级至最新版本，使用该客户端可以打开电子</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。软件操作手册详见全国公共资源交易平台（陕西省）网站〖首页·〉服务指南·〉下载专区〗中的《陕西省公共资源交易（政府采购类）</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制作软件操作手册》。</w:t>
      </w:r>
    </w:p>
    <w:p w14:paraId="25A1C456">
      <w:pPr>
        <w:widowControl w:val="0"/>
        <w:numPr>
          <w:ilvl w:val="0"/>
          <w:numId w:val="2"/>
        </w:numPr>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制作电子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同样需要使用上述软件进行编制。在编制过程中，如有技术性问题，请先翻阅操作手册，或致电软件开发商。</w:t>
      </w:r>
      <w:r>
        <w:rPr>
          <w:rFonts w:hint="eastAsia" w:ascii="华文仿宋" w:hAnsi="华文仿宋" w:cs="华文仿宋"/>
          <w:b/>
          <w:bCs/>
          <w:color w:val="auto"/>
          <w:highlight w:val="none"/>
        </w:rPr>
        <w:t>技术支持热线：</w:t>
      </w:r>
      <w:r>
        <w:rPr>
          <w:rFonts w:hint="eastAsia" w:ascii="仿宋" w:hAnsi="仿宋" w:eastAsia="仿宋" w:cs="仿宋"/>
          <w:b/>
          <w:bCs/>
          <w:color w:val="auto"/>
          <w:highlight w:val="none"/>
        </w:rPr>
        <w:t>4009980000。</w:t>
      </w:r>
    </w:p>
    <w:p w14:paraId="33CF4459">
      <w:pPr>
        <w:pStyle w:val="7"/>
        <w:widowControl w:val="0"/>
        <w:spacing w:line="500" w:lineRule="exact"/>
        <w:ind w:firstLine="566" w:firstLineChars="200"/>
        <w:rPr>
          <w:rFonts w:ascii="华文仿宋" w:cs="Times New Roman"/>
          <w:color w:val="auto"/>
          <w:sz w:val="28"/>
          <w:szCs w:val="28"/>
          <w:highlight w:val="none"/>
        </w:rPr>
      </w:pPr>
      <w:bookmarkStart w:id="168" w:name="_Toc27046"/>
      <w:bookmarkStart w:id="169" w:name="_Toc29206"/>
      <w:bookmarkStart w:id="170" w:name="_Toc11615"/>
      <w:r>
        <w:rPr>
          <w:rFonts w:hint="eastAsia" w:ascii="华文仿宋" w:hAnsi="华文仿宋" w:cs="华文仿宋"/>
          <w:color w:val="auto"/>
          <w:sz w:val="28"/>
          <w:szCs w:val="28"/>
          <w:highlight w:val="none"/>
        </w:rPr>
        <w:t>（二）</w:t>
      </w:r>
      <w:r>
        <w:rPr>
          <w:rFonts w:hint="eastAsia" w:ascii="华文仿宋" w:hAnsi="华文仿宋" w:cs="华文仿宋"/>
          <w:color w:val="auto"/>
          <w:sz w:val="28"/>
          <w:szCs w:val="28"/>
          <w:highlight w:val="none"/>
          <w:lang w:eastAsia="zh-CN"/>
        </w:rPr>
        <w:t>响应文件</w:t>
      </w:r>
      <w:r>
        <w:rPr>
          <w:rFonts w:hint="eastAsia" w:ascii="华文仿宋" w:hAnsi="华文仿宋" w:cs="华文仿宋"/>
          <w:color w:val="auto"/>
          <w:sz w:val="28"/>
          <w:szCs w:val="28"/>
          <w:highlight w:val="none"/>
        </w:rPr>
        <w:t>语言及有效期</w:t>
      </w:r>
      <w:bookmarkEnd w:id="165"/>
      <w:bookmarkEnd w:id="166"/>
      <w:bookmarkEnd w:id="167"/>
      <w:bookmarkEnd w:id="168"/>
      <w:bookmarkEnd w:id="169"/>
      <w:bookmarkEnd w:id="170"/>
    </w:p>
    <w:p w14:paraId="2918D10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1、响应活动的所有文件、资料、函电文均使用简体中文，确需提交用其他语言形成的资料，必须翻译成简体中文，如有差异，以简体中文为准。</w:t>
      </w:r>
    </w:p>
    <w:p w14:paraId="2526B66E">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2、响应文件有效期为</w:t>
      </w:r>
      <w:r>
        <w:rPr>
          <w:rFonts w:hint="eastAsia" w:ascii="华文仿宋" w:hAnsi="华文仿宋" w:cs="华文仿宋"/>
          <w:b/>
          <w:bCs/>
          <w:color w:val="auto"/>
          <w:highlight w:val="none"/>
        </w:rPr>
        <w:t>自响应文件开启之日起</w:t>
      </w:r>
      <w:r>
        <w:rPr>
          <w:rFonts w:hint="eastAsia" w:ascii="仿宋" w:hAnsi="仿宋" w:eastAsia="仿宋" w:cs="仿宋"/>
          <w:b/>
          <w:bCs/>
          <w:color w:val="auto"/>
          <w:highlight w:val="none"/>
        </w:rPr>
        <w:t>90</w:t>
      </w:r>
      <w:r>
        <w:rPr>
          <w:rFonts w:hint="eastAsia" w:ascii="华文仿宋" w:hAnsi="华文仿宋" w:cs="华文仿宋"/>
          <w:b/>
          <w:bCs/>
          <w:color w:val="auto"/>
          <w:highlight w:val="none"/>
        </w:rPr>
        <w:t>个日历日</w:t>
      </w:r>
      <w:r>
        <w:rPr>
          <w:rFonts w:hint="eastAsia" w:ascii="华文仿宋" w:hAnsi="华文仿宋" w:cs="华文仿宋"/>
          <w:color w:val="auto"/>
          <w:highlight w:val="none"/>
        </w:rPr>
        <w:t>。如成交，延长至合同执行完毕时止。</w:t>
      </w:r>
    </w:p>
    <w:p w14:paraId="1B1A33A3">
      <w:pPr>
        <w:pStyle w:val="7"/>
        <w:widowControl w:val="0"/>
        <w:spacing w:line="500" w:lineRule="exact"/>
        <w:ind w:firstLine="566" w:firstLineChars="200"/>
        <w:rPr>
          <w:rFonts w:ascii="华文仿宋" w:cs="Times New Roman"/>
          <w:color w:val="auto"/>
          <w:sz w:val="28"/>
          <w:szCs w:val="28"/>
          <w:highlight w:val="none"/>
        </w:rPr>
      </w:pPr>
      <w:bookmarkStart w:id="171" w:name="_Toc20317"/>
      <w:bookmarkStart w:id="172" w:name="_Toc10345"/>
      <w:bookmarkStart w:id="173" w:name="_Toc30493"/>
      <w:bookmarkStart w:id="174" w:name="_Toc8949"/>
      <w:bookmarkStart w:id="175" w:name="_Toc2152"/>
      <w:bookmarkStart w:id="176" w:name="_Toc4668"/>
      <w:r>
        <w:rPr>
          <w:rFonts w:hint="eastAsia" w:ascii="华文仿宋" w:hAnsi="华文仿宋" w:cs="华文仿宋"/>
          <w:color w:val="auto"/>
          <w:sz w:val="28"/>
          <w:szCs w:val="28"/>
          <w:highlight w:val="none"/>
        </w:rPr>
        <w:t>（三）</w:t>
      </w:r>
      <w:r>
        <w:rPr>
          <w:rFonts w:hint="eastAsia" w:ascii="华文仿宋" w:hAnsi="华文仿宋" w:cs="华文仿宋"/>
          <w:color w:val="auto"/>
          <w:sz w:val="28"/>
          <w:szCs w:val="28"/>
          <w:highlight w:val="none"/>
          <w:lang w:eastAsia="zh-CN"/>
        </w:rPr>
        <w:t>响应文件</w:t>
      </w:r>
      <w:r>
        <w:rPr>
          <w:rFonts w:hint="eastAsia" w:ascii="华文仿宋" w:hAnsi="华文仿宋" w:cs="华文仿宋"/>
          <w:color w:val="auto"/>
          <w:sz w:val="28"/>
          <w:szCs w:val="28"/>
          <w:highlight w:val="none"/>
        </w:rPr>
        <w:t>的提交</w:t>
      </w:r>
      <w:bookmarkEnd w:id="171"/>
      <w:bookmarkEnd w:id="172"/>
      <w:bookmarkEnd w:id="173"/>
      <w:bookmarkEnd w:id="174"/>
      <w:bookmarkEnd w:id="175"/>
      <w:bookmarkEnd w:id="176"/>
    </w:p>
    <w:p w14:paraId="08E8BF8A">
      <w:pPr>
        <w:widowControl w:val="0"/>
        <w:spacing w:line="500" w:lineRule="exact"/>
        <w:ind w:firstLine="566" w:firstLineChars="200"/>
        <w:rPr>
          <w:rFonts w:ascii="华文仿宋" w:cs="Times New Roman"/>
          <w:color w:val="auto"/>
          <w:highlight w:val="none"/>
        </w:rPr>
      </w:pPr>
      <w:r>
        <w:rPr>
          <w:rFonts w:hint="eastAsia" w:ascii="华文仿宋" w:hAnsi="华文仿宋" w:cs="华文仿宋"/>
          <w:color w:val="auto"/>
          <w:highlight w:val="none"/>
        </w:rPr>
        <w:t>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可于提交</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截止时间前任意时段登录全国公共资源交易平台（陕西省）网站“电子交易平台</w:t>
      </w:r>
      <w:r>
        <w:rPr>
          <w:rFonts w:ascii="华文仿宋" w:hAnsi="华文仿宋" w:cs="华文仿宋"/>
          <w:color w:val="auto"/>
          <w:highlight w:val="none"/>
        </w:rPr>
        <w:t>&gt;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端”进行提交，逾期系统将拒绝接收。提交时，</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应登录全国公共资源交易中心平台（陕西省），选择“首页</w:t>
      </w:r>
      <w:r>
        <w:rPr>
          <w:rFonts w:ascii="华文仿宋" w:hAnsi="华文仿宋" w:cs="华文仿宋"/>
          <w:color w:val="auto"/>
          <w:highlight w:val="none"/>
        </w:rPr>
        <w:t>&gt;</w:t>
      </w:r>
      <w:r>
        <w:rPr>
          <w:rFonts w:hint="eastAsia" w:ascii="华文仿宋" w:hAnsi="华文仿宋" w:cs="华文仿宋"/>
          <w:color w:val="auto"/>
          <w:highlight w:val="none"/>
        </w:rPr>
        <w:t>电子交易平台</w:t>
      </w:r>
      <w:r>
        <w:rPr>
          <w:rFonts w:ascii="华文仿宋" w:hAnsi="华文仿宋" w:cs="华文仿宋"/>
          <w:color w:val="auto"/>
          <w:highlight w:val="none"/>
        </w:rPr>
        <w:t>&gt;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端</w:t>
      </w:r>
      <w:r>
        <w:rPr>
          <w:rFonts w:ascii="华文仿宋" w:hAnsi="华文仿宋" w:cs="华文仿宋"/>
          <w:color w:val="auto"/>
          <w:highlight w:val="none"/>
        </w:rPr>
        <w:t>&gt;</w:t>
      </w:r>
      <w:r>
        <w:rPr>
          <w:rFonts w:hint="eastAsia" w:ascii="华文仿宋" w:hAnsi="华文仿宋" w:cs="华文仿宋"/>
          <w:color w:val="auto"/>
          <w:highlight w:val="none"/>
        </w:rPr>
        <w:t>我的项目”，点击“项目流程”，在打开的“项目管理”对话框中选择“上传</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”，上传加密的电子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w:t>
      </w:r>
      <w:r>
        <w:rPr>
          <w:rFonts w:hint="eastAsia" w:ascii="仿宋" w:hAnsi="仿宋" w:eastAsia="仿宋" w:cs="仿宋"/>
          <w:color w:val="auto"/>
          <w:highlight w:val="none"/>
        </w:rPr>
        <w:t>*.SXSTF</w:t>
      </w:r>
      <w:r>
        <w:rPr>
          <w:rFonts w:hint="eastAsia" w:ascii="华文仿宋" w:hAnsi="华文仿宋" w:cs="华文仿宋"/>
          <w:color w:val="auto"/>
          <w:highlight w:val="none"/>
        </w:rPr>
        <w:t>）。上传成功后，电子化平台将予以记录。</w:t>
      </w:r>
    </w:p>
    <w:p w14:paraId="36B2958C">
      <w:pPr>
        <w:pStyle w:val="7"/>
        <w:widowControl w:val="0"/>
        <w:spacing w:line="500" w:lineRule="exact"/>
        <w:ind w:firstLine="566" w:firstLineChars="200"/>
        <w:rPr>
          <w:rFonts w:ascii="华文仿宋" w:cs="Times New Roman"/>
          <w:color w:val="auto"/>
          <w:sz w:val="28"/>
          <w:szCs w:val="28"/>
          <w:highlight w:val="none"/>
        </w:rPr>
      </w:pPr>
      <w:bookmarkStart w:id="177" w:name="_Toc11861"/>
      <w:bookmarkStart w:id="178" w:name="_Toc7616"/>
      <w:bookmarkStart w:id="179" w:name="_Toc7750"/>
      <w:bookmarkStart w:id="180" w:name="_Toc17615"/>
      <w:bookmarkStart w:id="181" w:name="_Toc31979"/>
      <w:bookmarkStart w:id="182" w:name="_Toc1454"/>
      <w:r>
        <w:rPr>
          <w:rFonts w:hint="eastAsia" w:ascii="华文仿宋" w:hAnsi="华文仿宋" w:cs="华文仿宋"/>
          <w:color w:val="auto"/>
          <w:sz w:val="28"/>
          <w:szCs w:val="28"/>
          <w:highlight w:val="none"/>
        </w:rPr>
        <w:t>（四）</w:t>
      </w:r>
      <w:r>
        <w:rPr>
          <w:rFonts w:hint="eastAsia" w:ascii="华文仿宋" w:hAnsi="华文仿宋" w:cs="华文仿宋"/>
          <w:color w:val="auto"/>
          <w:sz w:val="28"/>
          <w:szCs w:val="28"/>
          <w:highlight w:val="none"/>
          <w:lang w:eastAsia="zh-CN"/>
        </w:rPr>
        <w:t>响应文件</w:t>
      </w:r>
      <w:r>
        <w:rPr>
          <w:rFonts w:hint="eastAsia" w:ascii="华文仿宋" w:hAnsi="华文仿宋" w:cs="华文仿宋"/>
          <w:color w:val="auto"/>
          <w:sz w:val="28"/>
          <w:szCs w:val="28"/>
          <w:highlight w:val="none"/>
        </w:rPr>
        <w:t>的补充、修改和撤回</w:t>
      </w:r>
      <w:bookmarkEnd w:id="177"/>
      <w:bookmarkEnd w:id="178"/>
      <w:bookmarkEnd w:id="179"/>
      <w:bookmarkEnd w:id="180"/>
      <w:bookmarkEnd w:id="181"/>
      <w:bookmarkEnd w:id="182"/>
    </w:p>
    <w:p w14:paraId="1D5D2774">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在递交</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后，且在提交</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截止时间前，可以对所提交的</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进行补充、修改或撤回。</w:t>
      </w:r>
    </w:p>
    <w:p w14:paraId="38FF92FA">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、对电子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进行补充、修改的，应先从电子交易平台上撤回旧版，再重新提交新版。</w:t>
      </w:r>
    </w:p>
    <w:p w14:paraId="263D8FAA">
      <w:pPr>
        <w:widowControl w:val="0"/>
        <w:spacing w:line="500" w:lineRule="exact"/>
        <w:ind w:firstLine="566" w:firstLineChars="200"/>
        <w:rPr>
          <w:rFonts w:ascii="华文仿宋"/>
          <w:color w:val="auto"/>
          <w:highlight w:val="none"/>
        </w:rPr>
      </w:pPr>
      <w:r>
        <w:rPr>
          <w:rFonts w:ascii="华文仿宋" w:hAnsi="华文仿宋" w:cs="华文仿宋"/>
          <w:color w:val="auto"/>
          <w:highlight w:val="none"/>
        </w:rPr>
        <w:t>3</w:t>
      </w:r>
      <w:r>
        <w:rPr>
          <w:rFonts w:hint="eastAsia" w:ascii="华文仿宋" w:hAnsi="华文仿宋" w:cs="华文仿宋"/>
          <w:color w:val="auto"/>
          <w:highlight w:val="none"/>
        </w:rPr>
        <w:t>、</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提交截止时间后，</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不得对其</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做任何修改。</w:t>
      </w:r>
    </w:p>
    <w:p w14:paraId="3CF31B3F">
      <w:pPr>
        <w:pStyle w:val="7"/>
        <w:widowControl w:val="0"/>
        <w:spacing w:line="500" w:lineRule="exact"/>
        <w:ind w:firstLine="566" w:firstLineChars="200"/>
        <w:rPr>
          <w:rFonts w:ascii="华文仿宋" w:cs="Times New Roman"/>
          <w:color w:val="auto"/>
          <w:sz w:val="28"/>
          <w:szCs w:val="28"/>
          <w:highlight w:val="none"/>
        </w:rPr>
      </w:pPr>
      <w:bookmarkStart w:id="183" w:name="_Toc4399"/>
      <w:bookmarkStart w:id="184" w:name="_Toc649"/>
      <w:bookmarkStart w:id="185" w:name="_Toc20024"/>
      <w:bookmarkStart w:id="186" w:name="_Toc26578"/>
      <w:bookmarkStart w:id="187" w:name="_Toc8523"/>
      <w:bookmarkStart w:id="188" w:name="_Toc15674"/>
      <w:r>
        <w:rPr>
          <w:rFonts w:hint="eastAsia" w:ascii="华文仿宋" w:hAnsi="华文仿宋" w:cs="华文仿宋"/>
          <w:color w:val="auto"/>
          <w:sz w:val="28"/>
          <w:szCs w:val="28"/>
          <w:highlight w:val="none"/>
        </w:rPr>
        <w:t>（五）</w:t>
      </w:r>
      <w:r>
        <w:rPr>
          <w:rFonts w:hint="eastAsia" w:ascii="华文仿宋" w:hAnsi="华文仿宋" w:cs="华文仿宋"/>
          <w:color w:val="auto"/>
          <w:sz w:val="28"/>
          <w:szCs w:val="28"/>
          <w:highlight w:val="none"/>
          <w:lang w:eastAsia="zh-CN"/>
        </w:rPr>
        <w:t>供应商</w:t>
      </w:r>
      <w:r>
        <w:rPr>
          <w:rFonts w:hint="eastAsia" w:ascii="华文仿宋" w:hAnsi="华文仿宋" w:cs="华文仿宋"/>
          <w:color w:val="auto"/>
          <w:sz w:val="28"/>
          <w:szCs w:val="28"/>
          <w:highlight w:val="none"/>
        </w:rPr>
        <w:t>提交</w:t>
      </w:r>
      <w:r>
        <w:rPr>
          <w:rFonts w:hint="eastAsia" w:ascii="华文仿宋" w:hAnsi="华文仿宋" w:cs="华文仿宋"/>
          <w:color w:val="auto"/>
          <w:sz w:val="28"/>
          <w:szCs w:val="28"/>
          <w:highlight w:val="none"/>
          <w:lang w:eastAsia="zh-CN"/>
        </w:rPr>
        <w:t>响应文件</w:t>
      </w:r>
      <w:r>
        <w:rPr>
          <w:rFonts w:hint="eastAsia" w:ascii="华文仿宋" w:hAnsi="华文仿宋" w:cs="华文仿宋"/>
          <w:color w:val="auto"/>
          <w:sz w:val="28"/>
          <w:szCs w:val="28"/>
          <w:highlight w:val="none"/>
        </w:rPr>
        <w:t>时，出现下列情况之一的，其</w:t>
      </w:r>
      <w:r>
        <w:rPr>
          <w:rFonts w:hint="eastAsia" w:ascii="华文仿宋" w:hAnsi="华文仿宋" w:cs="华文仿宋"/>
          <w:color w:val="auto"/>
          <w:sz w:val="28"/>
          <w:szCs w:val="28"/>
          <w:highlight w:val="none"/>
          <w:lang w:eastAsia="zh-CN"/>
        </w:rPr>
        <w:t>响应文件</w:t>
      </w:r>
      <w:r>
        <w:rPr>
          <w:rFonts w:hint="eastAsia" w:ascii="华文仿宋" w:hAnsi="华文仿宋" w:cs="华文仿宋"/>
          <w:color w:val="auto"/>
          <w:sz w:val="28"/>
          <w:szCs w:val="28"/>
          <w:highlight w:val="none"/>
        </w:rPr>
        <w:t>将被拒绝接收：</w:t>
      </w:r>
      <w:bookmarkEnd w:id="183"/>
      <w:bookmarkEnd w:id="184"/>
      <w:bookmarkEnd w:id="185"/>
      <w:bookmarkEnd w:id="186"/>
      <w:bookmarkEnd w:id="187"/>
      <w:bookmarkEnd w:id="188"/>
    </w:p>
    <w:p w14:paraId="17BF0021">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1</w:t>
      </w:r>
      <w:r>
        <w:rPr>
          <w:rFonts w:hint="eastAsia" w:ascii="华文仿宋" w:hAnsi="华文仿宋" w:cs="华文仿宋"/>
          <w:color w:val="auto"/>
          <w:highlight w:val="none"/>
        </w:rPr>
        <w:t>、逾期提交电子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w:t>
      </w:r>
    </w:p>
    <w:p w14:paraId="39188961">
      <w:pPr>
        <w:widowControl w:val="0"/>
        <w:spacing w:line="500" w:lineRule="exact"/>
        <w:ind w:firstLine="566" w:firstLineChars="200"/>
        <w:rPr>
          <w:rFonts w:ascii="华文仿宋" w:cs="Times New Roman"/>
          <w:color w:val="auto"/>
          <w:highlight w:val="none"/>
        </w:rPr>
      </w:pPr>
      <w:r>
        <w:rPr>
          <w:rFonts w:ascii="华文仿宋" w:hAnsi="华文仿宋" w:cs="华文仿宋"/>
          <w:color w:val="auto"/>
          <w:highlight w:val="none"/>
        </w:rPr>
        <w:t>2</w:t>
      </w:r>
      <w:r>
        <w:rPr>
          <w:rFonts w:hint="eastAsia" w:ascii="华文仿宋" w:hAnsi="华文仿宋" w:cs="华文仿宋"/>
          <w:color w:val="auto"/>
          <w:highlight w:val="none"/>
        </w:rPr>
        <w:t>、提交的电子</w:t>
      </w:r>
      <w:r>
        <w:rPr>
          <w:rFonts w:hint="eastAsia" w:ascii="华文仿宋" w:hAnsi="华文仿宋" w:cs="华文仿宋"/>
          <w:color w:val="auto"/>
          <w:highlight w:val="none"/>
          <w:lang w:eastAsia="zh-CN"/>
        </w:rPr>
        <w:t>响应文件</w:t>
      </w:r>
      <w:r>
        <w:rPr>
          <w:rFonts w:hint="eastAsia" w:ascii="华文仿宋" w:hAnsi="华文仿宋" w:cs="华文仿宋"/>
          <w:color w:val="auto"/>
          <w:highlight w:val="none"/>
        </w:rPr>
        <w:t>与本项目不相符的。</w:t>
      </w:r>
    </w:p>
    <w:p w14:paraId="0AA884C8">
      <w:pPr>
        <w:pStyle w:val="7"/>
        <w:keepNext w:val="0"/>
        <w:keepLines w:val="0"/>
        <w:widowControl w:val="0"/>
        <w:spacing w:line="500" w:lineRule="exact"/>
        <w:ind w:firstLine="566" w:firstLineChars="200"/>
        <w:rPr>
          <w:rFonts w:hint="eastAsia" w:ascii="华文仿宋" w:eastAsia="华文仿宋" w:cs="Times New Roman"/>
          <w:color w:val="auto"/>
          <w:sz w:val="28"/>
          <w:szCs w:val="28"/>
          <w:highlight w:val="none"/>
          <w:lang w:eastAsia="zh-CN"/>
        </w:rPr>
      </w:pPr>
      <w:bookmarkStart w:id="189" w:name="_Toc9084"/>
      <w:r>
        <w:rPr>
          <w:rFonts w:hint="eastAsia" w:ascii="华文仿宋" w:hAnsi="华文仿宋" w:cs="华文仿宋"/>
          <w:color w:val="auto"/>
          <w:sz w:val="28"/>
          <w:szCs w:val="28"/>
          <w:highlight w:val="none"/>
        </w:rPr>
        <w:t>六、</w:t>
      </w:r>
      <w:bookmarkEnd w:id="189"/>
      <w:r>
        <w:rPr>
          <w:rFonts w:hint="eastAsia" w:ascii="华文仿宋" w:hAnsi="华文仿宋" w:cs="华文仿宋"/>
          <w:color w:val="auto"/>
          <w:sz w:val="28"/>
          <w:szCs w:val="28"/>
          <w:highlight w:val="none"/>
          <w:lang w:eastAsia="zh-CN"/>
        </w:rPr>
        <w:t>开启响应文件</w:t>
      </w:r>
    </w:p>
    <w:p w14:paraId="727FD619">
      <w:pPr>
        <w:spacing w:line="500" w:lineRule="exact"/>
        <w:ind w:firstLine="566" w:firstLineChars="200"/>
        <w:rPr>
          <w:color w:val="auto"/>
          <w:highlight w:val="none"/>
        </w:rPr>
      </w:pPr>
      <w:r>
        <w:rPr>
          <w:rFonts w:hint="eastAsia" w:cs="华文仿宋"/>
          <w:color w:val="auto"/>
          <w:highlight w:val="none"/>
        </w:rPr>
        <w:t>（一）</w:t>
      </w:r>
      <w:r>
        <w:rPr>
          <w:rFonts w:hint="eastAsia"/>
          <w:color w:val="auto"/>
          <w:highlight w:val="none"/>
        </w:rPr>
        <w:t>陕西省省级单位政府采购中心</w:t>
      </w:r>
      <w:r>
        <w:rPr>
          <w:color w:val="auto"/>
          <w:highlight w:val="none"/>
        </w:rPr>
        <w:t>组织</w:t>
      </w:r>
      <w:r>
        <w:rPr>
          <w:rFonts w:hint="eastAsia"/>
          <w:color w:val="auto"/>
          <w:highlight w:val="none"/>
        </w:rPr>
        <w:t>开标、评审</w:t>
      </w:r>
      <w:r>
        <w:rPr>
          <w:color w:val="auto"/>
          <w:highlight w:val="none"/>
        </w:rPr>
        <w:t>工作，整个过程受政府采购监管机构的监督、管理。</w:t>
      </w:r>
    </w:p>
    <w:p w14:paraId="3FF1B386">
      <w:pPr>
        <w:wordWrap w:val="0"/>
        <w:spacing w:line="500" w:lineRule="exact"/>
        <w:ind w:firstLine="566" w:firstLineChars="200"/>
        <w:jc w:val="left"/>
        <w:rPr>
          <w:color w:val="auto"/>
          <w:highlight w:val="none"/>
        </w:rPr>
      </w:pPr>
      <w:r>
        <w:rPr>
          <w:b/>
          <w:bCs/>
          <w:color w:val="auto"/>
          <w:highlight w:val="none"/>
        </w:rPr>
        <w:t>（二）</w:t>
      </w:r>
      <w:r>
        <w:rPr>
          <w:rFonts w:hint="eastAsia" w:cs="华文仿宋"/>
          <w:b/>
          <w:bCs/>
          <w:color w:val="auto"/>
          <w:highlight w:val="none"/>
        </w:rPr>
        <w:t>陕西省省级单位政府采购中心在</w:t>
      </w:r>
      <w:r>
        <w:rPr>
          <w:rFonts w:hint="eastAsia" w:cs="华文仿宋"/>
          <w:b/>
          <w:bCs/>
          <w:color w:val="auto"/>
          <w:highlight w:val="none"/>
          <w:lang w:val="en-US" w:eastAsia="zh-CN"/>
        </w:rPr>
        <w:t>磋商</w:t>
      </w:r>
      <w:r>
        <w:rPr>
          <w:rFonts w:hint="eastAsia" w:cs="华文仿宋"/>
          <w:b/>
          <w:bCs/>
          <w:color w:val="auto"/>
          <w:highlight w:val="none"/>
        </w:rPr>
        <w:t>文件规定的时间和地点组织开标，</w:t>
      </w:r>
      <w:r>
        <w:rPr>
          <w:rFonts w:hint="eastAsia" w:cs="华文仿宋"/>
          <w:b/>
          <w:bCs/>
          <w:color w:val="auto"/>
          <w:highlight w:val="none"/>
          <w:lang w:val="en-US" w:eastAsia="zh-CN"/>
        </w:rPr>
        <w:t>供应商</w:t>
      </w:r>
      <w:r>
        <w:rPr>
          <w:rFonts w:hint="eastAsia" w:cs="华文仿宋"/>
          <w:b/>
          <w:bCs/>
          <w:color w:val="auto"/>
          <w:highlight w:val="none"/>
        </w:rPr>
        <w:t>须派法定代表人或被授权代表参加。</w:t>
      </w:r>
    </w:p>
    <w:p w14:paraId="1F0E56F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color w:val="auto"/>
          <w:highlight w:val="none"/>
        </w:rPr>
      </w:pPr>
      <w:r>
        <w:rPr>
          <w:rFonts w:hint="eastAsia"/>
          <w:color w:val="auto"/>
          <w:highlight w:val="none"/>
        </w:rPr>
        <w:t>参加磋商的供应商不足</w:t>
      </w:r>
      <w:r>
        <w:rPr>
          <w:rFonts w:hint="eastAsia" w:ascii="仿宋" w:hAnsi="仿宋" w:eastAsia="仿宋" w:cs="仿宋"/>
          <w:color w:val="auto"/>
          <w:highlight w:val="none"/>
        </w:rPr>
        <w:t>3</w:t>
      </w:r>
      <w:r>
        <w:rPr>
          <w:rFonts w:hint="eastAsia"/>
          <w:color w:val="auto"/>
          <w:highlight w:val="none"/>
        </w:rPr>
        <w:t>家的，不得开启。</w:t>
      </w:r>
    </w:p>
    <w:p w14:paraId="7FA370ED">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left"/>
        <w:textAlignment w:val="auto"/>
        <w:rPr>
          <w:rFonts w:cs="仿宋"/>
          <w:color w:val="auto"/>
          <w:highlight w:val="none"/>
        </w:rPr>
      </w:pPr>
      <w:r>
        <w:rPr>
          <w:rFonts w:hint="eastAsia"/>
          <w:color w:val="auto"/>
          <w:highlight w:val="none"/>
        </w:rPr>
        <w:t>（三）</w:t>
      </w:r>
      <w:r>
        <w:rPr>
          <w:rFonts w:hint="eastAsia" w:cs="仿宋"/>
          <w:color w:val="auto"/>
          <w:highlight w:val="none"/>
        </w:rPr>
        <w:t>开启时，陕西省省级单位政府采购中心现场工作人员将根据项</w:t>
      </w:r>
    </w:p>
    <w:p w14:paraId="29E6C2AC">
      <w:pPr>
        <w:keepNext w:val="0"/>
        <w:keepLines w:val="0"/>
        <w:pageBreakBefore w:val="0"/>
        <w:widowControl w:val="0"/>
        <w:kinsoku/>
        <w:wordWrap/>
        <w:overflowPunct/>
        <w:topLinePunct w:val="0"/>
        <w:autoSpaceDE/>
        <w:autoSpaceDN/>
        <w:bidi w:val="0"/>
        <w:adjustRightInd/>
        <w:snapToGrid/>
        <w:spacing w:line="500" w:lineRule="exact"/>
        <w:textAlignment w:val="auto"/>
        <w:rPr>
          <w:rFonts w:cs="仿宋"/>
          <w:color w:val="auto"/>
          <w:highlight w:val="none"/>
        </w:rPr>
      </w:pPr>
      <w:r>
        <w:rPr>
          <w:rFonts w:hint="eastAsia" w:cs="仿宋"/>
          <w:color w:val="auto"/>
          <w:highlight w:val="none"/>
        </w:rPr>
        <w:t>目供应商数约定解密时长，供应商应在规定时间内，使用电子响应文件加密时所用的数字认证证书（</w:t>
      </w:r>
      <w:r>
        <w:rPr>
          <w:rFonts w:hint="eastAsia" w:ascii="仿宋" w:hAnsi="仿宋" w:eastAsia="仿宋" w:cs="仿宋"/>
          <w:color w:val="auto"/>
          <w:highlight w:val="none"/>
        </w:rPr>
        <w:t>CA</w:t>
      </w:r>
      <w:r>
        <w:rPr>
          <w:rFonts w:hint="eastAsia" w:cs="仿宋"/>
          <w:color w:val="auto"/>
          <w:highlight w:val="none"/>
        </w:rPr>
        <w:t>锁）</w:t>
      </w:r>
      <w:r>
        <w:rPr>
          <w:rFonts w:hint="eastAsia" w:cs="仿宋"/>
          <w:color w:val="auto"/>
          <w:highlight w:val="none"/>
          <w:lang w:eastAsia="zh-CN"/>
        </w:rPr>
        <w:t>在开标室的解密机上</w:t>
      </w:r>
      <w:r>
        <w:rPr>
          <w:rFonts w:hint="eastAsia" w:cs="仿宋"/>
          <w:color w:val="auto"/>
          <w:highlight w:val="none"/>
        </w:rPr>
        <w:t>自行解密电子响应文件。未在规定时间内解密的，视为响应无效。</w:t>
      </w:r>
    </w:p>
    <w:p w14:paraId="14E77922">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color w:val="auto"/>
          <w:highlight w:val="none"/>
        </w:rPr>
      </w:pPr>
      <w:r>
        <w:rPr>
          <w:rFonts w:hint="eastAsia"/>
          <w:color w:val="auto"/>
          <w:highlight w:val="none"/>
        </w:rPr>
        <w:t>（四）供应商对开启过程有疑义，以及认为采购人、陕西省省级单位政府采购中心相关工作人员有需要回避情形的，应在开标</w:t>
      </w:r>
      <w:r>
        <w:rPr>
          <w:rFonts w:hint="eastAsia"/>
          <w:color w:val="auto"/>
          <w:highlight w:val="none"/>
          <w:lang w:val="en-US" w:eastAsia="zh-CN"/>
        </w:rPr>
        <w:t>现场</w:t>
      </w:r>
      <w:r>
        <w:rPr>
          <w:rFonts w:hint="eastAsia"/>
          <w:color w:val="auto"/>
          <w:highlight w:val="none"/>
        </w:rPr>
        <w:t>提出询问或回避申请，采购人、陕西省省级单位政府采购中心应当及时处理。</w:t>
      </w:r>
    </w:p>
    <w:p w14:paraId="2A5D504D">
      <w:pPr>
        <w:spacing w:line="500" w:lineRule="exact"/>
        <w:ind w:firstLine="566" w:firstLineChars="200"/>
        <w:rPr>
          <w:color w:val="auto"/>
          <w:highlight w:val="none"/>
        </w:rPr>
      </w:pPr>
      <w:r>
        <w:rPr>
          <w:rFonts w:hint="eastAsia"/>
          <w:color w:val="auto"/>
          <w:highlight w:val="none"/>
        </w:rPr>
        <w:t>（五）供应商未参加开标的，视同认可开启结果。</w:t>
      </w:r>
    </w:p>
    <w:p w14:paraId="51688522">
      <w:pPr>
        <w:spacing w:line="500" w:lineRule="exact"/>
        <w:ind w:firstLine="566" w:firstLineChars="200"/>
        <w:rPr>
          <w:color w:val="auto"/>
          <w:highlight w:val="none"/>
        </w:rPr>
      </w:pPr>
      <w:r>
        <w:rPr>
          <w:rFonts w:hint="eastAsia"/>
          <w:b/>
          <w:bCs/>
          <w:color w:val="auto"/>
          <w:highlight w:val="none"/>
        </w:rPr>
        <w:t>（六）在开启环节出现下列情况之一的，其响应文件视为无效文件：</w:t>
      </w:r>
    </w:p>
    <w:p w14:paraId="751C6FB8">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仿宋" w:hAnsi="仿宋"/>
          <w:color w:val="auto"/>
          <w:highlight w:val="none"/>
        </w:rPr>
      </w:pPr>
      <w:r>
        <w:rPr>
          <w:rFonts w:hint="eastAsia" w:ascii="仿宋" w:hAnsi="仿宋"/>
          <w:color w:val="auto"/>
          <w:highlight w:val="none"/>
        </w:rPr>
        <w:t>1、供应商拒绝对电子响应文件进行解密的；</w:t>
      </w:r>
    </w:p>
    <w:p w14:paraId="5B1A32CC">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仿宋" w:hAnsi="仿宋"/>
          <w:color w:val="auto"/>
          <w:highlight w:val="none"/>
        </w:rPr>
      </w:pPr>
      <w:r>
        <w:rPr>
          <w:rFonts w:hint="eastAsia" w:ascii="仿宋" w:hAnsi="仿宋"/>
          <w:color w:val="auto"/>
          <w:highlight w:val="none"/>
        </w:rPr>
        <w:t>2、因供应商自身原因（如解密时使用的</w:t>
      </w:r>
      <w:r>
        <w:rPr>
          <w:rFonts w:hint="eastAsia" w:ascii="仿宋" w:hAnsi="仿宋" w:eastAsia="仿宋" w:cs="仿宋"/>
          <w:color w:val="auto"/>
          <w:highlight w:val="none"/>
        </w:rPr>
        <w:t>CA</w:t>
      </w:r>
      <w:r>
        <w:rPr>
          <w:rFonts w:hint="eastAsia" w:ascii="仿宋" w:hAnsi="仿宋"/>
          <w:color w:val="auto"/>
          <w:highlight w:val="none"/>
        </w:rPr>
        <w:t>锁与制作电子响应文件使用的</w:t>
      </w:r>
      <w:r>
        <w:rPr>
          <w:rFonts w:hint="eastAsia" w:ascii="仿宋" w:hAnsi="仿宋" w:eastAsia="仿宋" w:cs="仿宋"/>
          <w:color w:val="auto"/>
          <w:highlight w:val="none"/>
        </w:rPr>
        <w:t>CA</w:t>
      </w:r>
      <w:r>
        <w:rPr>
          <w:rFonts w:hint="eastAsia" w:ascii="仿宋" w:hAnsi="仿宋"/>
          <w:color w:val="auto"/>
          <w:highlight w:val="none"/>
        </w:rPr>
        <w:t>锁不一致、或沿用旧版磋商文件编制响应文件等情形），导致在规定时间内无法解密响应文件的；</w:t>
      </w:r>
    </w:p>
    <w:p w14:paraId="30905EFC">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仿宋" w:hAnsi="仿宋"/>
          <w:color w:val="auto"/>
          <w:highlight w:val="none"/>
        </w:rPr>
      </w:pPr>
      <w:r>
        <w:rPr>
          <w:rFonts w:hint="eastAsia" w:ascii="仿宋" w:hAnsi="仿宋"/>
          <w:color w:val="auto"/>
          <w:highlight w:val="none"/>
        </w:rPr>
        <w:t>3、上传的电子响应文件无法打开的；</w:t>
      </w:r>
    </w:p>
    <w:p w14:paraId="3EDB8560">
      <w:pPr>
        <w:widowControl w:val="0"/>
        <w:spacing w:line="500" w:lineRule="exact"/>
        <w:ind w:firstLine="566" w:firstLineChars="200"/>
        <w:rPr>
          <w:rFonts w:ascii="华文仿宋" w:hAnsi="华文仿宋" w:cs="华文仿宋"/>
          <w:color w:val="auto"/>
          <w:highlight w:val="none"/>
        </w:rPr>
      </w:pPr>
      <w:r>
        <w:rPr>
          <w:rFonts w:hint="eastAsia" w:ascii="仿宋" w:hAnsi="仿宋"/>
          <w:color w:val="auto"/>
          <w:highlight w:val="none"/>
        </w:rPr>
        <w:t>4、政府采购法律法规规定的其他无效情形</w:t>
      </w:r>
      <w:r>
        <w:rPr>
          <w:rFonts w:hint="eastAsia" w:ascii="华文仿宋" w:hAnsi="华文仿宋" w:cs="华文仿宋"/>
          <w:color w:val="auto"/>
          <w:highlight w:val="none"/>
        </w:rPr>
        <w:t>。</w:t>
      </w:r>
    </w:p>
    <w:p w14:paraId="211D01BF">
      <w:pPr>
        <w:widowControl w:val="0"/>
        <w:spacing w:line="500" w:lineRule="exact"/>
        <w:ind w:firstLine="566" w:firstLineChars="200"/>
        <w:rPr>
          <w:rFonts w:ascii="仿宋" w:hAnsi="仿宋" w:eastAsia="仿宋" w:cs="Times New Roman"/>
          <w:b/>
          <w:bCs/>
          <w:color w:val="auto"/>
          <w:highlight w:val="none"/>
        </w:rPr>
      </w:pPr>
      <w:r>
        <w:rPr>
          <w:rFonts w:hint="eastAsia" w:ascii="仿宋" w:hAnsi="仿宋" w:eastAsia="仿宋" w:cs="仿宋"/>
          <w:b/>
          <w:bCs/>
          <w:color w:val="auto"/>
          <w:highlight w:val="none"/>
        </w:rPr>
        <w:t>（七）特殊情形下的应急处置</w:t>
      </w:r>
    </w:p>
    <w:p w14:paraId="77417B5B">
      <w:pPr>
        <w:widowControl w:val="0"/>
        <w:spacing w:line="500" w:lineRule="exact"/>
        <w:ind w:firstLine="566" w:firstLineChars="200"/>
        <w:rPr>
          <w:rFonts w:hint="eastAsia" w:ascii="华文仿宋" w:hAnsi="华文仿宋" w:cs="华文仿宋"/>
          <w:color w:val="auto"/>
          <w:highlight w:val="none"/>
        </w:rPr>
      </w:pPr>
      <w:r>
        <w:rPr>
          <w:rFonts w:hint="eastAsia" w:ascii="华文仿宋" w:hAnsi="华文仿宋" w:cs="华文仿宋"/>
          <w:color w:val="auto"/>
          <w:highlight w:val="none"/>
        </w:rPr>
        <w:t>在开启、评审过程中，如因停电、断网、电子化系统故障等特殊原因导致电子化开、评审无法正常进行时，将视响应文件解密情况特殊处理。</w:t>
      </w:r>
    </w:p>
    <w:p w14:paraId="74ABB944">
      <w:pPr>
        <w:widowControl w:val="0"/>
        <w:spacing w:line="500" w:lineRule="exact"/>
        <w:ind w:firstLine="566" w:firstLineChars="200"/>
        <w:rPr>
          <w:rFonts w:hint="eastAsia" w:ascii="华文仿宋" w:hAnsi="华文仿宋" w:cs="华文仿宋"/>
          <w:color w:val="auto"/>
          <w:highlight w:val="none"/>
        </w:rPr>
      </w:pPr>
      <w:r>
        <w:rPr>
          <w:rFonts w:hint="eastAsia" w:ascii="华文仿宋" w:hAnsi="华文仿宋" w:cs="华文仿宋"/>
          <w:color w:val="auto"/>
          <w:highlight w:val="none"/>
        </w:rPr>
        <w:t>1、开启时响应文件未解密的，将另行确定时间继续完成开标程序；</w:t>
      </w:r>
    </w:p>
    <w:p w14:paraId="2CEE37AB">
      <w:pPr>
        <w:widowControl w:val="0"/>
        <w:spacing w:line="500" w:lineRule="exact"/>
        <w:ind w:firstLine="566" w:firstLineChars="200"/>
        <w:rPr>
          <w:rFonts w:hint="eastAsia" w:ascii="华文仿宋" w:hAnsi="华文仿宋" w:cs="华文仿宋"/>
          <w:color w:val="auto"/>
          <w:highlight w:val="none"/>
        </w:rPr>
      </w:pPr>
      <w:r>
        <w:rPr>
          <w:rFonts w:hint="eastAsia" w:ascii="华文仿宋" w:hAnsi="华文仿宋" w:cs="华文仿宋"/>
          <w:color w:val="auto"/>
          <w:highlight w:val="none"/>
        </w:rPr>
        <w:t>2、开启后响应文件已解密但评审结论未形成的，将发布废标公告，重新组织采购活动；</w:t>
      </w:r>
    </w:p>
    <w:p w14:paraId="72A4B30C">
      <w:pPr>
        <w:widowControl w:val="0"/>
        <w:spacing w:line="500" w:lineRule="exact"/>
        <w:ind w:firstLine="566" w:firstLineChars="200"/>
        <w:rPr>
          <w:rFonts w:hint="eastAsia" w:ascii="华文仿宋" w:hAnsi="华文仿宋" w:cs="华文仿宋"/>
          <w:color w:val="auto"/>
          <w:highlight w:val="none"/>
        </w:rPr>
      </w:pPr>
      <w:r>
        <w:rPr>
          <w:rFonts w:hint="eastAsia" w:ascii="华文仿宋" w:hAnsi="华文仿宋" w:cs="华文仿宋"/>
          <w:color w:val="auto"/>
          <w:highlight w:val="none"/>
        </w:rPr>
        <w:t>3、开启后响应文件已解密且评审结论已形成的，待特殊情况排除后，继续完成评审活动。</w:t>
      </w:r>
    </w:p>
    <w:p w14:paraId="1F57CACE">
      <w:pPr>
        <w:pStyle w:val="7"/>
        <w:keepNext w:val="0"/>
        <w:keepLines w:val="0"/>
        <w:widowControl w:val="0"/>
        <w:spacing w:line="500" w:lineRule="exact"/>
        <w:ind w:firstLine="566" w:firstLineChars="200"/>
        <w:rPr>
          <w:rFonts w:hint="eastAsia" w:ascii="华文仿宋" w:eastAsia="华文仿宋" w:cs="Times New Roman"/>
          <w:color w:val="auto"/>
          <w:sz w:val="28"/>
          <w:szCs w:val="28"/>
          <w:highlight w:val="none"/>
          <w:lang w:eastAsia="zh-CN"/>
        </w:rPr>
      </w:pPr>
      <w:bookmarkStart w:id="190" w:name="_Toc6763"/>
      <w:r>
        <w:rPr>
          <w:rFonts w:hint="eastAsia" w:ascii="华文仿宋" w:hAnsi="华文仿宋" w:cs="华文仿宋"/>
          <w:color w:val="auto"/>
          <w:sz w:val="28"/>
          <w:szCs w:val="28"/>
          <w:highlight w:val="none"/>
        </w:rPr>
        <w:t>七、</w:t>
      </w:r>
      <w:bookmarkEnd w:id="190"/>
      <w:r>
        <w:rPr>
          <w:rFonts w:hint="eastAsia" w:ascii="华文仿宋" w:hAnsi="华文仿宋" w:cs="华文仿宋"/>
          <w:color w:val="auto"/>
          <w:sz w:val="28"/>
          <w:szCs w:val="28"/>
          <w:highlight w:val="none"/>
          <w:lang w:eastAsia="zh-CN"/>
        </w:rPr>
        <w:t>组织评审</w:t>
      </w:r>
    </w:p>
    <w:p w14:paraId="4DFA102E">
      <w:pPr>
        <w:widowControl w:val="0"/>
        <w:spacing w:line="500" w:lineRule="exact"/>
        <w:ind w:firstLine="566" w:firstLineChars="200"/>
        <w:rPr>
          <w:rFonts w:hint="eastAsia" w:ascii="华文仿宋" w:hAnsi="华文仿宋" w:cs="华文仿宋"/>
          <w:b/>
          <w:bCs/>
          <w:color w:val="auto"/>
          <w:sz w:val="28"/>
          <w:highlight w:val="none"/>
          <w:shd w:val="clear" w:color="auto" w:fill="FFFFFF"/>
        </w:rPr>
      </w:pPr>
      <w:r>
        <w:rPr>
          <w:rFonts w:hint="eastAsia" w:ascii="华文仿宋" w:hAnsi="华文仿宋" w:cs="华文仿宋"/>
          <w:b/>
          <w:bCs/>
          <w:color w:val="auto"/>
          <w:sz w:val="28"/>
          <w:highlight w:val="none"/>
          <w:shd w:val="clear" w:color="auto" w:fill="FFFFFF"/>
        </w:rPr>
        <w:t>（一）采购代理机构负责组织评审工作，并履行下列职责</w:t>
      </w:r>
    </w:p>
    <w:p w14:paraId="7ECB9D1E">
      <w:pPr>
        <w:pStyle w:val="23"/>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6" w:firstLineChars="200"/>
        <w:textAlignment w:val="auto"/>
        <w:rPr>
          <w:rFonts w:ascii="华文仿宋" w:hAnsi="华文仿宋" w:cs="华文仿宋"/>
          <w:color w:val="auto"/>
          <w:sz w:val="28"/>
          <w:highlight w:val="none"/>
        </w:rPr>
      </w:pPr>
      <w:r>
        <w:rPr>
          <w:rFonts w:ascii="华文仿宋" w:hAnsi="华文仿宋" w:cs="华文仿宋"/>
          <w:color w:val="auto"/>
          <w:highlight w:val="none"/>
        </w:rPr>
        <w:t>1</w:t>
      </w:r>
      <w:r>
        <w:rPr>
          <w:rFonts w:hint="eastAsia" w:ascii="华文仿宋" w:hAnsi="华文仿宋" w:cs="华文仿宋"/>
          <w:color w:val="auto"/>
          <w:highlight w:val="none"/>
          <w:lang w:eastAsia="zh-CN"/>
        </w:rPr>
        <w:t>、</w:t>
      </w:r>
      <w:r>
        <w:rPr>
          <w:rFonts w:hint="eastAsia" w:ascii="华文仿宋" w:hAnsi="华文仿宋" w:cs="华文仿宋"/>
          <w:color w:val="auto"/>
          <w:sz w:val="28"/>
          <w:highlight w:val="none"/>
          <w:shd w:val="clear" w:color="auto" w:fill="FFFFFF"/>
        </w:rPr>
        <w:t>核对评审专家身份和采购人代表授权函，对评审专家在政府采购活动中的职责履行情况予以记录，并及时将有关违法违规行为向财政部门报告；</w:t>
      </w:r>
    </w:p>
    <w:p w14:paraId="108274A1">
      <w:pPr>
        <w:pStyle w:val="23"/>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6" w:firstLineChars="200"/>
        <w:textAlignment w:val="auto"/>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2、宣布评审纪律；</w:t>
      </w:r>
    </w:p>
    <w:p w14:paraId="2B723E9C">
      <w:pPr>
        <w:pStyle w:val="23"/>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6" w:firstLineChars="200"/>
        <w:textAlignment w:val="auto"/>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3、公布供应商名单，告知评审专家应当回避的情形；</w:t>
      </w:r>
    </w:p>
    <w:p w14:paraId="72CDE7EA">
      <w:pPr>
        <w:pStyle w:val="23"/>
        <w:spacing w:beforeAutospacing="0" w:afterAutospacing="0" w:line="500" w:lineRule="exact"/>
        <w:ind w:firstLine="566" w:firstLineChars="200"/>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4、组织磋商小组推选评审组长，采购人代表不得担任组长;</w:t>
      </w:r>
    </w:p>
    <w:p w14:paraId="1B9185AD">
      <w:pPr>
        <w:pStyle w:val="23"/>
        <w:spacing w:beforeAutospacing="0" w:afterAutospacing="0" w:line="500" w:lineRule="exact"/>
        <w:ind w:firstLine="566" w:firstLineChars="200"/>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5、在评审期间采取必要的通讯管理措施，保证评审活动不受外界干扰；</w:t>
      </w:r>
    </w:p>
    <w:p w14:paraId="0DD9FEC5">
      <w:pPr>
        <w:pStyle w:val="23"/>
        <w:spacing w:beforeAutospacing="0" w:afterAutospacing="0" w:line="500" w:lineRule="exact"/>
        <w:ind w:firstLine="566" w:firstLineChars="200"/>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6、根据磋商小组的要求介绍政府采购相关政策法规、磋商文件；</w:t>
      </w:r>
    </w:p>
    <w:p w14:paraId="7851DBA4">
      <w:pPr>
        <w:pStyle w:val="23"/>
        <w:spacing w:beforeAutospacing="0" w:afterAutospacing="0" w:line="500" w:lineRule="exact"/>
        <w:ind w:firstLine="566" w:firstLineChars="200"/>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7、维护评审秩序，监督磋商小组依照磋商文件规定的评审程序、方法和标准进行独立评审，及时制止和纠正采购人代表、评审专家的倾向性言论或者违法违规行为；</w:t>
      </w:r>
    </w:p>
    <w:p w14:paraId="362D89B0">
      <w:pPr>
        <w:pStyle w:val="23"/>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6" w:firstLineChars="200"/>
        <w:textAlignment w:val="auto"/>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8、核对评审结果；</w:t>
      </w:r>
    </w:p>
    <w:p w14:paraId="231B2772">
      <w:pPr>
        <w:pStyle w:val="23"/>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6" w:firstLineChars="200"/>
        <w:textAlignment w:val="auto"/>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9、评审工作完成后，按照规定向评审专家支付劳务报酬和异地评审差旅费，不得向评审专家以外的其他人员支付评审劳务报酬；</w:t>
      </w:r>
    </w:p>
    <w:p w14:paraId="269DBF87">
      <w:pPr>
        <w:pStyle w:val="23"/>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6" w:firstLineChars="200"/>
        <w:textAlignment w:val="auto"/>
        <w:rPr>
          <w:rFonts w:ascii="华文仿宋" w:hAnsi="华文仿宋" w:cs="华文仿宋"/>
          <w:color w:val="auto"/>
          <w:sz w:val="28"/>
          <w:highlight w:val="none"/>
        </w:rPr>
      </w:pPr>
      <w:r>
        <w:rPr>
          <w:rFonts w:hint="eastAsia" w:ascii="华文仿宋" w:hAnsi="华文仿宋" w:cs="华文仿宋"/>
          <w:color w:val="auto"/>
          <w:sz w:val="28"/>
          <w:highlight w:val="none"/>
          <w:shd w:val="clear" w:color="auto" w:fill="FFFFFF"/>
        </w:rPr>
        <w:t>10、处理与评审有关的其他事项。</w:t>
      </w:r>
    </w:p>
    <w:p w14:paraId="583D8CC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highlight w:val="none"/>
        </w:rPr>
      </w:pPr>
      <w:r>
        <w:rPr>
          <w:rFonts w:hint="eastAsia" w:ascii="华文仿宋" w:hAnsi="华文仿宋" w:cs="华文仿宋"/>
          <w:color w:val="auto"/>
          <w:sz w:val="28"/>
          <w:highlight w:val="none"/>
          <w:shd w:val="clear" w:color="auto" w:fill="FFFFFF"/>
        </w:rPr>
        <w:t>采购人可以在评审前说明项目背景和采购需求，说明内容不得含有歧视性、倾向性意见，不得超出磋商文件所述范围。说明应当提交书面材料，并随磋商文件一并存档</w:t>
      </w:r>
      <w:r>
        <w:rPr>
          <w:rFonts w:hint="eastAsia" w:ascii="华文仿宋" w:hAnsi="华文仿宋" w:cs="华文仿宋"/>
          <w:color w:val="auto"/>
          <w:highlight w:val="none"/>
        </w:rPr>
        <w:t>。</w:t>
      </w:r>
    </w:p>
    <w:p w14:paraId="267F23E9">
      <w:pPr>
        <w:pStyle w:val="23"/>
        <w:widowControl w:val="0"/>
        <w:spacing w:beforeAutospacing="0" w:afterAutospacing="0" w:line="500" w:lineRule="exact"/>
        <w:ind w:firstLine="420"/>
        <w:rPr>
          <w:rFonts w:ascii="华文仿宋" w:hAnsi="华文仿宋" w:cs="华文仿宋"/>
          <w:b/>
          <w:bCs/>
          <w:color w:val="auto"/>
          <w:sz w:val="28"/>
          <w:highlight w:val="none"/>
        </w:rPr>
      </w:pPr>
      <w:bookmarkStart w:id="191" w:name="_Toc3147_WPSOffice_Level3"/>
      <w:bookmarkStart w:id="192" w:name="_Toc1863"/>
      <w:r>
        <w:rPr>
          <w:rFonts w:hint="eastAsia" w:ascii="华文仿宋" w:hAnsi="华文仿宋" w:cs="华文仿宋"/>
          <w:b/>
          <w:bCs/>
          <w:color w:val="auto"/>
          <w:sz w:val="28"/>
          <w:highlight w:val="none"/>
          <w:shd w:val="clear" w:color="auto" w:fill="FFFFFF"/>
        </w:rPr>
        <w:t>（二）磋商小组负责具体评审事务，并独立履行下列职责：</w:t>
      </w:r>
      <w:bookmarkEnd w:id="191"/>
    </w:p>
    <w:p w14:paraId="570F195E">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bookmarkStart w:id="193" w:name="_Toc8872_WPSOffice_Level3"/>
      <w:r>
        <w:rPr>
          <w:rFonts w:hint="eastAsia" w:ascii="华文仿宋" w:hAnsi="华文仿宋" w:cs="华文仿宋"/>
          <w:color w:val="auto"/>
          <w:sz w:val="28"/>
          <w:highlight w:val="none"/>
          <w:shd w:val="clear" w:color="auto" w:fill="FFFFFF"/>
        </w:rPr>
        <w:t>1、遵守评审工作纪律，不得泄露评审情况和评审中获悉的商业秘密；</w:t>
      </w:r>
    </w:p>
    <w:p w14:paraId="53FE6D88">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r>
        <w:rPr>
          <w:rFonts w:hint="eastAsia" w:ascii="华文仿宋" w:hAnsi="华文仿宋" w:cs="华文仿宋"/>
          <w:color w:val="auto"/>
          <w:sz w:val="28"/>
          <w:highlight w:val="none"/>
          <w:shd w:val="clear" w:color="auto" w:fill="FFFFFF"/>
        </w:rPr>
        <w:t>2、按照客观、公正、审慎的原则，根据磋商文件规定的评审程序、评审方法和评审标准进行独立评审；</w:t>
      </w:r>
    </w:p>
    <w:p w14:paraId="36BD4D69">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r>
        <w:rPr>
          <w:rFonts w:hint="eastAsia" w:ascii="华文仿宋" w:hAnsi="华文仿宋" w:cs="华文仿宋"/>
          <w:color w:val="auto"/>
          <w:sz w:val="28"/>
          <w:highlight w:val="none"/>
          <w:shd w:val="clear" w:color="auto" w:fill="FFFFFF"/>
        </w:rPr>
        <w:t>3、要求供应商对响应文件有关事项做出澄清或者说明；</w:t>
      </w:r>
    </w:p>
    <w:p w14:paraId="0DBEEC79">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r>
        <w:rPr>
          <w:rFonts w:hint="eastAsia" w:ascii="华文仿宋" w:hAnsi="华文仿宋" w:cs="华文仿宋"/>
          <w:color w:val="auto"/>
          <w:sz w:val="28"/>
          <w:highlight w:val="none"/>
          <w:shd w:val="clear" w:color="auto" w:fill="FFFFFF"/>
        </w:rPr>
        <w:t>4、与供应商分别进行磋商；</w:t>
      </w:r>
    </w:p>
    <w:p w14:paraId="69444D63">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r>
        <w:rPr>
          <w:rFonts w:hint="eastAsia" w:ascii="华文仿宋" w:hAnsi="华文仿宋" w:cs="华文仿宋"/>
          <w:color w:val="auto"/>
          <w:sz w:val="28"/>
          <w:highlight w:val="none"/>
          <w:shd w:val="clear" w:color="auto" w:fill="FFFFFF"/>
        </w:rPr>
        <w:t>5、对响应文件进行比较和评价；</w:t>
      </w:r>
    </w:p>
    <w:p w14:paraId="61EB65BC">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r>
        <w:rPr>
          <w:rFonts w:hint="eastAsia" w:ascii="华文仿宋" w:hAnsi="华文仿宋" w:cs="华文仿宋"/>
          <w:color w:val="auto"/>
          <w:sz w:val="28"/>
          <w:highlight w:val="none"/>
          <w:shd w:val="clear" w:color="auto" w:fill="FFFFFF"/>
        </w:rPr>
        <w:t>6、确定成交候选人名单，以及根据采购人委托直接确定成交供应商；</w:t>
      </w:r>
    </w:p>
    <w:p w14:paraId="0EB585DB">
      <w:pPr>
        <w:pStyle w:val="23"/>
        <w:spacing w:beforeAutospacing="0" w:afterAutospacing="0" w:line="500" w:lineRule="exact"/>
        <w:ind w:firstLine="566" w:firstLineChars="200"/>
        <w:rPr>
          <w:rFonts w:ascii="华文仿宋" w:hAnsi="华文仿宋" w:cs="华文仿宋"/>
          <w:color w:val="auto"/>
          <w:sz w:val="28"/>
          <w:highlight w:val="none"/>
          <w:shd w:val="clear" w:color="auto" w:fill="FFFFFF"/>
        </w:rPr>
      </w:pPr>
      <w:r>
        <w:rPr>
          <w:rFonts w:hint="eastAsia" w:ascii="华文仿宋" w:hAnsi="华文仿宋" w:cs="华文仿宋"/>
          <w:color w:val="auto"/>
          <w:sz w:val="28"/>
          <w:highlight w:val="none"/>
          <w:shd w:val="clear" w:color="auto" w:fill="FFFFFF"/>
        </w:rPr>
        <w:t>7、配合答复供应商的询问、质疑和投诉等事项，不得泄露评审文件、评审情况和在评审过程中获悉的商业秘密；</w:t>
      </w:r>
    </w:p>
    <w:p w14:paraId="4742AFED">
      <w:pPr>
        <w:pStyle w:val="23"/>
        <w:spacing w:beforeAutospacing="0" w:afterAutospacing="0" w:line="500" w:lineRule="exact"/>
        <w:ind w:firstLine="566" w:firstLineChars="200"/>
        <w:rPr>
          <w:rFonts w:ascii="华文仿宋" w:hAnsi="华文仿宋" w:cs="华文仿宋"/>
          <w:b/>
          <w:bCs/>
          <w:color w:val="auto"/>
          <w:highlight w:val="none"/>
        </w:rPr>
      </w:pPr>
      <w:r>
        <w:rPr>
          <w:rFonts w:hint="eastAsia" w:ascii="仿宋" w:hAnsi="仿宋" w:eastAsia="仿宋" w:cs="仿宋"/>
          <w:color w:val="auto"/>
          <w:sz w:val="28"/>
          <w:highlight w:val="none"/>
          <w:shd w:val="clear" w:color="auto" w:fill="FFFFFF"/>
        </w:rPr>
        <w:t>8、</w:t>
      </w:r>
      <w:r>
        <w:rPr>
          <w:rFonts w:hint="eastAsia" w:ascii="华文仿宋" w:hAnsi="华文仿宋" w:cs="华文仿宋"/>
          <w:color w:val="auto"/>
          <w:sz w:val="28"/>
          <w:highlight w:val="none"/>
          <w:shd w:val="clear" w:color="auto" w:fill="FFFFFF"/>
        </w:rPr>
        <w:t>向采购人、</w:t>
      </w:r>
      <w:r>
        <w:rPr>
          <w:rFonts w:hint="eastAsia" w:ascii="华文仿宋" w:hAnsi="华文仿宋" w:cs="华文仿宋"/>
          <w:color w:val="auto"/>
          <w:sz w:val="28"/>
          <w:highlight w:val="none"/>
          <w:shd w:val="clear" w:color="auto" w:fill="FFFFFF"/>
          <w:lang w:val="zh-CN"/>
        </w:rPr>
        <w:t>陕西省省级单位政府采购中心</w:t>
      </w:r>
      <w:r>
        <w:rPr>
          <w:rFonts w:hint="eastAsia" w:ascii="华文仿宋" w:hAnsi="华文仿宋" w:cs="华文仿宋"/>
          <w:color w:val="auto"/>
          <w:sz w:val="28"/>
          <w:highlight w:val="none"/>
          <w:shd w:val="clear" w:color="auto" w:fill="FFFFFF"/>
        </w:rPr>
        <w:t>或者有关部门报告评审中发现的违法行为。</w:t>
      </w:r>
    </w:p>
    <w:p w14:paraId="70938C32">
      <w:pPr>
        <w:widowControl w:val="0"/>
        <w:spacing w:line="500" w:lineRule="exact"/>
        <w:ind w:firstLine="566" w:firstLineChars="200"/>
        <w:rPr>
          <w:rFonts w:ascii="华文仿宋" w:hAnsi="华文仿宋" w:cs="华文仿宋"/>
          <w:b/>
          <w:bCs/>
          <w:color w:val="auto"/>
          <w:highlight w:val="none"/>
        </w:rPr>
      </w:pPr>
      <w:r>
        <w:rPr>
          <w:rFonts w:hint="eastAsia" w:ascii="华文仿宋" w:hAnsi="华文仿宋" w:cs="华文仿宋"/>
          <w:b/>
          <w:bCs/>
          <w:color w:val="auto"/>
          <w:highlight w:val="none"/>
        </w:rPr>
        <w:t>（三）成立磋商小组</w:t>
      </w:r>
      <w:bookmarkEnd w:id="193"/>
    </w:p>
    <w:p w14:paraId="5E755120">
      <w:pPr>
        <w:widowControl w:val="0"/>
        <w:spacing w:line="500" w:lineRule="exact"/>
        <w:ind w:firstLine="566" w:firstLineChars="200"/>
        <w:rPr>
          <w:rFonts w:ascii="华文仿宋" w:hAnsi="华文仿宋" w:cs="华文仿宋"/>
          <w:color w:val="auto"/>
          <w:highlight w:val="none"/>
        </w:rPr>
      </w:pPr>
      <w:r>
        <w:rPr>
          <w:rFonts w:hint="eastAsia" w:ascii="仿宋" w:hAnsi="仿宋" w:eastAsia="仿宋" w:cs="仿宋"/>
          <w:color w:val="auto"/>
          <w:highlight w:val="none"/>
        </w:rPr>
        <w:t>1</w:t>
      </w:r>
      <w:r>
        <w:rPr>
          <w:rFonts w:hint="eastAsia" w:ascii="华文仿宋" w:hAnsi="华文仿宋" w:cs="华文仿宋"/>
          <w:color w:val="auto"/>
          <w:highlight w:val="none"/>
        </w:rPr>
        <w:t>、为了确保磋商工作的公平、公正，依据政府采购法和政府采购相关法规、规章，成立磋商小组，磋商小组由采购人代表和评审专家共</w:t>
      </w:r>
      <w:r>
        <w:rPr>
          <w:rFonts w:hint="eastAsia" w:ascii="仿宋" w:hAnsi="仿宋" w:eastAsia="仿宋" w:cs="仿宋"/>
          <w:color w:val="auto"/>
          <w:highlight w:val="none"/>
        </w:rPr>
        <w:t>3</w:t>
      </w:r>
      <w:r>
        <w:rPr>
          <w:rFonts w:hint="eastAsia" w:ascii="华文仿宋" w:hAnsi="华文仿宋" w:cs="华文仿宋"/>
          <w:color w:val="auto"/>
          <w:highlight w:val="none"/>
        </w:rPr>
        <w:t>人以上单数组成，其中评审专家人数不少于磋商小组成员总数的三分之二。</w:t>
      </w:r>
    </w:p>
    <w:p w14:paraId="61DA499F">
      <w:pPr>
        <w:spacing w:line="500" w:lineRule="exact"/>
        <w:ind w:firstLine="566" w:firstLineChars="200"/>
        <w:rPr>
          <w:rFonts w:ascii="Calibri" w:hAnsi="Calibri"/>
          <w:color w:val="auto"/>
          <w:highlight w:val="none"/>
        </w:rPr>
      </w:pPr>
      <w:r>
        <w:rPr>
          <w:rFonts w:hint="eastAsia" w:ascii="Calibri" w:hAnsi="Calibri"/>
          <w:color w:val="auto"/>
          <w:highlight w:val="none"/>
        </w:rPr>
        <w:t>评审专家对本单位的采购项目只能作为采购人代表参与评审。采购代理机构工作人员不得参加由本机构代理的政府采购项目的评审。</w:t>
      </w:r>
    </w:p>
    <w:p w14:paraId="611EF93F">
      <w:pPr>
        <w:spacing w:line="500" w:lineRule="exact"/>
        <w:ind w:firstLine="566" w:firstLineChars="200"/>
        <w:rPr>
          <w:rFonts w:ascii="华文仿宋" w:hAnsi="华文仿宋" w:cs="华文仿宋"/>
          <w:color w:val="auto"/>
          <w:highlight w:val="none"/>
        </w:rPr>
      </w:pPr>
      <w:r>
        <w:rPr>
          <w:rFonts w:hint="eastAsia" w:ascii="Calibri" w:hAnsi="Calibri"/>
          <w:color w:val="auto"/>
          <w:highlight w:val="none"/>
        </w:rPr>
        <w:t>磋商小组</w:t>
      </w:r>
      <w:r>
        <w:rPr>
          <w:rFonts w:ascii="Calibri" w:hAnsi="Calibri"/>
          <w:color w:val="auto"/>
          <w:highlight w:val="none"/>
        </w:rPr>
        <w:t>成员</w:t>
      </w:r>
      <w:r>
        <w:rPr>
          <w:rFonts w:hint="eastAsia" w:ascii="Calibri" w:hAnsi="Calibri"/>
          <w:color w:val="auto"/>
          <w:highlight w:val="none"/>
        </w:rPr>
        <w:t>名单在评审结果公告前应当保密。</w:t>
      </w:r>
    </w:p>
    <w:p w14:paraId="4CED6AC6">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仿宋" w:hAnsi="仿宋" w:eastAsia="仿宋" w:cs="仿宋"/>
          <w:color w:val="auto"/>
          <w:highlight w:val="none"/>
        </w:rPr>
        <w:t>2</w:t>
      </w:r>
      <w:r>
        <w:rPr>
          <w:rFonts w:hint="eastAsia" w:ascii="华文仿宋" w:hAnsi="华文仿宋" w:cs="华文仿宋"/>
          <w:color w:val="auto"/>
          <w:highlight w:val="none"/>
        </w:rPr>
        <w:t>、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7A633E3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Calibri" w:hAnsi="Calibri"/>
          <w:color w:val="auto"/>
          <w:highlight w:val="none"/>
        </w:rPr>
      </w:pPr>
      <w:r>
        <w:rPr>
          <w:rFonts w:hint="eastAsia" w:ascii="华文仿宋" w:hAnsi="华文仿宋" w:cs="华文仿宋"/>
          <w:color w:val="auto"/>
          <w:highlight w:val="none"/>
        </w:rPr>
        <w:t>3、评审中因磋商小组成员缺席、回避或者健康等特殊原因导致磋商小组组成不符合规定的，陕西省省级单位政府采购中心应当依法补足后继续评审。被更换的磋商小组成员所做出的评审意见无效。无法及时补足磋商小组成员的，陕西省省级单位政府采购中心应当停止评审活动，封存所有响应文件和开标、评审资料，依法重新组建磋商小组进行评审。原磋商小组所做出的评审意见无效。</w:t>
      </w:r>
    </w:p>
    <w:p w14:paraId="3C9203A9">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陕西省省级单位政府采购中心应当将变更、重新组建磋商小组的情况予以记录，并随磋商文件一并存档。</w:t>
      </w:r>
    </w:p>
    <w:p w14:paraId="6CCF4CA6">
      <w:pPr>
        <w:spacing w:line="500" w:lineRule="exact"/>
        <w:ind w:firstLine="566" w:firstLineChars="200"/>
        <w:rPr>
          <w:rFonts w:ascii="华文仿宋" w:hAnsi="华文仿宋" w:cs="华文仿宋"/>
          <w:b/>
          <w:color w:val="auto"/>
          <w:highlight w:val="none"/>
        </w:rPr>
      </w:pPr>
      <w:bookmarkStart w:id="194" w:name="_Toc4079_WPSOffice_Level3"/>
      <w:r>
        <w:rPr>
          <w:rFonts w:hint="eastAsia" w:ascii="华文仿宋" w:hAnsi="华文仿宋" w:cs="华文仿宋"/>
          <w:b/>
          <w:color w:val="auto"/>
          <w:highlight w:val="none"/>
        </w:rPr>
        <w:t>（四）评审方法：综合评分法</w:t>
      </w:r>
      <w:bookmarkEnd w:id="194"/>
    </w:p>
    <w:p w14:paraId="2B62DC87">
      <w:pPr>
        <w:spacing w:line="500" w:lineRule="exact"/>
        <w:ind w:firstLine="566" w:firstLineChars="200"/>
        <w:rPr>
          <w:rFonts w:ascii="华文仿宋" w:hAnsi="华文仿宋" w:cs="华文仿宋"/>
          <w:color w:val="auto"/>
          <w:highlight w:val="none"/>
        </w:rPr>
      </w:pPr>
      <w:r>
        <w:rPr>
          <w:rFonts w:hint="eastAsia" w:ascii="Calibri" w:hAnsi="Calibri"/>
          <w:color w:val="auto"/>
          <w:highlight w:val="none"/>
        </w:rPr>
        <w:t>综合评分法，是指响应文件满足磋商文件全部实质性要求且按评审因素的量化指标评审得分最高的供应商为成交候选供应商的评审方法。</w:t>
      </w:r>
    </w:p>
    <w:p w14:paraId="61F559B2">
      <w:pPr>
        <w:spacing w:line="500" w:lineRule="exact"/>
        <w:ind w:left="567"/>
        <w:rPr>
          <w:rFonts w:ascii="华文仿宋" w:hAnsi="华文仿宋" w:cs="华文仿宋"/>
          <w:color w:val="auto"/>
          <w:highlight w:val="none"/>
        </w:rPr>
      </w:pPr>
      <w:bookmarkStart w:id="195" w:name="_Toc25396_WPSOffice_Level3"/>
      <w:r>
        <w:rPr>
          <w:rFonts w:hint="eastAsia" w:ascii="华文仿宋" w:hAnsi="华文仿宋" w:cs="华文仿宋"/>
          <w:b/>
          <w:color w:val="auto"/>
          <w:highlight w:val="none"/>
        </w:rPr>
        <w:t>（五）评审程序</w:t>
      </w:r>
      <w:bookmarkEnd w:id="195"/>
    </w:p>
    <w:p w14:paraId="0012D883">
      <w:pPr>
        <w:spacing w:line="500" w:lineRule="exact"/>
        <w:ind w:firstLine="566" w:firstLineChars="200"/>
        <w:rPr>
          <w:rFonts w:ascii="Calibri" w:hAnsi="Calibri"/>
          <w:color w:val="auto"/>
          <w:highlight w:val="none"/>
        </w:rPr>
      </w:pPr>
      <w:r>
        <w:rPr>
          <w:rFonts w:hint="eastAsia" w:ascii="Calibri" w:hAnsi="Calibri"/>
          <w:color w:val="auto"/>
          <w:highlight w:val="none"/>
        </w:rPr>
        <w:t>分步评审，每一步评审不符合磋商文件要求者，不得进入下一步评审，全部评审合格的供应商，进入最后的打分，最后按得分由高到低排序，推荐成交候选供应商。</w:t>
      </w:r>
    </w:p>
    <w:p w14:paraId="1B16B0E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bCs/>
          <w:color w:val="auto"/>
          <w:highlight w:val="none"/>
        </w:rPr>
      </w:pPr>
      <w:r>
        <w:rPr>
          <w:rFonts w:hint="eastAsia" w:ascii="华文仿宋" w:hAnsi="华文仿宋" w:cs="华文仿宋"/>
          <w:b/>
          <w:bCs/>
          <w:color w:val="auto"/>
          <w:highlight w:val="none"/>
        </w:rPr>
        <w:t>1、资格性审查</w:t>
      </w:r>
    </w:p>
    <w:p w14:paraId="4624D463">
      <w:pPr>
        <w:pStyle w:val="7"/>
        <w:widowControl w:val="0"/>
        <w:spacing w:line="500" w:lineRule="exact"/>
        <w:ind w:firstLine="566" w:firstLineChars="200"/>
        <w:rPr>
          <w:rFonts w:hint="eastAsia" w:ascii="华文仿宋" w:hAnsi="华文仿宋" w:cs="华文仿宋"/>
          <w:color w:val="auto"/>
          <w:sz w:val="28"/>
          <w:szCs w:val="28"/>
          <w:highlight w:val="none"/>
        </w:rPr>
      </w:pPr>
      <w:r>
        <w:rPr>
          <w:rFonts w:hint="eastAsia" w:ascii="华文仿宋" w:hAnsi="华文仿宋" w:eastAsia="华文仿宋" w:cs="华文仿宋"/>
          <w:b w:val="0"/>
          <w:bCs w:val="0"/>
          <w:color w:val="auto"/>
          <w:kern w:val="2"/>
          <w:sz w:val="28"/>
          <w:szCs w:val="28"/>
          <w:highlight w:val="none"/>
          <w:lang w:val="en-US" w:eastAsia="zh-CN" w:bidi="ar-SA"/>
        </w:rPr>
        <w:t>开标结束后，磋商小组依据法律法规和磋商文件的规定，对响应文件中的供应商资格证明文件进行审查，以确定供应商是否具备磋商资格</w:t>
      </w:r>
      <w:r>
        <w:rPr>
          <w:rFonts w:hint="eastAsia" w:ascii="华文仿宋" w:hAnsi="华文仿宋" w:cs="华文仿宋"/>
          <w:b w:val="0"/>
          <w:bCs w:val="0"/>
          <w:color w:val="auto"/>
          <w:kern w:val="2"/>
          <w:sz w:val="28"/>
          <w:szCs w:val="28"/>
          <w:highlight w:val="none"/>
          <w:lang w:val="en-US" w:eastAsia="zh-CN" w:bidi="ar-SA"/>
        </w:rPr>
        <w:t>。</w:t>
      </w:r>
    </w:p>
    <w:bookmarkEnd w:id="192"/>
    <w:p w14:paraId="06A35B4E">
      <w:pPr>
        <w:widowControl w:val="0"/>
        <w:spacing w:line="500" w:lineRule="exact"/>
        <w:jc w:val="center"/>
        <w:rPr>
          <w:rFonts w:ascii="华文仿宋" w:hAnsi="华文仿宋" w:cs="华文仿宋"/>
          <w:b/>
          <w:bCs/>
          <w:color w:val="auto"/>
          <w:highlight w:val="none"/>
        </w:rPr>
      </w:pPr>
      <w:r>
        <w:rPr>
          <w:rFonts w:hint="eastAsia" w:ascii="华文仿宋" w:hAnsi="华文仿宋" w:cs="华文仿宋"/>
          <w:b/>
          <w:bCs/>
          <w:color w:val="auto"/>
          <w:highlight w:val="none"/>
        </w:rPr>
        <w:t>资格审查表</w:t>
      </w:r>
    </w:p>
    <w:tbl>
      <w:tblPr>
        <w:tblStyle w:val="2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806"/>
        <w:gridCol w:w="994"/>
      </w:tblGrid>
      <w:tr w14:paraId="1DD8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32" w:type="dxa"/>
            <w:vAlign w:val="center"/>
          </w:tcPr>
          <w:p w14:paraId="19526D78">
            <w:pPr>
              <w:widowControl w:val="0"/>
              <w:spacing w:line="360" w:lineRule="exact"/>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序号</w:t>
            </w:r>
          </w:p>
        </w:tc>
        <w:tc>
          <w:tcPr>
            <w:tcW w:w="1866" w:type="dxa"/>
            <w:vAlign w:val="center"/>
          </w:tcPr>
          <w:p w14:paraId="677639D2">
            <w:pPr>
              <w:widowControl w:val="0"/>
              <w:spacing w:line="360" w:lineRule="exact"/>
              <w:jc w:val="center"/>
              <w:rPr>
                <w:rFonts w:ascii="仿宋" w:hAnsi="仿宋" w:eastAsia="仿宋" w:cs="Times New Roman"/>
                <w:b/>
                <w:bCs/>
                <w:color w:val="auto"/>
                <w:kern w:val="28"/>
                <w:sz w:val="24"/>
                <w:szCs w:val="24"/>
                <w:highlight w:val="none"/>
              </w:rPr>
            </w:pPr>
            <w:r>
              <w:rPr>
                <w:rFonts w:hint="eastAsia" w:ascii="仿宋" w:hAnsi="仿宋" w:eastAsia="仿宋" w:cs="仿宋"/>
                <w:b/>
                <w:bCs/>
                <w:color w:val="auto"/>
                <w:kern w:val="28"/>
                <w:sz w:val="24"/>
                <w:szCs w:val="24"/>
                <w:highlight w:val="none"/>
              </w:rPr>
              <w:t>资格审查项</w:t>
            </w:r>
          </w:p>
        </w:tc>
        <w:tc>
          <w:tcPr>
            <w:tcW w:w="4583" w:type="dxa"/>
            <w:vAlign w:val="center"/>
          </w:tcPr>
          <w:p w14:paraId="2C596230">
            <w:pPr>
              <w:widowControl w:val="0"/>
              <w:spacing w:line="360" w:lineRule="exact"/>
              <w:jc w:val="center"/>
              <w:rPr>
                <w:rFonts w:ascii="仿宋" w:hAnsi="仿宋" w:eastAsia="仿宋" w:cs="Times New Roman"/>
                <w:b/>
                <w:bCs/>
                <w:color w:val="auto"/>
                <w:kern w:val="28"/>
                <w:sz w:val="24"/>
                <w:szCs w:val="24"/>
                <w:highlight w:val="none"/>
              </w:rPr>
            </w:pPr>
            <w:r>
              <w:rPr>
                <w:rFonts w:hint="eastAsia" w:ascii="仿宋" w:hAnsi="仿宋" w:eastAsia="仿宋" w:cs="仿宋"/>
                <w:b/>
                <w:bCs/>
                <w:color w:val="auto"/>
                <w:kern w:val="28"/>
                <w:sz w:val="24"/>
                <w:szCs w:val="24"/>
                <w:highlight w:val="none"/>
              </w:rPr>
              <w:t>通过条件</w:t>
            </w:r>
          </w:p>
        </w:tc>
        <w:tc>
          <w:tcPr>
            <w:tcW w:w="806" w:type="dxa"/>
            <w:vAlign w:val="center"/>
          </w:tcPr>
          <w:p w14:paraId="4055A903">
            <w:pPr>
              <w:widowControl w:val="0"/>
              <w:spacing w:line="360" w:lineRule="exact"/>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结论</w:t>
            </w:r>
          </w:p>
        </w:tc>
        <w:tc>
          <w:tcPr>
            <w:tcW w:w="994" w:type="dxa"/>
            <w:vAlign w:val="center"/>
          </w:tcPr>
          <w:p w14:paraId="3BCC11CC">
            <w:pPr>
              <w:widowControl w:val="0"/>
              <w:spacing w:line="360" w:lineRule="exact"/>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不通过原因</w:t>
            </w:r>
          </w:p>
        </w:tc>
      </w:tr>
      <w:tr w14:paraId="1E19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5B4832A1">
            <w:pPr>
              <w:widowControl w:val="0"/>
              <w:spacing w:line="36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866" w:type="dxa"/>
            <w:vAlign w:val="center"/>
          </w:tcPr>
          <w:p w14:paraId="046F6F79">
            <w:pPr>
              <w:widowControl w:val="0"/>
              <w:spacing w:line="360" w:lineRule="exact"/>
              <w:jc w:val="center"/>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营业执照等主体资格证明文件</w:t>
            </w:r>
          </w:p>
        </w:tc>
        <w:tc>
          <w:tcPr>
            <w:tcW w:w="4583" w:type="dxa"/>
            <w:vAlign w:val="center"/>
          </w:tcPr>
          <w:p w14:paraId="5BE43263">
            <w:pPr>
              <w:widowControl w:val="0"/>
              <w:spacing w:line="360" w:lineRule="exact"/>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提供有效存续的</w:t>
            </w:r>
            <w:r>
              <w:rPr>
                <w:rFonts w:hint="eastAsia" w:ascii="仿宋" w:hAnsi="仿宋" w:eastAsia="仿宋" w:cs="仿宋"/>
                <w:color w:val="auto"/>
                <w:kern w:val="28"/>
                <w:sz w:val="24"/>
                <w:szCs w:val="24"/>
                <w:highlight w:val="none"/>
                <w:lang w:eastAsia="zh-CN"/>
              </w:rPr>
              <w:t>企业营业执照</w:t>
            </w:r>
            <w:r>
              <w:rPr>
                <w:rFonts w:hint="eastAsia" w:ascii="仿宋" w:hAnsi="仿宋" w:eastAsia="仿宋" w:cs="仿宋"/>
                <w:color w:val="auto"/>
                <w:kern w:val="28"/>
                <w:sz w:val="24"/>
                <w:szCs w:val="24"/>
                <w:highlight w:val="none"/>
              </w:rPr>
              <w:t>（副本）</w:t>
            </w:r>
            <w:r>
              <w:rPr>
                <w:rFonts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rPr>
              <w:t>事业单位法人证书</w:t>
            </w:r>
            <w:r>
              <w:rPr>
                <w:rFonts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rPr>
              <w:t>专业服务机构执业许可证</w:t>
            </w:r>
            <w:r>
              <w:rPr>
                <w:rFonts w:ascii="仿宋" w:hAnsi="仿宋" w:eastAsia="仿宋" w:cs="仿宋"/>
                <w:color w:val="auto"/>
                <w:kern w:val="28"/>
                <w:sz w:val="24"/>
                <w:szCs w:val="24"/>
                <w:highlight w:val="none"/>
              </w:rPr>
              <w:t>/</w:t>
            </w:r>
            <w:r>
              <w:rPr>
                <w:rFonts w:hint="eastAsia" w:ascii="仿宋" w:hAnsi="仿宋" w:eastAsia="仿宋" w:cs="仿宋"/>
                <w:color w:val="auto"/>
                <w:kern w:val="28"/>
                <w:sz w:val="24"/>
                <w:szCs w:val="24"/>
                <w:highlight w:val="none"/>
                <w:lang w:eastAsia="zh-CN"/>
              </w:rPr>
              <w:t>民办非企业</w:t>
            </w:r>
            <w:r>
              <w:rPr>
                <w:rFonts w:hint="eastAsia" w:ascii="仿宋" w:hAnsi="仿宋" w:eastAsia="仿宋" w:cs="仿宋"/>
                <w:color w:val="auto"/>
                <w:kern w:val="28"/>
                <w:sz w:val="24"/>
                <w:szCs w:val="24"/>
                <w:highlight w:val="none"/>
              </w:rPr>
              <w:t>单位登记证书。</w:t>
            </w:r>
          </w:p>
        </w:tc>
        <w:tc>
          <w:tcPr>
            <w:tcW w:w="806" w:type="dxa"/>
            <w:vAlign w:val="center"/>
          </w:tcPr>
          <w:p w14:paraId="1131BC20">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6AFDA1E2">
            <w:pPr>
              <w:widowControl w:val="0"/>
              <w:spacing w:before="40" w:after="40" w:line="360" w:lineRule="exact"/>
              <w:rPr>
                <w:rFonts w:ascii="仿宋" w:hAnsi="仿宋" w:eastAsia="仿宋" w:cs="Times New Roman"/>
                <w:b/>
                <w:bCs/>
                <w:color w:val="auto"/>
                <w:sz w:val="24"/>
                <w:szCs w:val="24"/>
                <w:highlight w:val="none"/>
              </w:rPr>
            </w:pPr>
          </w:p>
        </w:tc>
      </w:tr>
      <w:tr w14:paraId="484F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2396EA04">
            <w:pPr>
              <w:widowControl w:val="0"/>
              <w:spacing w:line="36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866" w:type="dxa"/>
            <w:vAlign w:val="center"/>
          </w:tcPr>
          <w:p w14:paraId="64D81F7B">
            <w:pPr>
              <w:widowControl w:val="0"/>
              <w:spacing w:line="360" w:lineRule="exact"/>
              <w:jc w:val="center"/>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财务状况报告</w:t>
            </w:r>
          </w:p>
        </w:tc>
        <w:tc>
          <w:tcPr>
            <w:tcW w:w="4583" w:type="dxa"/>
            <w:vAlign w:val="center"/>
          </w:tcPr>
          <w:p w14:paraId="41BDEA51">
            <w:pPr>
              <w:spacing w:line="36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财务状况报告（以</w:t>
            </w:r>
            <w:r>
              <w:rPr>
                <w:rFonts w:hint="eastAsia" w:ascii="仿宋" w:hAnsi="仿宋" w:eastAsia="仿宋" w:cs="仿宋"/>
                <w:kern w:val="28"/>
                <w:sz w:val="24"/>
                <w:szCs w:val="24"/>
                <w:highlight w:val="none"/>
                <w:lang w:eastAsia="zh-CN"/>
              </w:rPr>
              <w:t>下</w:t>
            </w:r>
            <w:r>
              <w:rPr>
                <w:rFonts w:hint="eastAsia" w:ascii="仿宋" w:hAnsi="仿宋" w:eastAsia="仿宋" w:cs="仿宋"/>
                <w:kern w:val="28"/>
                <w:sz w:val="24"/>
                <w:szCs w:val="24"/>
                <w:highlight w:val="none"/>
              </w:rPr>
              <w:t>三种资料提供</w:t>
            </w:r>
            <w:r>
              <w:rPr>
                <w:rFonts w:hint="eastAsia" w:ascii="仿宋" w:hAnsi="仿宋" w:eastAsia="仿宋" w:cs="仿宋"/>
                <w:kern w:val="28"/>
                <w:sz w:val="24"/>
                <w:szCs w:val="24"/>
                <w:highlight w:val="none"/>
                <w:lang w:eastAsia="zh-CN"/>
              </w:rPr>
              <w:t>任意</w:t>
            </w:r>
            <w:r>
              <w:rPr>
                <w:rFonts w:hint="eastAsia" w:ascii="仿宋" w:hAnsi="仿宋" w:eastAsia="仿宋" w:cs="仿宋"/>
                <w:kern w:val="28"/>
                <w:sz w:val="24"/>
                <w:szCs w:val="24"/>
                <w:highlight w:val="none"/>
              </w:rPr>
              <w:t>一种即可）：</w:t>
            </w:r>
          </w:p>
          <w:p w14:paraId="306DA423">
            <w:pPr>
              <w:numPr>
                <w:ilvl w:val="0"/>
                <w:numId w:val="3"/>
              </w:numPr>
              <w:spacing w:line="360" w:lineRule="exact"/>
              <w:rPr>
                <w:rFonts w:hint="eastAsia" w:ascii="仿宋" w:hAnsi="仿宋" w:eastAsia="仿宋" w:cs="仿宋"/>
                <w:kern w:val="28"/>
                <w:sz w:val="24"/>
                <w:szCs w:val="24"/>
                <w:highlight w:val="none"/>
                <w:lang w:eastAsia="zh-CN"/>
              </w:rPr>
            </w:pPr>
            <w:r>
              <w:rPr>
                <w:rFonts w:hint="eastAsia" w:ascii="仿宋" w:hAnsi="仿宋" w:eastAsia="仿宋" w:cs="仿宋"/>
                <w:kern w:val="28"/>
                <w:sz w:val="24"/>
                <w:szCs w:val="24"/>
                <w:highlight w:val="none"/>
              </w:rPr>
              <w:t>提供递交</w:t>
            </w:r>
            <w:r>
              <w:rPr>
                <w:rFonts w:hint="eastAsia" w:ascii="仿宋" w:hAnsi="仿宋" w:eastAsia="仿宋" w:cs="仿宋"/>
                <w:kern w:val="28"/>
                <w:sz w:val="24"/>
                <w:szCs w:val="24"/>
                <w:highlight w:val="none"/>
                <w:lang w:eastAsia="zh-CN"/>
              </w:rPr>
              <w:t>响应</w:t>
            </w:r>
            <w:r>
              <w:rPr>
                <w:rFonts w:hint="eastAsia" w:ascii="仿宋" w:hAnsi="仿宋" w:eastAsia="仿宋" w:cs="仿宋"/>
                <w:kern w:val="28"/>
                <w:sz w:val="24"/>
                <w:szCs w:val="24"/>
                <w:highlight w:val="none"/>
              </w:rPr>
              <w:t>文件截止之日前两年内任意一个年度经审计的财务报告（包括“四表一注”，即资产负债表、利润表、现金流量表、所有者权益变动表及其附注，符合《</w:t>
            </w:r>
            <w:r>
              <w:rPr>
                <w:rFonts w:hint="eastAsia" w:ascii="仿宋" w:hAnsi="仿宋" w:eastAsia="仿宋" w:cs="仿宋"/>
                <w:kern w:val="28"/>
                <w:sz w:val="24"/>
                <w:szCs w:val="24"/>
                <w:highlight w:val="none"/>
              </w:rPr>
              <w:fldChar w:fldCharType="begin"/>
            </w:r>
            <w:r>
              <w:rPr>
                <w:rFonts w:hint="eastAsia" w:ascii="仿宋" w:hAnsi="仿宋" w:eastAsia="仿宋" w:cs="仿宋"/>
                <w:kern w:val="28"/>
                <w:sz w:val="24"/>
                <w:szCs w:val="24"/>
                <w:highlight w:val="none"/>
              </w:rPr>
              <w:instrText xml:space="preserve"> HYPERLINK "https://baike.baidu.com/item/%E4%B8%AD%E5%B0%8F%E4%BC%81%E4%B8%9A%E5%88%92%E5%9E%8B%E6%A0%87%E5%87%86%E8%A7%84%E5%AE%9A/0?fromModule=lemma_inlink" \t "https://baike.baidu.com/item/%E5%B0%8F%E4%BC%81%E4%B8%9A%E4%BC%9A%E8%AE%A1%E5%87%86%E5%88%99/_blank" </w:instrText>
            </w:r>
            <w:r>
              <w:rPr>
                <w:rFonts w:hint="eastAsia" w:ascii="仿宋" w:hAnsi="仿宋" w:eastAsia="仿宋" w:cs="仿宋"/>
                <w:kern w:val="28"/>
                <w:sz w:val="24"/>
                <w:szCs w:val="24"/>
                <w:highlight w:val="none"/>
              </w:rPr>
              <w:fldChar w:fldCharType="separate"/>
            </w:r>
            <w:r>
              <w:rPr>
                <w:rFonts w:hint="eastAsia" w:ascii="仿宋" w:hAnsi="仿宋" w:eastAsia="仿宋" w:cs="仿宋"/>
                <w:kern w:val="28"/>
                <w:sz w:val="24"/>
                <w:szCs w:val="24"/>
                <w:highlight w:val="none"/>
              </w:rPr>
              <w:t>中小企业划型标准规定</w:t>
            </w:r>
            <w:r>
              <w:rPr>
                <w:rFonts w:hint="eastAsia" w:ascii="仿宋" w:hAnsi="仿宋" w:eastAsia="仿宋" w:cs="仿宋"/>
                <w:kern w:val="28"/>
                <w:sz w:val="24"/>
                <w:szCs w:val="24"/>
                <w:highlight w:val="none"/>
              </w:rPr>
              <w:fldChar w:fldCharType="end"/>
            </w:r>
            <w:r>
              <w:rPr>
                <w:rFonts w:hint="eastAsia" w:ascii="仿宋" w:hAnsi="仿宋" w:eastAsia="仿宋" w:cs="仿宋"/>
                <w:kern w:val="28"/>
                <w:sz w:val="24"/>
                <w:szCs w:val="24"/>
                <w:highlight w:val="none"/>
              </w:rPr>
              <w:t>》的小型企业</w:t>
            </w:r>
            <w:r>
              <w:rPr>
                <w:rFonts w:hint="eastAsia" w:ascii="仿宋" w:hAnsi="仿宋" w:eastAsia="仿宋" w:cs="仿宋"/>
                <w:kern w:val="28"/>
                <w:sz w:val="24"/>
                <w:szCs w:val="24"/>
                <w:highlight w:val="none"/>
                <w:lang w:eastAsia="zh-CN"/>
              </w:rPr>
              <w:t>按照</w:t>
            </w:r>
            <w:r>
              <w:rPr>
                <w:rFonts w:hint="eastAsia" w:ascii="仿宋" w:hAnsi="仿宋" w:eastAsia="仿宋" w:cs="仿宋"/>
                <w:kern w:val="28"/>
                <w:sz w:val="24"/>
                <w:szCs w:val="24"/>
                <w:highlight w:val="none"/>
              </w:rPr>
              <w:t>《小企业会计准则》</w:t>
            </w:r>
            <w:r>
              <w:rPr>
                <w:rFonts w:hint="eastAsia" w:ascii="仿宋" w:hAnsi="仿宋" w:eastAsia="仿宋" w:cs="仿宋"/>
                <w:kern w:val="28"/>
                <w:sz w:val="24"/>
                <w:szCs w:val="24"/>
                <w:highlight w:val="none"/>
                <w:lang w:eastAsia="zh-CN"/>
              </w:rPr>
              <w:t>执行。</w:t>
            </w:r>
            <w:r>
              <w:rPr>
                <w:rFonts w:hint="eastAsia" w:ascii="仿宋" w:hAnsi="仿宋" w:eastAsia="仿宋" w:cs="仿宋"/>
                <w:kern w:val="28"/>
                <w:sz w:val="24"/>
                <w:szCs w:val="24"/>
                <w:highlight w:val="none"/>
              </w:rPr>
              <w:t>成立时间至提交</w:t>
            </w:r>
            <w:r>
              <w:rPr>
                <w:rFonts w:hint="eastAsia" w:ascii="仿宋" w:hAnsi="仿宋" w:eastAsia="仿宋" w:cs="仿宋"/>
                <w:kern w:val="28"/>
                <w:sz w:val="24"/>
                <w:szCs w:val="24"/>
                <w:highlight w:val="none"/>
                <w:lang w:eastAsia="zh-CN"/>
              </w:rPr>
              <w:t>响应文件</w:t>
            </w:r>
            <w:r>
              <w:rPr>
                <w:rFonts w:hint="eastAsia" w:ascii="仿宋" w:hAnsi="仿宋" w:eastAsia="仿宋" w:cs="仿宋"/>
                <w:kern w:val="28"/>
                <w:sz w:val="24"/>
                <w:szCs w:val="24"/>
                <w:highlight w:val="none"/>
              </w:rPr>
              <w:t>截止时间不足一年的可提供成立后任意时段的资产负债表）</w:t>
            </w:r>
            <w:r>
              <w:rPr>
                <w:rFonts w:hint="eastAsia" w:ascii="仿宋" w:hAnsi="仿宋" w:eastAsia="仿宋" w:cs="仿宋"/>
                <w:kern w:val="28"/>
                <w:sz w:val="24"/>
                <w:szCs w:val="24"/>
                <w:highlight w:val="none"/>
                <w:lang w:eastAsia="zh-CN"/>
              </w:rPr>
              <w:t>；</w:t>
            </w:r>
          </w:p>
          <w:p w14:paraId="6168CB05">
            <w:pPr>
              <w:numPr>
                <w:ilvl w:val="0"/>
                <w:numId w:val="0"/>
              </w:numPr>
              <w:spacing w:line="360" w:lineRule="exact"/>
              <w:rPr>
                <w:rFonts w:hint="eastAsia" w:ascii="仿宋" w:hAnsi="仿宋" w:eastAsia="仿宋" w:cs="仿宋"/>
                <w:kern w:val="28"/>
                <w:sz w:val="24"/>
                <w:szCs w:val="24"/>
                <w:highlight w:val="none"/>
                <w:lang w:eastAsia="zh-CN"/>
              </w:rPr>
            </w:pP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lang w:val="en-US" w:eastAsia="zh-CN"/>
              </w:rPr>
              <w:t>2</w:t>
            </w: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rPr>
              <w:t>其开标前三个月内基本开户银行出具的资信证明</w:t>
            </w:r>
            <w:r>
              <w:rPr>
                <w:rFonts w:hint="eastAsia" w:ascii="仿宋" w:hAnsi="仿宋" w:eastAsia="仿宋" w:cs="仿宋"/>
                <w:kern w:val="28"/>
                <w:sz w:val="24"/>
                <w:szCs w:val="24"/>
                <w:highlight w:val="none"/>
                <w:lang w:eastAsia="zh-CN"/>
              </w:rPr>
              <w:t>；</w:t>
            </w:r>
          </w:p>
          <w:p w14:paraId="1F3DB850">
            <w:pPr>
              <w:numPr>
                <w:ilvl w:val="0"/>
                <w:numId w:val="0"/>
              </w:numPr>
              <w:spacing w:line="360" w:lineRule="exact"/>
              <w:ind w:left="0" w:leftChars="0" w:firstLine="0" w:firstLineChars="0"/>
              <w:rPr>
                <w:rFonts w:ascii="仿宋" w:hAnsi="仿宋" w:eastAsia="仿宋" w:cs="Times New Roman"/>
                <w:color w:val="auto"/>
                <w:kern w:val="28"/>
                <w:sz w:val="24"/>
                <w:szCs w:val="24"/>
                <w:highlight w:val="none"/>
              </w:rPr>
            </w:pP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lang w:val="en-US" w:eastAsia="zh-CN"/>
              </w:rPr>
              <w:t>3</w:t>
            </w:r>
            <w:r>
              <w:rPr>
                <w:rFonts w:hint="eastAsia" w:ascii="仿宋" w:hAnsi="仿宋" w:eastAsia="仿宋" w:cs="仿宋"/>
                <w:kern w:val="28"/>
                <w:sz w:val="24"/>
                <w:szCs w:val="24"/>
                <w:highlight w:val="none"/>
                <w:lang w:eastAsia="zh-CN"/>
              </w:rPr>
              <w:t>）</w:t>
            </w:r>
            <w:r>
              <w:rPr>
                <w:rFonts w:hint="eastAsia" w:ascii="仿宋" w:hAnsi="仿宋" w:eastAsia="仿宋" w:cs="仿宋"/>
                <w:kern w:val="28"/>
                <w:sz w:val="24"/>
                <w:szCs w:val="24"/>
                <w:highlight w:val="none"/>
              </w:rPr>
              <w:t>信用担保机构出具的投标担保函。</w:t>
            </w:r>
          </w:p>
        </w:tc>
        <w:tc>
          <w:tcPr>
            <w:tcW w:w="806" w:type="dxa"/>
            <w:vAlign w:val="center"/>
          </w:tcPr>
          <w:p w14:paraId="7216235E">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19FB2D33">
            <w:pPr>
              <w:widowControl w:val="0"/>
              <w:spacing w:before="40" w:after="40" w:line="360" w:lineRule="exact"/>
              <w:rPr>
                <w:rFonts w:ascii="仿宋" w:hAnsi="仿宋" w:eastAsia="仿宋" w:cs="Times New Roman"/>
                <w:b/>
                <w:bCs/>
                <w:color w:val="auto"/>
                <w:sz w:val="24"/>
                <w:szCs w:val="24"/>
                <w:highlight w:val="none"/>
              </w:rPr>
            </w:pPr>
          </w:p>
        </w:tc>
      </w:tr>
      <w:tr w14:paraId="13BD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3FFBFD74">
            <w:pPr>
              <w:widowControl w:val="0"/>
              <w:spacing w:line="36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866" w:type="dxa"/>
            <w:vAlign w:val="center"/>
          </w:tcPr>
          <w:p w14:paraId="43D8140D">
            <w:pPr>
              <w:widowControl w:val="0"/>
              <w:spacing w:line="360" w:lineRule="exact"/>
              <w:jc w:val="center"/>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社保缴纳证明</w:t>
            </w:r>
          </w:p>
        </w:tc>
        <w:tc>
          <w:tcPr>
            <w:tcW w:w="4583" w:type="dxa"/>
            <w:vAlign w:val="center"/>
          </w:tcPr>
          <w:p w14:paraId="56E1D697">
            <w:pPr>
              <w:widowControl w:val="0"/>
              <w:spacing w:line="360" w:lineRule="exact"/>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提供递交</w:t>
            </w:r>
            <w:r>
              <w:rPr>
                <w:rFonts w:hint="eastAsia" w:ascii="仿宋" w:hAnsi="仿宋" w:eastAsia="仿宋" w:cs="仿宋"/>
                <w:color w:val="auto"/>
                <w:kern w:val="28"/>
                <w:sz w:val="24"/>
                <w:szCs w:val="24"/>
                <w:highlight w:val="none"/>
                <w:lang w:eastAsia="zh-CN"/>
              </w:rPr>
              <w:t>响应文件</w:t>
            </w:r>
            <w:r>
              <w:rPr>
                <w:rFonts w:hint="eastAsia" w:ascii="仿宋" w:hAnsi="仿宋" w:eastAsia="仿宋" w:cs="仿宋"/>
                <w:color w:val="auto"/>
                <w:kern w:val="28"/>
                <w:sz w:val="24"/>
                <w:szCs w:val="24"/>
                <w:highlight w:val="none"/>
              </w:rPr>
              <w:t>截止之日前一年内任意一个月的社会保障资金缴存单据或社保机构开具的社会保险参保缴费情况证明。依法不需要缴纳社会保障资金的</w:t>
            </w:r>
            <w:r>
              <w:rPr>
                <w:rFonts w:hint="eastAsia" w:ascii="仿宋" w:hAnsi="仿宋" w:eastAsia="仿宋" w:cs="仿宋"/>
                <w:color w:val="auto"/>
                <w:kern w:val="28"/>
                <w:sz w:val="24"/>
                <w:szCs w:val="24"/>
                <w:highlight w:val="none"/>
                <w:lang w:eastAsia="zh-CN"/>
              </w:rPr>
              <w:t>供应商</w:t>
            </w:r>
            <w:r>
              <w:rPr>
                <w:rFonts w:hint="eastAsia" w:ascii="仿宋" w:hAnsi="仿宋" w:eastAsia="仿宋" w:cs="仿宋"/>
                <w:color w:val="auto"/>
                <w:kern w:val="28"/>
                <w:sz w:val="24"/>
                <w:szCs w:val="24"/>
                <w:highlight w:val="none"/>
              </w:rPr>
              <w:t>应提供相关文件证明。</w:t>
            </w:r>
          </w:p>
        </w:tc>
        <w:tc>
          <w:tcPr>
            <w:tcW w:w="806" w:type="dxa"/>
            <w:vAlign w:val="center"/>
          </w:tcPr>
          <w:p w14:paraId="38F3A27F">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13445F49">
            <w:pPr>
              <w:widowControl w:val="0"/>
              <w:spacing w:before="40" w:after="40" w:line="360" w:lineRule="exact"/>
              <w:rPr>
                <w:rFonts w:ascii="仿宋" w:hAnsi="仿宋" w:eastAsia="仿宋" w:cs="Times New Roman"/>
                <w:b/>
                <w:bCs/>
                <w:color w:val="auto"/>
                <w:sz w:val="24"/>
                <w:szCs w:val="24"/>
                <w:highlight w:val="none"/>
              </w:rPr>
            </w:pPr>
          </w:p>
        </w:tc>
      </w:tr>
      <w:tr w14:paraId="398F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6C517F2C">
            <w:pPr>
              <w:widowControl w:val="0"/>
              <w:spacing w:line="36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866" w:type="dxa"/>
            <w:vAlign w:val="center"/>
          </w:tcPr>
          <w:p w14:paraId="3D39DD00">
            <w:pPr>
              <w:widowControl w:val="0"/>
              <w:spacing w:line="360" w:lineRule="exact"/>
              <w:jc w:val="center"/>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税收缴纳证明</w:t>
            </w:r>
          </w:p>
        </w:tc>
        <w:tc>
          <w:tcPr>
            <w:tcW w:w="4583" w:type="dxa"/>
            <w:vAlign w:val="center"/>
          </w:tcPr>
          <w:p w14:paraId="61EEAF06">
            <w:pPr>
              <w:widowControl w:val="0"/>
              <w:spacing w:line="360" w:lineRule="exact"/>
              <w:rPr>
                <w:rFonts w:hint="eastAsia" w:ascii="仿宋" w:hAnsi="仿宋" w:eastAsia="仿宋" w:cs="Times New Roman"/>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提供递交响应文件截止之日前一年内任意一个月的依法缴纳税收的完税证明，完税证明应有税务机关或代收机关的公章或业务专用章。依法免税或无须缴纳税收的供应商，应提供相应证明文件。</w:t>
            </w:r>
          </w:p>
        </w:tc>
        <w:tc>
          <w:tcPr>
            <w:tcW w:w="806" w:type="dxa"/>
            <w:vAlign w:val="center"/>
          </w:tcPr>
          <w:p w14:paraId="05DD1843">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4D12C1B6">
            <w:pPr>
              <w:widowControl w:val="0"/>
              <w:spacing w:before="40" w:after="40" w:line="360" w:lineRule="exact"/>
              <w:rPr>
                <w:rFonts w:ascii="仿宋" w:hAnsi="仿宋" w:eastAsia="仿宋" w:cs="Times New Roman"/>
                <w:b/>
                <w:bCs/>
                <w:color w:val="auto"/>
                <w:sz w:val="24"/>
                <w:szCs w:val="24"/>
                <w:highlight w:val="none"/>
              </w:rPr>
            </w:pPr>
          </w:p>
        </w:tc>
      </w:tr>
      <w:tr w14:paraId="0635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4AE3EBB4">
            <w:pPr>
              <w:widowControl w:val="0"/>
              <w:spacing w:line="36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866" w:type="dxa"/>
            <w:vAlign w:val="center"/>
          </w:tcPr>
          <w:p w14:paraId="4AB439CC">
            <w:pPr>
              <w:widowControl w:val="0"/>
              <w:spacing w:line="360" w:lineRule="exact"/>
              <w:jc w:val="center"/>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信用记录</w:t>
            </w:r>
          </w:p>
        </w:tc>
        <w:tc>
          <w:tcPr>
            <w:tcW w:w="4583" w:type="dxa"/>
            <w:vAlign w:val="center"/>
          </w:tcPr>
          <w:p w14:paraId="01651E0D">
            <w:pPr>
              <w:widowControl w:val="0"/>
              <w:spacing w:line="360" w:lineRule="exact"/>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提供《供应商信用记录书面声明函》（按格式填写，提供原件）。经查，</w:t>
            </w:r>
            <w:r>
              <w:rPr>
                <w:rFonts w:hint="eastAsia" w:ascii="仿宋" w:hAnsi="仿宋" w:eastAsia="仿宋" w:cs="仿宋"/>
                <w:color w:val="auto"/>
                <w:kern w:val="28"/>
                <w:sz w:val="24"/>
                <w:szCs w:val="24"/>
                <w:highlight w:val="none"/>
                <w:lang w:eastAsia="zh-CN"/>
              </w:rPr>
              <w:t>供应商</w:t>
            </w:r>
            <w:r>
              <w:rPr>
                <w:rFonts w:hint="eastAsia" w:ascii="仿宋" w:hAnsi="仿宋" w:eastAsia="仿宋" w:cs="仿宋"/>
                <w:color w:val="auto"/>
                <w:kern w:val="28"/>
                <w:sz w:val="24"/>
                <w:szCs w:val="24"/>
                <w:highlight w:val="none"/>
              </w:rPr>
              <w:t>未被列入“信用中国”网站记录的“失信被执行人”或“重大税收违法案件当事人”名单；不处于“中国政府采购网”记录的“政府采购严重违法失信行为记录名单”中的禁止参加政府采购活动期间。</w:t>
            </w:r>
          </w:p>
        </w:tc>
        <w:tc>
          <w:tcPr>
            <w:tcW w:w="806" w:type="dxa"/>
            <w:vAlign w:val="center"/>
          </w:tcPr>
          <w:p w14:paraId="39C03247">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0CC746A3">
            <w:pPr>
              <w:widowControl w:val="0"/>
              <w:spacing w:before="40" w:after="40" w:line="360" w:lineRule="exact"/>
              <w:rPr>
                <w:rFonts w:ascii="仿宋" w:hAnsi="仿宋" w:eastAsia="仿宋" w:cs="Times New Roman"/>
                <w:b/>
                <w:bCs/>
                <w:color w:val="auto"/>
                <w:sz w:val="24"/>
                <w:szCs w:val="24"/>
                <w:highlight w:val="none"/>
              </w:rPr>
            </w:pPr>
          </w:p>
        </w:tc>
      </w:tr>
      <w:tr w14:paraId="0520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6586DFDB">
            <w:pPr>
              <w:widowControl w:val="0"/>
              <w:spacing w:line="360" w:lineRule="exact"/>
              <w:jc w:val="cente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p>
        </w:tc>
        <w:tc>
          <w:tcPr>
            <w:tcW w:w="1866" w:type="dxa"/>
            <w:vAlign w:val="center"/>
          </w:tcPr>
          <w:p w14:paraId="7064E06D">
            <w:pPr>
              <w:widowControl w:val="0"/>
              <w:spacing w:line="360" w:lineRule="exact"/>
              <w:jc w:val="center"/>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控股管理关系</w:t>
            </w:r>
          </w:p>
        </w:tc>
        <w:tc>
          <w:tcPr>
            <w:tcW w:w="4583" w:type="dxa"/>
            <w:vAlign w:val="center"/>
          </w:tcPr>
          <w:p w14:paraId="7117564B">
            <w:pPr>
              <w:widowControl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提供直接控股和管理关系清单。若与其他 </w:t>
            </w:r>
          </w:p>
          <w:p w14:paraId="7C2C84C2">
            <w:pPr>
              <w:widowControl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eastAsia="zh-CN"/>
              </w:rPr>
              <w:t>供应商</w:t>
            </w:r>
            <w:r>
              <w:rPr>
                <w:rFonts w:hint="eastAsia" w:ascii="仿宋" w:hAnsi="仿宋" w:eastAsia="仿宋" w:cs="仿宋"/>
                <w:color w:val="auto"/>
                <w:kern w:val="28"/>
                <w:sz w:val="24"/>
                <w:szCs w:val="24"/>
                <w:highlight w:val="none"/>
              </w:rPr>
              <w:t>存在单位负责人为同一人或者存在直接控股、管理关系的，则</w:t>
            </w:r>
            <w:r>
              <w:rPr>
                <w:rFonts w:hint="eastAsia" w:ascii="仿宋" w:hAnsi="仿宋" w:eastAsia="仿宋" w:cs="仿宋"/>
                <w:color w:val="auto"/>
                <w:kern w:val="28"/>
                <w:sz w:val="24"/>
                <w:szCs w:val="24"/>
                <w:highlight w:val="none"/>
                <w:lang w:eastAsia="zh-CN"/>
              </w:rPr>
              <w:t>磋商</w:t>
            </w:r>
            <w:r>
              <w:rPr>
                <w:rFonts w:hint="eastAsia" w:ascii="仿宋" w:hAnsi="仿宋" w:eastAsia="仿宋" w:cs="仿宋"/>
                <w:color w:val="auto"/>
                <w:kern w:val="28"/>
                <w:sz w:val="24"/>
                <w:szCs w:val="24"/>
                <w:highlight w:val="none"/>
              </w:rPr>
              <w:t>无效。</w:t>
            </w:r>
          </w:p>
        </w:tc>
        <w:tc>
          <w:tcPr>
            <w:tcW w:w="806" w:type="dxa"/>
            <w:vAlign w:val="center"/>
          </w:tcPr>
          <w:p w14:paraId="742FF866">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69D909C2">
            <w:pPr>
              <w:widowControl w:val="0"/>
              <w:spacing w:before="40" w:after="40" w:line="360" w:lineRule="exact"/>
              <w:rPr>
                <w:rFonts w:ascii="仿宋" w:hAnsi="仿宋" w:eastAsia="仿宋" w:cs="Times New Roman"/>
                <w:b/>
                <w:bCs/>
                <w:color w:val="auto"/>
                <w:sz w:val="24"/>
                <w:szCs w:val="24"/>
                <w:highlight w:val="none"/>
              </w:rPr>
            </w:pPr>
          </w:p>
        </w:tc>
      </w:tr>
      <w:tr w14:paraId="1BAB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14:paraId="425F6638">
            <w:pPr>
              <w:widowControl w:val="0"/>
              <w:spacing w:line="36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866" w:type="dxa"/>
            <w:vAlign w:val="center"/>
          </w:tcPr>
          <w:p w14:paraId="22966449">
            <w:pPr>
              <w:widowControl w:val="0"/>
              <w:spacing w:line="360" w:lineRule="exact"/>
              <w:jc w:val="center"/>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书面声明</w:t>
            </w:r>
          </w:p>
        </w:tc>
        <w:tc>
          <w:tcPr>
            <w:tcW w:w="4583" w:type="dxa"/>
            <w:vAlign w:val="center"/>
          </w:tcPr>
          <w:p w14:paraId="32B19441">
            <w:pPr>
              <w:widowControl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提供书面声明，包括声明具有履行合同所必需的设备和专业技术能力；未为本项目提供整体设计、规范编制或者项目管理、监理、检测等服务。</w:t>
            </w:r>
          </w:p>
        </w:tc>
        <w:tc>
          <w:tcPr>
            <w:tcW w:w="806" w:type="dxa"/>
            <w:vAlign w:val="center"/>
          </w:tcPr>
          <w:p w14:paraId="4EB0FCAD">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684875FD">
            <w:pPr>
              <w:widowControl w:val="0"/>
              <w:spacing w:before="40" w:after="40" w:line="360" w:lineRule="exact"/>
              <w:rPr>
                <w:rFonts w:ascii="仿宋" w:hAnsi="仿宋" w:eastAsia="仿宋" w:cs="Times New Roman"/>
                <w:b/>
                <w:bCs/>
                <w:color w:val="auto"/>
                <w:sz w:val="24"/>
                <w:szCs w:val="24"/>
                <w:highlight w:val="none"/>
              </w:rPr>
            </w:pPr>
          </w:p>
        </w:tc>
      </w:tr>
      <w:tr w14:paraId="6A7F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732" w:type="dxa"/>
            <w:vAlign w:val="center"/>
          </w:tcPr>
          <w:p w14:paraId="5F47888F">
            <w:pPr>
              <w:widowControl w:val="0"/>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66" w:type="dxa"/>
            <w:vAlign w:val="center"/>
          </w:tcPr>
          <w:p w14:paraId="39D406A9">
            <w:pPr>
              <w:widowControl w:val="0"/>
              <w:spacing w:line="360" w:lineRule="exact"/>
              <w:jc w:val="center"/>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法定代表人授权委托书</w:t>
            </w:r>
          </w:p>
        </w:tc>
        <w:tc>
          <w:tcPr>
            <w:tcW w:w="4583" w:type="dxa"/>
            <w:vAlign w:val="center"/>
          </w:tcPr>
          <w:p w14:paraId="7B4EA85A">
            <w:pPr>
              <w:widowControl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法定代表人参加</w:t>
            </w:r>
            <w:r>
              <w:rPr>
                <w:rFonts w:hint="eastAsia" w:ascii="仿宋" w:hAnsi="仿宋" w:eastAsia="仿宋" w:cs="仿宋"/>
                <w:color w:val="auto"/>
                <w:kern w:val="28"/>
                <w:sz w:val="24"/>
                <w:szCs w:val="24"/>
                <w:highlight w:val="none"/>
                <w:lang w:eastAsia="zh-CN"/>
              </w:rPr>
              <w:t>磋商</w:t>
            </w:r>
            <w:r>
              <w:rPr>
                <w:rFonts w:hint="eastAsia" w:ascii="仿宋" w:hAnsi="仿宋" w:eastAsia="仿宋" w:cs="仿宋"/>
                <w:color w:val="auto"/>
                <w:kern w:val="28"/>
                <w:sz w:val="24"/>
                <w:szCs w:val="24"/>
                <w:highlight w:val="none"/>
              </w:rPr>
              <w:t>的，须提供本人身份证复印件（附在资格证明文件中）；法定代表人授权他人参加</w:t>
            </w:r>
            <w:r>
              <w:rPr>
                <w:rFonts w:hint="eastAsia" w:ascii="仿宋" w:hAnsi="仿宋" w:eastAsia="仿宋" w:cs="仿宋"/>
                <w:color w:val="auto"/>
                <w:kern w:val="28"/>
                <w:sz w:val="24"/>
                <w:szCs w:val="24"/>
                <w:highlight w:val="none"/>
                <w:lang w:eastAsia="zh-CN"/>
              </w:rPr>
              <w:t>磋商</w:t>
            </w:r>
            <w:r>
              <w:rPr>
                <w:rFonts w:hint="eastAsia" w:ascii="仿宋" w:hAnsi="仿宋" w:eastAsia="仿宋" w:cs="仿宋"/>
                <w:color w:val="auto"/>
                <w:kern w:val="28"/>
                <w:sz w:val="24"/>
                <w:szCs w:val="24"/>
                <w:highlight w:val="none"/>
              </w:rPr>
              <w:t>的，须提供法定代表人授权委托书（按格式填写，提供原件）。</w:t>
            </w:r>
            <w:r>
              <w:rPr>
                <w:rFonts w:hint="eastAsia" w:ascii="仿宋" w:hAnsi="仿宋" w:eastAsia="仿宋" w:cs="仿宋"/>
                <w:color w:val="auto"/>
                <w:kern w:val="28"/>
                <w:sz w:val="24"/>
                <w:szCs w:val="24"/>
                <w:highlight w:val="none"/>
                <w:lang w:eastAsia="zh-CN"/>
              </w:rPr>
              <w:t>磋商文件</w:t>
            </w:r>
            <w:r>
              <w:rPr>
                <w:rFonts w:hint="eastAsia" w:ascii="仿宋" w:hAnsi="仿宋" w:eastAsia="仿宋" w:cs="仿宋"/>
                <w:color w:val="auto"/>
                <w:kern w:val="28"/>
                <w:sz w:val="24"/>
                <w:szCs w:val="24"/>
                <w:highlight w:val="none"/>
              </w:rPr>
              <w:t>中凡是需要法定代表人盖章之处，非法人单位的负责人均参照执行。</w:t>
            </w:r>
          </w:p>
          <w:p w14:paraId="5C27D7A1">
            <w:pPr>
              <w:widowControl w:val="0"/>
              <w:spacing w:line="360" w:lineRule="exact"/>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法人的分支机构参与</w:t>
            </w:r>
            <w:r>
              <w:rPr>
                <w:rFonts w:hint="eastAsia" w:ascii="仿宋" w:hAnsi="仿宋" w:eastAsia="仿宋" w:cs="仿宋"/>
                <w:color w:val="auto"/>
                <w:kern w:val="28"/>
                <w:sz w:val="24"/>
                <w:szCs w:val="24"/>
                <w:highlight w:val="none"/>
                <w:lang w:eastAsia="zh-CN"/>
              </w:rPr>
              <w:t>磋商</w:t>
            </w:r>
            <w:r>
              <w:rPr>
                <w:rFonts w:hint="eastAsia" w:ascii="仿宋" w:hAnsi="仿宋" w:eastAsia="仿宋" w:cs="仿宋"/>
                <w:color w:val="auto"/>
                <w:kern w:val="28"/>
                <w:sz w:val="24"/>
                <w:szCs w:val="24"/>
                <w:highlight w:val="none"/>
              </w:rPr>
              <w:t>时，除提供《法定代表人授权委托书》外，还须同时提供法人给分支机构出具的授权书。</w:t>
            </w:r>
          </w:p>
        </w:tc>
        <w:tc>
          <w:tcPr>
            <w:tcW w:w="806" w:type="dxa"/>
            <w:vAlign w:val="center"/>
          </w:tcPr>
          <w:p w14:paraId="220556F2">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7B135EC7">
            <w:pPr>
              <w:widowControl w:val="0"/>
              <w:spacing w:before="40" w:after="40" w:line="360" w:lineRule="exact"/>
              <w:rPr>
                <w:rFonts w:ascii="仿宋" w:hAnsi="仿宋" w:eastAsia="仿宋" w:cs="Times New Roman"/>
                <w:b/>
                <w:bCs/>
                <w:color w:val="auto"/>
                <w:sz w:val="24"/>
                <w:szCs w:val="24"/>
                <w:highlight w:val="none"/>
              </w:rPr>
            </w:pPr>
          </w:p>
        </w:tc>
      </w:tr>
      <w:tr w14:paraId="098C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32" w:type="dxa"/>
            <w:vAlign w:val="center"/>
          </w:tcPr>
          <w:p w14:paraId="3DCC5453">
            <w:pPr>
              <w:widowControl w:val="0"/>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66" w:type="dxa"/>
            <w:vAlign w:val="center"/>
          </w:tcPr>
          <w:p w14:paraId="58CCB390">
            <w:pPr>
              <w:widowControl w:val="0"/>
              <w:spacing w:line="360" w:lineRule="exact"/>
              <w:jc w:val="center"/>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本项目接受联合体投标，不允许分包</w:t>
            </w:r>
          </w:p>
        </w:tc>
        <w:tc>
          <w:tcPr>
            <w:tcW w:w="4583" w:type="dxa"/>
            <w:vAlign w:val="center"/>
          </w:tcPr>
          <w:p w14:paraId="48E0D033">
            <w:pPr>
              <w:widowControl w:val="0"/>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以联合体形式参与磋商的，联合体成员总数不得超过三家，联合体须提交《联合体协议书》，并在协议中明确联合体的牵头单位</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rPr>
              <w:t>联合体参加</w:t>
            </w:r>
            <w:r>
              <w:rPr>
                <w:rFonts w:hint="eastAsia" w:ascii="仿宋" w:hAnsi="仿宋" w:eastAsia="仿宋" w:cs="仿宋"/>
                <w:color w:val="auto"/>
                <w:kern w:val="28"/>
                <w:sz w:val="24"/>
                <w:szCs w:val="24"/>
                <w:highlight w:val="none"/>
                <w:lang w:eastAsia="zh-CN"/>
              </w:rPr>
              <w:t>磋商</w:t>
            </w:r>
            <w:r>
              <w:rPr>
                <w:rFonts w:hint="eastAsia" w:ascii="仿宋" w:hAnsi="仿宋" w:eastAsia="仿宋" w:cs="仿宋"/>
                <w:color w:val="auto"/>
                <w:kern w:val="28"/>
                <w:sz w:val="24"/>
                <w:szCs w:val="24"/>
                <w:highlight w:val="none"/>
              </w:rPr>
              <w:t>的，由</w:t>
            </w:r>
            <w:r>
              <w:rPr>
                <w:rFonts w:hint="eastAsia" w:ascii="仿宋" w:hAnsi="仿宋" w:eastAsia="仿宋" w:cs="仿宋"/>
                <w:color w:val="auto"/>
                <w:kern w:val="28"/>
                <w:sz w:val="24"/>
                <w:szCs w:val="24"/>
                <w:highlight w:val="none"/>
                <w:lang w:eastAsia="zh-CN"/>
              </w:rPr>
              <w:t>实施方案编制服务供应商</w:t>
            </w:r>
            <w:r>
              <w:rPr>
                <w:rFonts w:hint="eastAsia" w:ascii="仿宋" w:hAnsi="仿宋" w:eastAsia="仿宋" w:cs="仿宋"/>
                <w:color w:val="auto"/>
                <w:kern w:val="28"/>
                <w:sz w:val="24"/>
                <w:szCs w:val="24"/>
                <w:highlight w:val="none"/>
              </w:rPr>
              <w:t>作为联合体牵头人</w:t>
            </w:r>
            <w:r>
              <w:rPr>
                <w:rFonts w:hint="eastAsia" w:ascii="仿宋" w:hAnsi="仿宋" w:eastAsia="仿宋" w:cs="仿宋"/>
                <w:color w:val="auto"/>
                <w:kern w:val="28"/>
                <w:sz w:val="24"/>
                <w:szCs w:val="24"/>
                <w:highlight w:val="none"/>
                <w:lang w:eastAsia="zh-CN"/>
              </w:rPr>
              <w:t>）</w:t>
            </w:r>
            <w:r>
              <w:rPr>
                <w:rFonts w:hint="eastAsia" w:ascii="仿宋" w:hAnsi="仿宋" w:eastAsia="仿宋" w:cs="仿宋"/>
                <w:color w:val="auto"/>
                <w:kern w:val="28"/>
                <w:sz w:val="24"/>
                <w:szCs w:val="24"/>
                <w:highlight w:val="none"/>
                <w:lang w:val="en-US" w:eastAsia="zh-CN"/>
              </w:rPr>
              <w:t>和联合体成员单位的责任和权利；联合体各成员签订《联合体协议书》后，不得再以自己名义单独参与磋商，也不得组成新的联合体参与磋商，否则按无效响应处理</w:t>
            </w:r>
            <w:r>
              <w:rPr>
                <w:rFonts w:hint="eastAsia" w:ascii="仿宋" w:hAnsi="仿宋" w:eastAsia="仿宋" w:cs="仿宋"/>
                <w:color w:val="auto"/>
                <w:kern w:val="28"/>
                <w:sz w:val="24"/>
                <w:szCs w:val="24"/>
                <w:highlight w:val="none"/>
              </w:rPr>
              <w:t>。</w:t>
            </w:r>
          </w:p>
        </w:tc>
        <w:tc>
          <w:tcPr>
            <w:tcW w:w="806" w:type="dxa"/>
            <w:vAlign w:val="center"/>
          </w:tcPr>
          <w:p w14:paraId="3B870B1C">
            <w:pPr>
              <w:widowControl w:val="0"/>
              <w:spacing w:before="40" w:after="40" w:line="360" w:lineRule="exact"/>
              <w:rPr>
                <w:rFonts w:ascii="仿宋" w:hAnsi="仿宋" w:eastAsia="仿宋" w:cs="Times New Roman"/>
                <w:b/>
                <w:bCs/>
                <w:color w:val="auto"/>
                <w:sz w:val="24"/>
                <w:szCs w:val="24"/>
                <w:highlight w:val="none"/>
              </w:rPr>
            </w:pPr>
          </w:p>
        </w:tc>
        <w:tc>
          <w:tcPr>
            <w:tcW w:w="994" w:type="dxa"/>
            <w:vAlign w:val="center"/>
          </w:tcPr>
          <w:p w14:paraId="1E7870C3">
            <w:pPr>
              <w:widowControl w:val="0"/>
              <w:spacing w:before="40" w:after="40" w:line="360" w:lineRule="exact"/>
              <w:rPr>
                <w:rFonts w:ascii="仿宋" w:hAnsi="仿宋" w:eastAsia="仿宋" w:cs="Times New Roman"/>
                <w:b/>
                <w:bCs/>
                <w:color w:val="auto"/>
                <w:sz w:val="24"/>
                <w:szCs w:val="24"/>
                <w:highlight w:val="none"/>
              </w:rPr>
            </w:pPr>
          </w:p>
        </w:tc>
      </w:tr>
      <w:tr w14:paraId="63BD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81" w:type="dxa"/>
            <w:gridSpan w:val="5"/>
            <w:vAlign w:val="center"/>
          </w:tcPr>
          <w:p w14:paraId="1C1D47A2">
            <w:pPr>
              <w:spacing w:line="240" w:lineRule="auto"/>
              <w:rPr>
                <w:rFonts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0"/>
                <w:sz w:val="24"/>
                <w:szCs w:val="24"/>
                <w:highlight w:val="none"/>
              </w:rPr>
              <w:t>磋商小组成员：（签字或盖章）</w:t>
            </w:r>
          </w:p>
        </w:tc>
      </w:tr>
    </w:tbl>
    <w:p w14:paraId="5DC24463">
      <w:pPr>
        <w:keepNext w:val="0"/>
        <w:keepLines w:val="0"/>
        <w:pageBreakBefore w:val="0"/>
        <w:widowControl w:val="0"/>
        <w:kinsoku/>
        <w:overflowPunct/>
        <w:topLinePunct w:val="0"/>
        <w:bidi w:val="0"/>
        <w:spacing w:line="240" w:lineRule="auto"/>
        <w:ind w:firstLine="426" w:firstLineChars="200"/>
        <w:textAlignment w:val="auto"/>
        <w:rPr>
          <w:rFonts w:hint="eastAsia" w:ascii="Calibri" w:hAnsi="Calibri" w:eastAsia="华文仿宋"/>
          <w:b/>
          <w:bCs/>
          <w:color w:val="auto"/>
          <w:sz w:val="21"/>
          <w:szCs w:val="21"/>
          <w:highlight w:val="none"/>
          <w:lang w:eastAsia="zh-CN"/>
        </w:rPr>
      </w:pPr>
      <w:bookmarkStart w:id="196" w:name="_Toc3753"/>
      <w:bookmarkStart w:id="197" w:name="_Toc22102"/>
      <w:bookmarkStart w:id="198" w:name="_Toc1691"/>
      <w:bookmarkStart w:id="199" w:name="_Toc18735"/>
      <w:bookmarkStart w:id="200" w:name="_Toc25181"/>
      <w:bookmarkStart w:id="201" w:name="_Toc2809"/>
      <w:bookmarkStart w:id="202" w:name="_Toc28947"/>
      <w:bookmarkStart w:id="203" w:name="_Toc18391"/>
      <w:bookmarkStart w:id="204" w:name="_Toc1559"/>
      <w:bookmarkStart w:id="205" w:name="_Toc16965"/>
      <w:bookmarkStart w:id="206" w:name="_Toc29773"/>
      <w:bookmarkStart w:id="207" w:name="_Toc2712"/>
      <w:bookmarkStart w:id="208" w:name="_Toc325"/>
      <w:bookmarkStart w:id="209" w:name="_Toc28896"/>
      <w:r>
        <w:rPr>
          <w:rFonts w:hint="eastAsia" w:ascii="Calibri" w:hAnsi="Calibri"/>
          <w:b/>
          <w:bCs/>
          <w:color w:val="auto"/>
          <w:sz w:val="21"/>
          <w:szCs w:val="21"/>
          <w:highlight w:val="none"/>
          <w:lang w:eastAsia="zh-CN"/>
        </w:rPr>
        <w:t>备注：</w:t>
      </w:r>
      <w:r>
        <w:rPr>
          <w:rFonts w:hint="eastAsia" w:ascii="仿宋" w:hAnsi="仿宋" w:eastAsia="仿宋" w:cs="仿宋"/>
          <w:b/>
          <w:bCs/>
          <w:color w:val="auto"/>
          <w:kern w:val="0"/>
          <w:sz w:val="21"/>
          <w:szCs w:val="21"/>
          <w:highlight w:val="none"/>
        </w:rPr>
        <w:t>以上资格要求均为必备资格，需提供相关证明文件并加盖供应商公章（如相关证明材料由第三方出具，应有第三方公章），缺少其中任何一项，其响应文件视为无效文件</w:t>
      </w:r>
      <w:r>
        <w:rPr>
          <w:rFonts w:hint="eastAsia" w:ascii="仿宋" w:hAnsi="仿宋" w:eastAsia="仿宋" w:cs="仿宋"/>
          <w:b/>
          <w:bCs/>
          <w:color w:val="auto"/>
          <w:kern w:val="0"/>
          <w:sz w:val="21"/>
          <w:szCs w:val="21"/>
          <w:highlight w:val="none"/>
          <w:lang w:eastAsia="zh-CN"/>
        </w:rPr>
        <w:t>（以联合体形式参与磋商的，须提供《联合体协议书》及联合体各方的上述资质证明材料。）</w:t>
      </w:r>
    </w:p>
    <w:p w14:paraId="48BFC86E">
      <w:pPr>
        <w:spacing w:line="500" w:lineRule="exact"/>
        <w:ind w:firstLine="566" w:firstLineChars="200"/>
        <w:rPr>
          <w:rFonts w:ascii="Calibri" w:hAnsi="Calibri"/>
          <w:b/>
          <w:bCs/>
          <w:color w:val="auto"/>
          <w:highlight w:val="none"/>
        </w:rPr>
      </w:pPr>
      <w:r>
        <w:rPr>
          <w:rFonts w:hint="eastAsia" w:ascii="Calibri" w:hAnsi="Calibri"/>
          <w:b/>
          <w:bCs/>
          <w:color w:val="auto"/>
          <w:highlight w:val="none"/>
        </w:rPr>
        <w:t>出现下列情形的，响应文件将被视为无效：</w:t>
      </w:r>
    </w:p>
    <w:p w14:paraId="459CAFBD">
      <w:pPr>
        <w:spacing w:line="500" w:lineRule="exact"/>
        <w:ind w:firstLine="566" w:firstLineChars="200"/>
        <w:rPr>
          <w:rFonts w:ascii="Calibri" w:hAnsi="Calibri"/>
          <w:color w:val="auto"/>
          <w:highlight w:val="none"/>
        </w:rPr>
      </w:pPr>
      <w:r>
        <w:rPr>
          <w:rFonts w:hint="eastAsia" w:ascii="华文仿宋" w:hAnsi="华文仿宋" w:cs="华文仿宋"/>
          <w:color w:val="auto"/>
          <w:highlight w:val="none"/>
        </w:rPr>
        <w:t>（1）</w:t>
      </w:r>
      <w:r>
        <w:rPr>
          <w:rFonts w:hint="eastAsia" w:ascii="Calibri" w:hAnsi="Calibri"/>
          <w:color w:val="auto"/>
          <w:highlight w:val="none"/>
        </w:rPr>
        <w:t>不具备磋商文件中规定的资格要求的；</w:t>
      </w:r>
    </w:p>
    <w:p w14:paraId="5F5A3617">
      <w:pPr>
        <w:spacing w:line="500" w:lineRule="exact"/>
        <w:ind w:firstLine="566" w:firstLineChars="200"/>
        <w:rPr>
          <w:rFonts w:ascii="Calibri" w:hAnsi="Calibri"/>
          <w:color w:val="auto"/>
          <w:highlight w:val="none"/>
        </w:rPr>
      </w:pPr>
      <w:r>
        <w:rPr>
          <w:rFonts w:hint="eastAsia" w:ascii="华文仿宋" w:hAnsi="华文仿宋" w:cs="华文仿宋"/>
          <w:color w:val="auto"/>
          <w:highlight w:val="none"/>
        </w:rPr>
        <w:t>（2）</w:t>
      </w:r>
      <w:r>
        <w:rPr>
          <w:rFonts w:hint="eastAsia" w:ascii="Calibri" w:hAnsi="Calibri"/>
          <w:color w:val="auto"/>
          <w:highlight w:val="none"/>
        </w:rPr>
        <w:t>未按磋商文件要求提供</w:t>
      </w:r>
      <w:r>
        <w:rPr>
          <w:color w:val="auto"/>
          <w:highlight w:val="none"/>
        </w:rPr>
        <w:t>资格</w:t>
      </w:r>
      <w:r>
        <w:rPr>
          <w:rFonts w:hint="eastAsia"/>
          <w:color w:val="auto"/>
          <w:highlight w:val="none"/>
        </w:rPr>
        <w:t>证明文件</w:t>
      </w:r>
      <w:r>
        <w:rPr>
          <w:rFonts w:hint="eastAsia" w:ascii="Calibri" w:hAnsi="Calibri"/>
          <w:color w:val="auto"/>
          <w:highlight w:val="none"/>
        </w:rPr>
        <w:t>，或未按磋商文件要求加盖公章的；</w:t>
      </w:r>
    </w:p>
    <w:p w14:paraId="43AAEFD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Calibri" w:hAnsi="Calibri"/>
          <w:color w:val="auto"/>
          <w:highlight w:val="none"/>
        </w:rPr>
      </w:pPr>
      <w:r>
        <w:rPr>
          <w:rFonts w:hint="eastAsia" w:ascii="华文仿宋" w:hAnsi="华文仿宋" w:cs="华文仿宋"/>
          <w:color w:val="auto"/>
          <w:highlight w:val="none"/>
        </w:rPr>
        <w:t>（3）</w:t>
      </w:r>
      <w:r>
        <w:rPr>
          <w:rFonts w:hint="eastAsia" w:ascii="Calibri" w:hAnsi="Calibri"/>
          <w:color w:val="auto"/>
          <w:highlight w:val="none"/>
        </w:rPr>
        <w:t>磋商小组认为供应商的资格证明文件存在疑点，</w:t>
      </w:r>
      <w:r>
        <w:rPr>
          <w:rFonts w:hint="eastAsia"/>
          <w:color w:val="auto"/>
          <w:highlight w:val="none"/>
        </w:rPr>
        <w:t>要求供应商通过公共资源交易平台（以下简称“平台”）或电子邮件（在平台无法支持的情况下）等形式提供更清晰有效的证明文件，供应商不能在规定时限内提供符合磋商文件要求的证明文件的。</w:t>
      </w:r>
    </w:p>
    <w:p w14:paraId="04DA1C36">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color w:val="auto"/>
          <w:highlight w:val="none"/>
        </w:rPr>
      </w:pPr>
      <w:r>
        <w:rPr>
          <w:rFonts w:hint="eastAsia" w:ascii="华文仿宋" w:hAnsi="华文仿宋" w:cs="华文仿宋"/>
          <w:color w:val="auto"/>
          <w:highlight w:val="none"/>
        </w:rPr>
        <w:t>资格审查结束后，磋商小组成员应当对审查结果进行签字确认，并告知有关</w:t>
      </w:r>
      <w:r>
        <w:rPr>
          <w:rFonts w:hint="eastAsia"/>
          <w:color w:val="auto"/>
          <w:highlight w:val="none"/>
        </w:rPr>
        <w:t>供应商未通过审查的原因。</w:t>
      </w:r>
    </w:p>
    <w:p w14:paraId="2364768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通过资格审查的供应商不足3家的，不得进行符合性审查，应予以废标。</w:t>
      </w:r>
    </w:p>
    <w:p w14:paraId="50167F9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bCs/>
          <w:color w:val="auto"/>
          <w:highlight w:val="none"/>
        </w:rPr>
      </w:pPr>
      <w:r>
        <w:rPr>
          <w:rFonts w:hint="eastAsia" w:ascii="华文仿宋" w:hAnsi="华文仿宋" w:cs="华文仿宋"/>
          <w:b/>
          <w:bCs/>
          <w:color w:val="auto"/>
          <w:highlight w:val="none"/>
        </w:rPr>
        <w:t>2、响应文件的符合性审查</w:t>
      </w:r>
    </w:p>
    <w:p w14:paraId="4D3C3D5C">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磋商</w:t>
      </w:r>
      <w:r>
        <w:rPr>
          <w:rFonts w:ascii="华文仿宋" w:hAnsi="华文仿宋" w:cs="华文仿宋"/>
          <w:color w:val="auto"/>
          <w:highlight w:val="none"/>
        </w:rPr>
        <w:t>小组</w:t>
      </w:r>
      <w:r>
        <w:rPr>
          <w:rFonts w:hint="eastAsia" w:ascii="华文仿宋" w:hAnsi="华文仿宋" w:cs="华文仿宋"/>
          <w:color w:val="auto"/>
          <w:highlight w:val="none"/>
        </w:rPr>
        <w:t>依据磋商文件的规定，对响应文件的有效性、完整性和对磋商文件的响应程度进行审查，以确定是否对磋商文件的全部实质性要求做出响应。</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73C7B84C">
      <w:pPr>
        <w:keepNext w:val="0"/>
        <w:keepLines w:val="0"/>
        <w:pageBreakBefore w:val="0"/>
        <w:widowControl w:val="0"/>
        <w:tabs>
          <w:tab w:val="center" w:pos="4153"/>
          <w:tab w:val="right" w:pos="8306"/>
        </w:tabs>
        <w:kinsoku/>
        <w:wordWrap/>
        <w:overflowPunct/>
        <w:topLinePunct w:val="0"/>
        <w:autoSpaceDE/>
        <w:autoSpaceDN/>
        <w:bidi w:val="0"/>
        <w:adjustRightInd/>
        <w:snapToGrid/>
        <w:spacing w:line="500" w:lineRule="exact"/>
        <w:ind w:firstLine="566" w:firstLineChars="200"/>
        <w:textAlignment w:val="auto"/>
        <w:rPr>
          <w:rFonts w:ascii="华文仿宋" w:cs="Times New Roman"/>
          <w:color w:val="auto"/>
          <w:sz w:val="28"/>
          <w:szCs w:val="28"/>
          <w:highlight w:val="none"/>
        </w:rPr>
      </w:pPr>
      <w:r>
        <w:rPr>
          <w:rFonts w:hint="eastAsia" w:ascii="华文仿宋" w:hAnsi="华文仿宋" w:cs="华文仿宋"/>
          <w:color w:val="auto"/>
          <w:highlight w:val="none"/>
        </w:rPr>
        <w:t>磋商小组要审查每份响应文件是否实质上响应了磋商文件的要求。实质上没有响应磋商文件要求的响应文件作</w:t>
      </w:r>
      <w:r>
        <w:rPr>
          <w:rFonts w:hint="eastAsia" w:ascii="华文仿宋" w:hAnsi="华文仿宋" w:cs="华文仿宋"/>
          <w:b/>
          <w:bCs/>
          <w:color w:val="auto"/>
          <w:highlight w:val="none"/>
        </w:rPr>
        <w:t>无效响应处理</w:t>
      </w:r>
      <w:r>
        <w:rPr>
          <w:rFonts w:hint="eastAsia" w:ascii="华文仿宋" w:hAnsi="华文仿宋" w:cs="华文仿宋"/>
          <w:color w:val="auto"/>
          <w:highlight w:val="none"/>
        </w:rPr>
        <w:t>，磋商小组应告知有关供应商未通过审查的原因。供应商不得通过修正或撤销不符之处而使其成为实质上响应。</w:t>
      </w:r>
    </w:p>
    <w:p w14:paraId="18502DCE">
      <w:pPr>
        <w:widowControl w:val="0"/>
        <w:spacing w:line="500" w:lineRule="exact"/>
        <w:ind w:firstLine="566" w:firstLineChars="200"/>
        <w:jc w:val="center"/>
        <w:rPr>
          <w:rFonts w:cs="Times New Roman"/>
          <w:b/>
          <w:bCs/>
          <w:color w:val="auto"/>
          <w:highlight w:val="none"/>
        </w:rPr>
      </w:pPr>
      <w:r>
        <w:rPr>
          <w:rFonts w:hint="eastAsia" w:cs="华文仿宋"/>
          <w:b/>
          <w:bCs/>
          <w:color w:val="auto"/>
          <w:highlight w:val="none"/>
          <w:lang w:eastAsia="zh-CN"/>
        </w:rPr>
        <w:t>响应文件的</w:t>
      </w:r>
      <w:r>
        <w:rPr>
          <w:rFonts w:hint="eastAsia" w:cs="华文仿宋"/>
          <w:b/>
          <w:bCs/>
          <w:color w:val="auto"/>
          <w:highlight w:val="none"/>
        </w:rPr>
        <w:t>符合性审查</w:t>
      </w:r>
    </w:p>
    <w:tbl>
      <w:tblPr>
        <w:tblStyle w:val="25"/>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460"/>
        <w:gridCol w:w="4200"/>
        <w:gridCol w:w="769"/>
        <w:gridCol w:w="1005"/>
      </w:tblGrid>
      <w:tr w14:paraId="6CF3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shd w:val="clear" w:color="auto" w:fill="auto"/>
            <w:vAlign w:val="center"/>
          </w:tcPr>
          <w:p w14:paraId="59405BDB">
            <w:pPr>
              <w:widowControl w:val="0"/>
              <w:spacing w:line="360" w:lineRule="exact"/>
              <w:jc w:val="center"/>
              <w:rPr>
                <w:rFonts w:ascii="仿宋" w:hAnsi="仿宋" w:eastAsia="仿宋" w:cs="Times New Roman"/>
                <w:b/>
                <w:bCs/>
                <w:color w:val="auto"/>
                <w:kern w:val="0"/>
                <w:sz w:val="24"/>
                <w:szCs w:val="24"/>
                <w:highlight w:val="none"/>
              </w:rPr>
            </w:pPr>
            <w:bookmarkStart w:id="210" w:name="_Toc2771"/>
            <w:bookmarkStart w:id="211" w:name="_Toc7523"/>
            <w:bookmarkStart w:id="212" w:name="_Toc32092"/>
            <w:bookmarkStart w:id="213" w:name="_Toc18874"/>
            <w:bookmarkStart w:id="214" w:name="_Toc24626"/>
            <w:bookmarkStart w:id="215" w:name="_Toc31415"/>
            <w:bookmarkStart w:id="216" w:name="_Toc11613"/>
            <w:bookmarkStart w:id="217" w:name="_Toc2503"/>
            <w:bookmarkStart w:id="218" w:name="_Toc31150"/>
            <w:bookmarkStart w:id="219" w:name="_Toc13418"/>
            <w:bookmarkStart w:id="220" w:name="_Toc12596"/>
            <w:bookmarkStart w:id="221" w:name="_Toc2387"/>
            <w:bookmarkStart w:id="222" w:name="_Toc22846"/>
            <w:bookmarkStart w:id="223" w:name="_Toc20615"/>
            <w:bookmarkStart w:id="224" w:name="_Toc4245"/>
            <w:r>
              <w:rPr>
                <w:rFonts w:hint="eastAsia" w:ascii="仿宋" w:hAnsi="仿宋" w:eastAsia="仿宋" w:cs="仿宋"/>
                <w:b/>
                <w:bCs/>
                <w:color w:val="auto"/>
                <w:kern w:val="0"/>
                <w:sz w:val="24"/>
                <w:szCs w:val="24"/>
                <w:highlight w:val="none"/>
              </w:rPr>
              <w:t>序号</w:t>
            </w:r>
          </w:p>
        </w:tc>
        <w:tc>
          <w:tcPr>
            <w:tcW w:w="2460" w:type="dxa"/>
            <w:shd w:val="clear" w:color="auto" w:fill="auto"/>
            <w:vAlign w:val="center"/>
          </w:tcPr>
          <w:p w14:paraId="49C0BCB8">
            <w:pPr>
              <w:widowControl w:val="0"/>
              <w:spacing w:line="360" w:lineRule="exact"/>
              <w:jc w:val="center"/>
              <w:rPr>
                <w:rFonts w:ascii="仿宋" w:hAnsi="仿宋" w:eastAsia="仿宋" w:cs="Times New Roman"/>
                <w:b/>
                <w:bCs/>
                <w:color w:val="auto"/>
                <w:kern w:val="0"/>
                <w:sz w:val="24"/>
                <w:szCs w:val="24"/>
                <w:highlight w:val="none"/>
              </w:rPr>
            </w:pPr>
            <w:r>
              <w:rPr>
                <w:rFonts w:hint="eastAsia" w:ascii="仿宋" w:hAnsi="仿宋" w:eastAsia="仿宋" w:cs="仿宋"/>
                <w:b/>
                <w:bCs/>
                <w:color w:val="auto"/>
                <w:kern w:val="0"/>
                <w:sz w:val="24"/>
                <w:szCs w:val="24"/>
                <w:highlight w:val="none"/>
              </w:rPr>
              <w:t>符合性审查项</w:t>
            </w:r>
          </w:p>
        </w:tc>
        <w:tc>
          <w:tcPr>
            <w:tcW w:w="4200" w:type="dxa"/>
            <w:shd w:val="clear" w:color="auto" w:fill="auto"/>
            <w:vAlign w:val="center"/>
          </w:tcPr>
          <w:p w14:paraId="7207D4E3">
            <w:pPr>
              <w:widowControl w:val="0"/>
              <w:spacing w:line="360" w:lineRule="exact"/>
              <w:jc w:val="center"/>
              <w:rPr>
                <w:rFonts w:ascii="仿宋" w:hAnsi="仿宋" w:eastAsia="仿宋" w:cs="Times New Roman"/>
                <w:b/>
                <w:bCs/>
                <w:color w:val="auto"/>
                <w:kern w:val="0"/>
                <w:sz w:val="24"/>
                <w:szCs w:val="24"/>
                <w:highlight w:val="none"/>
              </w:rPr>
            </w:pPr>
            <w:r>
              <w:rPr>
                <w:rFonts w:hint="eastAsia" w:ascii="仿宋" w:hAnsi="仿宋" w:eastAsia="仿宋" w:cs="仿宋"/>
                <w:b/>
                <w:bCs/>
                <w:color w:val="auto"/>
                <w:kern w:val="0"/>
                <w:sz w:val="24"/>
                <w:szCs w:val="24"/>
                <w:highlight w:val="none"/>
              </w:rPr>
              <w:t>通过条件</w:t>
            </w:r>
          </w:p>
        </w:tc>
        <w:tc>
          <w:tcPr>
            <w:tcW w:w="769" w:type="dxa"/>
            <w:shd w:val="clear" w:color="auto" w:fill="auto"/>
            <w:vAlign w:val="center"/>
          </w:tcPr>
          <w:p w14:paraId="5B03C1C9">
            <w:pPr>
              <w:widowControl w:val="0"/>
              <w:spacing w:line="360" w:lineRule="exact"/>
              <w:jc w:val="center"/>
              <w:rPr>
                <w:rFonts w:ascii="仿宋" w:hAnsi="仿宋" w:eastAsia="仿宋" w:cs="Times New Roman"/>
                <w:b/>
                <w:bCs/>
                <w:color w:val="auto"/>
                <w:kern w:val="0"/>
                <w:sz w:val="24"/>
                <w:szCs w:val="24"/>
                <w:highlight w:val="none"/>
              </w:rPr>
            </w:pPr>
            <w:r>
              <w:rPr>
                <w:rFonts w:hint="eastAsia" w:ascii="仿宋" w:hAnsi="仿宋" w:eastAsia="仿宋" w:cs="仿宋"/>
                <w:b/>
                <w:bCs/>
                <w:color w:val="auto"/>
                <w:kern w:val="0"/>
                <w:sz w:val="24"/>
                <w:szCs w:val="24"/>
                <w:highlight w:val="none"/>
              </w:rPr>
              <w:t>结论</w:t>
            </w:r>
          </w:p>
        </w:tc>
        <w:tc>
          <w:tcPr>
            <w:tcW w:w="1005" w:type="dxa"/>
            <w:shd w:val="clear" w:color="auto" w:fill="auto"/>
            <w:vAlign w:val="center"/>
          </w:tcPr>
          <w:p w14:paraId="18374BB4">
            <w:pPr>
              <w:widowControl w:val="0"/>
              <w:spacing w:line="360" w:lineRule="exact"/>
              <w:jc w:val="center"/>
              <w:rPr>
                <w:rFonts w:ascii="仿宋" w:hAnsi="仿宋" w:eastAsia="仿宋" w:cs="Times New Roman"/>
                <w:b/>
                <w:bCs/>
                <w:color w:val="auto"/>
                <w:kern w:val="0"/>
                <w:sz w:val="24"/>
                <w:szCs w:val="24"/>
                <w:highlight w:val="none"/>
              </w:rPr>
            </w:pPr>
            <w:r>
              <w:rPr>
                <w:rFonts w:hint="eastAsia" w:ascii="仿宋" w:hAnsi="仿宋" w:eastAsia="仿宋" w:cs="仿宋"/>
                <w:b/>
                <w:bCs/>
                <w:color w:val="auto"/>
                <w:kern w:val="0"/>
                <w:sz w:val="24"/>
                <w:szCs w:val="24"/>
                <w:highlight w:val="none"/>
              </w:rPr>
              <w:t>未通过原因</w:t>
            </w:r>
          </w:p>
        </w:tc>
      </w:tr>
      <w:tr w14:paraId="5123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1" w:type="dxa"/>
            <w:vAlign w:val="center"/>
          </w:tcPr>
          <w:p w14:paraId="5ED8ECB6">
            <w:pPr>
              <w:widowControl w:val="0"/>
              <w:spacing w:line="36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p>
        </w:tc>
        <w:tc>
          <w:tcPr>
            <w:tcW w:w="2460" w:type="dxa"/>
            <w:vAlign w:val="center"/>
          </w:tcPr>
          <w:p w14:paraId="024B0DF2">
            <w:pPr>
              <w:widowControl w:val="0"/>
              <w:spacing w:line="360" w:lineRule="exact"/>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语言及有效期</w:t>
            </w:r>
          </w:p>
        </w:tc>
        <w:tc>
          <w:tcPr>
            <w:tcW w:w="4200" w:type="dxa"/>
            <w:vAlign w:val="center"/>
          </w:tcPr>
          <w:p w14:paraId="6CDB313A">
            <w:pPr>
              <w:widowControl w:val="0"/>
              <w:spacing w:line="360" w:lineRule="exact"/>
              <w:jc w:val="left"/>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语言及有效期</w:t>
            </w:r>
            <w:r>
              <w:rPr>
                <w:rFonts w:hint="eastAsia" w:ascii="仿宋" w:hAnsi="仿宋" w:eastAsia="仿宋" w:cs="仿宋"/>
                <w:color w:val="auto"/>
                <w:sz w:val="24"/>
                <w:szCs w:val="24"/>
                <w:highlight w:val="none"/>
              </w:rPr>
              <w:t>符合磋商文件要求。</w:t>
            </w:r>
          </w:p>
        </w:tc>
        <w:tc>
          <w:tcPr>
            <w:tcW w:w="769" w:type="dxa"/>
            <w:vAlign w:val="center"/>
          </w:tcPr>
          <w:p w14:paraId="01518E09">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77102B20">
            <w:pPr>
              <w:widowControl w:val="0"/>
              <w:spacing w:line="360" w:lineRule="exact"/>
              <w:jc w:val="center"/>
              <w:rPr>
                <w:rFonts w:ascii="仿宋" w:hAnsi="仿宋" w:eastAsia="仿宋" w:cs="Times New Roman"/>
                <w:b/>
                <w:bCs/>
                <w:color w:val="auto"/>
                <w:kern w:val="0"/>
                <w:sz w:val="24"/>
                <w:szCs w:val="24"/>
                <w:highlight w:val="none"/>
              </w:rPr>
            </w:pPr>
          </w:p>
        </w:tc>
      </w:tr>
      <w:tr w14:paraId="45DC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31" w:type="dxa"/>
            <w:vAlign w:val="center"/>
          </w:tcPr>
          <w:p w14:paraId="45A582EB">
            <w:pPr>
              <w:widowControl w:val="0"/>
              <w:spacing w:line="36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p>
        </w:tc>
        <w:tc>
          <w:tcPr>
            <w:tcW w:w="2460" w:type="dxa"/>
            <w:vAlign w:val="center"/>
          </w:tcPr>
          <w:p w14:paraId="6148D750">
            <w:pPr>
              <w:spacing w:line="320" w:lineRule="exact"/>
              <w:jc w:val="center"/>
              <w:rPr>
                <w:rFonts w:ascii="仿宋" w:hAnsi="仿宋" w:eastAsia="仿宋" w:cs="Times New Roman"/>
                <w:color w:val="auto"/>
                <w:kern w:val="0"/>
                <w:sz w:val="24"/>
                <w:szCs w:val="24"/>
                <w:highlight w:val="none"/>
              </w:rPr>
            </w:pPr>
            <w:r>
              <w:rPr>
                <w:rFonts w:hint="eastAsia" w:ascii="仿宋" w:hAnsi="仿宋" w:eastAsia="仿宋" w:cs="仿宋"/>
                <w:bCs/>
                <w:color w:val="auto"/>
                <w:kern w:val="0"/>
                <w:sz w:val="24"/>
                <w:szCs w:val="24"/>
                <w:highlight w:val="none"/>
              </w:rPr>
              <w:t>响应文件封面、响应函、法定代表人授权委托书三处的项目名称、项目编号、标段（如有）</w:t>
            </w:r>
          </w:p>
        </w:tc>
        <w:tc>
          <w:tcPr>
            <w:tcW w:w="4200" w:type="dxa"/>
            <w:vAlign w:val="center"/>
          </w:tcPr>
          <w:p w14:paraId="74C910F0">
            <w:pPr>
              <w:spacing w:line="320" w:lineRule="exact"/>
              <w:rPr>
                <w:rFonts w:ascii="仿宋" w:hAnsi="仿宋" w:eastAsia="仿宋" w:cs="Times New Roman"/>
                <w:color w:val="auto"/>
                <w:kern w:val="0"/>
                <w:sz w:val="24"/>
                <w:szCs w:val="24"/>
                <w:highlight w:val="none"/>
              </w:rPr>
            </w:pPr>
            <w:r>
              <w:rPr>
                <w:rFonts w:hint="eastAsia" w:ascii="仿宋" w:hAnsi="仿宋" w:eastAsia="仿宋" w:cs="仿宋"/>
                <w:bCs/>
                <w:color w:val="auto"/>
                <w:kern w:val="0"/>
                <w:sz w:val="24"/>
                <w:szCs w:val="24"/>
                <w:highlight w:val="none"/>
              </w:rPr>
              <w:t>三处均无遗漏，且与所投项目名称、项目编号、标段（如有）一致。</w:t>
            </w:r>
          </w:p>
        </w:tc>
        <w:tc>
          <w:tcPr>
            <w:tcW w:w="769" w:type="dxa"/>
            <w:vAlign w:val="center"/>
          </w:tcPr>
          <w:p w14:paraId="279385A7">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18E562B0">
            <w:pPr>
              <w:widowControl w:val="0"/>
              <w:spacing w:line="360" w:lineRule="exact"/>
              <w:jc w:val="center"/>
              <w:rPr>
                <w:rFonts w:ascii="仿宋" w:hAnsi="仿宋" w:eastAsia="仿宋" w:cs="Times New Roman"/>
                <w:b/>
                <w:bCs/>
                <w:color w:val="auto"/>
                <w:kern w:val="0"/>
                <w:sz w:val="24"/>
                <w:szCs w:val="24"/>
                <w:highlight w:val="none"/>
              </w:rPr>
            </w:pPr>
          </w:p>
        </w:tc>
      </w:tr>
      <w:tr w14:paraId="2426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6C52F28C">
            <w:pPr>
              <w:widowControl w:val="0"/>
              <w:spacing w:line="36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3</w:t>
            </w:r>
          </w:p>
        </w:tc>
        <w:tc>
          <w:tcPr>
            <w:tcW w:w="2460" w:type="dxa"/>
            <w:vAlign w:val="center"/>
          </w:tcPr>
          <w:p w14:paraId="0C48CA53">
            <w:pPr>
              <w:widowControl w:val="0"/>
              <w:spacing w:line="360" w:lineRule="exact"/>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签署、盖章</w:t>
            </w:r>
          </w:p>
        </w:tc>
        <w:tc>
          <w:tcPr>
            <w:tcW w:w="4200" w:type="dxa"/>
            <w:vAlign w:val="center"/>
          </w:tcPr>
          <w:p w14:paraId="0DF5EE04">
            <w:pPr>
              <w:widowControl w:val="0"/>
              <w:spacing w:line="360" w:lineRule="exact"/>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均按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要求签字、盖章（评分标准中要求提供的证明材料除外）。</w:t>
            </w:r>
          </w:p>
        </w:tc>
        <w:tc>
          <w:tcPr>
            <w:tcW w:w="769" w:type="dxa"/>
            <w:vAlign w:val="center"/>
          </w:tcPr>
          <w:p w14:paraId="56040346">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012E012A">
            <w:pPr>
              <w:widowControl w:val="0"/>
              <w:spacing w:line="360" w:lineRule="exact"/>
              <w:jc w:val="center"/>
              <w:rPr>
                <w:rFonts w:ascii="仿宋" w:hAnsi="仿宋" w:eastAsia="仿宋" w:cs="Times New Roman"/>
                <w:b/>
                <w:bCs/>
                <w:color w:val="auto"/>
                <w:kern w:val="0"/>
                <w:sz w:val="24"/>
                <w:szCs w:val="24"/>
                <w:highlight w:val="none"/>
              </w:rPr>
            </w:pPr>
          </w:p>
        </w:tc>
      </w:tr>
      <w:tr w14:paraId="22B3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0246E07E">
            <w:pPr>
              <w:widowControl w:val="0"/>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460" w:type="dxa"/>
            <w:vAlign w:val="center"/>
          </w:tcPr>
          <w:p w14:paraId="7A087EEF">
            <w:pPr>
              <w:spacing w:line="320" w:lineRule="exact"/>
              <w:jc w:val="center"/>
              <w:rPr>
                <w:rFonts w:ascii="仿宋" w:hAnsi="仿宋" w:eastAsia="仿宋" w:cs="Times New Roman"/>
                <w:color w:val="auto"/>
                <w:kern w:val="0"/>
                <w:sz w:val="24"/>
                <w:szCs w:val="24"/>
                <w:highlight w:val="none"/>
              </w:rPr>
            </w:pPr>
            <w:r>
              <w:rPr>
                <w:rFonts w:hint="eastAsia" w:ascii="仿宋" w:hAnsi="仿宋" w:eastAsia="仿宋" w:cs="仿宋"/>
                <w:bCs/>
                <w:color w:val="auto"/>
                <w:kern w:val="0"/>
                <w:sz w:val="24"/>
                <w:szCs w:val="24"/>
                <w:highlight w:val="none"/>
              </w:rPr>
              <w:t>第一次磋商报价表</w:t>
            </w:r>
          </w:p>
        </w:tc>
        <w:tc>
          <w:tcPr>
            <w:tcW w:w="4200" w:type="dxa"/>
            <w:vAlign w:val="top"/>
          </w:tcPr>
          <w:p w14:paraId="5A57D1C5">
            <w:pPr>
              <w:spacing w:line="3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（1）第一次磋商报价表填写符合要求；</w:t>
            </w:r>
          </w:p>
          <w:p w14:paraId="72EAAE6E">
            <w:pPr>
              <w:spacing w:line="3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（2）计量单位、报价货币均符合磋商文件要求；</w:t>
            </w:r>
          </w:p>
          <w:p w14:paraId="6659DBED">
            <w:pPr>
              <w:spacing w:line="320" w:lineRule="exact"/>
              <w:rPr>
                <w:color w:val="auto"/>
                <w:highlight w:val="none"/>
              </w:rPr>
            </w:pPr>
            <w:r>
              <w:rPr>
                <w:rFonts w:hint="eastAsia" w:ascii="仿宋" w:hAnsi="仿宋" w:eastAsia="仿宋" w:cs="仿宋"/>
                <w:color w:val="auto"/>
                <w:sz w:val="24"/>
                <w:szCs w:val="24"/>
                <w:highlight w:val="none"/>
              </w:rPr>
              <w:t>（3）未超出</w:t>
            </w:r>
            <w:r>
              <w:rPr>
                <w:rFonts w:hint="eastAsia" w:ascii="仿宋" w:hAnsi="仿宋" w:eastAsia="仿宋" w:cs="仿宋"/>
                <w:color w:val="auto"/>
                <w:sz w:val="24"/>
                <w:szCs w:val="24"/>
                <w:highlight w:val="none"/>
                <w:lang w:eastAsia="zh-CN"/>
              </w:rPr>
              <w:t>各单项</w:t>
            </w:r>
            <w:r>
              <w:rPr>
                <w:rFonts w:hint="eastAsia" w:ascii="仿宋" w:hAnsi="仿宋" w:eastAsia="仿宋" w:cs="仿宋"/>
                <w:color w:val="auto"/>
                <w:sz w:val="24"/>
                <w:szCs w:val="24"/>
                <w:highlight w:val="none"/>
              </w:rPr>
              <w:t>采购预算</w:t>
            </w:r>
            <w:r>
              <w:rPr>
                <w:rFonts w:hint="eastAsia" w:ascii="仿宋" w:hAnsi="仿宋" w:eastAsia="仿宋" w:cs="仿宋"/>
                <w:color w:val="auto"/>
                <w:sz w:val="24"/>
                <w:szCs w:val="24"/>
                <w:highlight w:val="none"/>
                <w:lang w:eastAsia="zh-CN"/>
              </w:rPr>
              <w:t>金额及磋商</w:t>
            </w:r>
            <w:r>
              <w:rPr>
                <w:rFonts w:hint="eastAsia" w:ascii="仿宋" w:hAnsi="仿宋" w:eastAsia="仿宋" w:cs="仿宋"/>
                <w:color w:val="auto"/>
                <w:sz w:val="24"/>
                <w:szCs w:val="24"/>
                <w:highlight w:val="none"/>
              </w:rPr>
              <w:t>文件规定的最高限价。</w:t>
            </w:r>
          </w:p>
        </w:tc>
        <w:tc>
          <w:tcPr>
            <w:tcW w:w="769" w:type="dxa"/>
            <w:vAlign w:val="center"/>
          </w:tcPr>
          <w:p w14:paraId="78FDB6DB">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514F91DE">
            <w:pPr>
              <w:widowControl w:val="0"/>
              <w:spacing w:line="360" w:lineRule="exact"/>
              <w:jc w:val="center"/>
              <w:rPr>
                <w:rFonts w:ascii="仿宋" w:hAnsi="仿宋" w:eastAsia="仿宋" w:cs="Times New Roman"/>
                <w:b/>
                <w:bCs/>
                <w:color w:val="auto"/>
                <w:kern w:val="0"/>
                <w:sz w:val="24"/>
                <w:szCs w:val="24"/>
                <w:highlight w:val="none"/>
              </w:rPr>
            </w:pPr>
          </w:p>
        </w:tc>
      </w:tr>
      <w:tr w14:paraId="7F57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31" w:type="dxa"/>
            <w:vAlign w:val="center"/>
          </w:tcPr>
          <w:p w14:paraId="6A489179">
            <w:pPr>
              <w:widowControl w:val="0"/>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460" w:type="dxa"/>
            <w:vAlign w:val="center"/>
          </w:tcPr>
          <w:p w14:paraId="5DE4AABC">
            <w:pPr>
              <w:widowControl w:val="0"/>
              <w:spacing w:line="3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供应商承诺书</w:t>
            </w:r>
          </w:p>
        </w:tc>
        <w:tc>
          <w:tcPr>
            <w:tcW w:w="4200" w:type="dxa"/>
            <w:vAlign w:val="center"/>
          </w:tcPr>
          <w:p w14:paraId="4AF065AC">
            <w:pPr>
              <w:widowControl w:val="0"/>
              <w:spacing w:line="36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完全理解并接受《质量安全责任承诺书》、《拒绝政府采购领域商业贿赂承诺书》。</w:t>
            </w:r>
          </w:p>
        </w:tc>
        <w:tc>
          <w:tcPr>
            <w:tcW w:w="769" w:type="dxa"/>
            <w:vAlign w:val="center"/>
          </w:tcPr>
          <w:p w14:paraId="104BC76E">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2D81ECDB">
            <w:pPr>
              <w:widowControl w:val="0"/>
              <w:spacing w:line="360" w:lineRule="exact"/>
              <w:jc w:val="center"/>
              <w:rPr>
                <w:rFonts w:ascii="仿宋" w:hAnsi="仿宋" w:eastAsia="仿宋" w:cs="Times New Roman"/>
                <w:b/>
                <w:bCs/>
                <w:color w:val="auto"/>
                <w:kern w:val="0"/>
                <w:sz w:val="24"/>
                <w:szCs w:val="24"/>
                <w:highlight w:val="none"/>
              </w:rPr>
            </w:pPr>
          </w:p>
        </w:tc>
      </w:tr>
      <w:tr w14:paraId="0588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31" w:type="dxa"/>
            <w:vAlign w:val="center"/>
          </w:tcPr>
          <w:p w14:paraId="47EDE6A0">
            <w:pPr>
              <w:widowControl w:val="0"/>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460" w:type="dxa"/>
            <w:vAlign w:val="center"/>
          </w:tcPr>
          <w:p w14:paraId="69B31887">
            <w:pPr>
              <w:widowControl w:val="0"/>
              <w:spacing w:line="360" w:lineRule="exact"/>
              <w:jc w:val="center"/>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技术服务要求</w:t>
            </w:r>
          </w:p>
        </w:tc>
        <w:tc>
          <w:tcPr>
            <w:tcW w:w="4200" w:type="dxa"/>
            <w:vAlign w:val="center"/>
          </w:tcPr>
          <w:p w14:paraId="78FFEDAB">
            <w:pPr>
              <w:widowControl w:val="0"/>
              <w:spacing w:line="360" w:lineRule="exact"/>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完全理解并接受对合格</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、合格的货物、工程或服务要求，根据</w:t>
            </w:r>
            <w:r>
              <w:rPr>
                <w:rFonts w:hint="eastAsia" w:ascii="仿宋" w:hAnsi="仿宋" w:eastAsia="仿宋" w:cs="仿宋"/>
                <w:color w:val="auto"/>
                <w:sz w:val="24"/>
                <w:szCs w:val="24"/>
                <w:highlight w:val="none"/>
                <w:lang w:eastAsia="zh-CN"/>
              </w:rPr>
              <w:t>供应商响应文件</w:t>
            </w:r>
            <w:r>
              <w:rPr>
                <w:rFonts w:hint="eastAsia" w:ascii="仿宋" w:hAnsi="仿宋" w:eastAsia="仿宋" w:cs="仿宋"/>
                <w:color w:val="auto"/>
                <w:sz w:val="24"/>
                <w:szCs w:val="24"/>
                <w:highlight w:val="none"/>
              </w:rPr>
              <w:t>《实质性条款</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》，结合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w:t>
            </w:r>
            <w:r>
              <w:rPr>
                <w:rFonts w:hint="eastAsia" w:ascii="华文仿宋" w:hAnsi="华文仿宋" w:cs="华文仿宋"/>
                <w:color w:val="auto"/>
                <w:sz w:val="24"/>
                <w:szCs w:val="24"/>
                <w:highlight w:val="none"/>
              </w:rPr>
              <w:t>★</w:t>
            </w:r>
            <w:r>
              <w:rPr>
                <w:rFonts w:hint="eastAsia" w:ascii="仿宋" w:hAnsi="仿宋" w:eastAsia="仿宋" w:cs="仿宋"/>
                <w:color w:val="auto"/>
                <w:sz w:val="24"/>
                <w:szCs w:val="24"/>
                <w:highlight w:val="none"/>
              </w:rPr>
              <w:t>”标识的实质性要求没有负偏离。</w:t>
            </w:r>
          </w:p>
        </w:tc>
        <w:tc>
          <w:tcPr>
            <w:tcW w:w="769" w:type="dxa"/>
            <w:vAlign w:val="center"/>
          </w:tcPr>
          <w:p w14:paraId="51335017">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4C63EC7A">
            <w:pPr>
              <w:widowControl w:val="0"/>
              <w:spacing w:line="360" w:lineRule="exact"/>
              <w:jc w:val="center"/>
              <w:rPr>
                <w:rFonts w:ascii="仿宋" w:hAnsi="仿宋" w:eastAsia="仿宋" w:cs="Times New Roman"/>
                <w:b/>
                <w:bCs/>
                <w:color w:val="auto"/>
                <w:kern w:val="0"/>
                <w:sz w:val="24"/>
                <w:szCs w:val="24"/>
                <w:highlight w:val="none"/>
              </w:rPr>
            </w:pPr>
          </w:p>
        </w:tc>
      </w:tr>
      <w:tr w14:paraId="6F3C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31" w:type="dxa"/>
            <w:vAlign w:val="center"/>
          </w:tcPr>
          <w:p w14:paraId="012CAD70">
            <w:pPr>
              <w:widowControl w:val="0"/>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460" w:type="dxa"/>
            <w:vAlign w:val="center"/>
          </w:tcPr>
          <w:p w14:paraId="277DC057">
            <w:pPr>
              <w:spacing w:line="360" w:lineRule="exact"/>
              <w:jc w:val="center"/>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合同草案条款响应</w:t>
            </w:r>
          </w:p>
        </w:tc>
        <w:tc>
          <w:tcPr>
            <w:tcW w:w="4200" w:type="dxa"/>
            <w:vAlign w:val="center"/>
          </w:tcPr>
          <w:p w14:paraId="7EA8324D">
            <w:pPr>
              <w:spacing w:line="370" w:lineRule="exac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有完全理解并接受磋商文件合同</w:t>
            </w:r>
            <w:r>
              <w:rPr>
                <w:rFonts w:hint="eastAsia" w:ascii="仿宋" w:hAnsi="仿宋" w:eastAsia="仿宋" w:cs="仿宋"/>
                <w:color w:val="auto"/>
                <w:kern w:val="0"/>
                <w:sz w:val="24"/>
                <w:szCs w:val="24"/>
                <w:highlight w:val="none"/>
              </w:rPr>
              <w:t>草案</w:t>
            </w:r>
            <w:r>
              <w:rPr>
                <w:rFonts w:hint="eastAsia" w:ascii="仿宋" w:hAnsi="仿宋" w:eastAsia="仿宋" w:cs="仿宋"/>
                <w:color w:val="auto"/>
                <w:sz w:val="24"/>
                <w:szCs w:val="24"/>
                <w:highlight w:val="none"/>
              </w:rPr>
              <w:t>条款要求的描述。</w:t>
            </w:r>
          </w:p>
        </w:tc>
        <w:tc>
          <w:tcPr>
            <w:tcW w:w="769" w:type="dxa"/>
            <w:vAlign w:val="center"/>
          </w:tcPr>
          <w:p w14:paraId="6BB32CA8">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30B9888E">
            <w:pPr>
              <w:widowControl w:val="0"/>
              <w:spacing w:line="360" w:lineRule="exact"/>
              <w:jc w:val="center"/>
              <w:rPr>
                <w:rFonts w:ascii="仿宋" w:hAnsi="仿宋" w:eastAsia="仿宋" w:cs="Times New Roman"/>
                <w:b/>
                <w:bCs/>
                <w:color w:val="auto"/>
                <w:kern w:val="0"/>
                <w:sz w:val="24"/>
                <w:szCs w:val="24"/>
                <w:highlight w:val="none"/>
              </w:rPr>
            </w:pPr>
          </w:p>
        </w:tc>
      </w:tr>
      <w:tr w14:paraId="7FFF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1" w:type="dxa"/>
            <w:vAlign w:val="center"/>
          </w:tcPr>
          <w:p w14:paraId="28612C57">
            <w:pPr>
              <w:widowControl w:val="0"/>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460" w:type="dxa"/>
            <w:vAlign w:val="center"/>
          </w:tcPr>
          <w:p w14:paraId="7C6151FF">
            <w:pPr>
              <w:widowControl w:val="0"/>
              <w:spacing w:line="360" w:lineRule="exact"/>
              <w:jc w:val="center"/>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无其他</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或法规明确规定响应无效的事项</w:t>
            </w:r>
          </w:p>
        </w:tc>
        <w:tc>
          <w:tcPr>
            <w:tcW w:w="4200" w:type="dxa"/>
            <w:vAlign w:val="center"/>
          </w:tcPr>
          <w:p w14:paraId="218C5D20">
            <w:pPr>
              <w:widowControl w:val="0"/>
              <w:spacing w:line="360" w:lineRule="exact"/>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没有不符合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规定的被视为无效响应的其他条款。</w:t>
            </w:r>
          </w:p>
        </w:tc>
        <w:tc>
          <w:tcPr>
            <w:tcW w:w="769" w:type="dxa"/>
            <w:vAlign w:val="center"/>
          </w:tcPr>
          <w:p w14:paraId="699A9AE1">
            <w:pPr>
              <w:widowControl w:val="0"/>
              <w:spacing w:line="360" w:lineRule="exact"/>
              <w:jc w:val="center"/>
              <w:rPr>
                <w:rFonts w:ascii="仿宋" w:hAnsi="仿宋" w:eastAsia="仿宋" w:cs="Times New Roman"/>
                <w:b/>
                <w:bCs/>
                <w:color w:val="auto"/>
                <w:kern w:val="0"/>
                <w:sz w:val="24"/>
                <w:szCs w:val="24"/>
                <w:highlight w:val="none"/>
              </w:rPr>
            </w:pPr>
          </w:p>
        </w:tc>
        <w:tc>
          <w:tcPr>
            <w:tcW w:w="1005" w:type="dxa"/>
            <w:vAlign w:val="center"/>
          </w:tcPr>
          <w:p w14:paraId="3C2428FF">
            <w:pPr>
              <w:widowControl w:val="0"/>
              <w:spacing w:line="360" w:lineRule="exact"/>
              <w:jc w:val="center"/>
              <w:rPr>
                <w:rFonts w:ascii="仿宋" w:hAnsi="仿宋" w:eastAsia="仿宋" w:cs="Times New Roman"/>
                <w:b/>
                <w:bCs/>
                <w:color w:val="auto"/>
                <w:kern w:val="0"/>
                <w:sz w:val="24"/>
                <w:szCs w:val="24"/>
                <w:highlight w:val="none"/>
              </w:rPr>
            </w:pPr>
          </w:p>
        </w:tc>
      </w:tr>
      <w:tr w14:paraId="0F45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65" w:type="dxa"/>
            <w:gridSpan w:val="5"/>
            <w:vAlign w:val="center"/>
          </w:tcPr>
          <w:p w14:paraId="604ABE9F">
            <w:pPr>
              <w:widowControl w:val="0"/>
              <w:spacing w:line="360" w:lineRule="exact"/>
              <w:rPr>
                <w:rFonts w:ascii="仿宋" w:hAnsi="仿宋" w:eastAsia="仿宋" w:cs="Times New Roman"/>
                <w:b/>
                <w:bCs/>
                <w:color w:val="auto"/>
                <w:kern w:val="0"/>
                <w:sz w:val="24"/>
                <w:szCs w:val="24"/>
                <w:highlight w:val="none"/>
              </w:rPr>
            </w:pPr>
            <w:r>
              <w:rPr>
                <w:rFonts w:hint="eastAsia" w:ascii="仿宋" w:hAnsi="仿宋" w:eastAsia="仿宋" w:cs="仿宋"/>
                <w:b/>
                <w:bCs/>
                <w:color w:val="auto"/>
                <w:kern w:val="0"/>
                <w:sz w:val="24"/>
                <w:szCs w:val="24"/>
                <w:highlight w:val="none"/>
              </w:rPr>
              <w:t>磋商小组成员：（签字或盖章）</w:t>
            </w:r>
          </w:p>
        </w:tc>
      </w:tr>
    </w:tbl>
    <w:p w14:paraId="42CFE673">
      <w:pPr>
        <w:ind w:firstLine="426" w:firstLineChars="200"/>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备注：如为联合体参与磋商的，《符合性审查表》中的</w:t>
      </w:r>
      <w:r>
        <w:rPr>
          <w:rFonts w:hint="eastAsia" w:ascii="仿宋" w:hAnsi="仿宋" w:eastAsia="仿宋" w:cs="仿宋"/>
          <w:b/>
          <w:bCs/>
          <w:sz w:val="21"/>
          <w:szCs w:val="21"/>
          <w:highlight w:val="none"/>
          <w:lang w:val="en-US" w:eastAsia="zh-CN"/>
        </w:rPr>
        <w:t>第5项《供应商承诺书》，联合体各方均应按照要求提供并加盖本公司公章，</w:t>
      </w:r>
      <w:r>
        <w:rPr>
          <w:rFonts w:hint="eastAsia" w:ascii="仿宋" w:hAnsi="仿宋" w:eastAsia="仿宋" w:cs="仿宋"/>
          <w:b/>
          <w:bCs/>
          <w:color w:val="auto"/>
          <w:kern w:val="0"/>
          <w:sz w:val="21"/>
          <w:szCs w:val="21"/>
          <w:highlight w:val="none"/>
          <w:lang w:eastAsia="zh-CN"/>
        </w:rPr>
        <w:t>未提供的</w:t>
      </w:r>
      <w:r>
        <w:rPr>
          <w:rFonts w:hint="eastAsia" w:ascii="仿宋" w:hAnsi="仿宋" w:eastAsia="仿宋" w:cs="仿宋"/>
          <w:b/>
          <w:bCs/>
          <w:color w:val="auto"/>
          <w:kern w:val="0"/>
          <w:sz w:val="21"/>
          <w:szCs w:val="21"/>
          <w:highlight w:val="none"/>
        </w:rPr>
        <w:t>，其响应文件视为无效文件</w:t>
      </w:r>
      <w:r>
        <w:rPr>
          <w:rFonts w:hint="eastAsia" w:ascii="仿宋" w:hAnsi="仿宋" w:eastAsia="仿宋" w:cs="仿宋"/>
          <w:b/>
          <w:bCs/>
          <w:color w:val="auto"/>
          <w:kern w:val="0"/>
          <w:sz w:val="21"/>
          <w:szCs w:val="21"/>
          <w:highlight w:val="none"/>
          <w:lang w:eastAsia="zh-CN"/>
        </w:rPr>
        <w:t>。</w:t>
      </w:r>
    </w:p>
    <w:p w14:paraId="6E4FC82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color w:val="auto"/>
          <w:highlight w:val="none"/>
        </w:rPr>
      </w:pPr>
      <w:r>
        <w:rPr>
          <w:rFonts w:hint="eastAsia" w:ascii="华文仿宋" w:hAnsi="华文仿宋" w:cs="华文仿宋"/>
          <w:b/>
          <w:color w:val="auto"/>
          <w:highlight w:val="none"/>
        </w:rPr>
        <w:t>3、响应文件的澄清</w:t>
      </w:r>
    </w:p>
    <w:p w14:paraId="0DCBFD2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（1）磋商小组在对响应文件的有效性、完整性和响应程度进行审查时，可以要求供应商对响应文件中含义不明确、同类问题表述不一致或者有明显文字和计算错误的内容等做出必要的澄清、说明或者更正。</w:t>
      </w:r>
    </w:p>
    <w:p w14:paraId="74A56B1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（2）依照《中华人民共和国民法典》中的过失责任原则，澄清、说明或更正前磋商小组将按最不利于参与本次磋商供应商的原则对响应文件做出评判。</w:t>
      </w:r>
    </w:p>
    <w:p w14:paraId="4605FC7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（3）磋商小组要求供应商澄清、说明或者更正响应文件应当以书面形式做出。供应商应当在规定的澄清时限内</w:t>
      </w:r>
      <w:r>
        <w:rPr>
          <w:rFonts w:hint="eastAsia"/>
          <w:color w:val="auto"/>
          <w:highlight w:val="none"/>
        </w:rPr>
        <w:t>通过公共资源交易平台（以下简称“平台”）或电子邮件（在平台无法支持的情况下）等</w:t>
      </w:r>
      <w:r>
        <w:rPr>
          <w:rFonts w:hint="eastAsia" w:ascii="华文仿宋" w:hAnsi="华文仿宋" w:cs="华文仿宋"/>
          <w:color w:val="auto"/>
          <w:highlight w:val="none"/>
        </w:rPr>
        <w:t>书面</w:t>
      </w:r>
      <w:r>
        <w:rPr>
          <w:rFonts w:hint="eastAsia"/>
          <w:color w:val="auto"/>
          <w:highlight w:val="none"/>
        </w:rPr>
        <w:t>形式</w:t>
      </w:r>
      <w:r>
        <w:rPr>
          <w:rFonts w:hint="eastAsia" w:ascii="华文仿宋" w:hAnsi="华文仿宋" w:cs="华文仿宋"/>
          <w:color w:val="auto"/>
          <w:highlight w:val="none"/>
        </w:rPr>
        <w:t>提交，供应商的澄清、说明或者更正应当由法定代表人或其授权代表签字或者加盖公章。</w:t>
      </w:r>
    </w:p>
    <w:p w14:paraId="4D9E85CC">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（4）供应商的澄清、说明或者更正不得超出响应文件的范围或者改变响应文件的实质性内容。澄清、说明或者更正的内容将作为</w:t>
      </w:r>
      <w:r>
        <w:rPr>
          <w:rFonts w:hint="eastAsia" w:ascii="华文仿宋" w:hAnsi="华文仿宋" w:cs="华文仿宋"/>
          <w:color w:val="auto"/>
          <w:kern w:val="0"/>
          <w:highlight w:val="none"/>
        </w:rPr>
        <w:t>合同</w:t>
      </w:r>
      <w:r>
        <w:rPr>
          <w:rFonts w:hint="eastAsia" w:ascii="华文仿宋" w:hAnsi="华文仿宋" w:cs="华文仿宋"/>
          <w:color w:val="auto"/>
          <w:highlight w:val="none"/>
        </w:rPr>
        <w:t>履行的重要依据。</w:t>
      </w:r>
    </w:p>
    <w:p w14:paraId="5DB47275">
      <w:pPr>
        <w:keepNext w:val="0"/>
        <w:keepLines w:val="0"/>
        <w:pageBreakBefore w:val="0"/>
        <w:widowControl w:val="0"/>
        <w:kinsoku/>
        <w:wordWrap/>
        <w:overflowPunct/>
        <w:topLinePunct w:val="0"/>
        <w:autoSpaceDE/>
        <w:autoSpaceDN/>
        <w:bidi w:val="0"/>
        <w:adjustRightInd/>
        <w:snapToGrid/>
        <w:spacing w:line="500" w:lineRule="exact"/>
        <w:ind w:firstLine="566" w:firstLineChars="200"/>
        <w:contextualSpacing/>
        <w:textAlignment w:val="auto"/>
        <w:rPr>
          <w:rFonts w:ascii="华文仿宋" w:hAnsi="华文仿宋" w:cs="华文仿宋"/>
          <w:b/>
          <w:color w:val="auto"/>
          <w:highlight w:val="none"/>
        </w:rPr>
      </w:pPr>
      <w:r>
        <w:rPr>
          <w:rFonts w:hint="eastAsia" w:ascii="华文仿宋" w:hAnsi="华文仿宋" w:cs="华文仿宋"/>
          <w:b/>
          <w:color w:val="auto"/>
          <w:highlight w:val="none"/>
        </w:rPr>
        <w:t>除采用竞争性磋商方式采购的政府购买服务项目、市场竞争不充分的科研项目以及需要扶持的科技成果转化项目外，通过符合性审查的供应商不足</w:t>
      </w:r>
      <w:r>
        <w:rPr>
          <w:rFonts w:hint="eastAsia" w:ascii="仿宋" w:hAnsi="仿宋" w:eastAsia="仿宋" w:cs="仿宋"/>
          <w:b/>
          <w:color w:val="auto"/>
          <w:highlight w:val="none"/>
        </w:rPr>
        <w:t>3</w:t>
      </w:r>
      <w:r>
        <w:rPr>
          <w:rFonts w:hint="eastAsia" w:ascii="华文仿宋" w:hAnsi="华文仿宋" w:cs="华文仿宋"/>
          <w:b/>
          <w:color w:val="auto"/>
          <w:highlight w:val="none"/>
        </w:rPr>
        <w:t>家的，不得进行后续磋商活动，应予以废标。</w:t>
      </w:r>
    </w:p>
    <w:p w14:paraId="5C6F1E18">
      <w:pPr>
        <w:keepNext w:val="0"/>
        <w:keepLines w:val="0"/>
        <w:pageBreakBefore w:val="0"/>
        <w:widowControl w:val="0"/>
        <w:kinsoku/>
        <w:wordWrap/>
        <w:overflowPunct/>
        <w:topLinePunct w:val="0"/>
        <w:autoSpaceDE/>
        <w:autoSpaceDN/>
        <w:bidi w:val="0"/>
        <w:adjustRightInd/>
        <w:snapToGrid/>
        <w:spacing w:line="500" w:lineRule="exact"/>
        <w:ind w:firstLine="566" w:firstLineChars="200"/>
        <w:contextualSpacing/>
        <w:textAlignment w:val="auto"/>
        <w:rPr>
          <w:rFonts w:ascii="华文仿宋" w:hAnsi="华文仿宋" w:cs="华文仿宋"/>
          <w:b/>
          <w:color w:val="auto"/>
          <w:highlight w:val="none"/>
        </w:rPr>
      </w:pPr>
      <w:r>
        <w:rPr>
          <w:rFonts w:hint="eastAsia" w:ascii="华文仿宋" w:hAnsi="华文仿宋" w:cs="华文仿宋"/>
          <w:b/>
          <w:color w:val="auto"/>
          <w:highlight w:val="none"/>
        </w:rPr>
        <w:t>4、进行磋商</w:t>
      </w:r>
    </w:p>
    <w:p w14:paraId="2D63DC4D">
      <w:pPr>
        <w:keepNext w:val="0"/>
        <w:keepLines w:val="0"/>
        <w:pageBreakBefore w:val="0"/>
        <w:widowControl w:val="0"/>
        <w:kinsoku/>
        <w:wordWrap/>
        <w:overflowPunct/>
        <w:topLinePunct w:val="0"/>
        <w:autoSpaceDE/>
        <w:autoSpaceDN/>
        <w:bidi w:val="0"/>
        <w:adjustRightInd/>
        <w:snapToGrid/>
        <w:spacing w:line="500" w:lineRule="exact"/>
        <w:ind w:firstLine="566" w:firstLineChars="200"/>
        <w:contextualSpacing/>
        <w:textAlignment w:val="auto"/>
        <w:rPr>
          <w:color w:val="auto"/>
          <w:highlight w:val="none"/>
        </w:rPr>
      </w:pPr>
      <w:r>
        <w:rPr>
          <w:rFonts w:hint="eastAsia" w:ascii="华文仿宋" w:hAnsi="华文仿宋" w:cs="华文仿宋"/>
          <w:bCs/>
          <w:color w:val="auto"/>
          <w:highlight w:val="none"/>
        </w:rPr>
        <w:t>磋商小组所有成员应当集中与单一供应商分别进行磋商，并给予所有参加磋商的供应商平等的磋商机会。需要供应商书面答复磋商内容的，</w:t>
      </w:r>
      <w:r>
        <w:rPr>
          <w:rFonts w:hint="eastAsia" w:ascii="华文仿宋" w:hAnsi="华文仿宋" w:cs="华文仿宋"/>
          <w:color w:val="auto"/>
          <w:highlight w:val="none"/>
        </w:rPr>
        <w:t>供应商应当按照磋商小组的要求，在磋商小组规定的时限内</w:t>
      </w:r>
      <w:r>
        <w:rPr>
          <w:rFonts w:hint="eastAsia"/>
          <w:color w:val="auto"/>
          <w:highlight w:val="none"/>
        </w:rPr>
        <w:t>通过公共资源交易平台（以下简称“平台”）或电子邮件（在平台无法支持的情况下）等</w:t>
      </w:r>
      <w:r>
        <w:rPr>
          <w:rFonts w:hint="eastAsia" w:ascii="华文仿宋" w:hAnsi="华文仿宋" w:cs="华文仿宋"/>
          <w:color w:val="auto"/>
          <w:highlight w:val="none"/>
        </w:rPr>
        <w:t>书面</w:t>
      </w:r>
      <w:r>
        <w:rPr>
          <w:rFonts w:hint="eastAsia"/>
          <w:color w:val="auto"/>
          <w:highlight w:val="none"/>
        </w:rPr>
        <w:t>形式</w:t>
      </w:r>
      <w:r>
        <w:rPr>
          <w:rFonts w:hint="eastAsia" w:ascii="华文仿宋" w:hAnsi="华文仿宋" w:cs="华文仿宋"/>
          <w:color w:val="auto"/>
          <w:highlight w:val="none"/>
        </w:rPr>
        <w:t>答复磋商的内容，并由法定代表人或其授权代表签字或者加盖公章。</w:t>
      </w:r>
    </w:p>
    <w:p w14:paraId="3E8F54AA">
      <w:pPr>
        <w:spacing w:line="500" w:lineRule="exact"/>
        <w:ind w:firstLine="566" w:firstLineChars="200"/>
        <w:contextualSpacing/>
        <w:rPr>
          <w:rFonts w:ascii="华文仿宋" w:hAnsi="华文仿宋" w:cs="华文仿宋"/>
          <w:b/>
          <w:color w:val="auto"/>
          <w:highlight w:val="none"/>
        </w:rPr>
      </w:pPr>
      <w:r>
        <w:rPr>
          <w:rFonts w:hint="eastAsia" w:ascii="华文仿宋" w:hAnsi="华文仿宋" w:cs="华文仿宋"/>
          <w:b/>
          <w:color w:val="auto"/>
          <w:highlight w:val="none"/>
        </w:rPr>
        <w:t>5、磋商文件的实质性变更</w:t>
      </w:r>
    </w:p>
    <w:p w14:paraId="20240B83">
      <w:pPr>
        <w:widowControl w:val="0"/>
        <w:spacing w:line="48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（1）在磋商过程中，磋商小组可以根据磋商文件和磋商情况实质性变动采购需求中的技术、服务要求以及合同草案条款，但不得变动磋商文件中的其他内容。实质性变动的内容，须经采购人代表确认。</w:t>
      </w:r>
    </w:p>
    <w:p w14:paraId="7D7EB4E9">
      <w:pPr>
        <w:widowControl w:val="0"/>
        <w:spacing w:line="48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（2）对磋商文件作出的实质性变动是磋商文件的有效组成部分，磋商小组将</w:t>
      </w:r>
      <w:r>
        <w:rPr>
          <w:rFonts w:hint="eastAsia"/>
          <w:color w:val="auto"/>
          <w:highlight w:val="none"/>
        </w:rPr>
        <w:t>通过公共资源交易平台（以下简称“平台”）或电子邮件（在平台无法支持的情况下）等</w:t>
      </w:r>
      <w:r>
        <w:rPr>
          <w:rFonts w:hint="eastAsia" w:ascii="华文仿宋" w:hAnsi="华文仿宋" w:cs="华文仿宋"/>
          <w:color w:val="auto"/>
          <w:highlight w:val="none"/>
        </w:rPr>
        <w:t>书面形式通知所有参加磋商的供应商。</w:t>
      </w:r>
    </w:p>
    <w:p w14:paraId="6174B518">
      <w:pPr>
        <w:widowControl w:val="0"/>
        <w:spacing w:line="480" w:lineRule="exact"/>
        <w:ind w:firstLine="566" w:firstLineChars="200"/>
        <w:contextualSpacing/>
        <w:rPr>
          <w:color w:val="auto"/>
          <w:highlight w:val="none"/>
        </w:rPr>
      </w:pPr>
      <w:r>
        <w:rPr>
          <w:rFonts w:hint="eastAsia" w:ascii="华文仿宋" w:hAnsi="华文仿宋" w:cs="华文仿宋"/>
          <w:color w:val="auto"/>
          <w:highlight w:val="none"/>
        </w:rPr>
        <w:t>（3）供应商应当按照磋商文件的变动情况和磋商小组的要求，在磋商小组规定的时限内重新提交响应文件，并用数字认证证书（</w:t>
      </w:r>
      <w:r>
        <w:rPr>
          <w:rFonts w:hint="eastAsia" w:ascii="仿宋" w:hAnsi="仿宋" w:eastAsia="仿宋" w:cs="仿宋"/>
          <w:color w:val="auto"/>
          <w:highlight w:val="none"/>
        </w:rPr>
        <w:t>CA</w:t>
      </w:r>
      <w:r>
        <w:rPr>
          <w:rFonts w:hint="eastAsia" w:ascii="华文仿宋" w:hAnsi="华文仿宋" w:cs="华文仿宋"/>
          <w:color w:val="auto"/>
          <w:highlight w:val="none"/>
        </w:rPr>
        <w:t>锁）签章或由法定代表人或其授权代表签字或者加盖公章。</w:t>
      </w:r>
    </w:p>
    <w:p w14:paraId="6605A075">
      <w:pPr>
        <w:pStyle w:val="2"/>
        <w:widowControl w:val="0"/>
        <w:spacing w:line="480" w:lineRule="exact"/>
        <w:ind w:firstLine="566" w:firstLineChars="200"/>
        <w:rPr>
          <w:rFonts w:ascii="华文仿宋" w:hAnsi="华文仿宋" w:cs="华文仿宋"/>
          <w:color w:val="auto"/>
          <w:sz w:val="28"/>
          <w:szCs w:val="28"/>
          <w:highlight w:val="none"/>
        </w:rPr>
      </w:pPr>
      <w:r>
        <w:rPr>
          <w:rFonts w:hint="eastAsia" w:ascii="华文仿宋" w:hAnsi="华文仿宋" w:cs="华文仿宋"/>
          <w:color w:val="auto"/>
          <w:sz w:val="28"/>
          <w:szCs w:val="28"/>
          <w:highlight w:val="none"/>
        </w:rPr>
        <w:t>（4）供应商未能在规定的时间内按照磋商小组的要求通过公共资源交易平台（以下简称“平台”）或电子邮件（在平台无法支持的情况下）等书面形式提交实质性变更响应文件的，视作未实质性响应。</w:t>
      </w:r>
    </w:p>
    <w:p w14:paraId="11E35C22">
      <w:pPr>
        <w:spacing w:line="480" w:lineRule="exact"/>
        <w:ind w:firstLine="566" w:firstLineChars="200"/>
        <w:contextualSpacing/>
        <w:rPr>
          <w:rFonts w:ascii="华文仿宋" w:hAnsi="华文仿宋" w:cs="华文仿宋"/>
          <w:b/>
          <w:color w:val="auto"/>
          <w:highlight w:val="none"/>
        </w:rPr>
      </w:pPr>
      <w:r>
        <w:rPr>
          <w:rFonts w:hint="eastAsia" w:ascii="华文仿宋" w:hAnsi="华文仿宋" w:cs="华文仿宋"/>
          <w:b/>
          <w:color w:val="auto"/>
          <w:highlight w:val="none"/>
        </w:rPr>
        <w:t>6、最后报价</w:t>
      </w:r>
    </w:p>
    <w:p w14:paraId="3C2B1D3A">
      <w:pPr>
        <w:spacing w:line="480" w:lineRule="exact"/>
        <w:ind w:firstLine="566" w:firstLineChars="200"/>
        <w:contextualSpacing/>
        <w:rPr>
          <w:rFonts w:ascii="华文仿宋" w:hAnsi="华文仿宋" w:cs="华文仿宋"/>
          <w:color w:val="auto"/>
          <w:highlight w:val="none"/>
        </w:rPr>
      </w:pPr>
      <w:r>
        <w:rPr>
          <w:rFonts w:hint="eastAsia" w:ascii="华文仿宋" w:hAnsi="华文仿宋" w:cs="华文仿宋"/>
          <w:color w:val="auto"/>
          <w:highlight w:val="none"/>
        </w:rPr>
        <w:t>（1）磋商文件能够详细列明采购标的的技术、服务要求的，磋商结束后，磋商小组应当要求所有实质性响应的供应商在规定时间内提交最后报价，提交最后报价的供应商不得少于</w:t>
      </w:r>
      <w:r>
        <w:rPr>
          <w:rFonts w:hint="eastAsia" w:ascii="仿宋" w:hAnsi="仿宋" w:eastAsia="仿宋" w:cs="仿宋"/>
          <w:color w:val="auto"/>
          <w:highlight w:val="none"/>
        </w:rPr>
        <w:t>3</w:t>
      </w:r>
      <w:r>
        <w:rPr>
          <w:rFonts w:hint="eastAsia" w:ascii="华文仿宋" w:hAnsi="华文仿宋" w:cs="华文仿宋"/>
          <w:color w:val="auto"/>
          <w:highlight w:val="none"/>
        </w:rPr>
        <w:t>家。</w:t>
      </w:r>
    </w:p>
    <w:p w14:paraId="2AF5E446">
      <w:pPr>
        <w:keepNext w:val="0"/>
        <w:keepLines w:val="0"/>
        <w:pageBreakBefore w:val="0"/>
        <w:widowControl w:val="0"/>
        <w:kinsoku/>
        <w:wordWrap/>
        <w:overflowPunct/>
        <w:topLinePunct w:val="0"/>
        <w:autoSpaceDE/>
        <w:autoSpaceDN/>
        <w:bidi w:val="0"/>
        <w:adjustRightInd/>
        <w:snapToGrid/>
        <w:spacing w:line="48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（2）磋商文件不能详细列明采购标的的技术、服务要求，需经磋商由供应商提供最终设计方案或解决方案的，磋商结束后，磋商小组应当按照少数服从多数的原则投票推荐</w:t>
      </w:r>
      <w:r>
        <w:rPr>
          <w:rFonts w:hint="eastAsia" w:ascii="仿宋" w:hAnsi="仿宋" w:eastAsia="仿宋" w:cs="仿宋"/>
          <w:color w:val="auto"/>
          <w:highlight w:val="none"/>
        </w:rPr>
        <w:t>3</w:t>
      </w:r>
      <w:r>
        <w:rPr>
          <w:rFonts w:hint="eastAsia" w:ascii="华文仿宋" w:hAnsi="华文仿宋" w:cs="华文仿宋"/>
          <w:color w:val="auto"/>
          <w:highlight w:val="none"/>
        </w:rPr>
        <w:t>家以上供应商的设计方案或者解决方案，并要求其在规定时间内提交最后报价。</w:t>
      </w:r>
    </w:p>
    <w:p w14:paraId="28472B96">
      <w:pPr>
        <w:keepNext w:val="0"/>
        <w:keepLines w:val="0"/>
        <w:pageBreakBefore w:val="0"/>
        <w:widowControl w:val="0"/>
        <w:kinsoku/>
        <w:wordWrap/>
        <w:overflowPunct/>
        <w:topLinePunct w:val="0"/>
        <w:autoSpaceDE/>
        <w:autoSpaceDN/>
        <w:bidi w:val="0"/>
        <w:adjustRightInd/>
        <w:snapToGrid/>
        <w:spacing w:line="48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（3）最后报价是供应商响应文件的有效组成部分。符合《政府采购竞争性磋商</w:t>
      </w:r>
      <w:r>
        <w:rPr>
          <w:rFonts w:hint="eastAsia" w:ascii="华文仿宋" w:hAnsi="华文仿宋" w:cs="华文仿宋"/>
          <w:color w:val="auto"/>
          <w:highlight w:val="none"/>
          <w:lang w:eastAsia="zh-CN"/>
        </w:rPr>
        <w:t>采购人</w:t>
      </w:r>
      <w:r>
        <w:rPr>
          <w:rFonts w:hint="eastAsia" w:ascii="华文仿宋" w:hAnsi="华文仿宋" w:cs="华文仿宋"/>
          <w:color w:val="auto"/>
          <w:highlight w:val="none"/>
        </w:rPr>
        <w:t>式管理暂行办法》第三条第四项情形的，即市场竞争不充分的科研项目，以及需要扶持的科技成果转化项目，提交最后报价的供应商可以为</w:t>
      </w:r>
      <w:r>
        <w:rPr>
          <w:rFonts w:hint="eastAsia" w:ascii="仿宋" w:hAnsi="仿宋" w:eastAsia="仿宋" w:cs="仿宋"/>
          <w:color w:val="auto"/>
          <w:highlight w:val="none"/>
        </w:rPr>
        <w:t>2</w:t>
      </w:r>
      <w:r>
        <w:rPr>
          <w:rFonts w:hint="eastAsia" w:ascii="华文仿宋" w:hAnsi="华文仿宋" w:cs="华文仿宋"/>
          <w:color w:val="auto"/>
          <w:highlight w:val="none"/>
        </w:rPr>
        <w:t>家。根据《财政部关于政府采购竞争性磋商</w:t>
      </w:r>
      <w:r>
        <w:rPr>
          <w:rFonts w:hint="eastAsia" w:ascii="华文仿宋" w:hAnsi="华文仿宋" w:cs="华文仿宋"/>
          <w:color w:val="auto"/>
          <w:highlight w:val="none"/>
          <w:lang w:eastAsia="zh-CN"/>
        </w:rPr>
        <w:t>采购人</w:t>
      </w:r>
      <w:r>
        <w:rPr>
          <w:rFonts w:hint="eastAsia" w:ascii="华文仿宋" w:hAnsi="华文仿宋" w:cs="华文仿宋"/>
          <w:color w:val="auto"/>
          <w:highlight w:val="none"/>
        </w:rPr>
        <w:t>式管理暂行办法有关问题的补充通知》（财库</w:t>
      </w:r>
      <w:r>
        <w:rPr>
          <w:rFonts w:hint="eastAsia" w:ascii="仿宋" w:hAnsi="仿宋" w:eastAsia="仿宋" w:cs="仿宋"/>
          <w:color w:val="auto"/>
          <w:highlight w:val="none"/>
        </w:rPr>
        <w:t>〔2015〕124</w:t>
      </w:r>
      <w:r>
        <w:rPr>
          <w:rFonts w:hint="eastAsia" w:ascii="华文仿宋" w:hAnsi="华文仿宋" w:cs="华文仿宋"/>
          <w:color w:val="auto"/>
          <w:highlight w:val="none"/>
        </w:rPr>
        <w:t>号），采购的政府购买服务项目（含政府和社会资本合作项目），在采购过程中符合要求的供应商（社会资本）只有</w:t>
      </w:r>
      <w:r>
        <w:rPr>
          <w:rFonts w:hint="eastAsia" w:ascii="仿宋" w:hAnsi="仿宋" w:eastAsia="仿宋" w:cs="仿宋"/>
          <w:color w:val="auto"/>
          <w:highlight w:val="none"/>
        </w:rPr>
        <w:t>2</w:t>
      </w:r>
      <w:r>
        <w:rPr>
          <w:rFonts w:hint="eastAsia" w:ascii="华文仿宋" w:hAnsi="华文仿宋" w:cs="华文仿宋"/>
          <w:color w:val="auto"/>
          <w:highlight w:val="none"/>
        </w:rPr>
        <w:t>家的，竞争性磋商采购活动可以继续进行。</w:t>
      </w:r>
    </w:p>
    <w:p w14:paraId="136419C3">
      <w:pPr>
        <w:keepNext w:val="0"/>
        <w:keepLines w:val="0"/>
        <w:pageBreakBefore w:val="0"/>
        <w:widowControl w:val="0"/>
        <w:kinsoku/>
        <w:wordWrap/>
        <w:overflowPunct/>
        <w:topLinePunct w:val="0"/>
        <w:autoSpaceDE/>
        <w:autoSpaceDN/>
        <w:bidi w:val="0"/>
        <w:adjustRightInd/>
        <w:snapToGrid/>
        <w:spacing w:line="48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w:t>
      </w:r>
      <w:r>
        <w:rPr>
          <w:rFonts w:ascii="华文仿宋" w:hAnsi="华文仿宋" w:cs="华文仿宋"/>
          <w:color w:val="auto"/>
          <w:highlight w:val="none"/>
        </w:rPr>
        <w:t>4）</w:t>
      </w:r>
      <w:r>
        <w:rPr>
          <w:rFonts w:hint="eastAsia" w:ascii="华文仿宋" w:hAnsi="华文仿宋" w:cs="华文仿宋"/>
          <w:color w:val="auto"/>
          <w:highlight w:val="none"/>
        </w:rPr>
        <w:t>供应商要在电子交易平台中提交最后报价，并用数字认证证书（</w:t>
      </w:r>
      <w:r>
        <w:rPr>
          <w:rFonts w:hint="eastAsia" w:ascii="仿宋" w:hAnsi="仿宋" w:eastAsia="仿宋" w:cs="仿宋"/>
          <w:color w:val="auto"/>
          <w:highlight w:val="none"/>
        </w:rPr>
        <w:t>CA</w:t>
      </w:r>
      <w:r>
        <w:rPr>
          <w:rFonts w:hint="eastAsia" w:ascii="华文仿宋" w:hAnsi="华文仿宋" w:cs="华文仿宋"/>
          <w:color w:val="auto"/>
          <w:highlight w:val="none"/>
        </w:rPr>
        <w:t>锁）签章。平台系统无法使用时，供应商要按照磋商小组要求，通过电子邮件等书面形式提交最后报价表。最后报价表应由其法定代表人或授权代表签字或者加盖公章。最后报价将作为综合评分法中价格分的计算依据。</w:t>
      </w:r>
    </w:p>
    <w:p w14:paraId="377C867F">
      <w:pPr>
        <w:keepNext w:val="0"/>
        <w:keepLines w:val="0"/>
        <w:pageBreakBefore w:val="0"/>
        <w:widowControl w:val="0"/>
        <w:kinsoku/>
        <w:wordWrap/>
        <w:overflowPunct/>
        <w:topLinePunct w:val="0"/>
        <w:autoSpaceDE/>
        <w:autoSpaceDN/>
        <w:bidi w:val="0"/>
        <w:adjustRightInd/>
        <w:snapToGrid/>
        <w:spacing w:line="480" w:lineRule="exact"/>
        <w:ind w:firstLine="566" w:firstLineChars="200"/>
        <w:contextualSpacing/>
        <w:textAlignment w:val="auto"/>
        <w:rPr>
          <w:rFonts w:ascii="华文仿宋" w:hAnsi="华文仿宋" w:cs="华文仿宋"/>
          <w:color w:val="auto"/>
          <w:highlight w:val="none"/>
        </w:rPr>
      </w:pPr>
      <w:r>
        <w:rPr>
          <w:rFonts w:hint="eastAsia" w:ascii="华文仿宋" w:hAnsi="华文仿宋" w:cs="华文仿宋"/>
          <w:color w:val="auto"/>
          <w:highlight w:val="none"/>
        </w:rPr>
        <w:t>（5）已提交响应文件的供应商，在提交最后报价之前，可以根据磋商情况书面申请退出磋商，书面申请应由其法定代表人或授权代表签字或者加盖公章。</w:t>
      </w:r>
    </w:p>
    <w:p w14:paraId="11DD1694">
      <w:pPr>
        <w:keepNext w:val="0"/>
        <w:keepLines w:val="0"/>
        <w:pageBreakBefore w:val="0"/>
        <w:widowControl w:val="0"/>
        <w:kinsoku/>
        <w:wordWrap/>
        <w:overflowPunct/>
        <w:topLinePunct w:val="0"/>
        <w:autoSpaceDE/>
        <w:autoSpaceDN/>
        <w:bidi w:val="0"/>
        <w:adjustRightInd/>
        <w:snapToGrid/>
        <w:spacing w:line="480" w:lineRule="exact"/>
        <w:ind w:firstLine="566" w:firstLineChars="200"/>
        <w:contextualSpacing/>
        <w:textAlignment w:val="auto"/>
        <w:rPr>
          <w:rFonts w:ascii="Calibri" w:hAnsi="Calibri"/>
          <w:color w:val="auto"/>
          <w:highlight w:val="none"/>
        </w:rPr>
      </w:pPr>
      <w:r>
        <w:rPr>
          <w:rFonts w:hint="eastAsia" w:ascii="华文仿宋" w:hAnsi="华文仿宋" w:cs="华文仿宋"/>
          <w:color w:val="auto"/>
          <w:highlight w:val="none"/>
        </w:rPr>
        <w:t>（6）</w:t>
      </w:r>
      <w:r>
        <w:rPr>
          <w:rFonts w:hint="eastAsia" w:ascii="Calibri" w:hAnsi="Calibri"/>
          <w:color w:val="auto"/>
          <w:highlight w:val="none"/>
        </w:rPr>
        <w:t>磋商</w:t>
      </w:r>
      <w:r>
        <w:rPr>
          <w:rFonts w:ascii="Calibri" w:hAnsi="Calibri"/>
          <w:color w:val="auto"/>
          <w:highlight w:val="none"/>
        </w:rPr>
        <w:t>小组</w:t>
      </w:r>
      <w:r>
        <w:rPr>
          <w:rFonts w:hint="eastAsia" w:ascii="Calibri" w:hAnsi="Calibri"/>
          <w:color w:val="auto"/>
          <w:highlight w:val="none"/>
        </w:rPr>
        <w:t>认为供应商的报价明显低于其他通过符合性审查供应商的报价，有可能影响工程、货物、服务质量或者不能诚信履约的，要求供应商在规定时间内</w:t>
      </w:r>
      <w:r>
        <w:rPr>
          <w:rFonts w:hint="eastAsia"/>
          <w:color w:val="auto"/>
          <w:highlight w:val="none"/>
        </w:rPr>
        <w:t>通过公共资源交易平台（以下简称“平台”）或电子邮件（在平台无法支持的情况下）等</w:t>
      </w:r>
      <w:r>
        <w:rPr>
          <w:rFonts w:hint="eastAsia" w:ascii="华文仿宋" w:hAnsi="华文仿宋" w:cs="华文仿宋"/>
          <w:color w:val="auto"/>
          <w:highlight w:val="none"/>
        </w:rPr>
        <w:t>书面</w:t>
      </w:r>
      <w:r>
        <w:rPr>
          <w:rFonts w:hint="eastAsia"/>
          <w:color w:val="auto"/>
          <w:highlight w:val="none"/>
        </w:rPr>
        <w:t>形式</w:t>
      </w:r>
      <w:r>
        <w:rPr>
          <w:rFonts w:hint="eastAsia" w:ascii="Calibri" w:hAnsi="Calibri"/>
          <w:color w:val="auto"/>
          <w:highlight w:val="none"/>
        </w:rPr>
        <w:t>提供说明（必要时提交相关证明材料），供应商不能证明其报价合理性的，按无效响应对待。</w:t>
      </w:r>
    </w:p>
    <w:p w14:paraId="2B77BA15">
      <w:pPr>
        <w:spacing w:line="480" w:lineRule="exact"/>
        <w:ind w:firstLine="566" w:firstLineChars="200"/>
        <w:rPr>
          <w:rFonts w:ascii="华文仿宋" w:hAnsi="华文仿宋" w:cs="华文仿宋"/>
          <w:b/>
          <w:color w:val="auto"/>
          <w:highlight w:val="none"/>
        </w:rPr>
      </w:pPr>
      <w:r>
        <w:rPr>
          <w:rFonts w:hint="eastAsia" w:ascii="华文仿宋" w:hAnsi="华文仿宋" w:cs="华文仿宋"/>
          <w:b/>
          <w:color w:val="auto"/>
          <w:highlight w:val="none"/>
        </w:rPr>
        <w:t>7、综合比较与评价</w:t>
      </w:r>
    </w:p>
    <w:p w14:paraId="1DD6AB52">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经磋商确定最终采购需求和提交最后报价的供应商后，由磋商小组按“评审要素及分值一览表”中规定的评审方法和标准，对提交最后报价的供应商的响应文件和最后报价进行综合评分。</w:t>
      </w:r>
    </w:p>
    <w:p w14:paraId="66591CD0">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评审时，磋商小组各成员应当独立对每个有效响应的文件进行评价、打分，然后汇总每个供应商每项评审因素的得分</w:t>
      </w:r>
    </w:p>
    <w:p w14:paraId="6F114F5C">
      <w:pPr>
        <w:widowControl w:val="0"/>
        <w:spacing w:before="40" w:after="40" w:line="500" w:lineRule="exact"/>
        <w:jc w:val="center"/>
        <w:rPr>
          <w:rFonts w:hint="eastAsia" w:ascii="华文仿宋" w:hAnsi="华文仿宋" w:cs="华文仿宋"/>
          <w:b/>
          <w:bCs/>
          <w:color w:val="auto"/>
          <w:highlight w:val="none"/>
        </w:rPr>
      </w:pPr>
      <w:r>
        <w:rPr>
          <w:rFonts w:hint="eastAsia" w:ascii="华文仿宋" w:hAnsi="华文仿宋" w:cs="华文仿宋"/>
          <w:b/>
          <w:bCs/>
          <w:color w:val="auto"/>
          <w:highlight w:val="none"/>
        </w:rPr>
        <w:t>评审要素及分值一览表</w:t>
      </w:r>
    </w:p>
    <w:tbl>
      <w:tblPr>
        <w:tblStyle w:val="2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64"/>
        <w:gridCol w:w="7396"/>
      </w:tblGrid>
      <w:tr w14:paraId="6F2B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1" w:type="dxa"/>
            <w:noWrap/>
            <w:vAlign w:val="center"/>
          </w:tcPr>
          <w:p w14:paraId="0F5C15F2">
            <w:pPr>
              <w:keepNext w:val="0"/>
              <w:pageBreakBefore w:val="0"/>
              <w:widowControl w:val="0"/>
              <w:kinsoku/>
              <w:wordWrap/>
              <w:overflowPunct/>
              <w:topLinePunct w:val="0"/>
              <w:bidi w:val="0"/>
              <w:snapToGrid/>
              <w:spacing w:line="380" w:lineRule="exact"/>
              <w:jc w:val="center"/>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名称</w:t>
            </w:r>
          </w:p>
        </w:tc>
        <w:tc>
          <w:tcPr>
            <w:tcW w:w="764" w:type="dxa"/>
            <w:noWrap/>
            <w:vAlign w:val="center"/>
          </w:tcPr>
          <w:p w14:paraId="36E29151">
            <w:pPr>
              <w:keepNext w:val="0"/>
              <w:pageBreakBefore w:val="0"/>
              <w:widowControl w:val="0"/>
              <w:kinsoku/>
              <w:wordWrap/>
              <w:overflowPunct/>
              <w:topLinePunct w:val="0"/>
              <w:bidi w:val="0"/>
              <w:snapToGrid/>
              <w:spacing w:line="380" w:lineRule="exact"/>
              <w:jc w:val="center"/>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最高</w:t>
            </w:r>
          </w:p>
          <w:p w14:paraId="61EF6D82">
            <w:pPr>
              <w:keepNext w:val="0"/>
              <w:pageBreakBefore w:val="0"/>
              <w:widowControl w:val="0"/>
              <w:kinsoku/>
              <w:wordWrap/>
              <w:overflowPunct/>
              <w:topLinePunct w:val="0"/>
              <w:bidi w:val="0"/>
              <w:snapToGrid/>
              <w:spacing w:line="380" w:lineRule="exact"/>
              <w:jc w:val="center"/>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分值</w:t>
            </w:r>
          </w:p>
        </w:tc>
        <w:tc>
          <w:tcPr>
            <w:tcW w:w="7396" w:type="dxa"/>
            <w:noWrap/>
            <w:vAlign w:val="center"/>
          </w:tcPr>
          <w:p w14:paraId="6281242E">
            <w:pPr>
              <w:keepNext w:val="0"/>
              <w:pageBreakBefore w:val="0"/>
              <w:widowControl w:val="0"/>
              <w:kinsoku/>
              <w:wordWrap/>
              <w:overflowPunct/>
              <w:topLinePunct w:val="0"/>
              <w:bidi w:val="0"/>
              <w:snapToGrid/>
              <w:spacing w:line="380" w:lineRule="exact"/>
              <w:jc w:val="center"/>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名称</w:t>
            </w:r>
          </w:p>
        </w:tc>
      </w:tr>
      <w:tr w14:paraId="2795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21" w:type="dxa"/>
            <w:noWrap/>
            <w:vAlign w:val="center"/>
          </w:tcPr>
          <w:p w14:paraId="39D4C53F">
            <w:pPr>
              <w:keepNext w:val="0"/>
              <w:pageBreakBefore w:val="0"/>
              <w:kinsoku/>
              <w:wordWrap/>
              <w:overflowPunct/>
              <w:topLinePunct w:val="0"/>
              <w:bidi w:val="0"/>
              <w:snapToGrid/>
              <w:spacing w:line="380" w:lineRule="exact"/>
              <w:jc w:val="center"/>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w:t>
            </w:r>
          </w:p>
        </w:tc>
        <w:tc>
          <w:tcPr>
            <w:tcW w:w="764" w:type="dxa"/>
            <w:noWrap/>
            <w:vAlign w:val="center"/>
          </w:tcPr>
          <w:p w14:paraId="4A158DEE">
            <w:pPr>
              <w:keepNext w:val="0"/>
              <w:pageBreakBefore w:val="0"/>
              <w:kinsoku/>
              <w:wordWrap/>
              <w:overflowPunct/>
              <w:topLinePunct w:val="0"/>
              <w:bidi w:val="0"/>
              <w:snapToGrid/>
              <w:spacing w:line="38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7396" w:type="dxa"/>
            <w:noWrap/>
            <w:vAlign w:val="center"/>
          </w:tcPr>
          <w:p w14:paraId="08AE4476">
            <w:pPr>
              <w:keepNext w:val="0"/>
              <w:pageBreakBefore w:val="0"/>
              <w:kinsoku/>
              <w:wordWrap/>
              <w:overflowPunct/>
              <w:topLinePunct w:val="0"/>
              <w:bidi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满足磋商文件要求且最后报价</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落实政府采购政策进行价格调整的，以调整后的价格计算</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最低的供应商的价格为磋商基准价得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分，其他各供应商的最后磋商报价得分按下列公式计算：（磋商基准价/最后磋商报价）×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%×100。</w:t>
            </w:r>
          </w:p>
        </w:tc>
      </w:tr>
      <w:tr w14:paraId="0471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4" w:hRule="atLeast"/>
          <w:jc w:val="center"/>
        </w:trPr>
        <w:tc>
          <w:tcPr>
            <w:tcW w:w="821" w:type="dxa"/>
            <w:noWrap/>
            <w:vAlign w:val="center"/>
          </w:tcPr>
          <w:p w14:paraId="7B7FC2BE">
            <w:pPr>
              <w:keepNext w:val="0"/>
              <w:pageBreakBefore w:val="0"/>
              <w:kinsoku/>
              <w:wordWrap/>
              <w:overflowPunct/>
              <w:topLinePunct w:val="0"/>
              <w:bidi w:val="0"/>
              <w:snapToGrid/>
              <w:spacing w:line="38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需求理解</w:t>
            </w:r>
          </w:p>
        </w:tc>
        <w:tc>
          <w:tcPr>
            <w:tcW w:w="764" w:type="dxa"/>
            <w:noWrap/>
            <w:vAlign w:val="center"/>
          </w:tcPr>
          <w:p w14:paraId="39FC6BFF">
            <w:pPr>
              <w:keepNext w:val="0"/>
              <w:pageBreakBefore w:val="0"/>
              <w:kinsoku/>
              <w:wordWrap/>
              <w:overflowPunct/>
              <w:topLinePunct w:val="0"/>
              <w:bidi w:val="0"/>
              <w:snapToGrid/>
              <w:spacing w:line="38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7396" w:type="dxa"/>
            <w:noWrap/>
            <w:vAlign w:val="center"/>
          </w:tcPr>
          <w:p w14:paraId="672A2739">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一、评审内容</w:t>
            </w:r>
          </w:p>
          <w:p w14:paraId="0F1163D5">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针对本项目详细列明</w:t>
            </w:r>
            <w:r>
              <w:rPr>
                <w:rFonts w:hint="eastAsia" w:ascii="仿宋" w:hAnsi="仿宋" w:eastAsia="仿宋" w:cs="仿宋"/>
                <w:color w:val="000000" w:themeColor="text1"/>
                <w:sz w:val="24"/>
                <w:szCs w:val="24"/>
                <w:highlight w:val="none"/>
                <w:lang w:eastAsia="zh-CN"/>
                <w14:textFill>
                  <w14:solidFill>
                    <w14:schemeClr w14:val="tx1"/>
                  </w14:solidFill>
                </w14:textFill>
              </w:rPr>
              <w:t>项目需求的理解</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内容包括</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实施方案编制服务：内容包括对运行现状、建设目标、服务内容及规模、重点建设内容的理解</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lang w:eastAsia="zh-CN"/>
                <w14:textFill>
                  <w14:solidFill>
                    <w14:schemeClr w14:val="tx1"/>
                  </w14:solidFill>
                </w14:textFill>
              </w:rPr>
              <w:t>信息化工程监理服务</w:t>
            </w:r>
            <w:r>
              <w:rPr>
                <w:rFonts w:hint="eastAsia" w:ascii="仿宋" w:hAnsi="仿宋" w:eastAsia="仿宋" w:cs="仿宋"/>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lang w:eastAsia="zh-CN"/>
                <w14:textFill>
                  <w14:solidFill>
                    <w14:schemeClr w14:val="tx1"/>
                  </w14:solidFill>
                </w14:textFill>
              </w:rPr>
              <w:t>第三方结算审核服务。</w:t>
            </w:r>
          </w:p>
          <w:p w14:paraId="3E236EDC">
            <w:pPr>
              <w:keepNext w:val="0"/>
              <w:pageBreakBefore w:val="0"/>
              <w:numPr>
                <w:ilvl w:val="0"/>
                <w:numId w:val="4"/>
              </w:numPr>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评审标准</w:t>
            </w:r>
          </w:p>
          <w:p w14:paraId="4D2524D6">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1、完整性：</w:t>
            </w:r>
            <w:r>
              <w:rPr>
                <w:rFonts w:hint="eastAsia" w:ascii="仿宋" w:hAnsi="仿宋" w:eastAsia="仿宋" w:cs="仿宋"/>
                <w:bCs/>
                <w:color w:val="000000" w:themeColor="text1"/>
                <w:sz w:val="24"/>
                <w:szCs w:val="24"/>
                <w:highlight w:val="none"/>
                <w:lang w:eastAsia="zh-CN"/>
                <w14:textFill>
                  <w14:solidFill>
                    <w14:schemeClr w14:val="tx1"/>
                  </w14:solidFill>
                </w14:textFill>
              </w:rPr>
              <w:t>内容须</w:t>
            </w:r>
            <w:r>
              <w:rPr>
                <w:rFonts w:hint="eastAsia" w:ascii="仿宋" w:hAnsi="仿宋" w:eastAsia="仿宋" w:cs="仿宋"/>
                <w:bCs/>
                <w:color w:val="000000" w:themeColor="text1"/>
                <w:sz w:val="24"/>
                <w:szCs w:val="24"/>
                <w:highlight w:val="none"/>
                <w14:textFill>
                  <w14:solidFill>
                    <w14:schemeClr w14:val="tx1"/>
                  </w14:solidFill>
                </w14:textFill>
              </w:rPr>
              <w:t>全面</w:t>
            </w:r>
            <w:r>
              <w:rPr>
                <w:rFonts w:hint="eastAsia" w:ascii="仿宋" w:hAnsi="仿宋" w:eastAsia="仿宋" w:cs="仿宋"/>
                <w:bCs/>
                <w:color w:val="000000" w:themeColor="text1"/>
                <w:sz w:val="24"/>
                <w:szCs w:val="24"/>
                <w:highlight w:val="none"/>
                <w:lang w:eastAsia="zh-CN"/>
                <w14:textFill>
                  <w14:solidFill>
                    <w14:schemeClr w14:val="tx1"/>
                  </w14:solidFill>
                </w14:textFill>
              </w:rPr>
              <w:t>透彻</w:t>
            </w:r>
            <w:r>
              <w:rPr>
                <w:rFonts w:hint="eastAsia" w:ascii="仿宋" w:hAnsi="仿宋" w:eastAsia="仿宋" w:cs="仿宋"/>
                <w:bCs/>
                <w:color w:val="000000" w:themeColor="text1"/>
                <w:sz w:val="24"/>
                <w:szCs w:val="24"/>
                <w:highlight w:val="none"/>
                <w14:textFill>
                  <w14:solidFill>
                    <w14:schemeClr w14:val="tx1"/>
                  </w14:solidFill>
                </w14:textFill>
              </w:rPr>
              <w:t>，对</w:t>
            </w:r>
            <w:r>
              <w:rPr>
                <w:rFonts w:hint="eastAsia" w:ascii="仿宋" w:hAnsi="仿宋" w:eastAsia="仿宋" w:cs="仿宋"/>
                <w:bCs/>
                <w:color w:val="000000" w:themeColor="text1"/>
                <w:sz w:val="24"/>
                <w:szCs w:val="24"/>
                <w:highlight w:val="none"/>
                <w:lang w:eastAsia="zh-CN"/>
                <w14:textFill>
                  <w14:solidFill>
                    <w14:schemeClr w14:val="tx1"/>
                  </w14:solidFill>
                </w14:textFill>
              </w:rPr>
              <w:t>项目需求</w:t>
            </w:r>
            <w:r>
              <w:rPr>
                <w:rFonts w:hint="eastAsia" w:ascii="仿宋" w:hAnsi="仿宋" w:eastAsia="仿宋" w:cs="仿宋"/>
                <w:bCs/>
                <w:color w:val="000000" w:themeColor="text1"/>
                <w:sz w:val="24"/>
                <w:szCs w:val="24"/>
                <w:highlight w:val="none"/>
                <w14:textFill>
                  <w14:solidFill>
                    <w14:schemeClr w14:val="tx1"/>
                  </w14:solidFill>
                </w14:textFill>
              </w:rPr>
              <w:t>的各项要求有</w:t>
            </w:r>
            <w:r>
              <w:rPr>
                <w:rFonts w:hint="eastAsia" w:ascii="仿宋" w:hAnsi="仿宋" w:eastAsia="仿宋" w:cs="仿宋"/>
                <w:bCs/>
                <w:color w:val="000000" w:themeColor="text1"/>
                <w:sz w:val="24"/>
                <w:szCs w:val="24"/>
                <w:highlight w:val="none"/>
                <w:lang w:eastAsia="zh-CN"/>
                <w14:textFill>
                  <w14:solidFill>
                    <w14:schemeClr w14:val="tx1"/>
                  </w14:solidFill>
                </w14:textFill>
              </w:rPr>
              <w:t>完整</w:t>
            </w:r>
            <w:r>
              <w:rPr>
                <w:rFonts w:hint="eastAsia" w:ascii="仿宋" w:hAnsi="仿宋" w:eastAsia="仿宋" w:cs="仿宋"/>
                <w:bCs/>
                <w:color w:val="000000" w:themeColor="text1"/>
                <w:sz w:val="24"/>
                <w:szCs w:val="24"/>
                <w:highlight w:val="none"/>
                <w14:textFill>
                  <w14:solidFill>
                    <w14:schemeClr w14:val="tx1"/>
                  </w14:solidFill>
                </w14:textFill>
              </w:rPr>
              <w:t>描述；</w:t>
            </w:r>
          </w:p>
          <w:p w14:paraId="6C22C777">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2、可实施性：切合本项目实际情况，实施步骤清晰、合理；</w:t>
            </w:r>
          </w:p>
          <w:p w14:paraId="2B3A7E6B">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3、针对性：方案能够紧扣项目实际情况，内容科学合理。</w:t>
            </w:r>
          </w:p>
          <w:p w14:paraId="05178AF0">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三、赋分标准（满分</w:t>
            </w: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分）</w:t>
            </w:r>
          </w:p>
          <w:p w14:paraId="5E2821A9">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bCs/>
                <w:color w:val="000000" w:themeColor="text1"/>
                <w:sz w:val="24"/>
                <w:szCs w:val="24"/>
                <w:highlight w:val="none"/>
                <w:lang w:eastAsia="zh-CN"/>
                <w14:textFill>
                  <w14:solidFill>
                    <w14:schemeClr w14:val="tx1"/>
                  </w14:solidFill>
                </w14:textFill>
              </w:rPr>
              <w:t>实施</w:t>
            </w:r>
            <w:r>
              <w:rPr>
                <w:rFonts w:hint="eastAsia" w:ascii="仿宋" w:hAnsi="仿宋" w:eastAsia="仿宋" w:cs="仿宋"/>
                <w:color w:val="000000" w:themeColor="text1"/>
                <w:sz w:val="24"/>
                <w:szCs w:val="24"/>
                <w:highlight w:val="none"/>
                <w:lang w:eastAsia="zh-CN"/>
                <w14:textFill>
                  <w14:solidFill>
                    <w14:schemeClr w14:val="tx1"/>
                  </w14:solidFill>
                </w14:textFill>
              </w:rPr>
              <w:t>方案编制服务</w:t>
            </w:r>
            <w:r>
              <w:rPr>
                <w:rFonts w:ascii="仿宋" w:hAnsi="仿宋" w:eastAsia="仿宋" w:cs="仿宋"/>
                <w:bCs/>
                <w:color w:val="000000" w:themeColor="text1"/>
                <w:sz w:val="24"/>
                <w:szCs w:val="24"/>
                <w:highlight w:val="none"/>
                <w14:textFill>
                  <w14:solidFill>
                    <w14:schemeClr w14:val="tx1"/>
                  </w14:solidFill>
                </w14:textFill>
              </w:rPr>
              <w:t>：每完全满足一个评审标准得</w:t>
            </w:r>
            <w:r>
              <w:rPr>
                <w:rFonts w:hint="eastAsia" w:ascii="仿宋" w:hAnsi="仿宋" w:eastAsia="仿宋" w:cs="仿宋"/>
                <w:bCs/>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ascii="仿宋" w:hAnsi="仿宋" w:eastAsia="仿宋" w:cs="仿宋"/>
                <w:bCs/>
                <w:color w:val="000000" w:themeColor="text1"/>
                <w:sz w:val="24"/>
                <w:szCs w:val="24"/>
                <w:highlight w:val="none"/>
                <w14:textFill>
                  <w14:solidFill>
                    <w14:schemeClr w14:val="tx1"/>
                  </w14:solidFill>
                </w14:textFill>
              </w:rPr>
              <w:t>分，满分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4.5</w:t>
            </w:r>
            <w:r>
              <w:rPr>
                <w:rFonts w:ascii="仿宋" w:hAnsi="仿宋" w:eastAsia="仿宋" w:cs="仿宋"/>
                <w:bCs/>
                <w:color w:val="000000" w:themeColor="text1"/>
                <w:sz w:val="24"/>
                <w:szCs w:val="24"/>
                <w:highlight w:val="none"/>
                <w14:textFill>
                  <w14:solidFill>
                    <w14:schemeClr w14:val="tx1"/>
                  </w14:solidFill>
                </w14:textFill>
              </w:rPr>
              <w:t>分；</w:t>
            </w:r>
          </w:p>
          <w:p w14:paraId="5474712F">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bCs/>
                <w:color w:val="000000" w:themeColor="text1"/>
                <w:sz w:val="24"/>
                <w:szCs w:val="24"/>
                <w:highlight w:val="none"/>
                <w:lang w:eastAsia="zh-CN"/>
                <w14:textFill>
                  <w14:solidFill>
                    <w14:schemeClr w14:val="tx1"/>
                  </w14:solidFill>
                </w14:textFill>
              </w:rPr>
              <w:t>信息化工程</w:t>
            </w:r>
            <w:r>
              <w:rPr>
                <w:rFonts w:hint="eastAsia" w:ascii="仿宋" w:hAnsi="仿宋" w:eastAsia="仿宋" w:cs="仿宋"/>
                <w:color w:val="000000" w:themeColor="text1"/>
                <w:sz w:val="24"/>
                <w:szCs w:val="24"/>
                <w:highlight w:val="none"/>
                <w:lang w:eastAsia="zh-CN"/>
                <w14:textFill>
                  <w14:solidFill>
                    <w14:schemeClr w14:val="tx1"/>
                  </w14:solidFill>
                </w14:textFill>
              </w:rPr>
              <w:t>监理服务</w:t>
            </w:r>
            <w:r>
              <w:rPr>
                <w:rFonts w:ascii="仿宋" w:hAnsi="仿宋" w:eastAsia="仿宋" w:cs="仿宋"/>
                <w:bCs/>
                <w:color w:val="000000" w:themeColor="text1"/>
                <w:sz w:val="24"/>
                <w:szCs w:val="24"/>
                <w:highlight w:val="none"/>
                <w14:textFill>
                  <w14:solidFill>
                    <w14:schemeClr w14:val="tx1"/>
                  </w14:solidFill>
                </w14:textFill>
              </w:rPr>
              <w:t>:每完全满足一个评审标准得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ascii="仿宋" w:hAnsi="仿宋" w:eastAsia="仿宋" w:cs="仿宋"/>
                <w:bCs/>
                <w:color w:val="000000" w:themeColor="text1"/>
                <w:sz w:val="24"/>
                <w:szCs w:val="24"/>
                <w:highlight w:val="none"/>
                <w14:textFill>
                  <w14:solidFill>
                    <w14:schemeClr w14:val="tx1"/>
                  </w14:solidFill>
                </w14:textFill>
              </w:rPr>
              <w:t>分，满分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ascii="仿宋" w:hAnsi="仿宋" w:eastAsia="仿宋" w:cs="仿宋"/>
                <w:bCs/>
                <w:color w:val="000000" w:themeColor="text1"/>
                <w:sz w:val="24"/>
                <w:szCs w:val="24"/>
                <w:highlight w:val="none"/>
                <w14:textFill>
                  <w14:solidFill>
                    <w14:schemeClr w14:val="tx1"/>
                  </w14:solidFill>
                </w14:textFill>
              </w:rPr>
              <w:t>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14:paraId="0431DFFF">
            <w:pPr>
              <w:keepNext w:val="0"/>
              <w:pageBreakBefore w:val="0"/>
              <w:tabs>
                <w:tab w:val="left" w:pos="547"/>
              </w:tabs>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lang w:eastAsia="zh-CN"/>
                <w14:textFill>
                  <w14:solidFill>
                    <w14:schemeClr w14:val="tx1"/>
                  </w14:solidFill>
                </w14:textFill>
              </w:rPr>
              <w:t>第三方结算审核服务</w:t>
            </w:r>
            <w:r>
              <w:rPr>
                <w:rFonts w:ascii="仿宋" w:hAnsi="仿宋" w:eastAsia="仿宋" w:cs="仿宋"/>
                <w:bCs/>
                <w:color w:val="000000" w:themeColor="text1"/>
                <w:sz w:val="24"/>
                <w:szCs w:val="24"/>
                <w:highlight w:val="none"/>
                <w14:textFill>
                  <w14:solidFill>
                    <w14:schemeClr w14:val="tx1"/>
                  </w14:solidFill>
                </w14:textFill>
              </w:rPr>
              <w:t>：每完全满足一个评审标准得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0.5</w:t>
            </w:r>
            <w:r>
              <w:rPr>
                <w:rFonts w:ascii="仿宋" w:hAnsi="仿宋" w:eastAsia="仿宋" w:cs="仿宋"/>
                <w:bCs/>
                <w:color w:val="000000" w:themeColor="text1"/>
                <w:sz w:val="24"/>
                <w:szCs w:val="24"/>
                <w:highlight w:val="none"/>
                <w14:textFill>
                  <w14:solidFill>
                    <w14:schemeClr w14:val="tx1"/>
                  </w14:solidFill>
                </w14:textFill>
              </w:rPr>
              <w:t>分，满分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1.5</w:t>
            </w:r>
            <w:r>
              <w:rPr>
                <w:rFonts w:ascii="仿宋" w:hAnsi="仿宋" w:eastAsia="仿宋" w:cs="仿宋"/>
                <w:bCs/>
                <w:color w:val="000000" w:themeColor="text1"/>
                <w:sz w:val="24"/>
                <w:szCs w:val="24"/>
                <w:highlight w:val="none"/>
                <w14:textFill>
                  <w14:solidFill>
                    <w14:schemeClr w14:val="tx1"/>
                  </w14:solidFill>
                </w14:textFill>
              </w:rPr>
              <w:t>分</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tc>
      </w:tr>
      <w:tr w14:paraId="3970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821" w:type="dxa"/>
            <w:noWrap/>
            <w:vAlign w:val="center"/>
          </w:tcPr>
          <w:p w14:paraId="4234BB05">
            <w:pPr>
              <w:keepNext w:val="0"/>
              <w:pageBreakBefore w:val="0"/>
              <w:kinsoku/>
              <w:wordWrap/>
              <w:overflowPunct/>
              <w:topLinePunct w:val="0"/>
              <w:bidi w:val="0"/>
              <w:snapToGrid/>
              <w:spacing w:line="38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总体服务</w:t>
            </w:r>
            <w:r>
              <w:rPr>
                <w:rFonts w:hint="eastAsia" w:ascii="仿宋" w:hAnsi="仿宋" w:eastAsia="仿宋" w:cs="仿宋"/>
                <w:color w:val="000000" w:themeColor="text1"/>
                <w:sz w:val="24"/>
                <w:szCs w:val="24"/>
                <w:highlight w:val="none"/>
                <w14:textFill>
                  <w14:solidFill>
                    <w14:schemeClr w14:val="tx1"/>
                  </w14:solidFill>
                </w14:textFill>
              </w:rPr>
              <w:t>方案</w:t>
            </w:r>
          </w:p>
        </w:tc>
        <w:tc>
          <w:tcPr>
            <w:tcW w:w="764" w:type="dxa"/>
            <w:noWrap/>
            <w:vAlign w:val="center"/>
          </w:tcPr>
          <w:p w14:paraId="4980578F">
            <w:pPr>
              <w:keepNext w:val="0"/>
              <w:pageBreakBefore w:val="0"/>
              <w:kinsoku/>
              <w:wordWrap/>
              <w:overflowPunct/>
              <w:topLinePunct w:val="0"/>
              <w:bidi w:val="0"/>
              <w:snapToGrid/>
              <w:spacing w:line="38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p>
        </w:tc>
        <w:tc>
          <w:tcPr>
            <w:tcW w:w="7396" w:type="dxa"/>
            <w:noWrap/>
            <w:vAlign w:val="center"/>
          </w:tcPr>
          <w:p w14:paraId="75C65B5B">
            <w:pPr>
              <w:keepNext w:val="0"/>
              <w:pageBreakBefore w:val="0"/>
              <w:kinsoku/>
              <w:wordWrap/>
              <w:overflowPunct/>
              <w:topLinePunct w:val="0"/>
              <w:bidi w:val="0"/>
              <w:snapToGrid/>
              <w:spacing w:line="380" w:lineRule="exact"/>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一、评审内容</w:t>
            </w:r>
          </w:p>
          <w:p w14:paraId="2614A39F">
            <w:pPr>
              <w:keepNext w:val="0"/>
              <w:pageBreakBefore w:val="0"/>
              <w:kinsoku/>
              <w:wordWrap/>
              <w:overflowPunct/>
              <w:topLinePunct w:val="0"/>
              <w:bidi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针对本项目提出</w:t>
            </w:r>
            <w:r>
              <w:rPr>
                <w:rFonts w:hint="eastAsia" w:ascii="仿宋" w:hAnsi="仿宋" w:eastAsia="仿宋" w:cs="仿宋"/>
                <w:color w:val="000000" w:themeColor="text1"/>
                <w:sz w:val="24"/>
                <w:szCs w:val="24"/>
                <w:highlight w:val="none"/>
                <w:lang w:eastAsia="zh-CN"/>
                <w14:textFill>
                  <w14:solidFill>
                    <w14:schemeClr w14:val="tx1"/>
                  </w14:solidFill>
                </w14:textFill>
              </w:rPr>
              <w:t>总体服务</w:t>
            </w:r>
            <w:r>
              <w:rPr>
                <w:rFonts w:hint="eastAsia" w:ascii="仿宋" w:hAnsi="仿宋" w:eastAsia="仿宋" w:cs="仿宋"/>
                <w:color w:val="000000" w:themeColor="text1"/>
                <w:sz w:val="24"/>
                <w:szCs w:val="24"/>
                <w:highlight w:val="none"/>
                <w14:textFill>
                  <w14:solidFill>
                    <w14:schemeClr w14:val="tx1"/>
                  </w14:solidFill>
                </w14:textFill>
              </w:rPr>
              <w:t>方案，内容包括①</w:t>
            </w:r>
            <w:r>
              <w:rPr>
                <w:rFonts w:hint="eastAsia" w:ascii="仿宋" w:hAnsi="仿宋" w:eastAsia="仿宋" w:cs="仿宋"/>
                <w:color w:val="000000" w:themeColor="text1"/>
                <w:sz w:val="24"/>
                <w:szCs w:val="24"/>
                <w:highlight w:val="none"/>
                <w:lang w:eastAsia="zh-CN"/>
                <w14:textFill>
                  <w14:solidFill>
                    <w14:schemeClr w14:val="tx1"/>
                  </w14:solidFill>
                </w14:textFill>
              </w:rPr>
              <w:t>实施方案编制服务：内容包括编制服务总体方案、信用服务目录（包含服务分类、服务内容、服务目标、服务范围及服务对象）及设计方案（包含服务目录对应的各项服务内容分项方案）</w:t>
            </w: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bCs/>
                <w:color w:val="000000" w:themeColor="text1"/>
                <w:sz w:val="24"/>
                <w:szCs w:val="24"/>
                <w:highlight w:val="none"/>
                <w:lang w:eastAsia="zh-CN"/>
                <w14:textFill>
                  <w14:solidFill>
                    <w14:schemeClr w14:val="tx1"/>
                  </w14:solidFill>
                </w14:textFill>
              </w:rPr>
              <w:t>信息化工程</w:t>
            </w:r>
            <w:r>
              <w:rPr>
                <w:rFonts w:hint="eastAsia" w:ascii="仿宋" w:hAnsi="仿宋" w:eastAsia="仿宋" w:cs="仿宋"/>
                <w:color w:val="000000" w:themeColor="text1"/>
                <w:sz w:val="24"/>
                <w:szCs w:val="24"/>
                <w:highlight w:val="none"/>
                <w:lang w:eastAsia="zh-CN"/>
                <w14:textFill>
                  <w14:solidFill>
                    <w14:schemeClr w14:val="tx1"/>
                  </w14:solidFill>
                </w14:textFill>
              </w:rPr>
              <w:t>监理服务：内容包括服务内容及依据、工作程序、安全管理、组织协调方法和措施、绩效考核及管理</w:t>
            </w:r>
            <w:r>
              <w:rPr>
                <w:rFonts w:hint="eastAsia" w:ascii="仿宋" w:hAnsi="仿宋" w:eastAsia="仿宋" w:cs="仿宋"/>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lang w:eastAsia="zh-CN"/>
                <w14:textFill>
                  <w14:solidFill>
                    <w14:schemeClr w14:val="tx1"/>
                  </w14:solidFill>
                </w14:textFill>
              </w:rPr>
              <w:t>第三方结算审核服务：内容包含结算审核方法及流程</w:t>
            </w:r>
            <w:r>
              <w:rPr>
                <w:rFonts w:hint="eastAsia" w:ascii="仿宋" w:hAnsi="仿宋" w:eastAsia="仿宋" w:cs="仿宋"/>
                <w:bCs/>
                <w:color w:val="000000" w:themeColor="text1"/>
                <w:sz w:val="24"/>
                <w:szCs w:val="24"/>
                <w:highlight w:val="none"/>
                <w14:textFill>
                  <w14:solidFill>
                    <w14:schemeClr w14:val="tx1"/>
                  </w14:solidFill>
                </w14:textFill>
              </w:rPr>
              <w:t>。</w:t>
            </w:r>
          </w:p>
          <w:p w14:paraId="0D5B9B90">
            <w:pPr>
              <w:keepNext w:val="0"/>
              <w:pageBreakBefore w:val="0"/>
              <w:kinsoku/>
              <w:wordWrap/>
              <w:overflowPunct/>
              <w:topLinePunct w:val="0"/>
              <w:bidi w:val="0"/>
              <w:snapToGrid/>
              <w:spacing w:line="380" w:lineRule="exact"/>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二、评审标准</w:t>
            </w:r>
          </w:p>
          <w:p w14:paraId="7AC900F9">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1、完整性：方案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内容</w:t>
            </w:r>
            <w:r>
              <w:rPr>
                <w:rFonts w:hint="eastAsia" w:ascii="仿宋" w:hAnsi="仿宋" w:eastAsia="仿宋" w:cs="仿宋"/>
                <w:color w:val="000000" w:themeColor="text1"/>
                <w:kern w:val="0"/>
                <w:sz w:val="24"/>
                <w:szCs w:val="24"/>
                <w:highlight w:val="none"/>
                <w14:textFill>
                  <w14:solidFill>
                    <w14:schemeClr w14:val="tx1"/>
                  </w14:solidFill>
                </w14:textFill>
              </w:rPr>
              <w:t>全面，对评审内容中的各项要求有详细描述；</w:t>
            </w:r>
          </w:p>
          <w:p w14:paraId="79E7DF7F">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2、可实施性：切合本项目实际情况，</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设计合理，</w:t>
            </w:r>
            <w:r>
              <w:rPr>
                <w:rFonts w:hint="eastAsia" w:ascii="仿宋" w:hAnsi="仿宋" w:eastAsia="仿宋" w:cs="仿宋"/>
                <w:color w:val="000000" w:themeColor="text1"/>
                <w:kern w:val="0"/>
                <w:sz w:val="24"/>
                <w:szCs w:val="24"/>
                <w:highlight w:val="none"/>
                <w14:textFill>
                  <w14:solidFill>
                    <w14:schemeClr w14:val="tx1"/>
                  </w14:solidFill>
                </w14:textFill>
              </w:rPr>
              <w:t>方案</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内容</w:t>
            </w:r>
            <w:r>
              <w:rPr>
                <w:rFonts w:hint="eastAsia" w:ascii="仿宋" w:hAnsi="仿宋" w:eastAsia="仿宋" w:cs="仿宋"/>
                <w:color w:val="000000" w:themeColor="text1"/>
                <w:kern w:val="0"/>
                <w:sz w:val="24"/>
                <w:szCs w:val="24"/>
                <w:highlight w:val="none"/>
                <w14:textFill>
                  <w14:solidFill>
                    <w14:schemeClr w14:val="tx1"/>
                  </w14:solidFill>
                </w14:textFill>
              </w:rPr>
              <w:t>步骤清晰；</w:t>
            </w:r>
          </w:p>
          <w:p w14:paraId="2FBD328B">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3、针对性：方案能够紧扣项目实际情况，内容科学合理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，重点突出</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74C2F52">
            <w:pPr>
              <w:keepNext w:val="0"/>
              <w:pageBreakBefore w:val="0"/>
              <w:kinsoku/>
              <w:wordWrap/>
              <w:overflowPunct/>
              <w:topLinePunct w:val="0"/>
              <w:bidi w:val="0"/>
              <w:snapToGrid/>
              <w:spacing w:line="380" w:lineRule="exact"/>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三、赋分标准（满分</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b/>
                <w:bCs/>
                <w:color w:val="000000" w:themeColor="text1"/>
                <w:sz w:val="24"/>
                <w:szCs w:val="24"/>
                <w:highlight w:val="none"/>
                <w14:textFill>
                  <w14:solidFill>
                    <w14:schemeClr w14:val="tx1"/>
                  </w14:solidFill>
                </w14:textFill>
              </w:rPr>
              <w:t>分）</w:t>
            </w:r>
          </w:p>
          <w:p w14:paraId="35AF5D3A">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方案编制服务</w:t>
            </w:r>
            <w:r>
              <w:rPr>
                <w:rFonts w:hint="eastAsia" w:ascii="仿宋" w:hAnsi="仿宋" w:eastAsia="仿宋" w:cs="仿宋"/>
                <w:color w:val="000000" w:themeColor="text1"/>
                <w:kern w:val="0"/>
                <w:sz w:val="24"/>
                <w:szCs w:val="24"/>
                <w:highlight w:val="none"/>
                <w14:textFill>
                  <w14:solidFill>
                    <w14:schemeClr w14:val="tx1"/>
                  </w14:solidFill>
                </w14:textFill>
              </w:rPr>
              <w:t>：每完全满足一项评审标准得1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kern w:val="0"/>
                <w:sz w:val="24"/>
                <w:szCs w:val="24"/>
                <w:highlight w:val="none"/>
                <w14:textFill>
                  <w14:solidFill>
                    <w14:schemeClr w14:val="tx1"/>
                  </w14:solidFill>
                </w14:textFill>
              </w:rPr>
              <w:t>分；</w:t>
            </w:r>
          </w:p>
          <w:p w14:paraId="0B63D238">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监理服务</w:t>
            </w:r>
            <w:r>
              <w:rPr>
                <w:rFonts w:hint="eastAsia" w:ascii="仿宋" w:hAnsi="仿宋" w:eastAsia="仿宋" w:cs="仿宋"/>
                <w:color w:val="000000" w:themeColor="text1"/>
                <w:kern w:val="0"/>
                <w:sz w:val="24"/>
                <w:szCs w:val="24"/>
                <w:highlight w:val="none"/>
                <w14:textFill>
                  <w14:solidFill>
                    <w14:schemeClr w14:val="tx1"/>
                  </w14:solidFill>
                </w14:textFill>
              </w:rPr>
              <w:t>：每完全满足一项评审标准得1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分，满分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14:paraId="73172A91">
            <w:pPr>
              <w:keepNext w:val="0"/>
              <w:pageBreakBefore w:val="0"/>
              <w:kinsoku/>
              <w:wordWrap/>
              <w:overflowPunct/>
              <w:topLinePunct w:val="0"/>
              <w:bidi w:val="0"/>
              <w:snapToGrid/>
              <w:spacing w:line="380" w:lineRule="exact"/>
              <w:textAlignment w:val="auto"/>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③</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结算审核服务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每完全满足一项评审标准得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2DFF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1" w:hRule="atLeast"/>
          <w:jc w:val="center"/>
        </w:trPr>
        <w:tc>
          <w:tcPr>
            <w:tcW w:w="821" w:type="dxa"/>
            <w:noWrap/>
            <w:vAlign w:val="center"/>
          </w:tcPr>
          <w:p w14:paraId="5844D1BB">
            <w:pPr>
              <w:keepNext w:val="0"/>
              <w:pageBreakBefore w:val="0"/>
              <w:kinsoku/>
              <w:wordWrap/>
              <w:overflowPunct/>
              <w:topLinePunct w:val="0"/>
              <w:bidi w:val="0"/>
              <w:snapToGrid/>
              <w:spacing w:line="38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质量保障方案</w:t>
            </w:r>
          </w:p>
        </w:tc>
        <w:tc>
          <w:tcPr>
            <w:tcW w:w="764" w:type="dxa"/>
            <w:noWrap/>
            <w:vAlign w:val="center"/>
          </w:tcPr>
          <w:p w14:paraId="10BB54E7">
            <w:pPr>
              <w:keepNext w:val="0"/>
              <w:pageBreakBefore w:val="0"/>
              <w:kinsoku/>
              <w:wordWrap/>
              <w:overflowPunct/>
              <w:topLinePunct w:val="0"/>
              <w:bidi w:val="0"/>
              <w:snapToGrid/>
              <w:spacing w:line="38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7396" w:type="dxa"/>
            <w:noWrap/>
            <w:vAlign w:val="center"/>
          </w:tcPr>
          <w:p w14:paraId="42D8E19A">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一、评审内容</w:t>
            </w:r>
          </w:p>
          <w:p w14:paraId="50784948">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针对本项目提出</w:t>
            </w:r>
            <w:r>
              <w:rPr>
                <w:rFonts w:hint="eastAsia" w:ascii="仿宋" w:hAnsi="仿宋" w:eastAsia="仿宋" w:cs="仿宋"/>
                <w:color w:val="000000" w:themeColor="text1"/>
                <w:sz w:val="24"/>
                <w:szCs w:val="24"/>
                <w:highlight w:val="none"/>
                <w:lang w:eastAsia="zh-CN"/>
                <w14:textFill>
                  <w14:solidFill>
                    <w14:schemeClr w14:val="tx1"/>
                  </w14:solidFill>
                </w14:textFill>
              </w:rPr>
              <w:t>质量保障</w:t>
            </w:r>
            <w:r>
              <w:rPr>
                <w:rFonts w:hint="eastAsia" w:ascii="仿宋" w:hAnsi="仿宋" w:eastAsia="仿宋" w:cs="仿宋"/>
                <w:color w:val="000000" w:themeColor="text1"/>
                <w:sz w:val="24"/>
                <w:szCs w:val="24"/>
                <w:highlight w:val="none"/>
                <w14:textFill>
                  <w14:solidFill>
                    <w14:schemeClr w14:val="tx1"/>
                  </w14:solidFill>
                </w14:textFill>
              </w:rPr>
              <w:t>方案，内容包括</w:t>
            </w:r>
            <w:r>
              <w:rPr>
                <w:rFonts w:hint="eastAsia" w:ascii="仿宋" w:hAnsi="仿宋" w:eastAsia="仿宋" w:cs="仿宋"/>
                <w:color w:val="000000" w:themeColor="text1"/>
                <w:sz w:val="24"/>
                <w:szCs w:val="24"/>
                <w:highlight w:val="none"/>
                <w:lang w:eastAsia="zh-CN"/>
                <w14:textFill>
                  <w14:solidFill>
                    <w14:schemeClr w14:val="tx1"/>
                  </w14:solidFill>
                </w14:textFill>
              </w:rPr>
              <w:t>实施</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方案编制服务、信息化工程监理服务及第三方结算审核服务共三项服务内容，每项服务内容均包含：</w:t>
            </w: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质量保障措施</w:t>
            </w: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lang w:eastAsia="zh-CN"/>
                <w14:textFill>
                  <w14:solidFill>
                    <w14:schemeClr w14:val="tx1"/>
                  </w14:solidFill>
                </w14:textFill>
              </w:rPr>
              <w:t>进度及风险保障措施</w:t>
            </w:r>
            <w:r>
              <w:rPr>
                <w:rFonts w:hint="eastAsia" w:ascii="仿宋" w:hAnsi="仿宋" w:eastAsia="仿宋" w:cs="仿宋"/>
                <w:color w:val="000000" w:themeColor="text1"/>
                <w:sz w:val="24"/>
                <w:szCs w:val="24"/>
                <w:highlight w:val="none"/>
                <w14:textFill>
                  <w14:solidFill>
                    <w14:schemeClr w14:val="tx1"/>
                  </w14:solidFill>
                </w14:textFill>
              </w:rPr>
              <w:t>。</w:t>
            </w:r>
          </w:p>
          <w:p w14:paraId="2E2F9CB9">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二、评审标准</w:t>
            </w:r>
          </w:p>
          <w:p w14:paraId="77BFA04B">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1、完整性：方案必须全面，对评审内容中的各项要求有详细描述；</w:t>
            </w:r>
          </w:p>
          <w:p w14:paraId="593BF6B5">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2、可实施性：切合本项目实际情况，提出步骤清晰、合理的方案；</w:t>
            </w:r>
          </w:p>
          <w:p w14:paraId="512D9357">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3、针对性：方案能够紧扣项目实际情况，内容科学合理。</w:t>
            </w:r>
          </w:p>
          <w:p w14:paraId="3DB2E8B8">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三、赋分标准（满分</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分）</w:t>
            </w:r>
          </w:p>
          <w:p w14:paraId="52A75147">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质量保证措施</w:t>
            </w:r>
            <w:r>
              <w:rPr>
                <w:rFonts w:hint="eastAsia" w:ascii="仿宋" w:hAnsi="仿宋" w:eastAsia="仿宋" w:cs="仿宋"/>
                <w:color w:val="000000" w:themeColor="text1"/>
                <w:sz w:val="24"/>
                <w:szCs w:val="24"/>
                <w:highlight w:val="none"/>
                <w14:textFill>
                  <w14:solidFill>
                    <w14:schemeClr w14:val="tx1"/>
                  </w14:solidFill>
                </w14:textFill>
              </w:rPr>
              <w:t>：每完全满足一项评审标准得1分，满分3分；</w:t>
            </w:r>
          </w:p>
          <w:p w14:paraId="0EAF7F24">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lang w:eastAsia="zh-CN"/>
                <w14:textFill>
                  <w14:solidFill>
                    <w14:schemeClr w14:val="tx1"/>
                  </w14:solidFill>
                </w14:textFill>
              </w:rPr>
              <w:t>进度及风险保障措施</w:t>
            </w:r>
            <w:r>
              <w:rPr>
                <w:rFonts w:hint="eastAsia" w:ascii="仿宋" w:hAnsi="仿宋" w:eastAsia="仿宋" w:cs="仿宋"/>
                <w:color w:val="000000" w:themeColor="text1"/>
                <w:sz w:val="24"/>
                <w:szCs w:val="24"/>
                <w:highlight w:val="none"/>
                <w14:textFill>
                  <w14:solidFill>
                    <w14:schemeClr w14:val="tx1"/>
                  </w14:solidFill>
                </w14:textFill>
              </w:rPr>
              <w:t>：每完全满足一项评审标准得1分，满分3分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4DD3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atLeast"/>
          <w:jc w:val="center"/>
        </w:trPr>
        <w:tc>
          <w:tcPr>
            <w:tcW w:w="821" w:type="dxa"/>
            <w:shd w:val="clear" w:color="auto" w:fill="auto"/>
            <w:noWrap/>
            <w:vAlign w:val="center"/>
          </w:tcPr>
          <w:p w14:paraId="23C2EE5E">
            <w:pPr>
              <w:keepNext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保密要求</w:t>
            </w:r>
          </w:p>
        </w:tc>
        <w:tc>
          <w:tcPr>
            <w:tcW w:w="764" w:type="dxa"/>
            <w:shd w:val="clear" w:color="auto" w:fill="auto"/>
            <w:noWrap/>
            <w:vAlign w:val="center"/>
          </w:tcPr>
          <w:p w14:paraId="5DDBA4E4">
            <w:pPr>
              <w:keepNext w:val="0"/>
              <w:pageBreakBefore w:val="0"/>
              <w:widowControl w:val="0"/>
              <w:kinsoku/>
              <w:wordWrap/>
              <w:overflowPunct/>
              <w:topLinePunct w:val="0"/>
              <w:bidi w:val="0"/>
              <w:snapToGrid/>
              <w:spacing w:line="38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396" w:type="dxa"/>
            <w:shd w:val="clear" w:color="auto" w:fill="auto"/>
            <w:noWrap/>
            <w:vAlign w:val="center"/>
          </w:tcPr>
          <w:p w14:paraId="41C7E091">
            <w:pPr>
              <w:keepNext w:val="0"/>
              <w:pageBreakBefore w:val="0"/>
              <w:widowControl w:val="0"/>
              <w:kinsoku/>
              <w:wordWrap/>
              <w:overflowPunct/>
              <w:topLinePunct w:val="0"/>
              <w:autoSpaceDE w:val="0"/>
              <w:autoSpaceDN w:val="0"/>
              <w:bidi w:val="0"/>
              <w:adjustRightInd w:val="0"/>
              <w:snapToGrid/>
              <w:spacing w:line="380" w:lineRule="exact"/>
              <w:textAlignment w:val="auto"/>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kern w:val="0"/>
                <w:sz w:val="24"/>
                <w:szCs w:val="24"/>
                <w:highlight w:val="none"/>
                <w14:textFill>
                  <w14:solidFill>
                    <w14:schemeClr w14:val="tx1"/>
                  </w14:solidFill>
                </w14:textFill>
              </w:rPr>
              <w:t>评审内容</w:t>
            </w:r>
          </w:p>
          <w:p w14:paraId="1ADE2376">
            <w:pPr>
              <w:pStyle w:val="2"/>
              <w:keepNext w:val="0"/>
              <w:pageBreakBefore w:val="0"/>
              <w:widowControl w:val="0"/>
              <w:kinsoku/>
              <w:wordWrap/>
              <w:overflowPunct/>
              <w:topLinePunct w:val="0"/>
              <w:bidi w:val="0"/>
              <w:snapToGrid/>
              <w:spacing w:afterLines="0" w:line="380" w:lineRule="exact"/>
              <w:ind w:firstLine="0" w:firstLineChars="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针对本项目制定专项保密制度，制度内容包含</w:t>
            </w:r>
            <w:r>
              <w:rPr>
                <w:rFonts w:hint="eastAsia" w:ascii="仿宋" w:hAnsi="仿宋" w:eastAsia="仿宋" w:cs="仿宋"/>
                <w:color w:val="000000" w:themeColor="text1"/>
                <w:kern w:val="0"/>
                <w:sz w:val="24"/>
                <w:szCs w:val="24"/>
                <w:highlight w:val="none"/>
                <w14:textFill>
                  <w14:solidFill>
                    <w14:schemeClr w14:val="tx1"/>
                  </w14:solidFill>
                </w14:textFill>
              </w:rPr>
              <w:t>①日常保密管理制度②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人员保密管理制度</w:t>
            </w:r>
            <w:r>
              <w:rPr>
                <w:rFonts w:hint="eastAsia" w:ascii="仿宋" w:hAnsi="仿宋" w:eastAsia="仿宋" w:cs="仿宋"/>
                <w:color w:val="000000" w:themeColor="text1"/>
                <w:sz w:val="24"/>
                <w:szCs w:val="24"/>
                <w:highlight w:val="none"/>
                <w14:textFill>
                  <w14:solidFill>
                    <w14:schemeClr w14:val="tx1"/>
                  </w14:solidFill>
                </w14:textFill>
              </w:rPr>
              <w:t>。</w:t>
            </w:r>
          </w:p>
          <w:p w14:paraId="0843F559">
            <w:pPr>
              <w:pStyle w:val="61"/>
              <w:keepNext w:val="0"/>
              <w:pageBreakBefore w:val="0"/>
              <w:kinsoku/>
              <w:wordWrap/>
              <w:overflowPunct/>
              <w:topLinePunct w:val="0"/>
              <w:bidi w:val="0"/>
              <w:snapToGrid/>
              <w:spacing w:line="380" w:lineRule="exact"/>
              <w:ind w:firstLine="0"/>
              <w:textAlignment w:val="auto"/>
              <w:rPr>
                <w:rFonts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6EA6479B">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1、完整性：方案须全面，对评审内容中的各项要求有详细描述及说明；</w:t>
            </w:r>
          </w:p>
          <w:p w14:paraId="5146381A">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可实施性：切合本项目实际情况，步骤清晰、合理，操作性强；</w:t>
            </w:r>
          </w:p>
          <w:p w14:paraId="076E839C">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3、针对性：方案能够紧扣项目实际情况，内容科学合理。</w:t>
            </w:r>
          </w:p>
          <w:p w14:paraId="204447FF">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三、赋分标准（满分3分）</w:t>
            </w:r>
          </w:p>
          <w:p w14:paraId="115D6529">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kern w:val="0"/>
                <w:sz w:val="24"/>
                <w:szCs w:val="24"/>
                <w:highlight w:val="none"/>
                <w14:textFill>
                  <w14:solidFill>
                    <w14:schemeClr w14:val="tx1"/>
                  </w14:solidFill>
                </w14:textFill>
              </w:rPr>
              <w:t>日常保密管理制度</w:t>
            </w:r>
            <w:r>
              <w:rPr>
                <w:rFonts w:hint="eastAsia" w:ascii="仿宋" w:hAnsi="仿宋" w:eastAsia="仿宋" w:cs="仿宋"/>
                <w:bCs/>
                <w:color w:val="000000" w:themeColor="text1"/>
                <w:sz w:val="24"/>
                <w:szCs w:val="24"/>
                <w:highlight w:val="none"/>
                <w14:textFill>
                  <w14:solidFill>
                    <w14:schemeClr w14:val="tx1"/>
                  </w14:solidFill>
                </w14:textFill>
              </w:rPr>
              <w:t>：每完全满足一项评审标准得0.5分，满分1.5分；</w:t>
            </w:r>
          </w:p>
          <w:p w14:paraId="018D570A">
            <w:pPr>
              <w:keepNext w:val="0"/>
              <w:pageBreakBefore w:val="0"/>
              <w:widowControl w:val="0"/>
              <w:kinsoku/>
              <w:wordWrap/>
              <w:overflowPunct/>
              <w:topLinePunct w:val="0"/>
              <w:bidi w:val="0"/>
              <w:snapToGrid/>
              <w:spacing w:line="380" w:lineRule="exact"/>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人员保密管理制度</w:t>
            </w:r>
            <w:r>
              <w:rPr>
                <w:rFonts w:hint="eastAsia" w:ascii="仿宋" w:hAnsi="仿宋" w:eastAsia="仿宋" w:cs="仿宋"/>
                <w:bCs/>
                <w:color w:val="000000" w:themeColor="text1"/>
                <w:sz w:val="24"/>
                <w:szCs w:val="24"/>
                <w:highlight w:val="none"/>
                <w14:textFill>
                  <w14:solidFill>
                    <w14:schemeClr w14:val="tx1"/>
                  </w14:solidFill>
                </w14:textFill>
              </w:rPr>
              <w:t>:每完全满足一项评审标准得0.5分，满分1.5分。</w:t>
            </w:r>
          </w:p>
        </w:tc>
      </w:tr>
      <w:tr w14:paraId="4C16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jc w:val="center"/>
        </w:trPr>
        <w:tc>
          <w:tcPr>
            <w:tcW w:w="821" w:type="dxa"/>
            <w:shd w:val="clear" w:color="auto" w:fill="auto"/>
            <w:noWrap/>
            <w:vAlign w:val="center"/>
          </w:tcPr>
          <w:p w14:paraId="29117B86">
            <w:pPr>
              <w:keepNext w:val="0"/>
              <w:pageBreakBefore w:val="0"/>
              <w:widowControl w:val="0"/>
              <w:kinsoku/>
              <w:wordWrap/>
              <w:overflowPunct/>
              <w:topLinePunct w:val="0"/>
              <w:bidi w:val="0"/>
              <w:snapToGrid/>
              <w:spacing w:line="38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管理</w:t>
            </w:r>
          </w:p>
          <w:p w14:paraId="306005DE">
            <w:pPr>
              <w:keepNext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制度</w:t>
            </w:r>
          </w:p>
        </w:tc>
        <w:tc>
          <w:tcPr>
            <w:tcW w:w="764" w:type="dxa"/>
            <w:shd w:val="clear" w:color="auto" w:fill="auto"/>
            <w:noWrap/>
            <w:vAlign w:val="center"/>
          </w:tcPr>
          <w:p w14:paraId="287DC581">
            <w:pPr>
              <w:keepNext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7396" w:type="dxa"/>
            <w:shd w:val="clear" w:color="auto" w:fill="auto"/>
            <w:noWrap/>
            <w:vAlign w:val="center"/>
          </w:tcPr>
          <w:p w14:paraId="43E8DDAB">
            <w:pPr>
              <w:keepNext w:val="0"/>
              <w:pageBreakBefore w:val="0"/>
              <w:widowControl w:val="0"/>
              <w:kinsoku/>
              <w:wordWrap/>
              <w:overflowPunct/>
              <w:topLinePunct w:val="0"/>
              <w:autoSpaceDE w:val="0"/>
              <w:autoSpaceDN w:val="0"/>
              <w:bidi w:val="0"/>
              <w:adjustRightInd w:val="0"/>
              <w:snapToGrid/>
              <w:spacing w:line="380" w:lineRule="exact"/>
              <w:textAlignment w:val="auto"/>
              <w:rPr>
                <w:rFonts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w:t>
            </w:r>
            <w:r>
              <w:rPr>
                <w:rFonts w:hint="eastAsia" w:ascii="仿宋" w:hAnsi="仿宋" w:eastAsia="仿宋" w:cs="仿宋"/>
                <w:b/>
                <w:bCs/>
                <w:color w:val="000000" w:themeColor="text1"/>
                <w:kern w:val="0"/>
                <w:sz w:val="24"/>
                <w:szCs w:val="24"/>
                <w:highlight w:val="none"/>
                <w14:textFill>
                  <w14:solidFill>
                    <w14:schemeClr w14:val="tx1"/>
                  </w14:solidFill>
                </w14:textFill>
              </w:rPr>
              <w:t>评审内容</w:t>
            </w:r>
          </w:p>
          <w:p w14:paraId="42D752DF">
            <w:pPr>
              <w:pStyle w:val="2"/>
              <w:keepNext w:val="0"/>
              <w:pageBreakBefore w:val="0"/>
              <w:widowControl w:val="0"/>
              <w:kinsoku/>
              <w:wordWrap/>
              <w:overflowPunct/>
              <w:topLinePunct w:val="0"/>
              <w:bidi w:val="0"/>
              <w:snapToGrid/>
              <w:spacing w:afterLines="0" w:line="380" w:lineRule="exact"/>
              <w:ind w:firstLine="0" w:firstLineChars="0"/>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针对本项目具有良好的管理制度，制度内容包含</w:t>
            </w:r>
            <w:r>
              <w:rPr>
                <w:rFonts w:hint="eastAsia" w:ascii="仿宋" w:hAnsi="仿宋" w:eastAsia="仿宋" w:cs="仿宋"/>
                <w:color w:val="000000" w:themeColor="text1"/>
                <w:kern w:val="0"/>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岗位职责：具有岗位工作标准、服务质量标准、作业流程及作业记录</w:t>
            </w:r>
            <w:r>
              <w:rPr>
                <w:rFonts w:hint="eastAsia" w:ascii="仿宋" w:hAnsi="仿宋" w:eastAsia="仿宋" w:cs="仿宋"/>
                <w:color w:val="000000" w:themeColor="text1"/>
                <w:kern w:val="0"/>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内控制度：具有管理组织机构、问责机制、监督机制、自查制度</w:t>
            </w:r>
            <w:r>
              <w:rPr>
                <w:rFonts w:hint="eastAsia" w:ascii="仿宋" w:hAnsi="仿宋" w:eastAsia="仿宋" w:cs="仿宋"/>
                <w:color w:val="000000" w:themeColor="text1"/>
                <w:kern w:val="0"/>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14:textFill>
                  <w14:solidFill>
                    <w14:schemeClr w14:val="tx1"/>
                  </w14:solidFill>
                </w14:textFill>
              </w:rPr>
              <w:t>人员管理制度：具有员工日常管理办法、请销假制度、奖惩措施、激励机制。</w:t>
            </w:r>
          </w:p>
          <w:p w14:paraId="30C48356">
            <w:pPr>
              <w:pStyle w:val="61"/>
              <w:keepNext w:val="0"/>
              <w:pageBreakBefore w:val="0"/>
              <w:kinsoku/>
              <w:wordWrap/>
              <w:overflowPunct/>
              <w:topLinePunct w:val="0"/>
              <w:bidi w:val="0"/>
              <w:snapToGrid/>
              <w:spacing w:line="380" w:lineRule="exact"/>
              <w:ind w:firstLine="0"/>
              <w:textAlignment w:val="auto"/>
              <w:rPr>
                <w:rFonts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二、评审标准</w:t>
            </w:r>
          </w:p>
          <w:p w14:paraId="7FB438D5">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1、完整性：方案须全面，对评审内容中的各项要求有详细描述及说明；</w:t>
            </w:r>
          </w:p>
          <w:p w14:paraId="3550FF37">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可实施性：切合本项目实际情况，步骤清晰、合理，操作性强；</w:t>
            </w:r>
          </w:p>
          <w:p w14:paraId="4503BDEE">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3、针对性：方案能够紧扣项目实际情况，内容科学合理。</w:t>
            </w:r>
          </w:p>
          <w:p w14:paraId="18646293">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三、赋分标准（满分</w:t>
            </w: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分）</w:t>
            </w:r>
          </w:p>
          <w:p w14:paraId="214FB397">
            <w:pPr>
              <w:keepNext w:val="0"/>
              <w:pageBreakBefore w:val="0"/>
              <w:widowControl w:val="0"/>
              <w:tabs>
                <w:tab w:val="left" w:pos="547"/>
              </w:tabs>
              <w:kinsoku/>
              <w:wordWrap/>
              <w:overflowPunct/>
              <w:topLinePunct w:val="0"/>
              <w:autoSpaceDE w:val="0"/>
              <w:autoSpaceDN w:val="0"/>
              <w:bidi w:val="0"/>
              <w:adjustRightInd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14:textFill>
                  <w14:solidFill>
                    <w14:schemeClr w14:val="tx1"/>
                  </w14:solidFill>
                </w14:textFill>
              </w:rPr>
              <w:t>岗位职责</w:t>
            </w:r>
            <w:r>
              <w:rPr>
                <w:rFonts w:hint="eastAsia" w:ascii="仿宋" w:hAnsi="仿宋" w:eastAsia="仿宋" w:cs="仿宋"/>
                <w:bCs/>
                <w:color w:val="000000" w:themeColor="text1"/>
                <w:sz w:val="24"/>
                <w:szCs w:val="24"/>
                <w:highlight w:val="none"/>
                <w14:textFill>
                  <w14:solidFill>
                    <w14:schemeClr w14:val="tx1"/>
                  </w14:solidFill>
                </w14:textFill>
              </w:rPr>
              <w:t>：每完全满足一项评审标准得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bCs/>
                <w:color w:val="000000" w:themeColor="text1"/>
                <w:sz w:val="24"/>
                <w:szCs w:val="24"/>
                <w:highlight w:val="none"/>
                <w14:textFill>
                  <w14:solidFill>
                    <w14:schemeClr w14:val="tx1"/>
                  </w14:solidFill>
                </w14:textFill>
              </w:rPr>
              <w:t>分，满分1.5分；</w:t>
            </w:r>
          </w:p>
          <w:p w14:paraId="0E22A043">
            <w:pPr>
              <w:keepNext w:val="0"/>
              <w:pageBreakBefore w:val="0"/>
              <w:widowControl w:val="0"/>
              <w:kinsoku/>
              <w:wordWrap/>
              <w:overflowPunct/>
              <w:topLinePunct w:val="0"/>
              <w:bidi w:val="0"/>
              <w:snapToGrid/>
              <w:spacing w:line="380" w:lineRule="exact"/>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内控制度</w:t>
            </w:r>
            <w:r>
              <w:rPr>
                <w:rFonts w:hint="eastAsia" w:ascii="仿宋" w:hAnsi="仿宋" w:eastAsia="仿宋" w:cs="仿宋"/>
                <w:bCs/>
                <w:color w:val="000000" w:themeColor="text1"/>
                <w:sz w:val="24"/>
                <w:szCs w:val="24"/>
                <w:highlight w:val="none"/>
                <w14:textFill>
                  <w14:solidFill>
                    <w14:schemeClr w14:val="tx1"/>
                  </w14:solidFill>
                </w14:textFill>
              </w:rPr>
              <w:t>:每完全满足一项评审标准得</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Cs/>
                <w:color w:val="000000" w:themeColor="text1"/>
                <w:sz w:val="24"/>
                <w:szCs w:val="24"/>
                <w:highlight w:val="none"/>
                <w14:textFill>
                  <w14:solidFill>
                    <w14:schemeClr w14:val="tx1"/>
                  </w14:solidFill>
                </w14:textFill>
              </w:rPr>
              <w:t>分，满分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分；</w:t>
            </w:r>
          </w:p>
          <w:p w14:paraId="561F3E34">
            <w:pPr>
              <w:keepNext w:val="0"/>
              <w:pageBreakBefore w:val="0"/>
              <w:widowControl w:val="0"/>
              <w:kinsoku/>
              <w:wordWrap/>
              <w:overflowPunct/>
              <w:topLinePunct w:val="0"/>
              <w:bidi w:val="0"/>
              <w:snapToGrid/>
              <w:spacing w:line="38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③人员管理制度</w:t>
            </w:r>
            <w:r>
              <w:rPr>
                <w:rFonts w:hint="eastAsia" w:ascii="仿宋" w:hAnsi="仿宋" w:eastAsia="仿宋" w:cs="仿宋"/>
                <w:bCs/>
                <w:color w:val="000000" w:themeColor="text1"/>
                <w:sz w:val="24"/>
                <w:szCs w:val="24"/>
                <w:highlight w:val="none"/>
                <w14:textFill>
                  <w14:solidFill>
                    <w14:schemeClr w14:val="tx1"/>
                  </w14:solidFill>
                </w14:textFill>
              </w:rPr>
              <w:t>：每完全满足一项评审标准得0.5分，满分1.5分。</w:t>
            </w:r>
          </w:p>
        </w:tc>
      </w:tr>
      <w:tr w14:paraId="48A8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821" w:type="dxa"/>
            <w:shd w:val="clear" w:color="auto" w:fill="auto"/>
            <w:noWrap/>
            <w:vAlign w:val="center"/>
          </w:tcPr>
          <w:p w14:paraId="7F8B5AF9">
            <w:pPr>
              <w:keepNext w:val="0"/>
              <w:pageBreakBefore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档案管理方案</w:t>
            </w:r>
          </w:p>
        </w:tc>
        <w:tc>
          <w:tcPr>
            <w:tcW w:w="764" w:type="dxa"/>
            <w:shd w:val="clear" w:color="auto" w:fill="auto"/>
            <w:noWrap/>
            <w:vAlign w:val="center"/>
          </w:tcPr>
          <w:p w14:paraId="1A9943EB">
            <w:pPr>
              <w:keepNext w:val="0"/>
              <w:pageBreakBefore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7396" w:type="dxa"/>
            <w:shd w:val="clear" w:color="auto" w:fill="auto"/>
            <w:noWrap/>
            <w:vAlign w:val="center"/>
          </w:tcPr>
          <w:p w14:paraId="52611A04">
            <w:pPr>
              <w:keepNext w:val="0"/>
              <w:pageBreakBefore w:val="0"/>
              <w:tabs>
                <w:tab w:val="left" w:pos="547"/>
              </w:tabs>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一、评审内容</w:t>
            </w:r>
          </w:p>
          <w:p w14:paraId="3A3453E1">
            <w:pPr>
              <w:keepNext w:val="0"/>
              <w:pageBreakBefore w:val="0"/>
              <w:tabs>
                <w:tab w:val="left" w:pos="547"/>
              </w:tabs>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根据本项目特点制定档案管理方案，内容包括①档案规划和保管措施②档案的备案登记和移交措施。</w:t>
            </w:r>
          </w:p>
          <w:p w14:paraId="1E8DF113">
            <w:pPr>
              <w:pStyle w:val="57"/>
              <w:keepNext w:val="0"/>
              <w:pageBreakBefore w:val="0"/>
              <w:kinsoku/>
              <w:wordWrap/>
              <w:overflowPunct/>
              <w:topLinePunct w:val="0"/>
              <w:bidi w:val="0"/>
              <w:snapToGrid/>
              <w:spacing w:after="0" w:line="380" w:lineRule="exact"/>
              <w:ind w:firstLine="0" w:firstLineChars="0"/>
              <w:textAlignment w:val="auto"/>
              <w:rPr>
                <w:b/>
                <w:color w:val="000000" w:themeColor="text1"/>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二、评审标准</w:t>
            </w:r>
          </w:p>
          <w:p w14:paraId="0A2B3165">
            <w:pPr>
              <w:keepNext w:val="0"/>
              <w:pageBreakBefore w:val="0"/>
              <w:tabs>
                <w:tab w:val="left" w:pos="547"/>
              </w:tabs>
              <w:kinsoku/>
              <w:wordWrap/>
              <w:overflowPunct/>
              <w:topLinePunct w:val="0"/>
              <w:bidi w:val="0"/>
              <w:snapToGrid/>
              <w:spacing w:line="380" w:lineRule="exac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1、完整性：方案须全面，对评审内容中的各项要求有详细描述；</w:t>
            </w:r>
          </w:p>
          <w:p w14:paraId="2115B25F">
            <w:pPr>
              <w:keepNext w:val="0"/>
              <w:pageBreakBefore w:val="0"/>
              <w:kinsoku/>
              <w:wordWrap/>
              <w:overflowPunct/>
              <w:topLinePunct w:val="0"/>
              <w:bidi w:val="0"/>
              <w:snapToGrid/>
              <w:spacing w:line="380" w:lineRule="exac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可实施性：切合本项目实际情况，实施步骤清晰、合理；</w:t>
            </w:r>
          </w:p>
          <w:p w14:paraId="253F621C">
            <w:pPr>
              <w:keepNext w:val="0"/>
              <w:pageBreakBefore w:val="0"/>
              <w:tabs>
                <w:tab w:val="left" w:pos="547"/>
              </w:tabs>
              <w:kinsoku/>
              <w:wordWrap/>
              <w:overflowPunct/>
              <w:topLinePunct w:val="0"/>
              <w:bidi w:val="0"/>
              <w:snapToGrid/>
              <w:spacing w:line="380" w:lineRule="exact"/>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3、针对性：方案能够紧扣项目实际情况，内容科学合理。</w:t>
            </w:r>
          </w:p>
          <w:p w14:paraId="4F4094FD">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三、赋分标准（满分</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szCs w:val="24"/>
                <w:highlight w:val="none"/>
                <w14:textFill>
                  <w14:solidFill>
                    <w14:schemeClr w14:val="tx1"/>
                  </w14:solidFill>
                </w14:textFill>
              </w:rPr>
              <w:t>分）</w:t>
            </w:r>
          </w:p>
          <w:p w14:paraId="0B600A64">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①档案规划和保管措施</w:t>
            </w:r>
            <w:r>
              <w:rPr>
                <w:rFonts w:hint="eastAsia" w:ascii="仿宋" w:hAnsi="仿宋" w:eastAsia="仿宋" w:cs="仿宋"/>
                <w:color w:val="000000" w:themeColor="text1"/>
                <w:sz w:val="24"/>
                <w:szCs w:val="24"/>
                <w:highlight w:val="none"/>
                <w14:textFill>
                  <w14:solidFill>
                    <w14:schemeClr w14:val="tx1"/>
                  </w14:solidFill>
                </w14:textFill>
              </w:rPr>
              <w:t>：每完全满足一个评审标准得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p w14:paraId="485E43F5">
            <w:pPr>
              <w:keepNext w:val="0"/>
              <w:pageBreakBefore w:val="0"/>
              <w:kinsoku/>
              <w:wordWrap/>
              <w:overflowPunct/>
              <w:topLinePunct w:val="0"/>
              <w:bidi w:val="0"/>
              <w:snapToGrid/>
              <w:spacing w:line="380" w:lineRule="exact"/>
              <w:textAlignment w:val="auto"/>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14:textFill>
                  <w14:solidFill>
                    <w14:schemeClr w14:val="tx1"/>
                  </w14:solidFill>
                </w14:textFill>
              </w:rPr>
              <w:t>档案的备案登记和移交措施:每完全满足一个评审标准得0.5分，满分1.5分。</w:t>
            </w:r>
          </w:p>
        </w:tc>
      </w:tr>
      <w:tr w14:paraId="547C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21" w:type="dxa"/>
            <w:shd w:val="clear" w:color="auto" w:fill="auto"/>
            <w:noWrap/>
            <w:vAlign w:val="center"/>
          </w:tcPr>
          <w:p w14:paraId="620F2F0A">
            <w:pPr>
              <w:keepNext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业绩</w:t>
            </w:r>
          </w:p>
        </w:tc>
        <w:tc>
          <w:tcPr>
            <w:tcW w:w="764" w:type="dxa"/>
            <w:shd w:val="clear" w:color="auto" w:fill="auto"/>
            <w:noWrap/>
            <w:vAlign w:val="center"/>
          </w:tcPr>
          <w:p w14:paraId="047E27DE">
            <w:pPr>
              <w:keepNext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7396" w:type="dxa"/>
            <w:shd w:val="clear" w:color="auto" w:fill="auto"/>
            <w:noWrap/>
            <w:vAlign w:val="center"/>
          </w:tcPr>
          <w:p w14:paraId="40723C73">
            <w:pPr>
              <w:keepNext w:val="0"/>
              <w:pageBreakBefore w:val="0"/>
              <w:widowControl w:val="0"/>
              <w:kinsoku/>
              <w:wordWrap/>
              <w:overflowPunct/>
              <w:topLinePunct w:val="0"/>
              <w:bidi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提供2021年1月1日以来</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类似项目业绩</w:t>
            </w:r>
            <w:r>
              <w:rPr>
                <w:rFonts w:hint="eastAsia" w:ascii="仿宋" w:hAnsi="仿宋" w:eastAsia="仿宋" w:cs="仿宋"/>
                <w:color w:val="000000" w:themeColor="text1"/>
                <w:sz w:val="24"/>
                <w:szCs w:val="24"/>
                <w:highlight w:val="none"/>
                <w14:textFill>
                  <w14:solidFill>
                    <w14:schemeClr w14:val="tx1"/>
                  </w14:solidFill>
                </w14:textFill>
              </w:rPr>
              <w:t>（以合同签订日期为准），每</w:t>
            </w:r>
            <w:r>
              <w:rPr>
                <w:rFonts w:hint="eastAsia" w:ascii="仿宋" w:hAnsi="仿宋" w:eastAsia="仿宋" w:cs="仿宋"/>
                <w:color w:val="000000" w:themeColor="text1"/>
                <w:sz w:val="24"/>
                <w:szCs w:val="24"/>
                <w:highlight w:val="none"/>
                <w:lang w:eastAsia="zh-CN"/>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份合格业绩合同计</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分；</w:t>
            </w:r>
          </w:p>
          <w:p w14:paraId="2F8D7057">
            <w:pPr>
              <w:keepNext w:val="0"/>
              <w:pageBreakBefore w:val="0"/>
              <w:widowControl w:val="0"/>
              <w:kinsoku/>
              <w:wordWrap/>
              <w:overflowPunct/>
              <w:topLinePunct w:val="0"/>
              <w:bidi w:val="0"/>
              <w:snapToGrid/>
              <w:spacing w:line="380" w:lineRule="exact"/>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备注：须提供完整</w:t>
            </w:r>
            <w:r>
              <w:rPr>
                <w:rFonts w:hint="eastAsia" w:ascii="仿宋" w:hAnsi="仿宋" w:eastAsia="仿宋" w:cs="仿宋"/>
                <w:color w:val="000000" w:themeColor="text1"/>
                <w:sz w:val="24"/>
                <w:szCs w:val="24"/>
                <w:highlight w:val="none"/>
                <w14:textFill>
                  <w14:solidFill>
                    <w14:schemeClr w14:val="tx1"/>
                  </w14:solidFill>
                </w14:textFill>
              </w:rPr>
              <w:t>合同业绩</w:t>
            </w:r>
            <w:r>
              <w:rPr>
                <w:rFonts w:hint="eastAsia" w:ascii="仿宋" w:hAnsi="仿宋" w:eastAsia="仿宋" w:cs="仿宋"/>
                <w:color w:val="000000" w:themeColor="text1"/>
                <w:sz w:val="24"/>
                <w:szCs w:val="24"/>
                <w:highlight w:val="none"/>
                <w:lang w:eastAsia="zh-CN"/>
                <w14:textFill>
                  <w14:solidFill>
                    <w14:schemeClr w14:val="tx1"/>
                  </w14:solidFill>
                </w14:textFill>
              </w:rPr>
              <w:t>（包含签字盖章页、金额页）</w:t>
            </w:r>
            <w:r>
              <w:rPr>
                <w:rFonts w:hint="eastAsia" w:ascii="仿宋" w:hAnsi="仿宋" w:eastAsia="仿宋" w:cs="仿宋"/>
                <w:color w:val="000000" w:themeColor="text1"/>
                <w:kern w:val="0"/>
                <w:sz w:val="24"/>
                <w:szCs w:val="24"/>
                <w:highlight w:val="none"/>
                <w14:textFill>
                  <w14:solidFill>
                    <w14:schemeClr w14:val="tx1"/>
                  </w14:solidFill>
                </w14:textFill>
              </w:rPr>
              <w:t>及对应发票复印件（发票可提供服务期内任意一张），并加盖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公章，以上两种证明材料同时提供方可得分，否则不得分。</w:t>
            </w:r>
          </w:p>
        </w:tc>
      </w:tr>
      <w:tr w14:paraId="138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21" w:type="dxa"/>
            <w:shd w:val="clear" w:color="auto" w:fill="auto"/>
            <w:noWrap/>
            <w:vAlign w:val="center"/>
          </w:tcPr>
          <w:p w14:paraId="1C3222C4">
            <w:pPr>
              <w:keepNext w:val="0"/>
              <w:pageBreakBefore w:val="0"/>
              <w:widowControl w:val="0"/>
              <w:kinsoku/>
              <w:wordWrap/>
              <w:overflowPunct/>
              <w:topLinePunct w:val="0"/>
              <w:bidi w:val="0"/>
              <w:snapToGrid/>
              <w:spacing w:line="38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企业实力</w:t>
            </w:r>
          </w:p>
        </w:tc>
        <w:tc>
          <w:tcPr>
            <w:tcW w:w="764" w:type="dxa"/>
            <w:shd w:val="clear" w:color="auto" w:fill="auto"/>
            <w:noWrap/>
            <w:vAlign w:val="center"/>
          </w:tcPr>
          <w:p w14:paraId="5610E301">
            <w:pPr>
              <w:keepNext w:val="0"/>
              <w:pageBreakBefore w:val="0"/>
              <w:widowControl w:val="0"/>
              <w:kinsoku/>
              <w:wordWrap/>
              <w:overflowPunct/>
              <w:topLinePunct w:val="0"/>
              <w:bidi w:val="0"/>
              <w:snapToGrid/>
              <w:spacing w:line="380" w:lineRule="exact"/>
              <w:jc w:val="center"/>
              <w:textAlignment w:val="auto"/>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7396" w:type="dxa"/>
            <w:shd w:val="clear" w:color="auto" w:fill="auto"/>
            <w:noWrap/>
            <w:vAlign w:val="center"/>
          </w:tcPr>
          <w:p w14:paraId="43DEC4F0">
            <w:pPr>
              <w:keepNext w:val="0"/>
              <w:pageBreakBefore w:val="0"/>
              <w:widowControl w:val="0"/>
              <w:kinsoku/>
              <w:wordWrap/>
              <w:overflowPunct/>
              <w:topLinePunct w:val="0"/>
              <w:bidi w:val="0"/>
              <w:snapToGrid/>
              <w:spacing w:line="380" w:lineRule="exact"/>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具有软件造价评估机构服务能力等级证书得2分，不提供不得分。</w:t>
            </w:r>
          </w:p>
          <w:p w14:paraId="60E11037">
            <w:pPr>
              <w:keepNext w:val="0"/>
              <w:pageBreakBefore w:val="0"/>
              <w:widowControl w:val="0"/>
              <w:kinsoku/>
              <w:wordWrap/>
              <w:overflowPunct/>
              <w:topLinePunct w:val="0"/>
              <w:bidi w:val="0"/>
              <w:snapToGrid/>
              <w:spacing w:line="380" w:lineRule="exac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赋分依据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：须提供证书复印件并加盖供应商公章。</w:t>
            </w:r>
          </w:p>
          <w:p w14:paraId="0547F2A0">
            <w:pPr>
              <w:keepNext w:val="0"/>
              <w:pageBreakBefore w:val="0"/>
              <w:widowControl w:val="0"/>
              <w:kinsoku/>
              <w:wordWrap/>
              <w:overflowPunct/>
              <w:topLinePunct w:val="0"/>
              <w:bidi w:val="0"/>
              <w:snapToGrid/>
              <w:spacing w:line="380" w:lineRule="exact"/>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供应商具有处于有效期内的ISO9001质量管理体系认证证书、ISO14001环境管理体系认证证书、ISO45001职业健康安全管理体系认证证书、IS027001信息安全管理体系证书、ISO20000信息技术服务管理体系认证证书，提供一份合格证书得1分，满分5分，不提供不得分。</w:t>
            </w:r>
          </w:p>
          <w:p w14:paraId="191982BC">
            <w:pPr>
              <w:keepNext w:val="0"/>
              <w:pageBreakBefore w:val="0"/>
              <w:widowControl w:val="0"/>
              <w:kinsoku/>
              <w:wordWrap/>
              <w:overflowPunct/>
              <w:topLinePunct w:val="0"/>
              <w:bidi w:val="0"/>
              <w:snapToGrid/>
              <w:spacing w:line="380" w:lineRule="exac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赋分依据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：须提供证书复印件并加盖供应商公章。</w:t>
            </w:r>
          </w:p>
          <w:p w14:paraId="3A3BD61F">
            <w:pPr>
              <w:keepNext w:val="0"/>
              <w:pageBreakBefore w:val="0"/>
              <w:widowControl w:val="0"/>
              <w:kinsoku/>
              <w:wordWrap/>
              <w:overflowPunct/>
              <w:topLinePunct w:val="0"/>
              <w:bidi w:val="0"/>
              <w:snapToGrid/>
              <w:spacing w:line="380" w:lineRule="exact"/>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3、供应商具有配套的信息系统咨询监理管理平台，得3分；同时提供该平台著作权证书得1分。满分4分，不提供不得分。</w:t>
            </w:r>
          </w:p>
          <w:p w14:paraId="4FE6F26D">
            <w:pPr>
              <w:keepNext w:val="0"/>
              <w:pageBreakBefore w:val="0"/>
              <w:widowControl w:val="0"/>
              <w:kinsoku/>
              <w:wordWrap/>
              <w:overflowPunct/>
              <w:topLinePunct w:val="0"/>
              <w:bidi w:val="0"/>
              <w:snapToGrid/>
              <w:spacing w:line="380" w:lineRule="exact"/>
              <w:textAlignment w:val="auto"/>
              <w:rPr>
                <w:rFonts w:hint="default" w:ascii="Calibri Light" w:hAnsi="Calibri Light" w:eastAsia="华文仿宋" w:cs="Calibri Light"/>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赋分依据：须提供管理平台相关证明材料及著作权证书复印件并加盖供应商公章。</w:t>
            </w:r>
          </w:p>
        </w:tc>
      </w:tr>
      <w:tr w14:paraId="4C6D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821" w:type="dxa"/>
            <w:noWrap/>
            <w:vAlign w:val="center"/>
          </w:tcPr>
          <w:p w14:paraId="08CAA8B8">
            <w:pPr>
              <w:keepNext w:val="0"/>
              <w:pageBreakBefore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关键人员配置</w:t>
            </w:r>
          </w:p>
        </w:tc>
        <w:tc>
          <w:tcPr>
            <w:tcW w:w="764" w:type="dxa"/>
            <w:noWrap/>
            <w:vAlign w:val="center"/>
          </w:tcPr>
          <w:p w14:paraId="79291972">
            <w:pPr>
              <w:keepNext w:val="0"/>
              <w:pageBreakBefore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p>
        </w:tc>
        <w:tc>
          <w:tcPr>
            <w:tcW w:w="7396" w:type="dxa"/>
            <w:noWrap/>
            <w:vAlign w:val="center"/>
          </w:tcPr>
          <w:p w14:paraId="4236D804">
            <w:pPr>
              <w:keepNext w:val="0"/>
              <w:pageBreakBefore w:val="0"/>
              <w:kinsoku/>
              <w:wordWrap/>
              <w:overflowPunct/>
              <w:topLinePunct w:val="0"/>
              <w:bidi w:val="0"/>
              <w:snapToGrid/>
              <w:spacing w:line="380" w:lineRule="exact"/>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实施方案编制</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分）</w:t>
            </w:r>
          </w:p>
          <w:p w14:paraId="35CCDC14">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方案编制负责人（1人）：同时具有高级工程师职称证书及注册咨询工程师（投资）证书，得3分。</w:t>
            </w:r>
          </w:p>
          <w:p w14:paraId="7BD7094F">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sz w:val="24"/>
                <w:szCs w:val="24"/>
                <w:highlight w:val="none"/>
                <w:lang w:val="en-US" w:eastAsia="zh-CN"/>
                <w14:textFill>
                  <w14:solidFill>
                    <w14:schemeClr w14:val="tx1"/>
                  </w14:solidFill>
                </w14:textFill>
              </w:rPr>
              <w:t>方案编制</w:t>
            </w:r>
            <w:r>
              <w:rPr>
                <w:rFonts w:hint="default" w:ascii="仿宋" w:hAnsi="仿宋" w:eastAsia="仿宋" w:cs="仿宋"/>
                <w:color w:val="000000" w:themeColor="text1"/>
                <w:sz w:val="24"/>
                <w:szCs w:val="24"/>
                <w:highlight w:val="none"/>
                <w:lang w:val="en-US" w:eastAsia="zh-CN"/>
                <w14:textFill>
                  <w14:solidFill>
                    <w14:schemeClr w14:val="tx1"/>
                  </w14:solidFill>
                </w14:textFill>
              </w:rPr>
              <w:t>技术顾问</w:t>
            </w:r>
            <w:r>
              <w:rPr>
                <w:rFonts w:hint="eastAsia" w:ascii="仿宋" w:hAnsi="仿宋" w:eastAsia="仿宋" w:cs="仿宋"/>
                <w:color w:val="000000" w:themeColor="text1"/>
                <w:sz w:val="24"/>
                <w:szCs w:val="24"/>
                <w:highlight w:val="none"/>
                <w:lang w:val="en-US" w:eastAsia="zh-CN"/>
                <w14:textFill>
                  <w14:solidFill>
                    <w14:schemeClr w14:val="tx1"/>
                  </w14:solidFill>
                </w14:textFill>
              </w:rPr>
              <w:t>（1人）：</w:t>
            </w:r>
            <w:r>
              <w:rPr>
                <w:rFonts w:hint="default" w:ascii="仿宋" w:hAnsi="仿宋" w:eastAsia="仿宋" w:cs="仿宋"/>
                <w:color w:val="000000" w:themeColor="text1"/>
                <w:sz w:val="24"/>
                <w:szCs w:val="24"/>
                <w:highlight w:val="none"/>
                <w:lang w:val="en-US" w:eastAsia="zh-CN"/>
                <w14:textFill>
                  <w14:solidFill>
                    <w14:schemeClr w14:val="tx1"/>
                  </w14:solidFill>
                </w14:textFill>
              </w:rPr>
              <w:t>同时具有高级工程师职称证书、注册咨询工程师（投资）证书及信息系统高级项目管理师证书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，得3分。</w:t>
            </w:r>
          </w:p>
          <w:p w14:paraId="3C65F0FB">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赋分依据：需按上述要求提供证书复印件并加盖供应商公章，不提供或缺漏项不得分。</w:t>
            </w:r>
          </w:p>
          <w:p w14:paraId="0AF569C1">
            <w:pPr>
              <w:keepNext w:val="0"/>
              <w:pageBreakBefore w:val="0"/>
              <w:kinsoku/>
              <w:wordWrap/>
              <w:overflowPunct/>
              <w:topLinePunct w:val="0"/>
              <w:bidi w:val="0"/>
              <w:snapToGrid/>
              <w:spacing w:line="380" w:lineRule="exact"/>
              <w:textAlignment w:val="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eastAsia="zh-CN"/>
                <w14:textFill>
                  <w14:solidFill>
                    <w14:schemeClr w14:val="tx1"/>
                  </w14:solidFill>
                </w14:textFill>
              </w:rPr>
              <w:t>信息化工程监理</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14:textFill>
                  <w14:solidFill>
                    <w14:schemeClr w14:val="tx1"/>
                  </w14:solidFill>
                </w14:textFill>
              </w:rPr>
              <w:t>分）</w:t>
            </w:r>
          </w:p>
          <w:p w14:paraId="58EED24C">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总监理工程师（</w:t>
            </w:r>
            <w:r>
              <w:rPr>
                <w:rFonts w:hint="eastAsia" w:ascii="仿宋" w:hAnsi="仿宋" w:eastAsia="仿宋" w:cs="仿宋"/>
                <w:color w:val="000000" w:themeColor="text1"/>
                <w:sz w:val="24"/>
                <w:szCs w:val="24"/>
                <w:highlight w:val="none"/>
                <w:lang w:val="en-US" w:eastAsia="zh-CN"/>
                <w14:textFill>
                  <w14:solidFill>
                    <w14:schemeClr w14:val="tx1"/>
                  </w14:solidFill>
                </w14:textFill>
              </w:rPr>
              <w:t>1人</w:t>
            </w:r>
            <w:r>
              <w:rPr>
                <w:rFonts w:hint="eastAsia" w:ascii="仿宋" w:hAnsi="仿宋" w:eastAsia="仿宋" w:cs="仿宋"/>
                <w:color w:val="000000" w:themeColor="text1"/>
                <w:sz w:val="24"/>
                <w:szCs w:val="24"/>
                <w:highlight w:val="none"/>
                <w:lang w:eastAsia="zh-CN"/>
                <w14:textFill>
                  <w14:solidFill>
                    <w14:schemeClr w14:val="tx1"/>
                  </w14:solidFill>
                </w14:textFill>
              </w:rPr>
              <w:t>）：具有注册信息安全专业人员（CISP）证书、ITSS国家信息技术服务标准应用经理培训合格证书、软件测试工程师证书、软件工程造价师证书、信息系统（或计算机相关专业）高级及以上职称证书，每提供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一份合格证书得1分，满分5分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AF8BD6C">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赋分依据：</w:t>
            </w:r>
            <w:r>
              <w:rPr>
                <w:rFonts w:hint="eastAsia" w:ascii="仿宋" w:hAnsi="仿宋" w:eastAsia="仿宋" w:cs="仿宋"/>
                <w:color w:val="000000" w:themeColor="text1"/>
                <w:sz w:val="24"/>
                <w:szCs w:val="24"/>
                <w:highlight w:val="none"/>
                <w:lang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证书</w:t>
            </w:r>
            <w:r>
              <w:rPr>
                <w:rFonts w:hint="eastAsia" w:ascii="仿宋" w:hAnsi="仿宋" w:eastAsia="仿宋" w:cs="仿宋"/>
                <w:color w:val="000000" w:themeColor="text1"/>
                <w:sz w:val="24"/>
                <w:szCs w:val="24"/>
                <w:highlight w:val="none"/>
                <w14:textFill>
                  <w14:solidFill>
                    <w14:schemeClr w14:val="tx1"/>
                  </w14:solidFill>
                </w14:textFill>
              </w:rPr>
              <w:t>复印件并加盖</w:t>
            </w:r>
            <w:r>
              <w:rPr>
                <w:rFonts w:hint="eastAsia" w:ascii="仿宋" w:hAnsi="仿宋" w:eastAsia="仿宋" w:cs="仿宋"/>
                <w:color w:val="000000" w:themeColor="text1"/>
                <w:sz w:val="24"/>
                <w:szCs w:val="24"/>
                <w:highlight w:val="none"/>
                <w:lang w:eastAsia="zh-CN"/>
                <w14:textFill>
                  <w14:solidFill>
                    <w14:schemeClr w14:val="tx1"/>
                  </w14:solidFill>
                </w14:textFill>
              </w:rPr>
              <w:t>供应商公章</w:t>
            </w:r>
            <w:r>
              <w:rPr>
                <w:rFonts w:hint="eastAsia" w:ascii="仿宋" w:hAnsi="仿宋" w:eastAsia="仿宋" w:cs="仿宋"/>
                <w:color w:val="000000" w:themeColor="text1"/>
                <w:sz w:val="24"/>
                <w:szCs w:val="24"/>
                <w:highlight w:val="none"/>
                <w14:textFill>
                  <w14:solidFill>
                    <w14:schemeClr w14:val="tx1"/>
                  </w14:solidFill>
                </w14:textFill>
              </w:rPr>
              <w:t>，不提供或缺漏项不得分。</w:t>
            </w:r>
          </w:p>
          <w:p w14:paraId="5DD57D90">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3、第三方结算审核（6分）</w:t>
            </w:r>
          </w:p>
          <w:p w14:paraId="30D9BFB9">
            <w:pPr>
              <w:keepNext w:val="0"/>
              <w:pageBreakBefore w:val="0"/>
              <w:kinsoku/>
              <w:wordWrap/>
              <w:overflowPunct/>
              <w:topLinePunct w:val="0"/>
              <w:bidi w:val="0"/>
              <w:snapToGrid/>
              <w:spacing w:line="380" w:lineRule="exact"/>
              <w:textAlignment w:val="auto"/>
              <w:rPr>
                <w:rFonts w:hint="eastAsia" w:ascii="华文仿宋" w:hAnsi="华文仿宋" w:eastAsia="华文仿宋" w:cs="华文仿宋"/>
                <w:color w:val="000000" w:themeColor="text1"/>
                <w:sz w:val="24"/>
                <w:szCs w:val="24"/>
                <w:highlight w:val="none"/>
                <w:lang w:val="en-US" w:eastAsia="zh-CN"/>
                <w14:textFill>
                  <w14:solidFill>
                    <w14:schemeClr w14:val="tx1"/>
                  </w14:solidFill>
                </w14:textFill>
              </w:rPr>
            </w:pPr>
            <w:r>
              <w:rPr>
                <w:rFonts w:hint="eastAsia" w:ascii="华文仿宋" w:hAnsi="华文仿宋" w:cs="华文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结算审核负责人（1人）</w:t>
            </w:r>
          </w:p>
          <w:p w14:paraId="798981C1">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sz w:val="24"/>
                <w:szCs w:val="24"/>
                <w:highlight w:val="none"/>
                <w:lang w:val="en-US" w:eastAsia="zh-CN"/>
                <w14:textFill>
                  <w14:solidFill>
                    <w14:schemeClr w14:val="tx1"/>
                  </w14:solidFill>
                </w14:textFill>
              </w:rPr>
              <w:t>结算审核负责人：具有信息化专业中级及以上职称证书，得2分。</w:t>
            </w:r>
          </w:p>
          <w:p w14:paraId="681047CE">
            <w:pPr>
              <w:keepNext w:val="0"/>
              <w:pageBreakBefore w:val="0"/>
              <w:kinsoku/>
              <w:wordWrap/>
              <w:overflowPunct/>
              <w:topLinePunct w:val="0"/>
              <w:bidi w:val="0"/>
              <w:snapToGrid/>
              <w:spacing w:line="380" w:lineRule="exact"/>
              <w:textAlignment w:val="auto"/>
              <w:rPr>
                <w:rFonts w:hint="eastAsia" w:ascii="华文仿宋" w:hAnsi="华文仿宋" w:eastAsia="仿宋" w:cs="华文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赋分依据：</w:t>
            </w:r>
            <w:r>
              <w:rPr>
                <w:rFonts w:hint="eastAsia" w:ascii="仿宋" w:hAnsi="仿宋" w:eastAsia="仿宋" w:cs="仿宋"/>
                <w:color w:val="000000" w:themeColor="text1"/>
                <w:sz w:val="24"/>
                <w:szCs w:val="24"/>
                <w:highlight w:val="none"/>
                <w:lang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证书</w:t>
            </w:r>
            <w:r>
              <w:rPr>
                <w:rFonts w:hint="eastAsia" w:ascii="仿宋" w:hAnsi="仿宋" w:eastAsia="仿宋" w:cs="仿宋"/>
                <w:color w:val="000000" w:themeColor="text1"/>
                <w:sz w:val="24"/>
                <w:szCs w:val="24"/>
                <w:highlight w:val="none"/>
                <w14:textFill>
                  <w14:solidFill>
                    <w14:schemeClr w14:val="tx1"/>
                  </w14:solidFill>
                </w14:textFill>
              </w:rPr>
              <w:t>复印件并加盖</w:t>
            </w:r>
            <w:r>
              <w:rPr>
                <w:rFonts w:hint="eastAsia" w:ascii="仿宋" w:hAnsi="仿宋" w:eastAsia="仿宋" w:cs="仿宋"/>
                <w:color w:val="000000" w:themeColor="text1"/>
                <w:sz w:val="24"/>
                <w:szCs w:val="24"/>
                <w:highlight w:val="none"/>
                <w:lang w:eastAsia="zh-CN"/>
                <w14:textFill>
                  <w14:solidFill>
                    <w14:schemeClr w14:val="tx1"/>
                  </w14:solidFill>
                </w14:textFill>
              </w:rPr>
              <w:t>供应商公章</w:t>
            </w:r>
            <w:r>
              <w:rPr>
                <w:rFonts w:hint="eastAsia" w:ascii="仿宋" w:hAnsi="仿宋" w:eastAsia="仿宋" w:cs="仿宋"/>
                <w:color w:val="000000" w:themeColor="text1"/>
                <w:sz w:val="24"/>
                <w:szCs w:val="24"/>
                <w:highlight w:val="none"/>
                <w14:textFill>
                  <w14:solidFill>
                    <w14:schemeClr w14:val="tx1"/>
                  </w14:solidFill>
                </w14:textFill>
              </w:rPr>
              <w:t>，不提供或缺漏项不得分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64020BA">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24"/>
                <w:szCs w:val="24"/>
                <w:highlight w:val="none"/>
                <w:lang w:val="en-US" w:eastAsia="zh-CN"/>
                <w14:textFill>
                  <w14:solidFill>
                    <w14:schemeClr w14:val="tx1"/>
                  </w14:solidFill>
                </w14:textFill>
              </w:rPr>
              <w:t>②</w:t>
            </w:r>
            <w:r>
              <w:rPr>
                <w:rFonts w:hint="eastAsia" w:ascii="华文仿宋" w:hAnsi="华文仿宋" w:cs="华文仿宋"/>
                <w:color w:val="000000" w:themeColor="text1"/>
                <w:sz w:val="24"/>
                <w:szCs w:val="24"/>
                <w:highlight w:val="none"/>
                <w:lang w:val="en-US" w:eastAsia="zh-CN"/>
                <w14:textFill>
                  <w14:solidFill>
                    <w14:schemeClr w14:val="tx1"/>
                  </w14:solidFill>
                </w14:textFill>
              </w:rPr>
              <w:t>结算审核负责人业绩：</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提供2021年1月1日以来信息化造价评估项目的业绩证明材料（需提供完整合同及行业主管机构的符合性评定报告），得1分，满分2分。</w:t>
            </w:r>
          </w:p>
          <w:p w14:paraId="1FEE796E">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赋分依据：</w:t>
            </w:r>
            <w:r>
              <w:rPr>
                <w:rFonts w:hint="eastAsia" w:ascii="仿宋" w:hAnsi="仿宋" w:eastAsia="仿宋" w:cs="仿宋"/>
                <w:color w:val="000000" w:themeColor="text1"/>
                <w:sz w:val="24"/>
                <w:szCs w:val="24"/>
                <w:highlight w:val="none"/>
                <w:lang w:eastAsia="zh-CN"/>
                <w14:textFill>
                  <w14:solidFill>
                    <w14:schemeClr w14:val="tx1"/>
                  </w14:solidFill>
                </w14:textFill>
              </w:rPr>
              <w:t>须</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业绩证明材料</w:t>
            </w:r>
            <w:r>
              <w:rPr>
                <w:rFonts w:hint="eastAsia" w:ascii="仿宋" w:hAnsi="仿宋" w:eastAsia="仿宋" w:cs="仿宋"/>
                <w:color w:val="000000" w:themeColor="text1"/>
                <w:sz w:val="24"/>
                <w:szCs w:val="24"/>
                <w:highlight w:val="none"/>
                <w14:textFill>
                  <w14:solidFill>
                    <w14:schemeClr w14:val="tx1"/>
                  </w14:solidFill>
                </w14:textFill>
              </w:rPr>
              <w:t>复印件并加盖</w:t>
            </w:r>
            <w:r>
              <w:rPr>
                <w:rFonts w:hint="eastAsia" w:ascii="仿宋" w:hAnsi="仿宋" w:eastAsia="仿宋" w:cs="仿宋"/>
                <w:color w:val="000000" w:themeColor="text1"/>
                <w:sz w:val="24"/>
                <w:szCs w:val="24"/>
                <w:highlight w:val="none"/>
                <w:lang w:eastAsia="zh-CN"/>
                <w14:textFill>
                  <w14:solidFill>
                    <w14:schemeClr w14:val="tx1"/>
                  </w14:solidFill>
                </w14:textFill>
              </w:rPr>
              <w:t>供应商公章</w:t>
            </w:r>
            <w:r>
              <w:rPr>
                <w:rFonts w:hint="eastAsia" w:ascii="仿宋" w:hAnsi="仿宋" w:eastAsia="仿宋" w:cs="仿宋"/>
                <w:color w:val="000000" w:themeColor="text1"/>
                <w:sz w:val="24"/>
                <w:szCs w:val="24"/>
                <w:highlight w:val="none"/>
                <w14:textFill>
                  <w14:solidFill>
                    <w14:schemeClr w14:val="tx1"/>
                  </w14:solidFill>
                </w14:textFill>
              </w:rPr>
              <w:t>，不提供或缺漏项不得分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502D9A4">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华文仿宋" w:hAnsi="华文仿宋" w:cs="华文仿宋"/>
                <w:color w:val="000000" w:themeColor="text1"/>
                <w:sz w:val="24"/>
                <w:szCs w:val="24"/>
                <w:highlight w:val="none"/>
                <w:lang w:val="en-US" w:eastAsia="zh-CN"/>
                <w14:textFill>
                  <w14:solidFill>
                    <w14:schemeClr w14:val="tx1"/>
                  </w14:solidFill>
                </w14:textFill>
              </w:rPr>
              <w:t>（2）结算审核</w:t>
            </w:r>
            <w:r>
              <w:rPr>
                <w:rFonts w:hint="eastAsia" w:ascii="仿宋" w:hAnsi="仿宋" w:eastAsia="仿宋" w:cs="仿宋"/>
                <w:color w:val="000000" w:themeColor="text1"/>
                <w:sz w:val="24"/>
                <w:szCs w:val="24"/>
                <w:highlight w:val="none"/>
                <w:lang w:val="en-US" w:eastAsia="zh-CN"/>
                <w14:textFill>
                  <w14:solidFill>
                    <w14:schemeClr w14:val="tx1"/>
                  </w14:solidFill>
                </w14:textFill>
              </w:rPr>
              <w:t>技术负责人（1人）：具有信息化中级及以上职称（或人社颁发的计算机技术与软件专业技术中级资格）证书，得2分。</w:t>
            </w:r>
          </w:p>
          <w:p w14:paraId="79A24685">
            <w:pPr>
              <w:keepNext w:val="0"/>
              <w:pageBreakBefore w:val="0"/>
              <w:kinsoku/>
              <w:wordWrap/>
              <w:overflowPunct/>
              <w:topLinePunct w:val="0"/>
              <w:bidi w:val="0"/>
              <w:snapToGrid/>
              <w:spacing w:line="380" w:lineRule="exact"/>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备注：除上述赋分依据外，还须同时</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为</w:t>
            </w:r>
            <w:r>
              <w:rPr>
                <w:rFonts w:hint="eastAsia" w:ascii="仿宋" w:hAnsi="仿宋" w:eastAsia="仿宋" w:cs="仿宋"/>
                <w:color w:val="000000" w:themeColor="text1"/>
                <w:sz w:val="24"/>
                <w:szCs w:val="24"/>
                <w:highlight w:val="none"/>
                <w:lang w:eastAsia="zh-CN"/>
                <w14:textFill>
                  <w14:solidFill>
                    <w14:schemeClr w14:val="tx1"/>
                  </w14:solidFill>
                </w14:textFill>
              </w:rPr>
              <w:t>以上人员（共</w:t>
            </w:r>
            <w:r>
              <w:rPr>
                <w:rFonts w:hint="eastAsia" w:ascii="仿宋" w:hAnsi="仿宋" w:eastAsia="仿宋" w:cs="仿宋"/>
                <w:color w:val="000000" w:themeColor="text1"/>
                <w:sz w:val="24"/>
                <w:szCs w:val="24"/>
                <w:highlight w:val="none"/>
                <w:lang w:val="en-US" w:eastAsia="zh-CN"/>
                <w14:textFill>
                  <w14:solidFill>
                    <w14:schemeClr w14:val="tx1"/>
                  </w14:solidFill>
                </w14:textFill>
              </w:rPr>
              <w:t>5人</w:t>
            </w:r>
            <w:r>
              <w:rPr>
                <w:rFonts w:hint="eastAsia" w:ascii="仿宋" w:hAnsi="仿宋" w:eastAsia="仿宋" w:cs="仿宋"/>
                <w:color w:val="000000" w:themeColor="text1"/>
                <w:sz w:val="24"/>
                <w:szCs w:val="24"/>
                <w:highlight w:val="none"/>
                <w:lang w:eastAsia="zh-CN"/>
                <w14:textFill>
                  <w14:solidFill>
                    <w14:schemeClr w14:val="tx1"/>
                  </w14:solidFill>
                </w14:textFill>
              </w:rPr>
              <w:t>）缴纳</w:t>
            </w:r>
            <w:r>
              <w:rPr>
                <w:rFonts w:hint="eastAsia" w:ascii="仿宋" w:hAnsi="仿宋" w:eastAsia="仿宋" w:cs="仿宋"/>
                <w:color w:val="000000" w:themeColor="text1"/>
                <w:sz w:val="24"/>
                <w:szCs w:val="24"/>
                <w:highlight w:val="none"/>
                <w14:textFill>
                  <w14:solidFill>
                    <w14:schemeClr w14:val="tx1"/>
                  </w14:solidFill>
                </w14:textFill>
              </w:rPr>
              <w:t>的近六个月内至少连续三个月的社保缴纳证明材料（成立时间至提交</w:t>
            </w:r>
            <w:r>
              <w:rPr>
                <w:rFonts w:hint="eastAsia" w:ascii="仿宋" w:hAnsi="仿宋" w:eastAsia="仿宋" w:cs="仿宋"/>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color w:val="000000" w:themeColor="text1"/>
                <w:sz w:val="24"/>
                <w:szCs w:val="24"/>
                <w:highlight w:val="none"/>
                <w14:textFill>
                  <w14:solidFill>
                    <w14:schemeClr w14:val="tx1"/>
                  </w14:solidFill>
                </w14:textFill>
              </w:rPr>
              <w:t>截止时间不足六个月的</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，可提供成立后任意一个月的社保缴纳证明材料），不提供或缺漏项</w:t>
            </w:r>
            <w:r>
              <w:rPr>
                <w:rFonts w:hint="eastAsia" w:ascii="仿宋" w:hAnsi="仿宋" w:eastAsia="仿宋" w:cs="仿宋"/>
                <w:color w:val="000000" w:themeColor="text1"/>
                <w:sz w:val="24"/>
                <w:szCs w:val="24"/>
                <w:highlight w:val="none"/>
                <w:lang w:eastAsia="zh-CN"/>
                <w14:textFill>
                  <w14:solidFill>
                    <w14:schemeClr w14:val="tx1"/>
                  </w14:solidFill>
                </w14:textFill>
              </w:rPr>
              <w:t>的，则对应项</w:t>
            </w:r>
            <w:r>
              <w:rPr>
                <w:rFonts w:hint="eastAsia" w:ascii="仿宋" w:hAnsi="仿宋" w:eastAsia="仿宋" w:cs="仿宋"/>
                <w:color w:val="000000" w:themeColor="text1"/>
                <w:sz w:val="24"/>
                <w:szCs w:val="24"/>
                <w:highlight w:val="none"/>
                <w14:textFill>
                  <w14:solidFill>
                    <w14:schemeClr w14:val="tx1"/>
                  </w14:solidFill>
                </w14:textFill>
              </w:rPr>
              <w:t>不得分。</w:t>
            </w:r>
          </w:p>
        </w:tc>
      </w:tr>
      <w:tr w14:paraId="783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21" w:type="dxa"/>
            <w:noWrap/>
            <w:vAlign w:val="center"/>
          </w:tcPr>
          <w:p w14:paraId="2A0BD737">
            <w:pPr>
              <w:keepNext w:val="0"/>
              <w:pageBreakBefore w:val="0"/>
              <w:kinsoku/>
              <w:wordWrap/>
              <w:overflowPunct/>
              <w:topLinePunct w:val="0"/>
              <w:bidi w:val="0"/>
              <w:snapToGrid/>
              <w:spacing w:line="380" w:lineRule="exact"/>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团队人员配置</w:t>
            </w:r>
          </w:p>
        </w:tc>
        <w:tc>
          <w:tcPr>
            <w:tcW w:w="764" w:type="dxa"/>
            <w:noWrap/>
            <w:vAlign w:val="center"/>
          </w:tcPr>
          <w:p w14:paraId="544A3D23">
            <w:pPr>
              <w:keepNext w:val="0"/>
              <w:pageBreakBefore w:val="0"/>
              <w:kinsoku/>
              <w:wordWrap/>
              <w:overflowPunct/>
              <w:topLinePunct w:val="0"/>
              <w:bidi w:val="0"/>
              <w:snapToGrid/>
              <w:spacing w:line="380" w:lineRule="exac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p>
        </w:tc>
        <w:tc>
          <w:tcPr>
            <w:tcW w:w="7396" w:type="dxa"/>
            <w:noWrap/>
            <w:vAlign w:val="center"/>
          </w:tcPr>
          <w:p w14:paraId="13266AEE">
            <w:pPr>
              <w:keepNext w:val="0"/>
              <w:pageBreakBefore w:val="0"/>
              <w:kinsoku/>
              <w:wordWrap/>
              <w:overflowPunct/>
              <w:topLinePunct w:val="0"/>
              <w:bidi w:val="0"/>
              <w:snapToGrid/>
              <w:spacing w:line="3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实施方案编制（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14:paraId="610E5FBB">
            <w:pPr>
              <w:keepNext w:val="0"/>
              <w:pageBreakBefore w:val="0"/>
              <w:kinsoku/>
              <w:wordWrap/>
              <w:overflowPunct/>
              <w:topLinePunct w:val="0"/>
              <w:bidi w:val="0"/>
              <w:snapToGrid/>
              <w:spacing w:line="380" w:lineRule="exac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实施方案编制团队人员（4人）：</w:t>
            </w:r>
            <w:r>
              <w:rPr>
                <w:rFonts w:hint="default" w:ascii="仿宋" w:hAnsi="仿宋" w:eastAsia="仿宋" w:cs="仿宋"/>
                <w:color w:val="000000" w:themeColor="text1"/>
                <w:sz w:val="24"/>
                <w:szCs w:val="24"/>
                <w:highlight w:val="none"/>
                <w:lang w:val="en-US" w:eastAsia="zh-CN"/>
                <w14:textFill>
                  <w14:solidFill>
                    <w14:schemeClr w14:val="tx1"/>
                  </w14:solidFill>
                </w14:textFill>
              </w:rPr>
              <w:t>每</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w:t>
            </w:r>
            <w:r>
              <w:rPr>
                <w:rFonts w:hint="default"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人的</w:t>
            </w:r>
            <w:r>
              <w:rPr>
                <w:rFonts w:hint="default" w:ascii="仿宋" w:hAnsi="仿宋" w:eastAsia="仿宋" w:cs="仿宋"/>
                <w:color w:val="000000" w:themeColor="text1"/>
                <w:sz w:val="24"/>
                <w:szCs w:val="24"/>
                <w:highlight w:val="none"/>
                <w:lang w:val="en-US" w:eastAsia="zh-CN"/>
                <w14:textFill>
                  <w14:solidFill>
                    <w14:schemeClr w14:val="tx1"/>
                  </w14:solidFill>
                </w14:textFill>
              </w:rPr>
              <w:t>高级工程师职称证书或注册咨询工程师（投资）证书，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得1.5</w:t>
            </w:r>
            <w:r>
              <w:rPr>
                <w:rFonts w:hint="default" w:ascii="仿宋" w:hAnsi="仿宋" w:eastAsia="仿宋" w:cs="仿宋"/>
                <w:color w:val="000000" w:themeColor="text1"/>
                <w:sz w:val="24"/>
                <w:szCs w:val="24"/>
                <w:highlight w:val="none"/>
                <w:lang w:val="en-US" w:eastAsia="zh-CN"/>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满分6分，</w:t>
            </w:r>
            <w:r>
              <w:rPr>
                <w:rFonts w:hint="default" w:ascii="仿宋" w:hAnsi="仿宋" w:eastAsia="仿宋" w:cs="仿宋"/>
                <w:color w:val="000000" w:themeColor="text1"/>
                <w:sz w:val="24"/>
                <w:szCs w:val="24"/>
                <w:highlight w:val="none"/>
                <w:lang w:val="en-US" w:eastAsia="zh-CN"/>
                <w14:textFill>
                  <w14:solidFill>
                    <w14:schemeClr w14:val="tx1"/>
                  </w14:solidFill>
                </w14:textFill>
              </w:rPr>
              <w:t>不提供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不得分。</w:t>
            </w:r>
          </w:p>
          <w:p w14:paraId="2AA58219">
            <w:pPr>
              <w:keepNext w:val="0"/>
              <w:pageBreakBefore w:val="0"/>
              <w:kinsoku/>
              <w:wordWrap/>
              <w:overflowPunct/>
              <w:topLinePunct w:val="0"/>
              <w:bidi w:val="0"/>
              <w:snapToGrid/>
              <w:spacing w:line="380" w:lineRule="exact"/>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2、信息化工程监理（4分）</w:t>
            </w:r>
          </w:p>
          <w:p w14:paraId="51B6C78C">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信息化工程监理团队（4人）：每提供1人的ITSS国家信息技术服务标准应用经理培训合格证书、软件测试工程师证书、信息系统（或计算机相关专业）高级及以上职称证书、系统集成项目管理师证书，得1分，满分4分（同一人不可重复计分）。</w:t>
            </w:r>
          </w:p>
          <w:p w14:paraId="60FD6E3E">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3、第三方结算审核（4分）</w:t>
            </w:r>
          </w:p>
          <w:p w14:paraId="6E2C9B8C">
            <w:pPr>
              <w:keepNext w:val="0"/>
              <w:pageBreakBefore w:val="0"/>
              <w:kinsoku/>
              <w:wordWrap/>
              <w:overflowPunct/>
              <w:topLinePunct w:val="0"/>
              <w:bidi w:val="0"/>
              <w:snapToGrid/>
              <w:spacing w:line="38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结算审核团队（1人）：提供软件工程造价师证书，得2分；在此基础上，额外提供信息化专业高级职称证书或信息系统项目管理师证书的，得2分。</w:t>
            </w:r>
          </w:p>
          <w:p w14:paraId="298A50F4">
            <w:pPr>
              <w:keepNext w:val="0"/>
              <w:pageBreakBefore w:val="0"/>
              <w:kinsoku/>
              <w:wordWrap/>
              <w:overflowPunct/>
              <w:topLinePunct w:val="0"/>
              <w:bidi w:val="0"/>
              <w:snapToGrid/>
              <w:spacing w:line="380" w:lineRule="exact"/>
              <w:textAlignment w:val="auto"/>
              <w:rPr>
                <w:rFonts w:hint="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赋分依据：须提供证书复印件并加盖公章，不提供缺漏项不得分。</w:t>
            </w:r>
          </w:p>
        </w:tc>
      </w:tr>
      <w:tr w14:paraId="66A7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21" w:type="dxa"/>
            <w:noWrap/>
            <w:vAlign w:val="center"/>
          </w:tcPr>
          <w:p w14:paraId="7D4E1C2A">
            <w:pPr>
              <w:keepNext w:val="0"/>
              <w:pageBreakBefore w:val="0"/>
              <w:widowControl w:val="0"/>
              <w:kinsoku/>
              <w:wordWrap/>
              <w:overflowPunct/>
              <w:topLinePunct w:val="0"/>
              <w:autoSpaceDE w:val="0"/>
              <w:autoSpaceDN w:val="0"/>
              <w:bidi w:val="0"/>
              <w:adjustRightInd w:val="0"/>
              <w:snapToGrid/>
              <w:spacing w:line="380" w:lineRule="exact"/>
              <w:jc w:val="center"/>
              <w:textAlignment w:val="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tc>
        <w:tc>
          <w:tcPr>
            <w:tcW w:w="8160" w:type="dxa"/>
            <w:gridSpan w:val="2"/>
            <w:shd w:val="clear" w:color="auto" w:fill="auto"/>
            <w:noWrap/>
            <w:vAlign w:val="center"/>
          </w:tcPr>
          <w:p w14:paraId="40D46EA3">
            <w:pPr>
              <w:keepNext w:val="0"/>
              <w:keepLines/>
              <w:pageBreakBefore w:val="0"/>
              <w:kinsoku/>
              <w:wordWrap/>
              <w:overflowPunct/>
              <w:topLinePunct w:val="0"/>
              <w:bidi w:val="0"/>
              <w:snapToGrid/>
              <w:spacing w:line="38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成员须按照本评审要素据实打分。</w:t>
            </w:r>
          </w:p>
          <w:p w14:paraId="7C68E310">
            <w:pPr>
              <w:keepNext w:val="0"/>
              <w:keepLines w:val="0"/>
              <w:pageBreakBefore w:val="0"/>
              <w:widowControl/>
              <w:kinsoku/>
              <w:wordWrap/>
              <w:overflowPunct/>
              <w:topLinePunct w:val="0"/>
              <w:autoSpaceDE w:val="0"/>
              <w:autoSpaceDN w:val="0"/>
              <w:bidi w:val="0"/>
              <w:adjustRightInd w:val="0"/>
              <w:snapToGrid/>
              <w:spacing w:line="380" w:lineRule="exact"/>
              <w:jc w:val="left"/>
              <w:textAlignment w:val="auto"/>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auto"/>
                <w:sz w:val="24"/>
                <w:szCs w:val="24"/>
                <w:highlight w:val="none"/>
              </w:rPr>
              <w:t>2、对小型和</w:t>
            </w:r>
            <w:r>
              <w:rPr>
                <w:rFonts w:hint="eastAsia" w:ascii="仿宋" w:hAnsi="仿宋" w:eastAsia="仿宋" w:cs="仿宋"/>
                <w:color w:val="auto"/>
                <w:sz w:val="24"/>
                <w:szCs w:val="24"/>
                <w:highlight w:val="none"/>
                <w:lang w:eastAsia="zh-CN"/>
              </w:rPr>
              <w:t>微型企业</w:t>
            </w:r>
            <w:r>
              <w:rPr>
                <w:rFonts w:hint="eastAsia" w:ascii="仿宋" w:hAnsi="仿宋" w:eastAsia="仿宋" w:cs="仿宋"/>
                <w:color w:val="auto"/>
                <w:sz w:val="24"/>
                <w:szCs w:val="24"/>
                <w:highlight w:val="none"/>
              </w:rPr>
              <w:t>提供的本项服务的价格给予</w:t>
            </w:r>
            <w:r>
              <w:rPr>
                <w:rFonts w:hint="eastAsia" w:ascii="仿宋" w:hAnsi="仿宋" w:eastAsia="仿宋" w:cs="仿宋"/>
                <w:color w:val="auto"/>
                <w:sz w:val="24"/>
                <w:szCs w:val="24"/>
                <w:highlight w:val="none"/>
                <w:u w:val="single"/>
              </w:rPr>
              <w:t>10</w:t>
            </w:r>
            <w:r>
              <w:rPr>
                <w:rFonts w:hint="eastAsia" w:ascii="仿宋" w:hAnsi="仿宋" w:eastAsia="仿宋" w:cs="仿宋"/>
                <w:b/>
                <w:bCs/>
                <w:color w:val="auto"/>
                <w:sz w:val="24"/>
                <w:szCs w:val="24"/>
                <w:highlight w:val="none"/>
                <w:u w:val="single"/>
              </w:rPr>
              <w:t>%</w:t>
            </w:r>
            <w:r>
              <w:rPr>
                <w:rFonts w:hint="eastAsia" w:ascii="仿宋" w:hAnsi="仿宋" w:eastAsia="仿宋" w:cs="仿宋"/>
                <w:color w:val="auto"/>
                <w:sz w:val="24"/>
                <w:szCs w:val="24"/>
                <w:highlight w:val="none"/>
              </w:rPr>
              <w:t>的价格扣除，用扣除后的价格参与评审，除此之外的其他情形均不适用本款规定；未提供《</w:t>
            </w:r>
            <w:r>
              <w:rPr>
                <w:rFonts w:hint="eastAsia" w:ascii="仿宋" w:hAnsi="仿宋" w:eastAsia="仿宋" w:cs="仿宋"/>
                <w:color w:val="auto"/>
                <w:sz w:val="24"/>
                <w:szCs w:val="24"/>
                <w:highlight w:val="none"/>
                <w:lang w:eastAsia="zh-CN"/>
              </w:rPr>
              <w:t>小微企业声明函</w:t>
            </w:r>
            <w:r>
              <w:rPr>
                <w:rFonts w:hint="eastAsia" w:ascii="仿宋" w:hAnsi="仿宋" w:eastAsia="仿宋" w:cs="仿宋"/>
                <w:color w:val="auto"/>
                <w:sz w:val="24"/>
                <w:szCs w:val="24"/>
                <w:highlight w:val="none"/>
              </w:rPr>
              <w:t>》或《残疾人福利性单位声明函》或</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证明文件的不享受价格扣除。</w:t>
            </w:r>
          </w:p>
        </w:tc>
      </w:tr>
    </w:tbl>
    <w:p w14:paraId="1E04FCD8">
      <w:pPr>
        <w:spacing w:line="500" w:lineRule="exact"/>
        <w:ind w:firstLine="566" w:firstLineChars="200"/>
        <w:rPr>
          <w:rFonts w:ascii="华文仿宋" w:hAnsi="华文仿宋" w:cs="华文仿宋"/>
          <w:b/>
          <w:color w:val="auto"/>
          <w:highlight w:val="none"/>
        </w:rPr>
      </w:pPr>
      <w:r>
        <w:rPr>
          <w:rFonts w:hint="eastAsia" w:ascii="华文仿宋" w:hAnsi="华文仿宋" w:cs="华文仿宋"/>
          <w:b/>
          <w:color w:val="auto"/>
          <w:highlight w:val="none"/>
        </w:rPr>
        <w:t>8、推荐成交候选供应商</w:t>
      </w:r>
    </w:p>
    <w:p w14:paraId="76E4C6C6">
      <w:p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磋商小组应当根据综合评分情况，按照评审得分由高到低顺序推荐</w:t>
      </w:r>
      <w:r>
        <w:rPr>
          <w:rFonts w:hint="eastAsia" w:ascii="仿宋" w:hAnsi="仿宋" w:eastAsia="仿宋" w:cs="仿宋"/>
          <w:color w:val="auto"/>
          <w:highlight w:val="none"/>
        </w:rPr>
        <w:t>3</w:t>
      </w:r>
      <w:r>
        <w:rPr>
          <w:rFonts w:hint="eastAsia" w:ascii="华文仿宋" w:hAnsi="华文仿宋" w:cs="华文仿宋"/>
          <w:color w:val="auto"/>
          <w:highlight w:val="none"/>
        </w:rPr>
        <w:t>名以上成交候选供应商（有效供应商不足三家时以实际数量推荐）。评审得分相同的，按照最后报价由低到高的顺序推荐。评审得分且最后报价相同的，按照技术指标优劣顺序推荐。</w:t>
      </w:r>
    </w:p>
    <w:p w14:paraId="1D396895">
      <w:pPr>
        <w:spacing w:line="500" w:lineRule="exact"/>
        <w:ind w:firstLine="566" w:firstLineChars="200"/>
        <w:rPr>
          <w:rFonts w:ascii="华文仿宋" w:hAnsi="华文仿宋" w:cs="华文仿宋"/>
          <w:b/>
          <w:color w:val="auto"/>
          <w:highlight w:val="none"/>
        </w:rPr>
      </w:pPr>
      <w:r>
        <w:rPr>
          <w:rFonts w:hint="eastAsia" w:ascii="华文仿宋" w:hAnsi="华文仿宋" w:cs="华文仿宋"/>
          <w:b/>
          <w:color w:val="auto"/>
          <w:highlight w:val="none"/>
        </w:rPr>
        <w:t>9、编写评审报告</w:t>
      </w:r>
    </w:p>
    <w:p w14:paraId="1AA54178">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14:paraId="433B956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b/>
          <w:bCs/>
          <w:color w:val="auto"/>
          <w:highlight w:val="none"/>
        </w:rPr>
      </w:pPr>
      <w:r>
        <w:rPr>
          <w:rFonts w:hint="eastAsia"/>
          <w:b/>
          <w:bCs/>
          <w:color w:val="auto"/>
          <w:highlight w:val="none"/>
        </w:rPr>
        <w:t>采购人书面授权磋商小组直接确定成交供应商的，磋商小组应在评审报告中明确成交供应商及成交金额。</w:t>
      </w:r>
    </w:p>
    <w:p w14:paraId="2585924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Calibri" w:hAnsi="Calibri"/>
          <w:color w:val="auto"/>
          <w:highlight w:val="none"/>
        </w:rPr>
      </w:pPr>
      <w:r>
        <w:rPr>
          <w:rFonts w:hint="eastAsia" w:ascii="Calibri" w:hAnsi="Calibri"/>
          <w:color w:val="auto"/>
          <w:highlight w:val="none"/>
        </w:rPr>
        <w:t>除下列情形外，任何人不得以任何理由组织重新评审：</w:t>
      </w:r>
    </w:p>
    <w:p w14:paraId="4EC06087">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（1）资格性检查认定错误的；</w:t>
      </w:r>
    </w:p>
    <w:p w14:paraId="566EB409">
      <w:pPr>
        <w:spacing w:line="500" w:lineRule="exact"/>
        <w:ind w:firstLine="566" w:firstLineChars="200"/>
        <w:rPr>
          <w:rFonts w:ascii="Calibri" w:hAnsi="Calibri"/>
          <w:color w:val="auto"/>
          <w:highlight w:val="none"/>
        </w:rPr>
      </w:pPr>
      <w:r>
        <w:rPr>
          <w:rFonts w:hint="eastAsia" w:ascii="华文仿宋" w:hAnsi="华文仿宋" w:cs="华文仿宋"/>
          <w:color w:val="auto"/>
          <w:highlight w:val="none"/>
        </w:rPr>
        <w:t>（2）</w:t>
      </w:r>
      <w:r>
        <w:rPr>
          <w:rFonts w:hint="eastAsia" w:ascii="Calibri" w:hAnsi="Calibri"/>
          <w:color w:val="auto"/>
          <w:highlight w:val="none"/>
        </w:rPr>
        <w:t>分值汇总计算错误的；</w:t>
      </w:r>
    </w:p>
    <w:p w14:paraId="7955FA1B">
      <w:pPr>
        <w:spacing w:line="500" w:lineRule="exact"/>
        <w:ind w:firstLine="566" w:firstLineChars="200"/>
        <w:rPr>
          <w:rFonts w:ascii="Calibri" w:hAnsi="Calibri"/>
          <w:color w:val="auto"/>
          <w:highlight w:val="none"/>
        </w:rPr>
      </w:pPr>
      <w:r>
        <w:rPr>
          <w:rFonts w:hint="eastAsia" w:ascii="华文仿宋" w:hAnsi="华文仿宋" w:cs="华文仿宋"/>
          <w:color w:val="auto"/>
          <w:highlight w:val="none"/>
        </w:rPr>
        <w:t>（3）</w:t>
      </w:r>
      <w:r>
        <w:rPr>
          <w:rFonts w:hint="eastAsia" w:ascii="Calibri" w:hAnsi="Calibri"/>
          <w:color w:val="auto"/>
          <w:highlight w:val="none"/>
        </w:rPr>
        <w:t>分项评分超出评分标准范围的；</w:t>
      </w:r>
    </w:p>
    <w:p w14:paraId="7D7C6570">
      <w:pPr>
        <w:spacing w:line="500" w:lineRule="exact"/>
        <w:ind w:firstLine="566" w:firstLineChars="200"/>
        <w:rPr>
          <w:rFonts w:ascii="Calibri" w:hAnsi="Calibri"/>
          <w:color w:val="auto"/>
          <w:highlight w:val="none"/>
        </w:rPr>
      </w:pPr>
      <w:r>
        <w:rPr>
          <w:rFonts w:hint="eastAsia" w:ascii="华文仿宋" w:hAnsi="华文仿宋" w:cs="华文仿宋"/>
          <w:color w:val="auto"/>
          <w:highlight w:val="none"/>
        </w:rPr>
        <w:t>（4）</w:t>
      </w:r>
      <w:r>
        <w:rPr>
          <w:rFonts w:hint="eastAsia" w:ascii="Calibri" w:hAnsi="Calibri"/>
          <w:color w:val="auto"/>
          <w:highlight w:val="none"/>
        </w:rPr>
        <w:t>客观分评分不一致的；</w:t>
      </w:r>
    </w:p>
    <w:p w14:paraId="6D14000C">
      <w:pPr>
        <w:spacing w:line="500" w:lineRule="exact"/>
        <w:ind w:firstLine="566" w:firstLineChars="200"/>
        <w:rPr>
          <w:rFonts w:ascii="Calibri" w:hAnsi="Calibri"/>
          <w:color w:val="auto"/>
          <w:highlight w:val="none"/>
        </w:rPr>
      </w:pPr>
      <w:r>
        <w:rPr>
          <w:rFonts w:hint="eastAsia" w:ascii="华文仿宋" w:hAnsi="华文仿宋" w:cs="华文仿宋"/>
          <w:color w:val="auto"/>
          <w:highlight w:val="none"/>
        </w:rPr>
        <w:t>（5）</w:t>
      </w:r>
      <w:r>
        <w:rPr>
          <w:rFonts w:hint="eastAsia" w:ascii="Calibri" w:hAnsi="Calibri"/>
          <w:color w:val="auto"/>
          <w:highlight w:val="none"/>
        </w:rPr>
        <w:t>经磋商</w:t>
      </w:r>
      <w:r>
        <w:rPr>
          <w:rFonts w:ascii="Calibri" w:hAnsi="Calibri"/>
          <w:color w:val="auto"/>
          <w:highlight w:val="none"/>
        </w:rPr>
        <w:t>小组</w:t>
      </w:r>
      <w:r>
        <w:rPr>
          <w:rFonts w:hint="eastAsia" w:ascii="Calibri" w:hAnsi="Calibri"/>
          <w:color w:val="auto"/>
          <w:highlight w:val="none"/>
        </w:rPr>
        <w:t>一致认定评分畸高、畸低的情形。</w:t>
      </w:r>
    </w:p>
    <w:p w14:paraId="7B50FF3F">
      <w:pPr>
        <w:spacing w:line="500" w:lineRule="exact"/>
        <w:ind w:firstLine="566" w:firstLineChars="200"/>
        <w:rPr>
          <w:rFonts w:ascii="华文仿宋" w:hAnsi="华文仿宋" w:cs="华文仿宋"/>
          <w:b/>
          <w:color w:val="auto"/>
          <w:highlight w:val="none"/>
        </w:rPr>
      </w:pPr>
      <w:r>
        <w:rPr>
          <w:rFonts w:hint="eastAsia" w:ascii="华文仿宋" w:hAnsi="华文仿宋" w:cs="华文仿宋"/>
          <w:b/>
          <w:color w:val="auto"/>
          <w:highlight w:val="none"/>
        </w:rPr>
        <w:t>（六）有下列情况之一的，视为供应商串通投标，其投标无效：</w:t>
      </w:r>
    </w:p>
    <w:p w14:paraId="604AB9DB">
      <w:pPr>
        <w:spacing w:line="500" w:lineRule="exact"/>
        <w:ind w:firstLine="566" w:firstLineChars="200"/>
        <w:rPr>
          <w:rFonts w:ascii="Calibri" w:hAnsi="Calibri"/>
          <w:color w:val="auto"/>
          <w:highlight w:val="none"/>
        </w:rPr>
      </w:pPr>
      <w:r>
        <w:rPr>
          <w:rFonts w:hint="eastAsia" w:ascii="仿宋" w:hAnsi="仿宋" w:eastAsia="仿宋" w:cs="仿宋"/>
          <w:color w:val="auto"/>
          <w:highlight w:val="none"/>
        </w:rPr>
        <w:t>1</w:t>
      </w:r>
      <w:r>
        <w:rPr>
          <w:rFonts w:hint="eastAsia" w:ascii="Calibri" w:hAnsi="Calibri"/>
          <w:color w:val="auto"/>
          <w:highlight w:val="none"/>
        </w:rPr>
        <w:t>、不同供应商的响应文件由同一单位或者个人编制；</w:t>
      </w:r>
    </w:p>
    <w:p w14:paraId="123D2711">
      <w:pPr>
        <w:spacing w:line="500" w:lineRule="exact"/>
        <w:ind w:firstLine="566" w:firstLineChars="200"/>
        <w:rPr>
          <w:rFonts w:ascii="Calibri" w:hAnsi="Calibri"/>
          <w:color w:val="auto"/>
          <w:highlight w:val="none"/>
        </w:rPr>
      </w:pPr>
      <w:r>
        <w:rPr>
          <w:rFonts w:hint="eastAsia" w:ascii="仿宋" w:hAnsi="仿宋" w:eastAsia="仿宋" w:cs="仿宋"/>
          <w:color w:val="auto"/>
          <w:highlight w:val="none"/>
        </w:rPr>
        <w:t>2</w:t>
      </w:r>
      <w:r>
        <w:rPr>
          <w:rFonts w:hint="eastAsia" w:ascii="Calibri" w:hAnsi="Calibri"/>
          <w:color w:val="auto"/>
          <w:highlight w:val="none"/>
        </w:rPr>
        <w:t>、不同供应商的响应文件由同一台电脑编制；</w:t>
      </w:r>
    </w:p>
    <w:p w14:paraId="49FCD918">
      <w:pPr>
        <w:spacing w:line="500" w:lineRule="exact"/>
        <w:ind w:firstLine="566" w:firstLineChars="200"/>
        <w:rPr>
          <w:rFonts w:ascii="Calibri" w:hAnsi="Calibri"/>
          <w:color w:val="auto"/>
          <w:highlight w:val="none"/>
        </w:rPr>
      </w:pPr>
      <w:r>
        <w:rPr>
          <w:rFonts w:hint="eastAsia" w:ascii="仿宋" w:hAnsi="仿宋" w:eastAsia="仿宋" w:cs="仿宋"/>
          <w:color w:val="auto"/>
          <w:highlight w:val="none"/>
        </w:rPr>
        <w:t>3</w:t>
      </w:r>
      <w:r>
        <w:rPr>
          <w:rFonts w:hint="eastAsia" w:ascii="Calibri" w:hAnsi="Calibri"/>
          <w:color w:val="auto"/>
          <w:highlight w:val="none"/>
        </w:rPr>
        <w:t>、不同供应商委托同一单位或者个人办理投标事宜；</w:t>
      </w:r>
    </w:p>
    <w:p w14:paraId="56BE9475">
      <w:pPr>
        <w:spacing w:line="500" w:lineRule="exact"/>
        <w:ind w:firstLine="566" w:firstLineChars="200"/>
        <w:rPr>
          <w:rFonts w:ascii="Calibri" w:hAnsi="Calibri"/>
          <w:color w:val="auto"/>
          <w:highlight w:val="none"/>
        </w:rPr>
      </w:pPr>
      <w:r>
        <w:rPr>
          <w:rFonts w:hint="eastAsia" w:ascii="仿宋" w:hAnsi="仿宋" w:eastAsia="仿宋" w:cs="仿宋"/>
          <w:color w:val="auto"/>
          <w:highlight w:val="none"/>
        </w:rPr>
        <w:t>4</w:t>
      </w:r>
      <w:r>
        <w:rPr>
          <w:rFonts w:hint="eastAsia" w:ascii="Calibri" w:hAnsi="Calibri"/>
          <w:color w:val="auto"/>
          <w:highlight w:val="none"/>
        </w:rPr>
        <w:t>、不同供应商的响应文件载明的项目管理成员或者联系人员为同一人；</w:t>
      </w:r>
    </w:p>
    <w:p w14:paraId="2702210E">
      <w:pPr>
        <w:spacing w:line="500" w:lineRule="exact"/>
        <w:ind w:firstLine="566" w:firstLineChars="200"/>
        <w:rPr>
          <w:rFonts w:ascii="Calibri" w:hAnsi="Calibri"/>
          <w:color w:val="auto"/>
          <w:highlight w:val="none"/>
        </w:rPr>
      </w:pPr>
      <w:r>
        <w:rPr>
          <w:rFonts w:hint="eastAsia" w:ascii="仿宋" w:hAnsi="仿宋" w:eastAsia="仿宋" w:cs="仿宋"/>
          <w:color w:val="auto"/>
          <w:highlight w:val="none"/>
        </w:rPr>
        <w:t>5</w:t>
      </w:r>
      <w:r>
        <w:rPr>
          <w:rFonts w:hint="eastAsia" w:ascii="Calibri" w:hAnsi="Calibri"/>
          <w:color w:val="auto"/>
          <w:highlight w:val="none"/>
        </w:rPr>
        <w:t>、不同供应商的响应文件异常一致或者磋商报价呈规律性差异；</w:t>
      </w:r>
    </w:p>
    <w:p w14:paraId="4F0B7AFD">
      <w:pPr>
        <w:spacing w:line="500" w:lineRule="exact"/>
        <w:ind w:firstLine="566" w:firstLineChars="200"/>
        <w:rPr>
          <w:rFonts w:ascii="Calibri" w:hAnsi="Calibri"/>
          <w:color w:val="auto"/>
          <w:highlight w:val="none"/>
        </w:rPr>
      </w:pPr>
      <w:r>
        <w:rPr>
          <w:rFonts w:hint="eastAsia" w:ascii="仿宋" w:hAnsi="仿宋" w:eastAsia="仿宋" w:cs="仿宋"/>
          <w:color w:val="auto"/>
          <w:highlight w:val="none"/>
        </w:rPr>
        <w:t>6</w:t>
      </w:r>
      <w:r>
        <w:rPr>
          <w:rFonts w:hint="eastAsia" w:ascii="Calibri" w:hAnsi="Calibri"/>
          <w:color w:val="auto"/>
          <w:highlight w:val="none"/>
        </w:rPr>
        <w:t>、不同供应商的响应文件相互混装；</w:t>
      </w:r>
    </w:p>
    <w:p w14:paraId="7674DDD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仿宋" w:hAnsi="仿宋" w:eastAsia="仿宋" w:cs="仿宋"/>
          <w:color w:val="auto"/>
          <w:highlight w:val="none"/>
        </w:rPr>
        <w:t>7</w:t>
      </w:r>
      <w:r>
        <w:rPr>
          <w:rFonts w:hint="eastAsia" w:ascii="Calibri" w:hAnsi="Calibri"/>
          <w:color w:val="auto"/>
          <w:highlight w:val="none"/>
        </w:rPr>
        <w:t>、政府采购法律法规及磋商文件规定的其他情形。</w:t>
      </w:r>
    </w:p>
    <w:p w14:paraId="1B59E6CA">
      <w:pPr>
        <w:pStyle w:val="7"/>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华文仿宋" w:hAnsi="华文仿宋" w:cs="华文仿宋"/>
          <w:color w:val="auto"/>
          <w:sz w:val="28"/>
          <w:szCs w:val="28"/>
          <w:highlight w:val="none"/>
        </w:rPr>
      </w:pPr>
      <w:bookmarkStart w:id="225" w:name="_Toc22712"/>
      <w:bookmarkStart w:id="226" w:name="_Toc25855"/>
      <w:bookmarkStart w:id="227" w:name="_Toc17612"/>
      <w:bookmarkStart w:id="228" w:name="_Toc30924"/>
      <w:bookmarkStart w:id="229" w:name="_Toc28384"/>
      <w:bookmarkStart w:id="230" w:name="_Toc4670"/>
      <w:r>
        <w:rPr>
          <w:rFonts w:hint="eastAsia" w:ascii="华文仿宋" w:hAnsi="华文仿宋" w:cs="华文仿宋"/>
          <w:color w:val="auto"/>
          <w:sz w:val="28"/>
          <w:szCs w:val="28"/>
          <w:highlight w:val="none"/>
        </w:rPr>
        <w:t>八、成交</w:t>
      </w:r>
      <w:bookmarkEnd w:id="225"/>
      <w:bookmarkEnd w:id="226"/>
      <w:bookmarkEnd w:id="227"/>
      <w:bookmarkEnd w:id="228"/>
      <w:bookmarkEnd w:id="229"/>
      <w:bookmarkEnd w:id="230"/>
    </w:p>
    <w:p w14:paraId="596D227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（一）本项目采用第</w:t>
      </w:r>
      <w:r>
        <w:rPr>
          <w:rFonts w:hint="eastAsia" w:ascii="华文仿宋" w:hAnsi="华文仿宋" w:cs="华文仿宋"/>
          <w:color w:val="auto"/>
          <w:highlight w:val="none"/>
          <w:u w:val="single"/>
        </w:rPr>
        <w:t xml:space="preserve"> </w:t>
      </w:r>
      <w:r>
        <w:rPr>
          <w:rFonts w:hint="eastAsia" w:ascii="仿宋" w:hAnsi="仿宋" w:eastAsia="仿宋" w:cs="仿宋"/>
          <w:color w:val="auto"/>
          <w:highlight w:val="none"/>
          <w:u w:val="single"/>
        </w:rPr>
        <w:t>1</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种方式确定成交供应商：</w:t>
      </w:r>
    </w:p>
    <w:p w14:paraId="54F7296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1、采购人根据磋商小组评审结果确认。</w:t>
      </w:r>
    </w:p>
    <w:p w14:paraId="5DCA71A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陕西省省级单位政府采购中心在评审结束后</w:t>
      </w:r>
      <w:r>
        <w:rPr>
          <w:rFonts w:hint="eastAsia" w:ascii="仿宋" w:hAnsi="仿宋" w:eastAsia="仿宋" w:cs="仿宋"/>
          <w:color w:val="auto"/>
          <w:highlight w:val="none"/>
        </w:rPr>
        <w:t>2</w:t>
      </w:r>
      <w:r>
        <w:rPr>
          <w:rFonts w:hint="eastAsia" w:ascii="华文仿宋" w:hAnsi="华文仿宋" w:cs="华文仿宋"/>
          <w:color w:val="auto"/>
          <w:highlight w:val="none"/>
        </w:rPr>
        <w:t>个工作日内将评审报告送采购人确认。采购人在收到评审报告之日起</w:t>
      </w:r>
      <w:r>
        <w:rPr>
          <w:rFonts w:hint="eastAsia" w:ascii="仿宋" w:hAnsi="仿宋" w:eastAsia="仿宋" w:cs="仿宋"/>
          <w:color w:val="auto"/>
          <w:highlight w:val="none"/>
        </w:rPr>
        <w:t>5</w:t>
      </w:r>
      <w:r>
        <w:rPr>
          <w:rFonts w:hint="eastAsia" w:ascii="华文仿宋" w:hAnsi="华文仿宋" w:cs="华文仿宋"/>
          <w:color w:val="auto"/>
          <w:highlight w:val="none"/>
        </w:rPr>
        <w:t>个工作日内，从评审报告提出的成交候选供应商中，按照排序由高到低的原则确定成交供应商。采购人逾期未确定成交供应商且不提出异议的，视同按评审报告提出的排序第一的供应商为成交供应商。</w:t>
      </w:r>
    </w:p>
    <w:p w14:paraId="333C68CD">
      <w:pPr>
        <w:spacing w:line="500" w:lineRule="exact"/>
        <w:ind w:firstLine="566" w:firstLineChars="200"/>
        <w:rPr>
          <w:rFonts w:ascii="仿宋" w:hAnsi="仿宋" w:eastAsia="仿宋" w:cs="仿宋"/>
          <w:b w:val="0"/>
          <w:bCs w:val="0"/>
          <w:color w:val="auto"/>
          <w:highlight w:val="none"/>
        </w:rPr>
      </w:pPr>
      <w:r>
        <w:rPr>
          <w:rFonts w:hint="eastAsia" w:ascii="仿宋" w:hAnsi="仿宋" w:eastAsia="仿宋" w:cs="仿宋"/>
          <w:b w:val="0"/>
          <w:bCs w:val="0"/>
          <w:color w:val="auto"/>
          <w:highlight w:val="none"/>
        </w:rPr>
        <w:t>2、采购人书面授权磋商小组直接确定成交供应商。</w:t>
      </w:r>
    </w:p>
    <w:p w14:paraId="0D06BD1A">
      <w:pPr>
        <w:keepNext w:val="0"/>
        <w:keepLines w:val="0"/>
        <w:pageBreakBefore w:val="0"/>
        <w:widowControl w:val="0"/>
        <w:kinsoku/>
        <w:overflowPunct/>
        <w:topLinePunct w:val="0"/>
        <w:autoSpaceDE/>
        <w:autoSpaceDN/>
        <w:bidi w:val="0"/>
        <w:adjustRightInd/>
        <w:snapToGrid/>
        <w:spacing w:line="500" w:lineRule="exact"/>
        <w:ind w:firstLine="566" w:firstLineChars="200"/>
        <w:textAlignment w:val="auto"/>
        <w:rPr>
          <w:rFonts w:ascii="仿宋" w:hAnsi="仿宋" w:eastAsia="仿宋" w:cs="仿宋"/>
          <w:b w:val="0"/>
          <w:bCs w:val="0"/>
          <w:color w:val="auto"/>
          <w:highlight w:val="none"/>
        </w:rPr>
      </w:pPr>
      <w:r>
        <w:rPr>
          <w:rFonts w:hint="eastAsia" w:ascii="仿宋" w:hAnsi="仿宋" w:eastAsia="仿宋" w:cs="仿宋"/>
          <w:b w:val="0"/>
          <w:bCs w:val="0"/>
          <w:color w:val="auto"/>
          <w:highlight w:val="none"/>
        </w:rPr>
        <w:t>采购人在评审前提供《委托评审小组定标授权书》，磋商小组将根据采购人授权直接确定成交供应商。</w:t>
      </w:r>
    </w:p>
    <w:p w14:paraId="28E34445">
      <w:pPr>
        <w:keepNext w:val="0"/>
        <w:keepLines w:val="0"/>
        <w:pageBreakBefore w:val="0"/>
        <w:widowControl w:val="0"/>
        <w:kinsoku/>
        <w:wordWrap w:val="0"/>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（二）</w:t>
      </w:r>
      <w:r>
        <w:rPr>
          <w:rFonts w:hint="eastAsia"/>
          <w:color w:val="auto"/>
          <w:highlight w:val="none"/>
        </w:rPr>
        <w:t>陕西省省级单位政府采购中心将在成交供应商确定之日起</w:t>
      </w:r>
      <w:r>
        <w:rPr>
          <w:rFonts w:hint="eastAsia" w:ascii="仿宋" w:hAnsi="仿宋" w:eastAsia="仿宋" w:cs="仿宋"/>
          <w:color w:val="auto"/>
          <w:highlight w:val="none"/>
        </w:rPr>
        <w:t>2</w:t>
      </w:r>
      <w:r>
        <w:rPr>
          <w:rFonts w:hint="eastAsia"/>
          <w:color w:val="auto"/>
          <w:highlight w:val="none"/>
        </w:rPr>
        <w:t>个工作日内，</w:t>
      </w:r>
      <w:r>
        <w:rPr>
          <w:rFonts w:hint="eastAsia" w:ascii="华文仿宋" w:hAnsi="华文仿宋" w:cs="华文仿宋"/>
          <w:color w:val="auto"/>
          <w:highlight w:val="none"/>
        </w:rPr>
        <w:t>在【</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35"/>
          <w:rFonts w:hint="eastAsia" w:ascii="华文仿宋" w:hAnsi="华文仿宋" w:cs="华文仿宋"/>
          <w:color w:val="auto"/>
          <w:sz w:val="28"/>
          <w:szCs w:val="28"/>
          <w:highlight w:val="none"/>
        </w:rPr>
        <w:t>陕西省政府采购网</w:t>
      </w:r>
      <w:r>
        <w:rPr>
          <w:rStyle w:val="35"/>
          <w:rFonts w:hint="eastAsia" w:ascii="华文仿宋" w:hAnsi="华文仿宋" w:cs="华文仿宋"/>
          <w:color w:val="auto"/>
          <w:sz w:val="28"/>
          <w:szCs w:val="28"/>
          <w:highlight w:val="none"/>
        </w:rPr>
        <w:fldChar w:fldCharType="end"/>
      </w:r>
      <w:r>
        <w:rPr>
          <w:rFonts w:hint="eastAsia" w:ascii="华文仿宋" w:hAnsi="华文仿宋" w:cs="华文仿宋"/>
          <w:color w:val="auto"/>
          <w:highlight w:val="none"/>
        </w:rPr>
        <w:t>（www.ccgp-shaanxi.gov.cn）</w:t>
      </w:r>
      <w:r>
        <w:rPr>
          <w:rStyle w:val="35"/>
          <w:rFonts w:hint="eastAsia" w:ascii="华文仿宋" w:hAnsi="华文仿宋" w:cs="华文仿宋"/>
          <w:color w:val="auto"/>
          <w:sz w:val="28"/>
          <w:szCs w:val="28"/>
          <w:highlight w:val="none"/>
        </w:rPr>
        <w:t>】、</w:t>
      </w:r>
      <w:r>
        <w:rPr>
          <w:rFonts w:hint="eastAsia" w:ascii="华文仿宋" w:hAnsi="华文仿宋" w:cs="华文仿宋"/>
          <w:color w:val="auto"/>
          <w:highlight w:val="none"/>
        </w:rPr>
        <w:t>【全国</w:t>
      </w:r>
      <w:r>
        <w:rPr>
          <w:rFonts w:hint="eastAsia" w:ascii="华文仿宋" w:hAnsi="华文仿宋" w:cs="华文仿宋"/>
          <w:bCs/>
          <w:color w:val="auto"/>
          <w:highlight w:val="none"/>
        </w:rPr>
        <w:t>公共资源交易平台（陕西省）（http://www.sxggzyjy.cn/）</w:t>
      </w:r>
      <w:r>
        <w:rPr>
          <w:rStyle w:val="35"/>
          <w:rFonts w:hint="eastAsia" w:ascii="华文仿宋" w:hAnsi="华文仿宋" w:cs="华文仿宋"/>
          <w:color w:val="auto"/>
          <w:sz w:val="28"/>
          <w:szCs w:val="28"/>
          <w:highlight w:val="none"/>
        </w:rPr>
        <w:t>】</w:t>
      </w:r>
      <w:r>
        <w:rPr>
          <w:rFonts w:hint="eastAsia" w:ascii="华文仿宋" w:hAnsi="华文仿宋" w:cs="华文仿宋"/>
          <w:color w:val="auto"/>
          <w:highlight w:val="none"/>
        </w:rPr>
        <w:t>上发布成交公告，成交公告期限为</w:t>
      </w:r>
      <w:r>
        <w:rPr>
          <w:rFonts w:hint="eastAsia" w:ascii="仿宋" w:hAnsi="仿宋" w:eastAsia="仿宋" w:cs="仿宋"/>
          <w:color w:val="auto"/>
          <w:highlight w:val="none"/>
        </w:rPr>
        <w:t>1</w:t>
      </w:r>
      <w:r>
        <w:rPr>
          <w:rFonts w:hint="eastAsia" w:ascii="华文仿宋" w:hAnsi="华文仿宋" w:cs="华文仿宋"/>
          <w:color w:val="auto"/>
          <w:highlight w:val="none"/>
        </w:rPr>
        <w:t>个工作日。同时，</w:t>
      </w:r>
      <w:r>
        <w:rPr>
          <w:rFonts w:hint="eastAsia" w:ascii="Calibri" w:hAnsi="Calibri"/>
          <w:color w:val="auto"/>
          <w:highlight w:val="none"/>
        </w:rPr>
        <w:t>陕西省省级单位政府采购中心</w:t>
      </w:r>
      <w:r>
        <w:rPr>
          <w:rFonts w:hint="eastAsia"/>
          <w:color w:val="auto"/>
          <w:highlight w:val="none"/>
        </w:rPr>
        <w:t>向</w:t>
      </w:r>
      <w:r>
        <w:rPr>
          <w:rFonts w:hint="eastAsia" w:ascii="华文仿宋" w:hAnsi="华文仿宋" w:cs="华文仿宋"/>
          <w:color w:val="auto"/>
          <w:highlight w:val="none"/>
        </w:rPr>
        <w:t>成交供应商发出“成交通知书”，并将磋商文件随成交结果同时公告。成交结果公告应当包括以下内容：</w:t>
      </w:r>
    </w:p>
    <w:p w14:paraId="74D590C5">
      <w:pPr>
        <w:wordWrap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1、采购人和采购代理机构的名称、地址和联系方式；</w:t>
      </w:r>
    </w:p>
    <w:p w14:paraId="60D0EDF6">
      <w:pPr>
        <w:wordWrap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2、项目名称和项目编号；</w:t>
      </w:r>
    </w:p>
    <w:p w14:paraId="326D0E20">
      <w:pPr>
        <w:wordWrap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3、成交供应商名称、地址和成交金额；</w:t>
      </w:r>
    </w:p>
    <w:p w14:paraId="31A5E274">
      <w:pPr>
        <w:wordWrap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4、主要成交标的的名称、规格型号、数量、单价、服务要求；</w:t>
      </w:r>
    </w:p>
    <w:p w14:paraId="45B37CE8">
      <w:pPr>
        <w:keepNext w:val="0"/>
        <w:keepLines w:val="0"/>
        <w:pageBreakBefore w:val="0"/>
        <w:widowControl w:val="0"/>
        <w:kinsoku/>
        <w:wordWrap w:val="0"/>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5、磋商小组成员名单。</w:t>
      </w:r>
    </w:p>
    <w:p w14:paraId="7CF82CD7">
      <w:pPr>
        <w:keepNext w:val="0"/>
        <w:keepLines w:val="0"/>
        <w:pageBreakBefore w:val="0"/>
        <w:widowControl w:val="0"/>
        <w:kinsoku/>
        <w:wordWrap w:val="0"/>
        <w:overflowPunct/>
        <w:topLinePunct w:val="0"/>
        <w:autoSpaceDE/>
        <w:autoSpaceDN/>
        <w:bidi w:val="0"/>
        <w:adjustRightInd/>
        <w:snapToGrid/>
        <w:spacing w:line="500" w:lineRule="exact"/>
        <w:ind w:firstLine="566" w:firstLineChars="200"/>
        <w:textAlignment w:val="auto"/>
        <w:rPr>
          <w:color w:val="auto"/>
          <w:highlight w:val="none"/>
        </w:rPr>
      </w:pPr>
      <w:r>
        <w:rPr>
          <w:rFonts w:hint="eastAsia" w:ascii="华文仿宋" w:hAnsi="华文仿宋" w:cs="华文仿宋"/>
          <w:color w:val="auto"/>
          <w:highlight w:val="none"/>
        </w:rPr>
        <w:t>采用书面推荐供应商参加采购活动的，还应当公告采购人和评审专家的推荐意见。</w:t>
      </w:r>
    </w:p>
    <w:p w14:paraId="5277934B">
      <w:pPr>
        <w:pStyle w:val="7"/>
        <w:keepNext w:val="0"/>
        <w:keepLines w:val="0"/>
        <w:pageBreakBefore w:val="0"/>
        <w:widowControl w:val="0"/>
        <w:kinsoku/>
        <w:overflowPunct/>
        <w:topLinePunct w:val="0"/>
        <w:autoSpaceDE/>
        <w:autoSpaceDN/>
        <w:bidi w:val="0"/>
        <w:adjustRightInd/>
        <w:snapToGrid/>
        <w:spacing w:line="500" w:lineRule="exact"/>
        <w:ind w:firstLine="567"/>
        <w:textAlignment w:val="auto"/>
        <w:rPr>
          <w:rFonts w:ascii="华文仿宋" w:hAnsi="华文仿宋" w:cs="华文仿宋"/>
          <w:color w:val="auto"/>
          <w:sz w:val="28"/>
          <w:szCs w:val="28"/>
          <w:highlight w:val="none"/>
        </w:rPr>
      </w:pPr>
      <w:bookmarkStart w:id="231" w:name="_Toc14009"/>
      <w:bookmarkStart w:id="232" w:name="_Toc28870"/>
      <w:bookmarkStart w:id="233" w:name="_Toc10386"/>
      <w:bookmarkStart w:id="234" w:name="_Toc3100"/>
      <w:bookmarkStart w:id="235" w:name="_Toc20049"/>
      <w:bookmarkStart w:id="236" w:name="_Toc31537"/>
      <w:r>
        <w:rPr>
          <w:rFonts w:hint="eastAsia" w:ascii="华文仿宋" w:hAnsi="华文仿宋" w:cs="华文仿宋"/>
          <w:color w:val="auto"/>
          <w:sz w:val="28"/>
          <w:szCs w:val="28"/>
          <w:highlight w:val="none"/>
        </w:rPr>
        <w:t>九、签订政府采购合同</w:t>
      </w:r>
      <w:bookmarkEnd w:id="231"/>
      <w:bookmarkEnd w:id="232"/>
      <w:bookmarkEnd w:id="233"/>
      <w:bookmarkEnd w:id="234"/>
      <w:bookmarkEnd w:id="235"/>
      <w:bookmarkEnd w:id="236"/>
    </w:p>
    <w:p w14:paraId="69AB3214">
      <w:pPr>
        <w:keepNext w:val="0"/>
        <w:keepLines w:val="0"/>
        <w:pageBreakBefore w:val="0"/>
        <w:widowControl w:val="0"/>
        <w:kinsoku/>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（一）采购人与成交供应商应当在成交通知书发出之日起</w:t>
      </w:r>
      <w:r>
        <w:rPr>
          <w:rFonts w:hint="eastAsia" w:ascii="仿宋" w:hAnsi="仿宋" w:eastAsia="仿宋" w:cs="仿宋"/>
          <w:color w:val="auto"/>
          <w:highlight w:val="none"/>
          <w:lang w:val="en-US" w:eastAsia="zh-CN"/>
        </w:rPr>
        <w:t>25</w:t>
      </w:r>
      <w:r>
        <w:rPr>
          <w:rFonts w:hint="eastAsia" w:ascii="华文仿宋" w:hAnsi="华文仿宋" w:cs="华文仿宋"/>
          <w:color w:val="auto"/>
          <w:highlight w:val="none"/>
        </w:rPr>
        <w:t>日内，按照磋商文件确定的合同文本以及采购标的、规格型号、采购金额、采购数量、技术和服务要求等事项签订政府采购合同。</w:t>
      </w:r>
    </w:p>
    <w:p w14:paraId="23D5E6C6">
      <w:pPr>
        <w:keepNext w:val="0"/>
        <w:keepLines w:val="0"/>
        <w:pageBreakBefore w:val="0"/>
        <w:widowControl w:val="0"/>
        <w:kinsoku/>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8A843ED">
      <w:pPr>
        <w:keepNext w:val="0"/>
        <w:keepLines w:val="0"/>
        <w:pageBreakBefore w:val="0"/>
        <w:widowControl w:val="0"/>
        <w:kinsoku/>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三）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61DB4EB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（四）磋商文件、成交供应商的响应文件、《成交通知书》及其澄清、说明文件、承诺等，均为签订采购合同的依据，作为采购合同的组成部分。</w:t>
      </w:r>
    </w:p>
    <w:p w14:paraId="2AAE778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kern w:val="0"/>
          <w:highlight w:val="none"/>
        </w:rPr>
      </w:pPr>
      <w:r>
        <w:rPr>
          <w:rFonts w:hint="eastAsia" w:ascii="华文仿宋" w:hAnsi="华文仿宋" w:cs="华文仿宋"/>
          <w:color w:val="auto"/>
          <w:kern w:val="0"/>
          <w:highlight w:val="none"/>
        </w:rPr>
        <w:t>（五）政府采购合同应当包括采购人与成交供应商的名称和住所、标的、数量、质量、价款或者报酬、履行期限及地点和方式、验收要求、违约责任、解决争议的方法等内容。</w:t>
      </w:r>
    </w:p>
    <w:p w14:paraId="09167F4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kern w:val="0"/>
          <w:highlight w:val="none"/>
        </w:rPr>
      </w:pPr>
      <w:r>
        <w:rPr>
          <w:rFonts w:hint="eastAsia" w:ascii="华文仿宋" w:hAnsi="华文仿宋" w:cs="华文仿宋"/>
          <w:color w:val="auto"/>
          <w:kern w:val="0"/>
          <w:highlight w:val="none"/>
        </w:rPr>
        <w:t>（六）采购人与成交供应商应当根据合同的约定依法履行合同义务。</w:t>
      </w:r>
    </w:p>
    <w:p w14:paraId="4BD61FE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华文仿宋" w:hAnsi="华文仿宋" w:cs="华文仿宋"/>
          <w:color w:val="auto"/>
          <w:kern w:val="0"/>
          <w:highlight w:val="none"/>
        </w:rPr>
      </w:pPr>
      <w:r>
        <w:rPr>
          <w:rFonts w:hint="eastAsia" w:ascii="华文仿宋" w:hAnsi="华文仿宋" w:cs="华文仿宋"/>
          <w:color w:val="auto"/>
          <w:kern w:val="0"/>
          <w:highlight w:val="none"/>
        </w:rPr>
        <w:t>政府采购合同的履行、违约责任和解决争议的方法等适用《中华人民共和国民法典》。</w:t>
      </w:r>
    </w:p>
    <w:p w14:paraId="39789B8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kern w:val="0"/>
          <w:highlight w:val="none"/>
        </w:rPr>
      </w:pPr>
      <w:r>
        <w:rPr>
          <w:rFonts w:hint="eastAsia" w:ascii="华文仿宋" w:hAnsi="华文仿宋" w:cs="华文仿宋"/>
          <w:color w:val="auto"/>
          <w:kern w:val="0"/>
          <w:highlight w:val="none"/>
        </w:rPr>
        <w:t>（七）采购人应当及时对采购项目进行验收。采购人可以邀请参加本项目的其他投标供应商或者第三方机构参与验收。参与验收的投标供应商或者第三方机构的意见作为验收书的参考资料一并存档。</w:t>
      </w:r>
    </w:p>
    <w:p w14:paraId="10BCD69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kern w:val="0"/>
          <w:highlight w:val="none"/>
        </w:rPr>
      </w:pPr>
      <w:r>
        <w:rPr>
          <w:rFonts w:hint="eastAsia" w:ascii="华文仿宋" w:hAnsi="华文仿宋" w:cs="华文仿宋"/>
          <w:color w:val="auto"/>
          <w:kern w:val="0"/>
          <w:highlight w:val="none"/>
        </w:rPr>
        <w:t>（八）采购人应当加强对成交供应商的履约管理，并按照采购合同约定，及时向成交供应商支付采购资金。对于成交供应商违反采购合同约定的行为，采购人应当及时处理，依法追究其违约责任。</w:t>
      </w:r>
    </w:p>
    <w:p w14:paraId="37C5FC6E">
      <w:pPr>
        <w:pStyle w:val="7"/>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华文仿宋" w:hAnsi="华文仿宋" w:cs="华文仿宋"/>
          <w:color w:val="auto"/>
          <w:sz w:val="28"/>
          <w:szCs w:val="28"/>
          <w:highlight w:val="none"/>
        </w:rPr>
      </w:pPr>
      <w:bookmarkStart w:id="237" w:name="_Toc864"/>
      <w:bookmarkStart w:id="238" w:name="_Toc3153"/>
      <w:bookmarkStart w:id="239" w:name="_Toc23346"/>
      <w:bookmarkStart w:id="240" w:name="_Toc1272"/>
      <w:bookmarkStart w:id="241" w:name="_Toc21906"/>
      <w:r>
        <w:rPr>
          <w:rFonts w:hint="eastAsia" w:ascii="华文仿宋" w:hAnsi="华文仿宋" w:cs="华文仿宋"/>
          <w:color w:val="auto"/>
          <w:sz w:val="28"/>
          <w:szCs w:val="28"/>
          <w:highlight w:val="none"/>
        </w:rPr>
        <w:t>十、其他</w:t>
      </w:r>
      <w:bookmarkEnd w:id="237"/>
      <w:bookmarkEnd w:id="238"/>
      <w:bookmarkEnd w:id="239"/>
      <w:bookmarkEnd w:id="240"/>
      <w:bookmarkEnd w:id="241"/>
    </w:p>
    <w:p w14:paraId="1C05798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一）磋商小组发现磋商文件存在歧义、重大缺陷导致评审工作无法进行，或者磋商文件内容违反国家有关强制性规定的，应当停止评审工作，与采购人或者陕西省省级单位政府采购中心沟通并作书面记录。采购人或者陕西省省级单位政府采购中心确认后，应当修改磋商文件，重新组织采购活动。</w:t>
      </w:r>
    </w:p>
    <w:p w14:paraId="56F7CB07">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（二）根据《政府采购法》第三十六条规定，在磋商采购中，出现下列情形之一的，本项目按废标处理：</w:t>
      </w:r>
    </w:p>
    <w:p w14:paraId="752446B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1、出现影响采购公正的违法、违规行为的；</w:t>
      </w:r>
    </w:p>
    <w:p w14:paraId="6EEA4DB7">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2、供应商的报价均超过了采购预算，采购人不能支付的；</w:t>
      </w:r>
    </w:p>
    <w:p w14:paraId="4B7FDCD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3、因重大变故，采购任务取消的。</w:t>
      </w:r>
    </w:p>
    <w:p w14:paraId="713931C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废标后，由陕西省省级单位政府采购中心发布废标公告。除采购任务取消外，本项目将重新组织</w:t>
      </w:r>
      <w:r>
        <w:rPr>
          <w:rFonts w:ascii="华文仿宋" w:hAnsi="华文仿宋" w:cs="华文仿宋"/>
          <w:color w:val="auto"/>
          <w:highlight w:val="none"/>
        </w:rPr>
        <w:t>采购活动</w:t>
      </w:r>
      <w:r>
        <w:rPr>
          <w:rFonts w:hint="eastAsia" w:ascii="华文仿宋" w:hAnsi="华文仿宋" w:cs="华文仿宋"/>
          <w:color w:val="auto"/>
          <w:highlight w:val="none"/>
        </w:rPr>
        <w:t>。</w:t>
      </w:r>
    </w:p>
    <w:p w14:paraId="76B2E0B3">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（三）在递交响应文件阶段、资格审查阶段以及符合性审查阶段，当出现有效投标供应商不足</w:t>
      </w:r>
      <w:r>
        <w:rPr>
          <w:rFonts w:hint="eastAsia" w:ascii="仿宋" w:hAnsi="仿宋" w:eastAsia="仿宋" w:cs="仿宋"/>
          <w:color w:val="auto"/>
          <w:highlight w:val="none"/>
        </w:rPr>
        <w:t>3</w:t>
      </w:r>
      <w:r>
        <w:rPr>
          <w:rFonts w:hint="eastAsia" w:ascii="华文仿宋" w:hAnsi="华文仿宋" w:cs="华文仿宋"/>
          <w:color w:val="auto"/>
          <w:highlight w:val="none"/>
        </w:rPr>
        <w:t>家时，除采购任务取消外，按照以下方式处理：</w:t>
      </w:r>
    </w:p>
    <w:p w14:paraId="68587CA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1、磋商文件存在不合理条款或者磋商程序不符合规定的，采购人、陕西省省级单位政府采购中心改正后依法重新开展采购活动；</w:t>
      </w:r>
    </w:p>
    <w:p w14:paraId="44FD8281">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2、磋商文件没有不合理条款、磋商程序符合规定，需要采用其他</w:t>
      </w:r>
      <w:r>
        <w:rPr>
          <w:rFonts w:hint="eastAsia" w:ascii="华文仿宋" w:hAnsi="华文仿宋" w:cs="华文仿宋"/>
          <w:color w:val="auto"/>
          <w:highlight w:val="none"/>
          <w:lang w:eastAsia="zh-CN"/>
        </w:rPr>
        <w:t>采购人</w:t>
      </w:r>
      <w:r>
        <w:rPr>
          <w:rFonts w:hint="eastAsia" w:ascii="华文仿宋" w:hAnsi="华文仿宋" w:cs="华文仿宋"/>
          <w:color w:val="auto"/>
          <w:highlight w:val="none"/>
        </w:rPr>
        <w:t>式采购的，采购人应当依法报财政部门批准。</w:t>
      </w:r>
    </w:p>
    <w:p w14:paraId="50992D7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w:t>
      </w:r>
      <w:r>
        <w:rPr>
          <w:rFonts w:ascii="华文仿宋" w:hAnsi="华文仿宋" w:cs="华文仿宋"/>
          <w:color w:val="auto"/>
          <w:highlight w:val="none"/>
        </w:rPr>
        <w:t>四</w:t>
      </w:r>
      <w:r>
        <w:rPr>
          <w:rFonts w:hint="eastAsia" w:ascii="华文仿宋" w:hAnsi="华文仿宋" w:cs="华文仿宋"/>
          <w:color w:val="auto"/>
          <w:highlight w:val="none"/>
        </w:rPr>
        <w:t>）陕西省省级单位政府采购中心应当采取必要措施，保证评审在严格保密的情况下进行。除采购人代表、评审现场组织人员外，采购人的其他工作人员以及与评审工作无关的人员不得进入评审现场。</w:t>
      </w:r>
    </w:p>
    <w:p w14:paraId="18CDB7F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有关人员对评审情况以及在评审过程中获悉的国家秘密、商业秘密负有保密责任。</w:t>
      </w:r>
    </w:p>
    <w:p w14:paraId="04108FD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color w:val="auto"/>
          <w:highlight w:val="none"/>
        </w:rPr>
      </w:pPr>
      <w:r>
        <w:rPr>
          <w:rFonts w:hint="eastAsia" w:ascii="华文仿宋" w:hAnsi="华文仿宋" w:cs="华文仿宋"/>
          <w:color w:val="auto"/>
          <w:highlight w:val="none"/>
        </w:rPr>
        <w:t>磋商文件未明确的其他事项，按《政府采购法》及其相关法律法规执行。</w:t>
      </w:r>
    </w:p>
    <w:p w14:paraId="2372DBF3">
      <w:pPr>
        <w:pStyle w:val="8"/>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color w:val="auto"/>
          <w:highlight w:val="none"/>
        </w:rPr>
      </w:pPr>
      <w:r>
        <w:rPr>
          <w:rFonts w:hint="eastAsia" w:ascii="华文仿宋" w:hAnsi="华文仿宋" w:cs="华文仿宋"/>
          <w:color w:val="auto"/>
          <w:kern w:val="0"/>
          <w:highlight w:val="none"/>
        </w:rPr>
        <w:t>（六）陕西省省级单位政府采购中心应当建立真实完整的招标采购档案，妥善保存每项采购活动的采购文件。</w:t>
      </w:r>
    </w:p>
    <w:p w14:paraId="7A9AC0D6">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华文仿宋" w:hAnsi="华文仿宋" w:eastAsia="华文仿宋" w:cs="华文仿宋"/>
          <w:b/>
          <w:bCs/>
          <w:color w:val="auto"/>
          <w:highlight w:val="none"/>
          <w:lang w:eastAsia="zh-CN"/>
        </w:rPr>
      </w:pPr>
      <w:bookmarkStart w:id="242" w:name="_Toc23303"/>
      <w:bookmarkStart w:id="243" w:name="_Toc4764"/>
      <w:bookmarkStart w:id="244" w:name="_Toc11584"/>
      <w:bookmarkStart w:id="245" w:name="_Toc8426"/>
      <w:bookmarkStart w:id="246" w:name="_Toc11780"/>
      <w:bookmarkStart w:id="247" w:name="_Toc5278"/>
      <w:bookmarkStart w:id="248" w:name="_Toc10336"/>
      <w:bookmarkStart w:id="249" w:name="_Toc19499"/>
      <w:bookmarkStart w:id="250" w:name="_Toc17324"/>
      <w:r>
        <w:rPr>
          <w:rFonts w:hint="eastAsia" w:ascii="华文仿宋" w:hAnsi="华文仿宋" w:cs="华文仿宋"/>
          <w:b/>
          <w:bCs/>
          <w:color w:val="auto"/>
          <w:sz w:val="28"/>
          <w:szCs w:val="28"/>
          <w:highlight w:val="none"/>
        </w:rPr>
        <w:t>十一、采购代理服务费：</w:t>
      </w:r>
      <w:r>
        <w:rPr>
          <w:rFonts w:hint="eastAsia"/>
          <w:b/>
          <w:bCs/>
          <w:color w:val="auto"/>
          <w:sz w:val="28"/>
          <w:szCs w:val="28"/>
          <w:highlight w:val="none"/>
        </w:rPr>
        <w:t>免费</w:t>
      </w:r>
      <w:bookmarkEnd w:id="242"/>
      <w:bookmarkEnd w:id="243"/>
      <w:bookmarkEnd w:id="244"/>
      <w:bookmarkEnd w:id="245"/>
      <w:bookmarkEnd w:id="246"/>
      <w:bookmarkEnd w:id="247"/>
      <w:bookmarkEnd w:id="248"/>
      <w:bookmarkEnd w:id="249"/>
      <w:bookmarkEnd w:id="250"/>
      <w:r>
        <w:rPr>
          <w:rFonts w:hint="eastAsia"/>
          <w:b/>
          <w:bCs/>
          <w:color w:val="auto"/>
          <w:sz w:val="28"/>
          <w:szCs w:val="28"/>
          <w:highlight w:val="none"/>
          <w:lang w:eastAsia="zh-CN"/>
        </w:rPr>
        <w:t>。</w:t>
      </w:r>
    </w:p>
    <w:p w14:paraId="12CF23FD">
      <w:pPr>
        <w:rPr>
          <w:rFonts w:ascii="华文仿宋" w:hAnsi="华文仿宋" w:cs="华文仿宋"/>
          <w:b/>
          <w:bCs/>
          <w:color w:val="auto"/>
          <w:highlight w:val="none"/>
        </w:rPr>
      </w:pPr>
      <w:r>
        <w:rPr>
          <w:rFonts w:hint="eastAsia" w:ascii="华文仿宋" w:hAnsi="华文仿宋" w:cs="华文仿宋"/>
          <w:b/>
          <w:bCs/>
          <w:color w:val="auto"/>
          <w:highlight w:val="none"/>
        </w:rPr>
        <w:br w:type="page"/>
      </w:r>
    </w:p>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14:paraId="1FA1E362">
      <w:pPr>
        <w:pStyle w:val="6"/>
        <w:widowControl w:val="0"/>
        <w:rPr>
          <w:rFonts w:ascii="黑体" w:hAnsi="黑体" w:eastAsia="黑体" w:cs="Times New Roman"/>
          <w:b w:val="0"/>
          <w:bCs w:val="0"/>
          <w:color w:val="auto"/>
          <w:sz w:val="32"/>
          <w:szCs w:val="32"/>
          <w:highlight w:val="none"/>
        </w:rPr>
      </w:pPr>
      <w:bookmarkStart w:id="251" w:name="_Toc21068"/>
      <w:bookmarkStart w:id="252" w:name="_Toc495012771"/>
      <w:bookmarkStart w:id="253" w:name="_Toc495014611"/>
      <w:bookmarkStart w:id="254" w:name="_Toc495014920"/>
      <w:bookmarkStart w:id="255" w:name="_Toc495014649"/>
      <w:bookmarkStart w:id="256" w:name="_Toc424636365"/>
      <w:bookmarkStart w:id="257" w:name="_Toc445306493"/>
      <w:bookmarkStart w:id="258" w:name="_Toc495014954"/>
      <w:bookmarkStart w:id="259" w:name="_Toc495012821"/>
      <w:bookmarkStart w:id="260" w:name="_Toc495014585"/>
      <w:bookmarkStart w:id="261" w:name="_Toc32235"/>
      <w:bookmarkStart w:id="262" w:name="_Toc3617"/>
      <w:bookmarkStart w:id="263" w:name="_Toc27328"/>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 xml:space="preserve">章  </w:t>
      </w:r>
      <w:r>
        <w:rPr>
          <w:rFonts w:hint="eastAsia" w:ascii="黑体" w:hAnsi="黑体" w:eastAsia="黑体" w:cs="黑体"/>
          <w:b w:val="0"/>
          <w:bCs w:val="0"/>
          <w:color w:val="auto"/>
          <w:sz w:val="32"/>
          <w:szCs w:val="32"/>
          <w:highlight w:val="none"/>
          <w:lang w:eastAsia="zh-CN"/>
        </w:rPr>
        <w:t>磋商</w:t>
      </w:r>
      <w:r>
        <w:rPr>
          <w:rFonts w:hint="eastAsia" w:ascii="黑体" w:hAnsi="黑体" w:eastAsia="黑体" w:cs="黑体"/>
          <w:b w:val="0"/>
          <w:bCs w:val="0"/>
          <w:color w:val="auto"/>
          <w:sz w:val="32"/>
          <w:szCs w:val="32"/>
          <w:highlight w:val="none"/>
        </w:rPr>
        <w:t>内容及</w:t>
      </w:r>
      <w:bookmarkEnd w:id="251"/>
      <w:bookmarkEnd w:id="252"/>
      <w:bookmarkEnd w:id="253"/>
      <w:bookmarkEnd w:id="254"/>
      <w:bookmarkEnd w:id="255"/>
      <w:bookmarkEnd w:id="256"/>
      <w:bookmarkEnd w:id="257"/>
      <w:bookmarkEnd w:id="258"/>
      <w:bookmarkEnd w:id="259"/>
      <w:bookmarkEnd w:id="260"/>
      <w:r>
        <w:rPr>
          <w:rFonts w:hint="eastAsia" w:ascii="黑体" w:hAnsi="黑体" w:eastAsia="黑体" w:cs="黑体"/>
          <w:b w:val="0"/>
          <w:bCs w:val="0"/>
          <w:color w:val="auto"/>
          <w:sz w:val="32"/>
          <w:szCs w:val="32"/>
          <w:highlight w:val="none"/>
        </w:rPr>
        <w:t>采购要求</w:t>
      </w:r>
      <w:bookmarkEnd w:id="261"/>
      <w:bookmarkEnd w:id="262"/>
      <w:bookmarkEnd w:id="263"/>
    </w:p>
    <w:p w14:paraId="36F664E8">
      <w:pPr>
        <w:pStyle w:val="7"/>
        <w:widowControl w:val="0"/>
        <w:spacing w:line="500" w:lineRule="exact"/>
        <w:ind w:firstLine="567"/>
        <w:rPr>
          <w:rFonts w:ascii="华文仿宋" w:hAnsi="华文仿宋" w:cs="华文仿宋"/>
          <w:color w:val="auto"/>
          <w:sz w:val="28"/>
          <w:szCs w:val="28"/>
          <w:highlight w:val="none"/>
        </w:rPr>
      </w:pPr>
      <w:bookmarkStart w:id="264" w:name="_Toc11068"/>
      <w:bookmarkStart w:id="265" w:name="_Toc26526"/>
      <w:bookmarkStart w:id="266" w:name="_Toc12738"/>
      <w:bookmarkStart w:id="267" w:name="_Toc29744"/>
      <w:r>
        <w:rPr>
          <w:rFonts w:hint="eastAsia" w:ascii="华文仿宋" w:hAnsi="华文仿宋" w:cs="华文仿宋"/>
          <w:color w:val="auto"/>
          <w:sz w:val="28"/>
          <w:szCs w:val="28"/>
          <w:highlight w:val="none"/>
        </w:rPr>
        <w:t>一、</w:t>
      </w:r>
      <w:bookmarkStart w:id="268" w:name="_Toc9322"/>
      <w:r>
        <w:rPr>
          <w:rFonts w:hint="eastAsia" w:ascii="华文仿宋" w:hAnsi="华文仿宋" w:cs="华文仿宋"/>
          <w:color w:val="auto"/>
          <w:sz w:val="28"/>
          <w:szCs w:val="28"/>
          <w:highlight w:val="none"/>
        </w:rPr>
        <w:t>项目</w:t>
      </w:r>
      <w:bookmarkEnd w:id="268"/>
      <w:r>
        <w:rPr>
          <w:rFonts w:hint="eastAsia" w:ascii="华文仿宋" w:hAnsi="华文仿宋" w:cs="华文仿宋"/>
          <w:color w:val="auto"/>
          <w:sz w:val="28"/>
          <w:szCs w:val="28"/>
          <w:highlight w:val="none"/>
        </w:rPr>
        <w:t>概况</w:t>
      </w:r>
      <w:bookmarkEnd w:id="264"/>
      <w:bookmarkEnd w:id="265"/>
    </w:p>
    <w:bookmarkEnd w:id="266"/>
    <w:bookmarkEnd w:id="267"/>
    <w:p w14:paraId="69A46717">
      <w:pPr>
        <w:spacing w:afterLines="0" w:line="480" w:lineRule="exact"/>
        <w:ind w:firstLine="566" w:firstLineChars="200"/>
        <w:outlineLvl w:val="2"/>
        <w:rPr>
          <w:rFonts w:hint="eastAsia" w:ascii="仿宋" w:hAnsi="仿宋" w:eastAsia="仿宋" w:cs="仿宋"/>
          <w:highlight w:val="none"/>
          <w:lang w:val="en-US" w:eastAsia="zh-CN"/>
        </w:rPr>
      </w:pPr>
      <w:bookmarkStart w:id="269" w:name="_Toc14437"/>
      <w:bookmarkStart w:id="270" w:name="_Toc15519"/>
      <w:bookmarkStart w:id="271" w:name="_Toc15480"/>
      <w:bookmarkStart w:id="272" w:name="_Toc20880"/>
      <w:bookmarkStart w:id="273" w:name="_Toc22019"/>
      <w:r>
        <w:rPr>
          <w:rFonts w:hint="eastAsia" w:ascii="华文仿宋" w:hAnsi="华文仿宋" w:cs="华文仿宋"/>
          <w:highlight w:val="none"/>
        </w:rPr>
        <w:t>本项目为</w:t>
      </w:r>
      <w:r>
        <w:rPr>
          <w:rFonts w:hint="eastAsia" w:ascii="华文仿宋" w:hAnsi="华文仿宋" w:cs="华文仿宋"/>
          <w:highlight w:val="none"/>
          <w:lang w:eastAsia="zh-CN"/>
        </w:rPr>
        <w:t>陕西省发展和改革委员会全国信用信息共享平台（陕西）</w:t>
      </w:r>
      <w:r>
        <w:rPr>
          <w:rFonts w:hint="eastAsia" w:ascii="仿宋" w:hAnsi="仿宋" w:eastAsia="仿宋" w:cs="仿宋"/>
          <w:highlight w:val="none"/>
          <w:lang w:eastAsia="zh-CN"/>
        </w:rPr>
        <w:t>2024</w:t>
      </w:r>
      <w:r>
        <w:rPr>
          <w:rFonts w:hint="eastAsia" w:ascii="华文仿宋" w:hAnsi="华文仿宋" w:cs="华文仿宋"/>
          <w:highlight w:val="none"/>
          <w:lang w:eastAsia="zh-CN"/>
        </w:rPr>
        <w:t>年度技术运营第三方服务项目</w:t>
      </w:r>
      <w:r>
        <w:rPr>
          <w:rFonts w:hint="eastAsia" w:ascii="华文仿宋" w:hAnsi="华文仿宋" w:cs="华文仿宋"/>
          <w:highlight w:val="none"/>
        </w:rPr>
        <w:t>。</w:t>
      </w:r>
      <w:r>
        <w:rPr>
          <w:rFonts w:hint="eastAsia" w:ascii="华文仿宋" w:hAnsi="华文仿宋" w:cs="华文仿宋"/>
          <w:highlight w:val="none"/>
          <w:lang w:val="en-US" w:eastAsia="zh-CN"/>
        </w:rPr>
        <w:t>拟引入第三方服务机构为《全国信用信息共享平台（陕西）</w:t>
      </w:r>
      <w:r>
        <w:rPr>
          <w:rFonts w:hint="eastAsia" w:ascii="仿宋" w:hAnsi="仿宋" w:eastAsia="仿宋" w:cs="仿宋"/>
          <w:highlight w:val="none"/>
          <w:lang w:val="en-US" w:eastAsia="zh-CN"/>
        </w:rPr>
        <w:t>2024</w:t>
      </w:r>
      <w:r>
        <w:rPr>
          <w:rFonts w:hint="eastAsia" w:ascii="华文仿宋" w:hAnsi="华文仿宋" w:cs="华文仿宋"/>
          <w:highlight w:val="none"/>
          <w:lang w:val="en-US" w:eastAsia="zh-CN"/>
        </w:rPr>
        <w:t>年度技术运营服务项目》提供实施方案编制服务、信息化工程监理服务和第三方结算审核服务，为项目全过程管理提供技术咨询支撑</w:t>
      </w:r>
    </w:p>
    <w:p w14:paraId="10840E09">
      <w:pPr>
        <w:spacing w:afterLines="0" w:line="480" w:lineRule="exact"/>
        <w:ind w:firstLine="566" w:firstLineChars="200"/>
        <w:outlineLvl w:val="2"/>
        <w:rPr>
          <w:rFonts w:hint="eastAsia" w:ascii="仿宋" w:hAnsi="仿宋" w:eastAsia="仿宋" w:cs="仿宋"/>
          <w:highlight w:val="none"/>
        </w:rPr>
      </w:pPr>
      <w:bookmarkStart w:id="274" w:name="_Toc1099"/>
      <w:bookmarkStart w:id="275" w:name="_Toc14729"/>
      <w:r>
        <w:rPr>
          <w:rFonts w:hint="eastAsia" w:ascii="仿宋" w:hAnsi="仿宋" w:eastAsia="仿宋" w:cs="仿宋"/>
          <w:b/>
          <w:bCs/>
          <w:highlight w:val="none"/>
          <w:lang w:val="en-US" w:eastAsia="zh-CN"/>
        </w:rPr>
        <w:t>二、服务</w:t>
      </w:r>
      <w:bookmarkEnd w:id="274"/>
      <w:bookmarkEnd w:id="275"/>
      <w:r>
        <w:rPr>
          <w:rFonts w:hint="eastAsia" w:ascii="仿宋" w:hAnsi="仿宋" w:eastAsia="仿宋" w:cs="仿宋"/>
          <w:b/>
          <w:bCs/>
          <w:highlight w:val="none"/>
          <w:lang w:val="en-US" w:eastAsia="zh-CN"/>
        </w:rPr>
        <w:t>范围</w:t>
      </w:r>
    </w:p>
    <w:p w14:paraId="38A529EE">
      <w:pPr>
        <w:spacing w:afterLines="0" w:line="480" w:lineRule="exact"/>
        <w:ind w:firstLine="566" w:firstLineChars="200"/>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实施方案编制服务：调研全国信用信息共享平台（陕西）运行现状，分析平台技术运营服务需求，设计运营服务实施内容，编制完成《全国信用信息共享平台（陕西）2024年度技术运营服务项目实施方案》。</w:t>
      </w:r>
    </w:p>
    <w:p w14:paraId="046424CE">
      <w:pPr>
        <w:spacing w:afterLines="0" w:line="480" w:lineRule="exact"/>
        <w:ind w:firstLine="566" w:firstLineChars="200"/>
        <w:outlineLvl w:val="2"/>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（二）信息化工程监理服务：依据国家有关法律法规、技术标准，按照批复的《全国信用信息共享平台（陕西）2024年度技术运营服务项目实施方案》，为项目实施过程提供监督管理服务。</w:t>
      </w:r>
    </w:p>
    <w:p w14:paraId="1AFC3956">
      <w:pPr>
        <w:spacing w:afterLines="0" w:line="480" w:lineRule="exact"/>
        <w:ind w:firstLine="566" w:firstLineChars="200"/>
        <w:outlineLvl w:val="2"/>
        <w:rPr>
          <w:rFonts w:hint="default" w:ascii="仿宋" w:hAnsi="仿宋" w:eastAsia="仿宋" w:cs="仿宋"/>
          <w:highlight w:val="none"/>
          <w:lang w:val="en-US" w:eastAsia="zh-CN"/>
        </w:rPr>
      </w:pPr>
      <w:r>
        <w:rPr>
          <w:rFonts w:hint="eastAsia" w:ascii="仿宋" w:hAnsi="仿宋" w:eastAsia="仿宋" w:cs="仿宋"/>
          <w:highlight w:val="none"/>
          <w:lang w:val="en-US" w:eastAsia="zh-CN"/>
        </w:rPr>
        <w:t xml:space="preserve">（三）第三方结算审核服务：《全国信用信息共享平台（陕西）2024年度技术运营服务项目》进行结算审核服务。 </w:t>
      </w:r>
    </w:p>
    <w:p w14:paraId="682416DC">
      <w:pPr>
        <w:spacing w:afterLines="0" w:line="480" w:lineRule="exact"/>
        <w:ind w:firstLine="566" w:firstLineChars="200"/>
        <w:outlineLvl w:val="2"/>
        <w:rPr>
          <w:rFonts w:hint="eastAsia" w:ascii="仿宋" w:hAnsi="仿宋" w:eastAsia="仿宋" w:cs="仿宋"/>
          <w:highlight w:val="none"/>
        </w:rPr>
      </w:pPr>
      <w:bookmarkStart w:id="276" w:name="_Toc1203"/>
      <w:bookmarkStart w:id="277" w:name="_Toc28305"/>
      <w:r>
        <w:rPr>
          <w:rFonts w:hint="eastAsia" w:ascii="仿宋" w:hAnsi="仿宋" w:eastAsia="仿宋" w:cs="仿宋"/>
          <w:b/>
          <w:bCs/>
          <w:highlight w:val="none"/>
          <w:lang w:val="en-US" w:eastAsia="zh-CN"/>
        </w:rPr>
        <w:t>三、服务</w:t>
      </w:r>
      <w:bookmarkEnd w:id="276"/>
      <w:bookmarkEnd w:id="277"/>
      <w:r>
        <w:rPr>
          <w:rFonts w:hint="eastAsia" w:ascii="仿宋" w:hAnsi="仿宋" w:eastAsia="仿宋" w:cs="仿宋"/>
          <w:b/>
          <w:bCs/>
          <w:highlight w:val="none"/>
          <w:lang w:val="en-US" w:eastAsia="zh-CN"/>
        </w:rPr>
        <w:t>内容</w:t>
      </w:r>
    </w:p>
    <w:p w14:paraId="58847FD1">
      <w:pPr>
        <w:spacing w:afterLines="0" w:line="480" w:lineRule="exact"/>
        <w:ind w:firstLine="566" w:firstLineChars="200"/>
        <w:outlineLvl w:val="2"/>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（一）实施方案编制服务</w:t>
      </w:r>
    </w:p>
    <w:p w14:paraId="7789CFA2">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按照</w:t>
      </w:r>
      <w:bookmarkStart w:id="278" w:name="_Hlk163546523"/>
      <w:r>
        <w:rPr>
          <w:rFonts w:hint="eastAsia" w:ascii="仿宋" w:hAnsi="仿宋" w:eastAsia="仿宋" w:cs="仿宋"/>
          <w:highlight w:val="none"/>
          <w:lang w:val="en-US" w:eastAsia="zh-CN"/>
        </w:rPr>
        <w:t>《陕西省省级政务信息化项目建设管理办法（暂行）》等相关办法及规范，参考《陕西省省级政务信息化项目实施方案编制指南（服务类）（试行）》，编制完成《全国信用信息共享平台（陕西）2024年度技术运营服务项目实施方案》</w:t>
      </w:r>
      <w:bookmarkEnd w:id="278"/>
      <w:r>
        <w:rPr>
          <w:rFonts w:hint="eastAsia" w:ascii="仿宋" w:hAnsi="仿宋" w:eastAsia="仿宋" w:cs="仿宋"/>
          <w:highlight w:val="none"/>
          <w:lang w:val="en-US" w:eastAsia="zh-CN"/>
        </w:rPr>
        <w:t>。主要服务内容包括：</w:t>
      </w:r>
    </w:p>
    <w:p w14:paraId="358FBD3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1、梳理现状</w:t>
      </w:r>
    </w:p>
    <w:p w14:paraId="5A794672">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充分调研全国信用信息共享平台（陕西）的建设运行情况。一是信用业务运行现状，从业务内容、业务规模、责任单位、用户群体、基本流程等方面详细梳理信用数据处理、信用咨询服务、系统运行维护服务等各类业务的现状；二是平台系统建设现状，从系统功能用户群体、数据资源、安全管理、基础资源等方面梳理全国信用信息共享平台（陕西）、信用中国（陕西）网站、陕西省政务诚信监督系统、陕西省智能化联合奖惩系统、公共信用评价系统、大数据信用监测系统、信用中国（陕西）APP 、陕西中小企业融资服务平台等8个信息系统的现状。</w:t>
      </w:r>
    </w:p>
    <w:p w14:paraId="1582FC1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2、需求分析</w:t>
      </w:r>
    </w:p>
    <w:p w14:paraId="43B399E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分析全国信用信息共享平台（陕西）的建设运行存在的差距和问题，结合信用建设政策要求、信用服务业务需求和信息化发展趋势，分析平台技术运营的需求，一是相关信息系统的信创适配、密码改造、迁移上云和运行维护等技术需求，二是信用数据归集共享、信用咨询等业务服务需求。</w:t>
      </w:r>
    </w:p>
    <w:p w14:paraId="296D2F6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3、服务设计</w:t>
      </w:r>
    </w:p>
    <w:p w14:paraId="6172DC2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设计是项目实施方案主要内容，以需求为导向，一是规划项目服务总体方案和改造后相关信息系统技术架构；二是明确数据处理、信用咨询、系统信创适配及功能改造、系统国产密码改造、系统运行维护等技术运营服务的服务内容、服务交付物及服务工作量；三是针对服务内容，提出项目实施管理和验收的有关要求；四是按照项目投资概算方法，完成服务工作量测算和投资概算。</w:t>
      </w:r>
    </w:p>
    <w:p w14:paraId="03D1889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4、方案编制</w:t>
      </w:r>
    </w:p>
    <w:p w14:paraId="7B439D34">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按照省数据和政务服务局的项目实施方案编制要求，编制完成《全国信用信息共享平台（陕西）2024年度技术运营服务项目实施方案》，并配合采购人完成项目实施方案的汇报、审核、评审等项目审批环节。</w:t>
      </w:r>
    </w:p>
    <w:p w14:paraId="3B6CD513">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（二）信息化工程监理服务</w:t>
      </w:r>
    </w:p>
    <w:p w14:paraId="6F16676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按照《陕西省省级政务信息化项目建设管理办法（暂行）》关于省级政务信息化项目实施工程监理制的要求，依据信息系统工程监理有关规定，开展项目实施全过程的“四控三管一协调”。“四控”是指进度控制、质量控制、成本控制、变更控制；“三管”是指合同管理、安全管理、文档管理；“一沟通”是指通过多种沟通方式，协调建设单位、承建单位及其他相关方之间的关系。主要监理服务内容包括但不限于：</w:t>
      </w:r>
    </w:p>
    <w:tbl>
      <w:tblPr>
        <w:tblStyle w:val="25"/>
        <w:tblpPr w:leftFromText="180" w:rightFromText="180" w:vertAnchor="text" w:horzAnchor="page" w:tblpX="1582" w:tblpY="468"/>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738"/>
      </w:tblGrid>
      <w:tr w14:paraId="751F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7" w:type="dxa"/>
            <w:noWrap w:val="0"/>
            <w:vAlign w:val="center"/>
          </w:tcPr>
          <w:p w14:paraId="1817AB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项目阶段</w:t>
            </w:r>
          </w:p>
        </w:tc>
        <w:tc>
          <w:tcPr>
            <w:tcW w:w="7738" w:type="dxa"/>
            <w:noWrap w:val="0"/>
            <w:vAlign w:val="center"/>
          </w:tcPr>
          <w:p w14:paraId="20027E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监理服务内容</w:t>
            </w:r>
          </w:p>
        </w:tc>
      </w:tr>
      <w:tr w14:paraId="12DA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noWrap w:val="0"/>
            <w:vAlign w:val="center"/>
          </w:tcPr>
          <w:p w14:paraId="55C36F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需求调</w:t>
            </w:r>
          </w:p>
          <w:p w14:paraId="251F75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研及设</w:t>
            </w:r>
          </w:p>
          <w:p w14:paraId="50DCA4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计阶段</w:t>
            </w:r>
          </w:p>
        </w:tc>
        <w:tc>
          <w:tcPr>
            <w:tcW w:w="7738" w:type="dxa"/>
            <w:noWrap w:val="0"/>
            <w:vAlign w:val="center"/>
          </w:tcPr>
          <w:p w14:paraId="05F1678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对承建单位提供的需求规格说明书、概要设计说明书进行分析、审核。</w:t>
            </w:r>
          </w:p>
          <w:p w14:paraId="53E11D7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协调组织需求规格说明书、概要设计说明书的专家评审。</w:t>
            </w:r>
          </w:p>
          <w:p w14:paraId="45D0197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审核承建单位项目进度计划的合理性和可操作性。</w:t>
            </w:r>
          </w:p>
          <w:p w14:paraId="1EEA35D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审核承建单位的项目组织结构、人员构成。</w:t>
            </w:r>
          </w:p>
          <w:p w14:paraId="65B7531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审查承建单位的质量保证体系和计划。</w:t>
            </w:r>
          </w:p>
        </w:tc>
      </w:tr>
      <w:tr w14:paraId="391C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14:paraId="129A82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实施阶段</w:t>
            </w:r>
          </w:p>
        </w:tc>
        <w:tc>
          <w:tcPr>
            <w:tcW w:w="7738" w:type="dxa"/>
            <w:tcBorders>
              <w:top w:val="single" w:color="auto" w:sz="4" w:space="0"/>
              <w:left w:val="single" w:color="auto" w:sz="4" w:space="0"/>
              <w:bottom w:val="single" w:color="auto" w:sz="4" w:space="0"/>
              <w:right w:val="single" w:color="auto" w:sz="4" w:space="0"/>
            </w:tcBorders>
            <w:noWrap w:val="0"/>
            <w:vAlign w:val="center"/>
          </w:tcPr>
          <w:p w14:paraId="365E23F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审核承建单位项目建设内容的具体实施方案。</w:t>
            </w:r>
          </w:p>
          <w:p w14:paraId="7DC38AB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审核承建单位的技术验证环境建设情况、技术验证方案和执行情况。</w:t>
            </w:r>
          </w:p>
          <w:p w14:paraId="77B9CCD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审核和确认承建单位的开发和采购计划、安装调试计划、测试计划、试运行计划、正式运行计划。</w:t>
            </w:r>
          </w:p>
          <w:p w14:paraId="17F846D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检查承建单位项目实施的相关文档。</w:t>
            </w:r>
          </w:p>
          <w:p w14:paraId="22A4D7B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检查项目实施的环境准备情况。</w:t>
            </w:r>
          </w:p>
          <w:p w14:paraId="6CC88F1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对软硬件设备等进行到货检查。</w:t>
            </w:r>
          </w:p>
          <w:p w14:paraId="23864DE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监督项目计划进度与实际进度的符合性，并提出合理化建议，确保计划进度与实际进度偏差最小化。</w:t>
            </w:r>
          </w:p>
          <w:p w14:paraId="3CB4604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对于项目实施过程中的变更进行审核。</w:t>
            </w:r>
          </w:p>
          <w:p w14:paraId="6515B6C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处理项目实施过程中出现的质量事故。</w:t>
            </w:r>
          </w:p>
          <w:p w14:paraId="776828F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代表建设单位负责与承建单位之间的工作协调安排。</w:t>
            </w:r>
          </w:p>
        </w:tc>
      </w:tr>
      <w:tr w14:paraId="7232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14:paraId="0A878B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初验和试运行阶段</w:t>
            </w:r>
          </w:p>
        </w:tc>
        <w:tc>
          <w:tcPr>
            <w:tcW w:w="7738" w:type="dxa"/>
            <w:tcBorders>
              <w:top w:val="single" w:color="auto" w:sz="4" w:space="0"/>
              <w:left w:val="single" w:color="auto" w:sz="4" w:space="0"/>
              <w:bottom w:val="single" w:color="auto" w:sz="4" w:space="0"/>
              <w:right w:val="single" w:color="auto" w:sz="4" w:space="0"/>
            </w:tcBorders>
            <w:noWrap w:val="0"/>
            <w:vAlign w:val="center"/>
          </w:tcPr>
          <w:p w14:paraId="6DB47846">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协助建设单位制定验收程序和标准，审查验收方案和验收文档。</w:t>
            </w:r>
          </w:p>
          <w:p w14:paraId="2117A55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协助建设单位进行系统的功能和性能测试及初验。</w:t>
            </w:r>
          </w:p>
          <w:p w14:paraId="27C1140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检查系统的调试和试运行情况。</w:t>
            </w:r>
          </w:p>
          <w:p w14:paraId="6708554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处理试运行期间出现的质量问题。</w:t>
            </w:r>
          </w:p>
          <w:p w14:paraId="149FE6D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协调与承建单位之间的关系，解决纠纷。</w:t>
            </w:r>
          </w:p>
          <w:p w14:paraId="10B516A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监督、检查并督促承建单位对用户的培训工作。</w:t>
            </w:r>
          </w:p>
        </w:tc>
      </w:tr>
      <w:tr w14:paraId="6597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14:paraId="18C33E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正式验</w:t>
            </w:r>
          </w:p>
          <w:p w14:paraId="731BF8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收阶段</w:t>
            </w:r>
          </w:p>
        </w:tc>
        <w:tc>
          <w:tcPr>
            <w:tcW w:w="7738" w:type="dxa"/>
            <w:tcBorders>
              <w:top w:val="single" w:color="auto" w:sz="4" w:space="0"/>
              <w:left w:val="single" w:color="auto" w:sz="4" w:space="0"/>
              <w:bottom w:val="single" w:color="auto" w:sz="4" w:space="0"/>
              <w:right w:val="single" w:color="auto" w:sz="4" w:space="0"/>
            </w:tcBorders>
            <w:noWrap w:val="0"/>
            <w:vAlign w:val="center"/>
          </w:tcPr>
          <w:p w14:paraId="34DCDA5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协助建设单位进行项目终验。</w:t>
            </w:r>
          </w:p>
          <w:p w14:paraId="13BA1CC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进行项目配置审核。</w:t>
            </w:r>
          </w:p>
          <w:p w14:paraId="13493E5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协助建设单位完成项目审计工作。</w:t>
            </w:r>
          </w:p>
          <w:p w14:paraId="3FD6005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系统验收完毕进入运营阶段的审核。</w:t>
            </w:r>
          </w:p>
        </w:tc>
      </w:tr>
      <w:tr w14:paraId="4C03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14:paraId="05638A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w:t>
            </w:r>
          </w:p>
          <w:p w14:paraId="029F196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全过程</w:t>
            </w:r>
          </w:p>
        </w:tc>
        <w:tc>
          <w:tcPr>
            <w:tcW w:w="7738" w:type="dxa"/>
            <w:tcBorders>
              <w:top w:val="single" w:color="auto" w:sz="4" w:space="0"/>
              <w:left w:val="single" w:color="auto" w:sz="4" w:space="0"/>
              <w:bottom w:val="single" w:color="auto" w:sz="4" w:space="0"/>
              <w:right w:val="single" w:color="auto" w:sz="4" w:space="0"/>
            </w:tcBorders>
            <w:noWrap w:val="0"/>
            <w:vAlign w:val="center"/>
          </w:tcPr>
          <w:p w14:paraId="6B624F9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按照档案验收要求制定规范的监理过程用表、审核、监督承建单位制定标准文档模板，以及文档的提交计划。</w:t>
            </w:r>
          </w:p>
          <w:p w14:paraId="4F8C311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按照项目阶段划分，提出对应各阶段监理内容的符合性检查一览表，作为各阶段项目建设完成进度的检查标志。</w:t>
            </w:r>
          </w:p>
          <w:p w14:paraId="2B2F94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定期向建设单位汇报项目进展情况，提交项目监理报告。</w:t>
            </w:r>
          </w:p>
          <w:p w14:paraId="5CEE7DC2">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组织或协助建设单位组织与项目建设有关的各类会议。</w:t>
            </w:r>
          </w:p>
          <w:p w14:paraId="5F61E85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填报与项目有关的管理报表。</w:t>
            </w:r>
          </w:p>
          <w:p w14:paraId="238D2E1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运行维护咨询、评估、评价。</w:t>
            </w:r>
          </w:p>
        </w:tc>
      </w:tr>
    </w:tbl>
    <w:p w14:paraId="34561D18">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（三）第三方结算审核服务</w:t>
      </w:r>
    </w:p>
    <w:p w14:paraId="0293B5F1">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针对《全国信用信息共享平台（陕西）2024年度技术运营服务项目》进行结算审核，第三方审计单位应当在实施项目审计前组成审计组，明确小组各成员责任，明确与项目单位、服务提供单位、监理单位的沟通协调机制，并报采购单位备案。结算审核的服务主要包括对结算申报材料的审查、合同条款的审核、工程量的审核等，出具《结算审核报告》</w:t>
      </w:r>
    </w:p>
    <w:p w14:paraId="136351FD">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b/>
          <w:bCs/>
          <w:highlight w:val="none"/>
        </w:rPr>
      </w:pPr>
      <w:r>
        <w:rPr>
          <w:rFonts w:hint="eastAsia" w:ascii="仿宋" w:hAnsi="仿宋" w:eastAsia="仿宋" w:cs="仿宋"/>
          <w:b/>
          <w:bCs/>
          <w:highlight w:val="none"/>
          <w:lang w:val="en-US" w:eastAsia="zh-CN"/>
        </w:rPr>
        <w:t>四</w:t>
      </w:r>
      <w:r>
        <w:rPr>
          <w:rFonts w:hint="eastAsia" w:ascii="仿宋" w:hAnsi="仿宋" w:eastAsia="仿宋" w:cs="仿宋"/>
          <w:b/>
          <w:bCs/>
          <w:highlight w:val="none"/>
        </w:rPr>
        <w:t>、</w:t>
      </w:r>
      <w:r>
        <w:rPr>
          <w:rFonts w:hint="eastAsia" w:ascii="仿宋" w:hAnsi="仿宋" w:eastAsia="仿宋" w:cs="仿宋"/>
          <w:b/>
          <w:bCs/>
          <w:highlight w:val="none"/>
          <w:lang w:eastAsia="zh-CN"/>
        </w:rPr>
        <w:t>服务标准</w:t>
      </w:r>
    </w:p>
    <w:p w14:paraId="043CC07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（一）实施方案编制服务：编制的《全国信用信息共享平台（陕西）2024年度技术运营服务项目实施方案》符合规范要求，满足信用业务需求，通过省数据和政务服务局组织的项目联合评审。</w:t>
      </w:r>
    </w:p>
    <w:p w14:paraId="340E0EDC">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（二）信息化工程监理服务：依据国家相关的法律法规、标准规范、项目招标文件和项目合同书，保证项目建设符合国内国际相关的行业技术规范标准，满足项目招标文件的要求。</w:t>
      </w:r>
    </w:p>
    <w:p w14:paraId="05D26F4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第三方结算审核服务：结算审核应当参考《软件工程软件开发成本度量规范》（GB/T36964-2018）、《建设项目过程结算管理标准》以及相关法规和政策文件明确的指导原则、程序和方法，审核工作应当公正和准确。</w:t>
      </w:r>
    </w:p>
    <w:p w14:paraId="48D4B31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highlight w:val="none"/>
          <w:lang w:val="en-US" w:eastAsia="zh-CN"/>
        </w:rPr>
      </w:pPr>
      <w:bookmarkStart w:id="279" w:name="_Toc10672"/>
      <w:r>
        <w:rPr>
          <w:rFonts w:hint="eastAsia" w:ascii="仿宋" w:hAnsi="仿宋" w:eastAsia="仿宋" w:cs="仿宋"/>
          <w:b/>
          <w:bCs/>
          <w:highlight w:val="none"/>
          <w:lang w:val="en-US" w:eastAsia="zh-CN"/>
        </w:rPr>
        <w:t>▲五、</w:t>
      </w:r>
      <w:bookmarkEnd w:id="279"/>
      <w:r>
        <w:rPr>
          <w:rFonts w:hint="eastAsia" w:ascii="仿宋" w:hAnsi="仿宋" w:eastAsia="仿宋" w:cs="仿宋"/>
          <w:b/>
          <w:bCs/>
          <w:highlight w:val="none"/>
          <w:lang w:val="en-US" w:eastAsia="zh-CN"/>
        </w:rPr>
        <w:t>人员要求</w:t>
      </w:r>
    </w:p>
    <w:p w14:paraId="62E89EE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（一）关键人员配置</w:t>
      </w:r>
    </w:p>
    <w:p w14:paraId="2CBA3D6D">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1、实施方案编制（2人）</w:t>
      </w:r>
    </w:p>
    <w:p w14:paraId="07BBC5E1">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①方案编制负责人（1人）：同时具有高级工程师职称证书及注册咨询工程师（投资）证书。</w:t>
      </w:r>
    </w:p>
    <w:p w14:paraId="6550FFF7">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②方案编制技术顾问（1人）：同时具有高级工程师职称证书、注册咨询工程师（投资）证书及信息系统高级项目管理师证书。</w:t>
      </w:r>
    </w:p>
    <w:p w14:paraId="5341BCED">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2、信息化工程监理（1人）</w:t>
      </w:r>
    </w:p>
    <w:p w14:paraId="601C3D19">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总监理工程师具有注册信息安全专业人员（CISP）证书、ITSS国家信息技术服务标准应用经理培训合格证书、软件测试工程师证书、软件工程造价师证书、信息系统或计算机相关专业高级及以上职称证书。</w:t>
      </w:r>
    </w:p>
    <w:p w14:paraId="162CACEB">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3、第三方结算审核（2人）</w:t>
      </w:r>
    </w:p>
    <w:p w14:paraId="5F92DCA7">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①结算审核负责人（1人）：具有信息化专业中级及以上职称证书；具有信息化造价评估项目业绩。</w:t>
      </w:r>
    </w:p>
    <w:p w14:paraId="4CB3520D">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②结算审核技术负责人（1人）：具有信息化中级及以上职称（或人社颁发的计算机技术与软件专业技术中级资格）证书。</w:t>
      </w:r>
    </w:p>
    <w:p w14:paraId="53B812B5">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备注：以上人员均须提供供应商为其缴纳的近六个月内至少连续三个月的社保缴纳证明材料（成立时间至提交响应文件截止时间不足六个月的供应商，可提供成立后任意一个月的社保缴纳证明材料）。</w:t>
      </w:r>
    </w:p>
    <w:p w14:paraId="2868440B">
      <w:pPr>
        <w:widowControl w:val="0"/>
        <w:spacing w:line="500" w:lineRule="exact"/>
        <w:ind w:firstLine="566" w:firstLineChars="200"/>
        <w:outlineLvl w:val="1"/>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（二）团队人员配置</w:t>
      </w:r>
    </w:p>
    <w:p w14:paraId="30F29DB0">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1、实施方案编制（4人）</w:t>
      </w:r>
    </w:p>
    <w:p w14:paraId="6B672C25">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实施方案编制团队人员具有高级工程师职称证书或注册咨询工程师（投资）证书。</w:t>
      </w:r>
    </w:p>
    <w:p w14:paraId="6A5C5FDC">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2、信息化工程监理（4人）</w:t>
      </w:r>
    </w:p>
    <w:p w14:paraId="15C8C3D2">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信息化工程监理团队具有ITSS国家信息技术服务标准应用经理培训合格证书、软件测试工程师证书、信息系统或计算机相关专业高级及以上职称证书、系统集成项目管理师证书。</w:t>
      </w:r>
    </w:p>
    <w:p w14:paraId="7AA95E01">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3、第三方结算审核（1人）</w:t>
      </w:r>
    </w:p>
    <w:p w14:paraId="5B49A36E">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结算审核团队具有软件工程造价师证书、信息化专业高级职称证书或信息系统项目管理师证书。</w:t>
      </w:r>
    </w:p>
    <w:p w14:paraId="7FB956D2">
      <w:pPr>
        <w:widowControl w:val="0"/>
        <w:spacing w:line="500" w:lineRule="exact"/>
        <w:ind w:firstLine="566" w:firstLineChars="200"/>
        <w:outlineLvl w:val="1"/>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（三）人数要求</w:t>
      </w:r>
    </w:p>
    <w:p w14:paraId="28D7E8D0">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1、实施方案编制</w:t>
      </w:r>
    </w:p>
    <w:p w14:paraId="33A54DFE">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服务期间应按照实际工作需要，组建不少于6人（包含方案编制负责人和技术顾问）的方案编制团队，包括咨询人员、技术人员、预算人员等。</w:t>
      </w:r>
    </w:p>
    <w:p w14:paraId="0F30B6B2">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2、信息化工程监理</w:t>
      </w:r>
    </w:p>
    <w:p w14:paraId="135D1165">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服务期间应按照实际工作需要，组建不少于5人（包含总监理工程师）的监理团队，派驻不少于1人的驻场服务。</w:t>
      </w:r>
    </w:p>
    <w:p w14:paraId="1ED63A67">
      <w:pPr>
        <w:widowControl w:val="0"/>
        <w:spacing w:line="500" w:lineRule="exact"/>
        <w:ind w:firstLine="566" w:firstLineChars="200"/>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3、第三方结算审核</w:t>
      </w:r>
    </w:p>
    <w:p w14:paraId="19BC1765">
      <w:pPr>
        <w:widowControl w:val="0"/>
        <w:spacing w:line="500" w:lineRule="exact"/>
        <w:ind w:firstLine="566" w:firstLineChars="200"/>
        <w:outlineLvl w:val="1"/>
        <w:rPr>
          <w:rFonts w:hint="eastAsia" w:ascii="仿宋" w:hAnsi="仿宋" w:eastAsia="仿宋" w:cs="仿宋"/>
          <w:highlight w:val="none"/>
        </w:rPr>
      </w:pPr>
      <w:r>
        <w:rPr>
          <w:rFonts w:hint="eastAsia" w:ascii="仿宋" w:hAnsi="仿宋" w:eastAsia="仿宋" w:cs="仿宋"/>
          <w:highlight w:val="none"/>
          <w:lang w:val="en-US" w:eastAsia="zh-CN"/>
        </w:rPr>
        <w:t>服务期间应按照实际工作需要，组建不少于3人（包含结算审核负责和结算审核技术负责人）的审核小组，包括技术负责人和专业评估技术人员等。</w:t>
      </w:r>
    </w:p>
    <w:p w14:paraId="0217E02D">
      <w:pPr>
        <w:widowControl w:val="0"/>
        <w:spacing w:afterLines="0" w:line="500" w:lineRule="exact"/>
        <w:ind w:firstLine="566" w:firstLineChars="200"/>
        <w:outlineLvl w:val="1"/>
        <w:rPr>
          <w:rFonts w:hint="eastAsia" w:ascii="仿宋" w:hAnsi="仿宋" w:eastAsia="仿宋" w:cs="仿宋"/>
          <w:b/>
          <w:bCs/>
          <w:highlight w:val="none"/>
          <w:lang w:eastAsia="zh-CN"/>
        </w:rPr>
      </w:pPr>
      <w:r>
        <w:rPr>
          <w:rFonts w:hint="eastAsia" w:ascii="仿宋" w:hAnsi="仿宋" w:eastAsia="仿宋" w:cs="仿宋"/>
          <w:highlight w:val="none"/>
        </w:rPr>
        <w:t>▲</w:t>
      </w:r>
      <w:r>
        <w:rPr>
          <w:rFonts w:hint="eastAsia" w:ascii="仿宋" w:hAnsi="仿宋" w:eastAsia="仿宋" w:cs="仿宋"/>
          <w:b/>
          <w:bCs/>
          <w:highlight w:val="none"/>
          <w:lang w:val="en-US" w:eastAsia="zh-CN"/>
        </w:rPr>
        <w:t>六</w:t>
      </w:r>
      <w:r>
        <w:rPr>
          <w:rFonts w:hint="eastAsia" w:ascii="仿宋" w:hAnsi="仿宋" w:eastAsia="仿宋" w:cs="仿宋"/>
          <w:b/>
          <w:bCs/>
          <w:highlight w:val="none"/>
        </w:rPr>
        <w:t>、</w:t>
      </w:r>
      <w:r>
        <w:rPr>
          <w:rFonts w:hint="eastAsia" w:ascii="仿宋" w:hAnsi="仿宋" w:eastAsia="仿宋" w:cs="仿宋"/>
          <w:b/>
          <w:bCs/>
          <w:highlight w:val="none"/>
          <w:lang w:eastAsia="zh-CN"/>
        </w:rPr>
        <w:t>保密要求</w:t>
      </w:r>
    </w:p>
    <w:p w14:paraId="6E263996">
      <w:pPr>
        <w:widowControl w:val="0"/>
        <w:spacing w:afterLines="0" w:line="500" w:lineRule="exact"/>
        <w:ind w:firstLine="566" w:firstLineChars="200"/>
        <w:rPr>
          <w:rFonts w:hint="eastAsia" w:ascii="仿宋" w:hAnsi="仿宋" w:eastAsia="仿宋" w:cs="仿宋"/>
          <w:highlight w:val="none"/>
        </w:rPr>
      </w:pPr>
      <w:r>
        <w:rPr>
          <w:rFonts w:hint="eastAsia" w:ascii="仿宋" w:hAnsi="仿宋" w:eastAsia="仿宋" w:cs="仿宋"/>
          <w:highlight w:val="none"/>
        </w:rPr>
        <w:t>（一）</w:t>
      </w:r>
      <w:r>
        <w:rPr>
          <w:rFonts w:hint="eastAsia" w:ascii="仿宋" w:hAnsi="仿宋" w:eastAsia="仿宋" w:cs="仿宋"/>
          <w:highlight w:val="none"/>
          <w:lang w:eastAsia="zh-CN"/>
        </w:rPr>
        <w:t>保密要求：针对本项目制定专项保密制度，制度内容包含①日常保密管理制度②人员保密管理制度</w:t>
      </w:r>
      <w:r>
        <w:rPr>
          <w:rFonts w:hint="eastAsia" w:ascii="仿宋" w:hAnsi="仿宋" w:eastAsia="仿宋" w:cs="仿宋"/>
          <w:highlight w:val="none"/>
        </w:rPr>
        <w:t>。</w:t>
      </w:r>
    </w:p>
    <w:p w14:paraId="44B3D599">
      <w:pPr>
        <w:widowControl w:val="0"/>
        <w:spacing w:afterLines="0" w:line="500" w:lineRule="exact"/>
        <w:ind w:firstLine="566" w:firstLineChars="200"/>
        <w:rPr>
          <w:rFonts w:hint="eastAsia" w:ascii="仿宋" w:hAnsi="仿宋" w:eastAsia="仿宋" w:cs="仿宋"/>
          <w:highlight w:val="none"/>
          <w:lang w:eastAsia="zh-CN"/>
        </w:rPr>
      </w:pPr>
      <w:r>
        <w:rPr>
          <w:rFonts w:hint="eastAsia" w:ascii="仿宋" w:hAnsi="仿宋" w:eastAsia="仿宋" w:cs="仿宋"/>
          <w:highlight w:val="none"/>
        </w:rPr>
        <w:t>（二）在履行服务中所得到的所有信息均须予以保密。该保密责任在服务到期及终止后依然有效</w:t>
      </w:r>
      <w:r>
        <w:rPr>
          <w:rFonts w:hint="eastAsia" w:ascii="仿宋" w:hAnsi="仿宋" w:eastAsia="仿宋" w:cs="仿宋"/>
          <w:highlight w:val="none"/>
          <w:lang w:eastAsia="zh-CN"/>
        </w:rPr>
        <w:t>。</w:t>
      </w:r>
    </w:p>
    <w:p w14:paraId="3F5DB17C">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b/>
          <w:bCs/>
          <w:highlight w:val="none"/>
          <w:lang w:eastAsia="zh-CN"/>
        </w:rPr>
      </w:pPr>
      <w:r>
        <w:rPr>
          <w:rFonts w:hint="eastAsia" w:ascii="仿宋" w:hAnsi="仿宋" w:eastAsia="仿宋" w:cs="仿宋"/>
          <w:b/>
          <w:bCs/>
          <w:highlight w:val="none"/>
          <w:lang w:eastAsia="zh-CN"/>
        </w:rPr>
        <w:t>▲七、服务要求</w:t>
      </w:r>
    </w:p>
    <w:p w14:paraId="35A84D90">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highlight w:val="none"/>
          <w:lang w:eastAsia="zh-CN"/>
        </w:rPr>
      </w:pPr>
      <w:r>
        <w:rPr>
          <w:rFonts w:hint="eastAsia" w:ascii="仿宋" w:hAnsi="仿宋" w:eastAsia="仿宋" w:cs="仿宋"/>
          <w:highlight w:val="none"/>
          <w:lang w:eastAsia="zh-CN"/>
        </w:rPr>
        <w:t>（一）需求理解：针对本项目详细列明项目需求的理解，内容包括①实施方案编制服务：内容包括对运行现状、建设目标、服务内容及规模、重点建设内容的理解②信息化工程监理服务③第三方结算审核服务。</w:t>
      </w:r>
    </w:p>
    <w:p w14:paraId="27058104">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highlight w:val="none"/>
          <w:lang w:eastAsia="zh-CN"/>
        </w:rPr>
      </w:pPr>
      <w:r>
        <w:rPr>
          <w:rFonts w:hint="eastAsia" w:ascii="仿宋" w:hAnsi="仿宋" w:eastAsia="仿宋" w:cs="仿宋"/>
          <w:highlight w:val="none"/>
          <w:lang w:eastAsia="zh-CN"/>
        </w:rPr>
        <w:t>（二）总体服务方案：针对本项目提出总体服务方案，内容包括①实施方案编制服务：内容包括编制服务总体方案、信用服务目录（包含服务分类、服务内容、服务目标、服务范围及服务对象）及设计方案（包含服务目录对应的各项服务内容分项方案）②信息化工程监理服务：内容包括服务内容及依据、工作程序、安全管理、组织协调方法和措施、绩效考核及管理③第三方结算审核服务：内容包含结算审核方法及流程。</w:t>
      </w:r>
    </w:p>
    <w:p w14:paraId="08AA908F">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highlight w:val="none"/>
          <w:lang w:eastAsia="zh-CN"/>
        </w:rPr>
      </w:pPr>
      <w:r>
        <w:rPr>
          <w:rFonts w:hint="eastAsia" w:ascii="仿宋" w:hAnsi="仿宋" w:eastAsia="仿宋" w:cs="仿宋"/>
          <w:highlight w:val="none"/>
          <w:lang w:eastAsia="zh-CN"/>
        </w:rPr>
        <w:t>（三）质量保障方案：针对本项目提出质量保障方案，内容包括实施方案编制服务、信息化工程监理服务及第三方结算审核服务共三项服务内容，每项服务内容均包含：①质量保障措施②进度及风险保障措施。</w:t>
      </w:r>
    </w:p>
    <w:p w14:paraId="7FF26340">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highlight w:val="none"/>
          <w:lang w:eastAsia="zh-CN"/>
        </w:rPr>
      </w:pPr>
      <w:r>
        <w:rPr>
          <w:rFonts w:hint="eastAsia" w:ascii="仿宋" w:hAnsi="仿宋" w:eastAsia="仿宋" w:cs="仿宋"/>
          <w:highlight w:val="none"/>
          <w:lang w:eastAsia="zh-CN"/>
        </w:rPr>
        <w:t>（四）管理制度：针对本项目具有良好的管理制度，制度内容包含①岗位职责：具有岗位工作标准、服务质量标准、作业流程及作业记录②内控制度：具有管理组织机构、问责机制、监督机制、自查制度③人员管理制度：具有员工日常管理办法、请销假制度、奖惩措施、激励机制</w:t>
      </w:r>
      <w:r>
        <w:rPr>
          <w:rFonts w:hint="eastAsia" w:ascii="仿宋" w:hAnsi="仿宋" w:eastAsia="仿宋" w:cs="仿宋"/>
          <w:highlight w:val="none"/>
          <w:lang w:val="en-US" w:eastAsia="zh-CN"/>
        </w:rPr>
        <w:t>。</w:t>
      </w:r>
    </w:p>
    <w:p w14:paraId="6F518787">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highlight w:val="none"/>
          <w:lang w:eastAsia="zh-CN"/>
        </w:rPr>
      </w:pPr>
      <w:r>
        <w:rPr>
          <w:rFonts w:hint="eastAsia" w:ascii="仿宋" w:hAnsi="仿宋" w:eastAsia="仿宋" w:cs="仿宋"/>
          <w:highlight w:val="none"/>
          <w:lang w:eastAsia="zh-CN"/>
        </w:rPr>
        <w:t>（五）档案管理方案：根据本项目特点制定档案管理方案，内容包括①档案规划和保管措施②档案的备案登记和移交措施</w:t>
      </w:r>
      <w:r>
        <w:rPr>
          <w:rFonts w:hint="eastAsia" w:ascii="仿宋" w:hAnsi="仿宋" w:eastAsia="仿宋" w:cs="仿宋"/>
          <w:highlight w:val="none"/>
          <w:lang w:val="en-US" w:eastAsia="zh-CN"/>
        </w:rPr>
        <w:t>。</w:t>
      </w:r>
    </w:p>
    <w:p w14:paraId="07CB203A">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b/>
          <w:bCs/>
          <w:highlight w:val="none"/>
        </w:rPr>
      </w:pPr>
      <w:r>
        <w:rPr>
          <w:rFonts w:hint="eastAsia" w:ascii="仿宋" w:hAnsi="仿宋" w:eastAsia="仿宋" w:cs="仿宋"/>
          <w:highlight w:val="none"/>
          <w:lang w:eastAsia="zh-CN"/>
        </w:rPr>
        <w:t>（六）企业实力：</w:t>
      </w:r>
      <w:r>
        <w:rPr>
          <w:rFonts w:hint="eastAsia" w:ascii="仿宋" w:hAnsi="仿宋" w:eastAsia="仿宋" w:cs="仿宋"/>
          <w:highlight w:val="none"/>
          <w:lang w:val="en-US" w:eastAsia="zh-CN"/>
        </w:rPr>
        <w:t>供应商具有软件造价评估机构服务能力等级证书、具有处于有效期内的ISO9001质量管理体系认证证书、ISO14001环境管理体系认证证书、ISO45001职业健康安全管理体系认证证书、IS027001信息安全管理体系证书、ISO20000信息技术服务管理体系认证证书、具有配套的信息系统咨询监理管理平台及该平台著作权证书。</w:t>
      </w:r>
    </w:p>
    <w:p w14:paraId="3FB6C767">
      <w:pPr>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outlineLvl w:val="9"/>
        <w:rPr>
          <w:rFonts w:hint="eastAsia" w:ascii="仿宋" w:hAnsi="仿宋" w:eastAsia="仿宋" w:cs="仿宋"/>
          <w:b/>
          <w:bCs/>
          <w:highlight w:val="none"/>
        </w:rPr>
      </w:pPr>
      <w:r>
        <w:rPr>
          <w:rFonts w:hint="eastAsia" w:ascii="仿宋" w:hAnsi="仿宋" w:eastAsia="仿宋" w:cs="仿宋"/>
          <w:b/>
          <w:bCs/>
          <w:highlight w:val="none"/>
        </w:rPr>
        <w:t>★</w:t>
      </w:r>
      <w:r>
        <w:rPr>
          <w:rFonts w:hint="eastAsia" w:ascii="仿宋" w:hAnsi="仿宋" w:eastAsia="仿宋" w:cs="仿宋"/>
          <w:b/>
          <w:bCs/>
          <w:highlight w:val="none"/>
          <w:lang w:val="en-US" w:eastAsia="zh-CN"/>
        </w:rPr>
        <w:t>八</w:t>
      </w:r>
      <w:r>
        <w:rPr>
          <w:rFonts w:hint="eastAsia" w:ascii="仿宋" w:hAnsi="仿宋" w:eastAsia="仿宋" w:cs="仿宋"/>
          <w:b/>
          <w:bCs/>
          <w:highlight w:val="none"/>
        </w:rPr>
        <w:t>、实质性条款要求（</w:t>
      </w:r>
      <w:r>
        <w:rPr>
          <w:rFonts w:hint="eastAsia" w:ascii="仿宋" w:hAnsi="仿宋" w:eastAsia="仿宋" w:cs="仿宋"/>
          <w:b/>
          <w:bCs/>
          <w:highlight w:val="none"/>
          <w:lang w:eastAsia="zh-CN"/>
        </w:rPr>
        <w:t>供应商</w:t>
      </w:r>
      <w:r>
        <w:rPr>
          <w:rFonts w:hint="eastAsia" w:ascii="仿宋" w:hAnsi="仿宋" w:eastAsia="仿宋" w:cs="仿宋"/>
          <w:b/>
          <w:bCs/>
          <w:highlight w:val="none"/>
        </w:rPr>
        <w:t>须提供承诺函，格式自拟，未提供承诺函则视为</w:t>
      </w:r>
      <w:r>
        <w:rPr>
          <w:rFonts w:hint="eastAsia" w:ascii="仿宋" w:hAnsi="仿宋" w:eastAsia="仿宋" w:cs="仿宋"/>
          <w:b/>
          <w:bCs/>
          <w:highlight w:val="none"/>
          <w:lang w:eastAsia="zh-CN"/>
        </w:rPr>
        <w:t>无效响应</w:t>
      </w:r>
      <w:r>
        <w:rPr>
          <w:rFonts w:hint="eastAsia" w:ascii="仿宋" w:hAnsi="仿宋" w:eastAsia="仿宋" w:cs="仿宋"/>
          <w:b/>
          <w:bCs/>
          <w:highlight w:val="none"/>
        </w:rPr>
        <w:t>）</w:t>
      </w:r>
    </w:p>
    <w:p w14:paraId="7DDCC620">
      <w:pPr>
        <w:pStyle w:val="8"/>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（一）供应商须承诺：拟派服务人员完全满足招标文件人数（14人）要求。</w:t>
      </w:r>
    </w:p>
    <w:p w14:paraId="26220CA3">
      <w:pPr>
        <w:pStyle w:val="8"/>
        <w:keepNext w:val="0"/>
        <w:keepLines w:val="0"/>
        <w:pageBreakBefore w:val="0"/>
        <w:widowControl w:val="0"/>
        <w:kinsoku/>
        <w:wordWrap/>
        <w:overflowPunct/>
        <w:topLinePunct w:val="0"/>
        <w:autoSpaceDE/>
        <w:autoSpaceDN/>
        <w:bidi w:val="0"/>
        <w:adjustRightInd/>
        <w:snapToGrid/>
        <w:spacing w:afterLines="0" w:line="500" w:lineRule="exact"/>
        <w:ind w:firstLine="566"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（二）供应商须承诺：关键人员（5人）不得同时兼任其他项目的管理岗位，且不得随意更换，如需更换须经采购人同意。</w:t>
      </w:r>
    </w:p>
    <w:p w14:paraId="661BD8EC">
      <w:pPr>
        <w:keepNext w:val="0"/>
        <w:keepLines w:val="0"/>
        <w:pageBreakBefore w:val="0"/>
        <w:widowControl/>
        <w:suppressLineNumbers w:val="0"/>
        <w:kinsoku/>
        <w:wordWrap/>
        <w:overflowPunct/>
        <w:topLinePunct w:val="0"/>
        <w:bidi w:val="0"/>
        <w:jc w:val="left"/>
        <w:textAlignment w:val="auto"/>
        <w:outlineLvl w:val="9"/>
        <w:rPr>
          <w:rFonts w:hint="eastAsia" w:ascii="仿宋" w:hAnsi="仿宋" w:eastAsia="仿宋" w:cs="仿宋"/>
          <w:color w:val="000000"/>
          <w:kern w:val="0"/>
          <w:sz w:val="24"/>
          <w:szCs w:val="24"/>
          <w:highlight w:val="none"/>
          <w:lang w:val="en-US" w:eastAsia="zh-CN" w:bidi="ar"/>
        </w:rPr>
      </w:pPr>
    </w:p>
    <w:p w14:paraId="707082A4">
      <w:pPr>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486" w:firstLineChars="200"/>
        <w:textAlignment w:val="auto"/>
        <w:rPr>
          <w:rFonts w:hint="eastAsia" w:ascii="仿宋" w:hAnsi="仿宋" w:eastAsia="仿宋" w:cs="仿宋"/>
          <w:color w:val="000000"/>
          <w:kern w:val="0"/>
          <w:sz w:val="24"/>
          <w:szCs w:val="24"/>
          <w:highlight w:val="none"/>
          <w:lang w:val="en-US" w:eastAsia="zh-CN" w:bidi="ar"/>
        </w:rPr>
      </w:pPr>
    </w:p>
    <w:p w14:paraId="218565D6">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6" w:firstLineChars="200"/>
        <w:textAlignment w:val="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0411EB16">
      <w:pPr>
        <w:numPr>
          <w:ilvl w:val="255"/>
          <w:numId w:val="0"/>
        </w:numPr>
        <w:spacing w:line="240" w:lineRule="auto"/>
        <w:ind w:firstLine="426"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1、“★”内容项为实质性条款，</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应在第</w:t>
      </w: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章“</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构成及格式”中的“</w:t>
      </w:r>
      <w:r>
        <w:rPr>
          <w:rFonts w:hint="eastAsia" w:ascii="宋体" w:hAnsi="宋体" w:eastAsia="宋体" w:cs="宋体"/>
          <w:b/>
          <w:bCs/>
          <w:color w:val="auto"/>
          <w:sz w:val="21"/>
          <w:szCs w:val="21"/>
          <w:highlight w:val="none"/>
          <w:lang w:eastAsia="zh-CN"/>
        </w:rPr>
        <w:t>实质性条款响应</w:t>
      </w:r>
      <w:r>
        <w:rPr>
          <w:rFonts w:hint="eastAsia" w:ascii="宋体" w:hAnsi="宋体" w:eastAsia="宋体" w:cs="宋体"/>
          <w:b/>
          <w:bCs/>
          <w:color w:val="auto"/>
          <w:sz w:val="21"/>
          <w:szCs w:val="21"/>
          <w:highlight w:val="none"/>
        </w:rPr>
        <w:t>”处逐条响应“★”内容项，未逐条响应、有缺漏将被视为无效</w:t>
      </w:r>
      <w:r>
        <w:rPr>
          <w:rFonts w:hint="eastAsia" w:ascii="宋体" w:hAnsi="宋体" w:eastAsia="宋体" w:cs="宋体"/>
          <w:b/>
          <w:bCs/>
          <w:color w:val="auto"/>
          <w:sz w:val="21"/>
          <w:szCs w:val="21"/>
          <w:highlight w:val="none"/>
          <w:lang w:eastAsia="zh-CN"/>
        </w:rPr>
        <w:t>响应。</w:t>
      </w:r>
    </w:p>
    <w:p w14:paraId="19F369CC">
      <w:pPr>
        <w:pStyle w:val="6"/>
        <w:spacing w:line="240" w:lineRule="auto"/>
        <w:ind w:firstLine="426"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2、“▲”内容项为重要要求，</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未达到这些要求或未响应将影响评分</w:t>
      </w:r>
      <w:r>
        <w:rPr>
          <w:rFonts w:hint="eastAsia" w:ascii="宋体" w:hAnsi="宋体" w:eastAsia="宋体" w:cs="宋体"/>
          <w:color w:val="auto"/>
          <w:kern w:val="2"/>
          <w:sz w:val="21"/>
          <w:szCs w:val="21"/>
          <w:highlight w:val="none"/>
          <w:lang w:eastAsia="zh-CN"/>
        </w:rPr>
        <w:t>。</w:t>
      </w:r>
    </w:p>
    <w:p w14:paraId="1EB7E40A">
      <w:pPr>
        <w:widowContro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br w:type="page"/>
      </w:r>
    </w:p>
    <w:p w14:paraId="0E699C1E">
      <w:pPr>
        <w:pStyle w:val="6"/>
        <w:widowControl w:val="0"/>
        <w:rPr>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章  合同基本条款</w:t>
      </w:r>
      <w:bookmarkEnd w:id="269"/>
      <w:bookmarkEnd w:id="270"/>
      <w:bookmarkEnd w:id="271"/>
      <w:bookmarkEnd w:id="272"/>
      <w:bookmarkEnd w:id="273"/>
    </w:p>
    <w:p w14:paraId="3630D7B3">
      <w:pPr>
        <w:pStyle w:val="7"/>
        <w:widowControl w:val="0"/>
        <w:spacing w:line="500" w:lineRule="exact"/>
        <w:ind w:firstLine="566" w:firstLineChars="200"/>
        <w:rPr>
          <w:rFonts w:ascii="Calibri Light" w:hAnsi="Calibri Light"/>
          <w:color w:val="auto"/>
          <w:sz w:val="28"/>
          <w:szCs w:val="28"/>
          <w:highlight w:val="none"/>
        </w:rPr>
      </w:pPr>
      <w:bookmarkStart w:id="280" w:name="_Toc8274"/>
      <w:bookmarkStart w:id="281" w:name="_Toc9085"/>
      <w:bookmarkStart w:id="282" w:name="_Toc25553"/>
      <w:bookmarkStart w:id="283" w:name="_Toc8760"/>
      <w:bookmarkStart w:id="284" w:name="_Toc14082139"/>
      <w:bookmarkStart w:id="285" w:name="_Toc35871572"/>
      <w:bookmarkStart w:id="286" w:name="_Toc4166"/>
      <w:bookmarkStart w:id="287" w:name="_Toc23541"/>
      <w:bookmarkStart w:id="288" w:name="_Toc30955"/>
      <w:bookmarkStart w:id="289" w:name="_Toc4288"/>
      <w:bookmarkStart w:id="290" w:name="_Toc12594"/>
      <w:r>
        <w:rPr>
          <w:rFonts w:ascii="Calibri Light" w:hAnsi="Calibri Light"/>
          <w:color w:val="auto"/>
          <w:sz w:val="28"/>
          <w:szCs w:val="28"/>
          <w:highlight w:val="none"/>
        </w:rPr>
        <w:t>一、</w:t>
      </w:r>
      <w:r>
        <w:rPr>
          <w:rFonts w:hint="eastAsia" w:ascii="Calibri Light" w:hAnsi="Calibri Light"/>
          <w:color w:val="auto"/>
          <w:sz w:val="28"/>
          <w:szCs w:val="28"/>
          <w:highlight w:val="none"/>
        </w:rPr>
        <w:t>服务</w:t>
      </w:r>
      <w:r>
        <w:rPr>
          <w:rFonts w:ascii="Calibri Light" w:hAnsi="Calibri Light"/>
          <w:color w:val="auto"/>
          <w:sz w:val="28"/>
          <w:szCs w:val="28"/>
          <w:highlight w:val="none"/>
        </w:rPr>
        <w:t>条件</w:t>
      </w:r>
      <w:bookmarkEnd w:id="280"/>
      <w:bookmarkEnd w:id="281"/>
      <w:bookmarkEnd w:id="282"/>
      <w:bookmarkEnd w:id="283"/>
      <w:bookmarkEnd w:id="284"/>
      <w:bookmarkEnd w:id="285"/>
      <w:bookmarkEnd w:id="286"/>
    </w:p>
    <w:p w14:paraId="7BEA9CB2">
      <w:pPr>
        <w:widowControl w:val="0"/>
        <w:spacing w:line="500" w:lineRule="exact"/>
        <w:ind w:firstLine="566" w:firstLineChars="200"/>
        <w:rPr>
          <w:rFonts w:ascii="华文仿宋" w:hAnsi="华文仿宋" w:cs="华文仿宋"/>
          <w:color w:val="auto"/>
          <w:sz w:val="24"/>
          <w:szCs w:val="24"/>
          <w:highlight w:val="none"/>
        </w:rPr>
      </w:pPr>
      <w:r>
        <w:rPr>
          <w:rFonts w:hint="eastAsia" w:ascii="华文仿宋" w:hAnsi="华文仿宋" w:cs="华文仿宋"/>
          <w:color w:val="auto"/>
          <w:highlight w:val="none"/>
        </w:rPr>
        <w:t>（一）服务地点：采购人指定地点</w:t>
      </w:r>
    </w:p>
    <w:p w14:paraId="34B931B1">
      <w:pPr>
        <w:widowControl w:val="0"/>
        <w:spacing w:line="500" w:lineRule="exact"/>
        <w:ind w:firstLine="566" w:firstLineChars="200"/>
        <w:rPr>
          <w:rFonts w:hint="eastAsia" w:ascii="华文仿宋" w:hAnsi="华文仿宋" w:cs="华文仿宋"/>
          <w:color w:val="auto"/>
          <w:highlight w:val="none"/>
        </w:rPr>
      </w:pPr>
      <w:r>
        <w:rPr>
          <w:rFonts w:hint="eastAsia" w:ascii="华文仿宋" w:hAnsi="华文仿宋" w:cs="华文仿宋"/>
          <w:color w:val="auto"/>
          <w:highlight w:val="none"/>
        </w:rPr>
        <w:t>（二）服务期：</w:t>
      </w:r>
    </w:p>
    <w:p w14:paraId="7FF2F64C">
      <w:pPr>
        <w:widowControl w:val="0"/>
        <w:spacing w:line="500" w:lineRule="exact"/>
        <w:ind w:firstLine="566" w:firstLineChars="200"/>
        <w:rPr>
          <w:rFonts w:hint="eastAsia"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1、</w:t>
      </w:r>
      <w:r>
        <w:rPr>
          <w:rFonts w:hint="eastAsia" w:ascii="华文仿宋" w:hAnsi="华文仿宋" w:cs="华文仿宋"/>
          <w:highlight w:val="none"/>
          <w:lang w:eastAsia="zh-CN"/>
        </w:rPr>
        <w:t>实施方案编制服务</w:t>
      </w:r>
      <w:r>
        <w:rPr>
          <w:rFonts w:hint="eastAsia" w:ascii="华文仿宋" w:hAnsi="华文仿宋" w:cs="华文仿宋"/>
          <w:color w:val="auto"/>
          <w:highlight w:val="none"/>
          <w:lang w:eastAsia="zh-CN"/>
        </w:rPr>
        <w:t>：</w:t>
      </w:r>
      <w:r>
        <w:rPr>
          <w:rFonts w:hint="eastAsia" w:ascii="华文仿宋" w:hAnsi="华文仿宋" w:cs="华文仿宋"/>
          <w:color w:val="auto"/>
          <w:highlight w:val="none"/>
        </w:rPr>
        <w:t>自合同签订之日起</w:t>
      </w:r>
      <w:r>
        <w:rPr>
          <w:rFonts w:hint="eastAsia" w:ascii="仿宋" w:hAnsi="仿宋" w:eastAsia="仿宋" w:cs="仿宋"/>
          <w:color w:val="auto"/>
          <w:highlight w:val="none"/>
          <w:lang w:val="en-US" w:eastAsia="zh-CN"/>
        </w:rPr>
        <w:t>20</w:t>
      </w:r>
      <w:r>
        <w:rPr>
          <w:rFonts w:hint="eastAsia" w:ascii="华文仿宋" w:hAnsi="华文仿宋" w:cs="华文仿宋"/>
          <w:color w:val="auto"/>
          <w:highlight w:val="none"/>
          <w:lang w:val="en-US" w:eastAsia="zh-CN"/>
        </w:rPr>
        <w:t>日内完成；</w:t>
      </w:r>
    </w:p>
    <w:p w14:paraId="15D3AB54">
      <w:pPr>
        <w:keepNext w:val="0"/>
        <w:keepLines w:val="0"/>
        <w:pageBreakBefore w:val="0"/>
        <w:widowControl w:val="0"/>
        <w:kinsoku/>
        <w:wordWrap/>
        <w:overflowPunct/>
        <w:topLinePunct w:val="0"/>
        <w:autoSpaceDE/>
        <w:autoSpaceDN/>
        <w:bidi w:val="0"/>
        <w:adjustRightInd/>
        <w:snapToGrid/>
        <w:spacing w:line="500" w:lineRule="exact"/>
        <w:ind w:left="566" w:leftChars="200" w:firstLine="0" w:firstLineChars="0"/>
        <w:textAlignment w:val="auto"/>
        <w:rPr>
          <w:rFonts w:hint="eastAsia"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2、信息化工程监理服务：自合同签订之日起至项目终验合格之日止；</w:t>
      </w:r>
    </w:p>
    <w:p w14:paraId="4786436B">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default" w:ascii="华文仿宋" w:hAnsi="华文仿宋" w:eastAsia="华文仿宋" w:cs="华文仿宋"/>
          <w:highlight w:val="none"/>
          <w:lang w:val="en-US" w:eastAsia="zh-CN"/>
        </w:rPr>
      </w:pPr>
      <w:r>
        <w:rPr>
          <w:rFonts w:hint="eastAsia" w:ascii="华文仿宋" w:hAnsi="华文仿宋" w:cs="华文仿宋"/>
          <w:color w:val="auto"/>
          <w:highlight w:val="none"/>
          <w:lang w:val="en-US" w:eastAsia="zh-CN"/>
        </w:rPr>
        <w:t>3、第三方结算审核服务：自合同签订之日</w:t>
      </w:r>
      <w:r>
        <w:rPr>
          <w:rFonts w:hint="eastAsia" w:ascii="华文仿宋" w:hAnsi="华文仿宋" w:cs="华文仿宋"/>
          <w:highlight w:val="none"/>
          <w:lang w:val="en-US" w:eastAsia="zh-CN"/>
        </w:rPr>
        <w:t>起至完成结算审核工作之日止。</w:t>
      </w:r>
    </w:p>
    <w:p w14:paraId="372FC276">
      <w:pPr>
        <w:pStyle w:val="7"/>
        <w:widowControl w:val="0"/>
        <w:spacing w:line="500" w:lineRule="exact"/>
        <w:ind w:firstLine="566" w:firstLineChars="200"/>
        <w:rPr>
          <w:rFonts w:ascii="华文仿宋" w:hAnsi="华文仿宋" w:cs="华文仿宋"/>
          <w:color w:val="auto"/>
          <w:sz w:val="28"/>
          <w:szCs w:val="28"/>
          <w:highlight w:val="none"/>
        </w:rPr>
      </w:pPr>
      <w:bookmarkStart w:id="291" w:name="_Toc21445"/>
      <w:bookmarkStart w:id="292" w:name="_Toc11302"/>
      <w:r>
        <w:rPr>
          <w:rFonts w:hint="eastAsia" w:ascii="华文仿宋" w:hAnsi="华文仿宋" w:cs="华文仿宋"/>
          <w:color w:val="auto"/>
          <w:sz w:val="28"/>
          <w:szCs w:val="28"/>
          <w:highlight w:val="none"/>
        </w:rPr>
        <w:t>二、合同价款</w:t>
      </w:r>
      <w:bookmarkEnd w:id="291"/>
      <w:bookmarkEnd w:id="292"/>
    </w:p>
    <w:p w14:paraId="79C2FD69">
      <w:pPr>
        <w:widowControl w:val="0"/>
        <w:spacing w:line="500" w:lineRule="exact"/>
        <w:ind w:firstLine="566" w:firstLineChars="200"/>
        <w:rPr>
          <w:rFonts w:ascii="华文仿宋" w:hAnsi="华文仿宋" w:cs="华文仿宋"/>
          <w:color w:val="auto"/>
          <w:highlight w:val="none"/>
        </w:rPr>
      </w:pPr>
      <w:bookmarkStart w:id="293" w:name="_Toc22625"/>
      <w:bookmarkStart w:id="294" w:name="_Toc107"/>
      <w:r>
        <w:rPr>
          <w:rFonts w:hint="eastAsia" w:ascii="华文仿宋" w:hAnsi="华文仿宋" w:cs="华文仿宋"/>
          <w:color w:val="auto"/>
          <w:highlight w:val="none"/>
        </w:rPr>
        <w:t>合同总价一次性包死，不受市场价格变化因素的影响。</w:t>
      </w:r>
    </w:p>
    <w:p w14:paraId="599EAF22">
      <w:pPr>
        <w:pStyle w:val="7"/>
        <w:widowControl w:val="0"/>
        <w:spacing w:line="500" w:lineRule="exact"/>
        <w:ind w:left="566" w:leftChars="200"/>
        <w:rPr>
          <w:rFonts w:ascii="华文仿宋" w:hAnsi="华文仿宋" w:cs="华文仿宋"/>
          <w:color w:val="auto"/>
          <w:sz w:val="28"/>
          <w:szCs w:val="28"/>
          <w:highlight w:val="none"/>
        </w:rPr>
      </w:pPr>
      <w:r>
        <w:rPr>
          <w:rFonts w:hint="eastAsia" w:ascii="华文仿宋" w:hAnsi="华文仿宋" w:cs="华文仿宋"/>
          <w:color w:val="auto"/>
          <w:sz w:val="28"/>
          <w:szCs w:val="28"/>
          <w:highlight w:val="none"/>
        </w:rPr>
        <w:t>三、款项结算</w:t>
      </w:r>
      <w:bookmarkEnd w:id="293"/>
    </w:p>
    <w:p w14:paraId="45FF6C7A">
      <w:pPr>
        <w:pStyle w:val="44"/>
        <w:widowControl w:val="0"/>
        <w:spacing w:line="500" w:lineRule="exact"/>
        <w:ind w:firstLine="567"/>
        <w:rPr>
          <w:rFonts w:ascii="华文仿宋" w:hAnsi="华文仿宋" w:cs="华文仿宋"/>
          <w:color w:val="auto"/>
          <w:highlight w:val="none"/>
        </w:rPr>
      </w:pPr>
      <w:r>
        <w:rPr>
          <w:rFonts w:hint="eastAsia" w:ascii="华文仿宋" w:hAnsi="华文仿宋" w:cs="华文仿宋"/>
          <w:color w:val="auto"/>
          <w:highlight w:val="none"/>
        </w:rPr>
        <w:t>（一）支付方式：银行转账</w:t>
      </w:r>
    </w:p>
    <w:p w14:paraId="2887637D">
      <w:pPr>
        <w:pStyle w:val="44"/>
        <w:widowControl w:val="0"/>
        <w:spacing w:line="500" w:lineRule="exact"/>
        <w:ind w:firstLine="567"/>
        <w:rPr>
          <w:rFonts w:ascii="华文仿宋" w:hAnsi="华文仿宋" w:cs="华文仿宋"/>
          <w:color w:val="auto"/>
          <w:highlight w:val="none"/>
        </w:rPr>
      </w:pPr>
      <w:r>
        <w:rPr>
          <w:rFonts w:hint="eastAsia" w:ascii="华文仿宋" w:hAnsi="华文仿宋" w:cs="华文仿宋"/>
          <w:color w:val="auto"/>
          <w:highlight w:val="none"/>
        </w:rPr>
        <w:t>（二）货币单位：人民币</w:t>
      </w:r>
    </w:p>
    <w:p w14:paraId="67254455">
      <w:pPr>
        <w:keepNext/>
        <w:keepLines/>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（三）结算方式：</w:t>
      </w:r>
      <w:bookmarkStart w:id="295" w:name="_Toc18191"/>
      <w:bookmarkStart w:id="296" w:name="_Toc8934"/>
      <w:bookmarkStart w:id="297" w:name="_Toc21822"/>
      <w:bookmarkStart w:id="298" w:name="_Toc23738"/>
      <w:bookmarkStart w:id="299" w:name="_Toc11640"/>
      <w:bookmarkStart w:id="300" w:name="_Toc16040"/>
      <w:bookmarkStart w:id="301" w:name="_Toc8545"/>
    </w:p>
    <w:p w14:paraId="154B16B4">
      <w:pPr>
        <w:widowControl w:val="0"/>
        <w:spacing w:line="500" w:lineRule="exact"/>
        <w:ind w:firstLine="566" w:firstLineChars="200"/>
        <w:rPr>
          <w:rFonts w:hint="eastAsia" w:ascii="华文仿宋" w:hAnsi="华文仿宋" w:cs="华文仿宋"/>
          <w:color w:val="auto"/>
          <w:highlight w:val="none"/>
          <w:lang w:val="en-US" w:eastAsia="zh-CN"/>
        </w:rPr>
      </w:pPr>
      <w:r>
        <w:rPr>
          <w:rFonts w:hint="eastAsia" w:ascii="仿宋" w:hAnsi="仿宋" w:eastAsia="仿宋" w:cs="仿宋"/>
          <w:highlight w:val="none"/>
        </w:rPr>
        <w:t>合同签订后</w:t>
      </w:r>
      <w:r>
        <w:rPr>
          <w:rFonts w:hint="eastAsia" w:ascii="仿宋" w:hAnsi="仿宋" w:eastAsia="仿宋" w:cs="仿宋"/>
          <w:highlight w:val="none"/>
          <w:lang w:val="en-US" w:eastAsia="zh-CN"/>
        </w:rPr>
        <w:t>1</w:t>
      </w:r>
      <w:r>
        <w:rPr>
          <w:rFonts w:hint="eastAsia" w:ascii="仿宋" w:hAnsi="仿宋" w:eastAsia="仿宋" w:cs="仿宋"/>
          <w:highlight w:val="none"/>
        </w:rPr>
        <w:t>0个日历日内</w:t>
      </w:r>
      <w:r>
        <w:rPr>
          <w:rFonts w:hint="eastAsia" w:ascii="仿宋" w:hAnsi="仿宋" w:eastAsia="仿宋" w:cs="仿宋"/>
          <w:highlight w:val="none"/>
          <w:lang w:eastAsia="zh-CN"/>
        </w:rPr>
        <w:t>，</w:t>
      </w:r>
      <w:r>
        <w:rPr>
          <w:rFonts w:hint="eastAsia" w:ascii="仿宋" w:hAnsi="仿宋" w:eastAsia="仿宋" w:cs="仿宋"/>
          <w:highlight w:val="none"/>
        </w:rPr>
        <w:t>支付合同价款的</w:t>
      </w:r>
      <w:r>
        <w:rPr>
          <w:rFonts w:hint="eastAsia" w:ascii="仿宋" w:hAnsi="仿宋" w:eastAsia="仿宋" w:cs="仿宋"/>
          <w:highlight w:val="none"/>
          <w:lang w:val="en-US" w:eastAsia="zh-CN"/>
        </w:rPr>
        <w:t>5</w:t>
      </w:r>
      <w:r>
        <w:rPr>
          <w:rFonts w:hint="eastAsia" w:ascii="仿宋" w:hAnsi="仿宋" w:eastAsia="仿宋" w:cs="仿宋"/>
          <w:highlight w:val="none"/>
        </w:rPr>
        <w:t>0%为预付款；剩余款项自验收合格之日起30日内支付款项（具体支付事宜由采购人与</w:t>
      </w:r>
      <w:r>
        <w:rPr>
          <w:rFonts w:hint="eastAsia" w:ascii="仿宋" w:hAnsi="仿宋" w:eastAsia="仿宋" w:cs="仿宋"/>
          <w:highlight w:val="none"/>
          <w:lang w:eastAsia="zh-CN"/>
        </w:rPr>
        <w:t>成交供应商</w:t>
      </w:r>
      <w:r>
        <w:rPr>
          <w:rFonts w:hint="eastAsia" w:ascii="仿宋" w:hAnsi="仿宋" w:eastAsia="仿宋" w:cs="仿宋"/>
          <w:highlight w:val="none"/>
        </w:rPr>
        <w:t>具体商定）。</w:t>
      </w:r>
    </w:p>
    <w:p w14:paraId="3557D2A5">
      <w:pPr>
        <w:widowControl w:val="0"/>
        <w:spacing w:line="500" w:lineRule="exact"/>
        <w:ind w:firstLine="495" w:firstLineChars="175"/>
        <w:rPr>
          <w:rFonts w:ascii="华文仿宋" w:hAnsi="华文仿宋" w:cs="华文仿宋"/>
          <w:color w:val="auto"/>
          <w:highlight w:val="none"/>
        </w:rPr>
      </w:pPr>
      <w:r>
        <w:rPr>
          <w:rFonts w:hint="eastAsia" w:ascii="华文仿宋" w:hAnsi="华文仿宋" w:cs="华文仿宋"/>
          <w:b/>
          <w:bCs/>
          <w:color w:val="auto"/>
          <w:highlight w:val="none"/>
        </w:rPr>
        <w:t>四、在签订合同前，</w:t>
      </w:r>
      <w:r>
        <w:rPr>
          <w:rFonts w:hint="eastAsia" w:ascii="华文仿宋" w:hAnsi="华文仿宋" w:cs="华文仿宋"/>
          <w:b/>
          <w:bCs/>
          <w:color w:val="auto"/>
          <w:highlight w:val="none"/>
          <w:lang w:eastAsia="zh-CN"/>
        </w:rPr>
        <w:t>成交供应商</w:t>
      </w:r>
      <w:r>
        <w:rPr>
          <w:rFonts w:hint="eastAsia" w:ascii="华文仿宋" w:hAnsi="华文仿宋" w:cs="华文仿宋"/>
          <w:b/>
          <w:bCs/>
          <w:color w:val="auto"/>
          <w:highlight w:val="none"/>
        </w:rPr>
        <w:t>应按照</w:t>
      </w:r>
      <w:r>
        <w:rPr>
          <w:rFonts w:hint="eastAsia" w:ascii="华文仿宋" w:hAnsi="华文仿宋" w:cs="华文仿宋"/>
          <w:b/>
          <w:bCs/>
          <w:color w:val="auto"/>
          <w:highlight w:val="none"/>
          <w:lang w:eastAsia="zh-CN"/>
        </w:rPr>
        <w:t>磋商文件</w:t>
      </w:r>
      <w:r>
        <w:rPr>
          <w:rFonts w:hint="eastAsia" w:ascii="华文仿宋" w:hAnsi="华文仿宋" w:cs="华文仿宋"/>
          <w:b/>
          <w:bCs/>
          <w:color w:val="auto"/>
          <w:highlight w:val="none"/>
        </w:rPr>
        <w:t>第</w:t>
      </w:r>
      <w:r>
        <w:rPr>
          <w:rFonts w:hint="eastAsia" w:ascii="华文仿宋" w:hAnsi="华文仿宋" w:cs="华文仿宋"/>
          <w:b/>
          <w:bCs/>
          <w:color w:val="auto"/>
          <w:highlight w:val="none"/>
          <w:lang w:eastAsia="zh-CN"/>
        </w:rPr>
        <w:t>三</w:t>
      </w:r>
      <w:r>
        <w:rPr>
          <w:rFonts w:hint="eastAsia" w:ascii="华文仿宋" w:hAnsi="华文仿宋" w:cs="华文仿宋"/>
          <w:b/>
          <w:bCs/>
          <w:color w:val="auto"/>
          <w:highlight w:val="none"/>
        </w:rPr>
        <w:t>章《</w:t>
      </w:r>
      <w:r>
        <w:rPr>
          <w:rFonts w:hint="eastAsia" w:ascii="华文仿宋" w:hAnsi="华文仿宋" w:cs="华文仿宋"/>
          <w:b/>
          <w:bCs/>
          <w:color w:val="auto"/>
          <w:highlight w:val="none"/>
          <w:lang w:eastAsia="zh-CN"/>
        </w:rPr>
        <w:t>磋商</w:t>
      </w:r>
      <w:r>
        <w:rPr>
          <w:rFonts w:hint="eastAsia" w:ascii="华文仿宋" w:hAnsi="华文仿宋" w:cs="华文仿宋"/>
          <w:b/>
          <w:bCs/>
          <w:color w:val="auto"/>
          <w:highlight w:val="none"/>
        </w:rPr>
        <w:t>内容及采购要求》中所有承诺事项要求落实，如未在规定时限内按要求完成所承诺事项的，则视为主动放弃</w:t>
      </w:r>
      <w:r>
        <w:rPr>
          <w:rFonts w:hint="eastAsia" w:ascii="华文仿宋" w:hAnsi="华文仿宋" w:cs="华文仿宋"/>
          <w:b/>
          <w:bCs/>
          <w:color w:val="auto"/>
          <w:highlight w:val="none"/>
          <w:lang w:eastAsia="zh-CN"/>
        </w:rPr>
        <w:t>成交</w:t>
      </w:r>
      <w:r>
        <w:rPr>
          <w:rFonts w:hint="eastAsia" w:ascii="华文仿宋" w:hAnsi="华文仿宋" w:cs="华文仿宋"/>
          <w:b/>
          <w:bCs/>
          <w:color w:val="auto"/>
          <w:highlight w:val="none"/>
        </w:rPr>
        <w:t>资格。</w:t>
      </w:r>
    </w:p>
    <w:bookmarkEnd w:id="295"/>
    <w:p w14:paraId="22CF2EE4">
      <w:pPr>
        <w:pStyle w:val="7"/>
        <w:keepNext w:val="0"/>
        <w:widowControl w:val="0"/>
        <w:spacing w:line="500" w:lineRule="exact"/>
        <w:ind w:firstLine="567"/>
        <w:rPr>
          <w:rFonts w:ascii="华文仿宋" w:hAnsi="华文仿宋" w:cs="华文仿宋"/>
          <w:color w:val="auto"/>
          <w:sz w:val="28"/>
          <w:szCs w:val="28"/>
          <w:highlight w:val="none"/>
        </w:rPr>
      </w:pPr>
      <w:bookmarkStart w:id="302" w:name="_Toc27799"/>
      <w:r>
        <w:rPr>
          <w:rFonts w:hint="eastAsia" w:ascii="华文仿宋" w:hAnsi="华文仿宋" w:cs="华文仿宋"/>
          <w:color w:val="auto"/>
          <w:sz w:val="28"/>
          <w:szCs w:val="28"/>
          <w:highlight w:val="none"/>
        </w:rPr>
        <w:t>五、服务保证</w:t>
      </w:r>
    </w:p>
    <w:p w14:paraId="5E37AD1E">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（一）人员雇佣及工资标准</w:t>
      </w:r>
    </w:p>
    <w:p w14:paraId="35FEFBAE">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1、</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须保障人员待遇不得低于采购人所在地最低工资标准和社保最低缴费额。</w:t>
      </w:r>
    </w:p>
    <w:p w14:paraId="492342E2">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2、</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须与员工签订劳动合同，引起劳动关系问题由</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负责。</w:t>
      </w:r>
    </w:p>
    <w:p w14:paraId="0C09073C">
      <w:pPr>
        <w:widowControl w:val="0"/>
        <w:spacing w:line="500" w:lineRule="exact"/>
        <w:ind w:firstLine="566" w:firstLineChars="200"/>
        <w:rPr>
          <w:rFonts w:ascii="华文仿宋" w:hAnsi="华文仿宋" w:cs="华文仿宋"/>
          <w:color w:val="auto"/>
          <w:highlight w:val="none"/>
        </w:rPr>
      </w:pPr>
      <w:r>
        <w:rPr>
          <w:rFonts w:hint="eastAsia" w:ascii="仿宋" w:hAnsi="仿宋" w:eastAsia="仿宋" w:cs="仿宋"/>
          <w:color w:val="auto"/>
          <w:highlight w:val="none"/>
        </w:rPr>
        <w:t>（二）</w:t>
      </w:r>
      <w:r>
        <w:rPr>
          <w:rFonts w:hint="eastAsia" w:ascii="华文仿宋" w:hAnsi="华文仿宋" w:eastAsia="仿宋" w:cs="华文仿宋"/>
          <w:color w:val="auto"/>
          <w:highlight w:val="none"/>
          <w:lang w:eastAsia="zh-CN"/>
        </w:rPr>
        <w:t>成交供应商</w:t>
      </w:r>
      <w:r>
        <w:rPr>
          <w:rFonts w:hint="eastAsia" w:ascii="华文仿宋" w:hAnsi="华文仿宋" w:cs="华文仿宋"/>
          <w:color w:val="auto"/>
          <w:highlight w:val="none"/>
        </w:rPr>
        <w:t>提供服务时，服务要求应按不低于国家、省、市有关部门规定的质量标准执行。</w:t>
      </w:r>
    </w:p>
    <w:p w14:paraId="7980372F">
      <w:pPr>
        <w:widowControl w:val="0"/>
        <w:spacing w:line="500" w:lineRule="exact"/>
        <w:ind w:firstLine="566" w:firstLineChars="200"/>
        <w:rPr>
          <w:rFonts w:ascii="华文仿宋" w:cs="Times New Roman"/>
          <w:color w:val="auto"/>
          <w:highlight w:val="none"/>
        </w:rPr>
      </w:pPr>
      <w:r>
        <w:rPr>
          <w:rFonts w:hint="eastAsia" w:ascii="仿宋" w:hAnsi="仿宋" w:eastAsia="仿宋" w:cs="仿宋"/>
          <w:color w:val="auto"/>
          <w:highlight w:val="none"/>
        </w:rPr>
        <w:t>1、</w:t>
      </w:r>
      <w:r>
        <w:rPr>
          <w:rFonts w:hint="eastAsia" w:ascii="华文仿宋" w:hAnsi="华文仿宋" w:eastAsia="仿宋" w:cs="华文仿宋"/>
          <w:color w:val="auto"/>
          <w:highlight w:val="none"/>
          <w:lang w:eastAsia="zh-CN"/>
        </w:rPr>
        <w:t>成交供应商</w:t>
      </w:r>
      <w:r>
        <w:rPr>
          <w:rFonts w:hint="eastAsia" w:ascii="华文仿宋" w:hAnsi="华文仿宋" w:cs="华文仿宋"/>
          <w:color w:val="auto"/>
          <w:highlight w:val="none"/>
        </w:rPr>
        <w:t>承诺与拟投入人员均有劳动合同或聘用协议。</w:t>
      </w:r>
    </w:p>
    <w:p w14:paraId="6ECB7F85">
      <w:pPr>
        <w:widowControl w:val="0"/>
        <w:spacing w:line="500" w:lineRule="exact"/>
        <w:ind w:firstLine="566" w:firstLineChars="200"/>
        <w:rPr>
          <w:rFonts w:ascii="华文仿宋" w:hAnsi="华文仿宋" w:cs="华文仿宋"/>
          <w:b/>
          <w:bCs/>
          <w:color w:val="auto"/>
          <w:highlight w:val="none"/>
        </w:rPr>
      </w:pPr>
      <w:r>
        <w:rPr>
          <w:rFonts w:hint="eastAsia" w:ascii="华文仿宋" w:hAnsi="华文仿宋" w:cs="华文仿宋"/>
          <w:color w:val="auto"/>
          <w:highlight w:val="none"/>
        </w:rPr>
        <w:t>2、</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承诺工作人员按</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落实，具体人员要求与采购人协商确定。</w:t>
      </w:r>
    </w:p>
    <w:bookmarkEnd w:id="294"/>
    <w:bookmarkEnd w:id="296"/>
    <w:bookmarkEnd w:id="297"/>
    <w:bookmarkEnd w:id="298"/>
    <w:bookmarkEnd w:id="299"/>
    <w:bookmarkEnd w:id="300"/>
    <w:bookmarkEnd w:id="301"/>
    <w:bookmarkEnd w:id="302"/>
    <w:p w14:paraId="57715672">
      <w:pPr>
        <w:widowControl w:val="0"/>
        <w:spacing w:line="500" w:lineRule="exact"/>
        <w:ind w:firstLine="566" w:firstLineChars="200"/>
        <w:outlineLvl w:val="1"/>
        <w:rPr>
          <w:rStyle w:val="45"/>
          <w:color w:val="auto"/>
          <w:sz w:val="28"/>
          <w:szCs w:val="28"/>
          <w:highlight w:val="none"/>
        </w:rPr>
      </w:pPr>
      <w:bookmarkStart w:id="303" w:name="_Toc29437"/>
      <w:bookmarkStart w:id="304" w:name="_Toc597"/>
      <w:bookmarkStart w:id="305" w:name="_Toc24576"/>
      <w:bookmarkStart w:id="306" w:name="_Toc1078"/>
      <w:bookmarkStart w:id="307" w:name="_Toc4397"/>
      <w:bookmarkStart w:id="308" w:name="_Toc25497"/>
      <w:r>
        <w:rPr>
          <w:rStyle w:val="45"/>
          <w:rFonts w:hint="eastAsia"/>
          <w:color w:val="auto"/>
          <w:sz w:val="28"/>
          <w:szCs w:val="28"/>
          <w:highlight w:val="none"/>
        </w:rPr>
        <w:t>六、服务承诺</w:t>
      </w:r>
      <w:bookmarkEnd w:id="303"/>
      <w:bookmarkEnd w:id="304"/>
      <w:bookmarkEnd w:id="305"/>
      <w:bookmarkEnd w:id="306"/>
      <w:bookmarkEnd w:id="307"/>
    </w:p>
    <w:bookmarkEnd w:id="308"/>
    <w:p w14:paraId="0406FEF8">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以</w:t>
      </w:r>
      <w:r>
        <w:rPr>
          <w:rFonts w:hint="eastAsia" w:ascii="华文仿宋" w:hAnsi="华文仿宋" w:cs="华文仿宋"/>
          <w:color w:val="auto"/>
          <w:highlight w:val="none"/>
          <w:lang w:eastAsia="zh-CN"/>
        </w:rPr>
        <w:t>响应</w:t>
      </w:r>
      <w:r>
        <w:rPr>
          <w:rFonts w:hint="eastAsia" w:ascii="华文仿宋" w:hAnsi="华文仿宋" w:cs="华文仿宋"/>
          <w:color w:val="auto"/>
          <w:highlight w:val="none"/>
        </w:rPr>
        <w:t>文件、澄清表（函）、合同和随服务的相关文件为准。</w:t>
      </w:r>
      <w:bookmarkEnd w:id="287"/>
      <w:bookmarkEnd w:id="288"/>
      <w:bookmarkEnd w:id="289"/>
      <w:bookmarkEnd w:id="290"/>
      <w:bookmarkStart w:id="309" w:name="_Toc32352"/>
      <w:bookmarkStart w:id="310" w:name="_Toc27590"/>
      <w:bookmarkStart w:id="311" w:name="_Toc13224"/>
    </w:p>
    <w:bookmarkEnd w:id="309"/>
    <w:bookmarkEnd w:id="310"/>
    <w:bookmarkEnd w:id="311"/>
    <w:p w14:paraId="36440509">
      <w:pPr>
        <w:pStyle w:val="7"/>
        <w:widowControl w:val="0"/>
        <w:spacing w:line="480" w:lineRule="exact"/>
        <w:ind w:firstLine="566" w:firstLineChars="200"/>
        <w:rPr>
          <w:rFonts w:hint="eastAsia" w:ascii="华文仿宋" w:hAnsi="华文仿宋" w:eastAsia="华文仿宋" w:cs="华文仿宋"/>
          <w:color w:val="auto"/>
          <w:sz w:val="28"/>
          <w:szCs w:val="28"/>
          <w:highlight w:val="none"/>
          <w:lang w:eastAsia="zh-CN"/>
        </w:rPr>
      </w:pPr>
      <w:bookmarkStart w:id="312" w:name="_Toc26163"/>
      <w:bookmarkStart w:id="313" w:name="_Toc19380"/>
      <w:bookmarkStart w:id="314" w:name="_Toc7063"/>
      <w:bookmarkStart w:id="315" w:name="_Toc14993"/>
      <w:bookmarkStart w:id="316" w:name="_Toc26023"/>
      <w:bookmarkStart w:id="317" w:name="_Toc31591"/>
      <w:bookmarkStart w:id="318" w:name="_Toc19937"/>
      <w:bookmarkStart w:id="319" w:name="_Toc495012823"/>
      <w:bookmarkStart w:id="320" w:name="_Toc13809"/>
      <w:bookmarkStart w:id="321" w:name="_Toc445306495"/>
      <w:bookmarkStart w:id="322" w:name="_Toc495014922"/>
      <w:bookmarkStart w:id="323" w:name="_Toc27349"/>
      <w:bookmarkStart w:id="324" w:name="_Toc495012773"/>
      <w:bookmarkStart w:id="325" w:name="_Toc495014651"/>
      <w:bookmarkStart w:id="326" w:name="_Toc495014613"/>
      <w:bookmarkStart w:id="327" w:name="_Toc5554"/>
      <w:bookmarkStart w:id="328" w:name="_Toc495014956"/>
      <w:bookmarkStart w:id="329" w:name="_Toc495014587"/>
      <w:r>
        <w:rPr>
          <w:rFonts w:hint="eastAsia" w:ascii="华文仿宋" w:hAnsi="华文仿宋" w:cs="华文仿宋"/>
          <w:color w:val="auto"/>
          <w:sz w:val="28"/>
          <w:szCs w:val="28"/>
          <w:highlight w:val="none"/>
        </w:rPr>
        <w:t>七、</w:t>
      </w:r>
      <w:bookmarkEnd w:id="312"/>
      <w:bookmarkEnd w:id="313"/>
      <w:bookmarkEnd w:id="314"/>
      <w:bookmarkEnd w:id="315"/>
      <w:bookmarkEnd w:id="316"/>
      <w:bookmarkEnd w:id="317"/>
      <w:bookmarkEnd w:id="318"/>
      <w:r>
        <w:rPr>
          <w:rFonts w:hint="eastAsia" w:ascii="华文仿宋" w:hAnsi="华文仿宋" w:cs="华文仿宋"/>
          <w:color w:val="auto"/>
          <w:sz w:val="28"/>
          <w:szCs w:val="28"/>
          <w:highlight w:val="none"/>
          <w:lang w:eastAsia="zh-CN"/>
        </w:rPr>
        <w:t>验收</w:t>
      </w:r>
    </w:p>
    <w:p w14:paraId="1AD265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6" w:firstLineChars="200"/>
        <w:textAlignment w:val="auto"/>
        <w:rPr>
          <w:rFonts w:hint="eastAsia" w:ascii="华文仿宋" w:hAnsi="华文仿宋" w:cs="华文仿宋"/>
          <w:color w:val="auto"/>
          <w:highlight w:val="none"/>
          <w:lang w:val="en-US" w:eastAsia="zh-CN"/>
        </w:rPr>
      </w:pPr>
      <w:bookmarkStart w:id="330" w:name="_Toc5100"/>
      <w:bookmarkStart w:id="331" w:name="_Toc11262"/>
      <w:bookmarkStart w:id="332" w:name="_Toc14133"/>
      <w:bookmarkStart w:id="333" w:name="_Toc956"/>
      <w:r>
        <w:rPr>
          <w:rFonts w:hint="eastAsia" w:ascii="华文仿宋" w:hAnsi="华文仿宋" w:cs="华文仿宋"/>
          <w:color w:val="auto"/>
          <w:highlight w:val="none"/>
          <w:lang w:val="en-US" w:eastAsia="zh-CN"/>
        </w:rPr>
        <w:t>（一）实施方案编制服务：实施方案通过省级政务信息化项目联合评审，视为验收合格。</w:t>
      </w:r>
    </w:p>
    <w:p w14:paraId="460ADF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6" w:firstLineChars="200"/>
        <w:textAlignment w:val="auto"/>
        <w:rPr>
          <w:rFonts w:hint="eastAsia"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（二）信息化工程监理服务：服务成果以资料汇编形式提交，经采购人确认后视为验收通过。</w:t>
      </w:r>
    </w:p>
    <w:p w14:paraId="7CA926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6" w:firstLineChars="200"/>
        <w:textAlignment w:val="auto"/>
        <w:rPr>
          <w:rFonts w:hint="eastAsia" w:ascii="华文仿宋" w:hAnsi="华文仿宋" w:eastAsia="华文仿宋" w:cs="华文仿宋"/>
          <w:color w:val="auto"/>
          <w:kern w:val="2"/>
          <w:sz w:val="28"/>
          <w:szCs w:val="28"/>
          <w:highlight w:val="none"/>
          <w:lang w:val="en-US" w:eastAsia="zh-CN" w:bidi="ar-SA"/>
        </w:rPr>
      </w:pPr>
      <w:r>
        <w:rPr>
          <w:rFonts w:hint="eastAsia" w:ascii="华文仿宋" w:hAnsi="华文仿宋" w:cs="华文仿宋"/>
          <w:color w:val="auto"/>
          <w:highlight w:val="none"/>
          <w:lang w:val="en-US" w:eastAsia="zh-CN"/>
        </w:rPr>
        <w:t>（三）第三方结算审核服务：服务成果以资料汇编形式提交，经采购人确认后视为验收通过。</w:t>
      </w:r>
    </w:p>
    <w:p w14:paraId="4946B5FD">
      <w:pPr>
        <w:pStyle w:val="7"/>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color w:val="auto"/>
          <w:sz w:val="28"/>
          <w:szCs w:val="28"/>
          <w:highlight w:val="none"/>
          <w:lang w:eastAsia="zh-CN"/>
        </w:rPr>
      </w:pPr>
      <w:r>
        <w:rPr>
          <w:rFonts w:hint="eastAsia" w:ascii="华文仿宋" w:hAnsi="华文仿宋" w:cs="华文仿宋"/>
          <w:color w:val="auto"/>
          <w:sz w:val="28"/>
          <w:szCs w:val="28"/>
          <w:highlight w:val="none"/>
        </w:rPr>
        <w:t>八、</w:t>
      </w:r>
      <w:bookmarkEnd w:id="330"/>
      <w:bookmarkEnd w:id="331"/>
      <w:bookmarkEnd w:id="332"/>
      <w:bookmarkEnd w:id="333"/>
      <w:r>
        <w:rPr>
          <w:rFonts w:hint="eastAsia" w:ascii="华文仿宋" w:hAnsi="华文仿宋" w:cs="华文仿宋"/>
          <w:color w:val="auto"/>
          <w:sz w:val="28"/>
          <w:szCs w:val="28"/>
          <w:highlight w:val="none"/>
          <w:lang w:eastAsia="zh-CN"/>
        </w:rPr>
        <w:t>解除合同</w:t>
      </w:r>
    </w:p>
    <w:p w14:paraId="4C73CCD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rPr>
        <w:t>如发生下列任意一项，采购人有权责令整改并向上级主管部门报备解除合同，并要求</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赔偿相关损失及承担相关法律责任。</w:t>
      </w:r>
    </w:p>
    <w:p w14:paraId="5C4BFAF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lang w:eastAsia="zh-CN"/>
        </w:rPr>
        <w:t>（一）</w:t>
      </w:r>
      <w:r>
        <w:rPr>
          <w:rFonts w:hint="eastAsia" w:ascii="华文仿宋" w:hAnsi="华文仿宋" w:cs="华文仿宋"/>
          <w:color w:val="auto"/>
          <w:highlight w:val="none"/>
        </w:rPr>
        <w:t>考核不合格，拒不改正、影响服务质量或损害国家利益的。</w:t>
      </w:r>
    </w:p>
    <w:p w14:paraId="659F5F41">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lang w:eastAsia="zh-CN"/>
        </w:rPr>
        <w:t>（二）</w:t>
      </w:r>
      <w:r>
        <w:rPr>
          <w:rFonts w:hint="eastAsia" w:ascii="华文仿宋" w:hAnsi="华文仿宋" w:cs="华文仿宋"/>
          <w:color w:val="auto"/>
          <w:highlight w:val="none"/>
        </w:rPr>
        <w:t>因</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原因导致重大火灾、伤亡、档案丢失等。</w:t>
      </w:r>
    </w:p>
    <w:p w14:paraId="0D02CC26">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lang w:eastAsia="zh-CN"/>
        </w:rPr>
        <w:t>（三）</w:t>
      </w:r>
      <w:r>
        <w:rPr>
          <w:rFonts w:hint="eastAsia" w:ascii="华文仿宋" w:hAnsi="华文仿宋" w:cs="华文仿宋"/>
          <w:color w:val="auto"/>
          <w:highlight w:val="none"/>
        </w:rPr>
        <w:t>发生重大安全事件隐瞒不报。</w:t>
      </w:r>
    </w:p>
    <w:p w14:paraId="7C33A0DE">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lang w:eastAsia="zh-CN"/>
        </w:rPr>
        <w:t>（四）</w:t>
      </w:r>
      <w:r>
        <w:rPr>
          <w:rFonts w:hint="eastAsia" w:ascii="华文仿宋" w:hAnsi="华文仿宋" w:cs="华文仿宋"/>
          <w:color w:val="auto"/>
          <w:highlight w:val="none"/>
        </w:rPr>
        <w:t>其他违反法律、法规和规章制度行为，造成恶劣影响的。</w:t>
      </w:r>
    </w:p>
    <w:p w14:paraId="013DA03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ascii="华文仿宋" w:hAnsi="华文仿宋" w:cs="华文仿宋"/>
          <w:b/>
          <w:bCs/>
          <w:color w:val="auto"/>
          <w:highlight w:val="none"/>
        </w:rPr>
      </w:pPr>
      <w:r>
        <w:rPr>
          <w:rFonts w:hint="eastAsia" w:ascii="华文仿宋" w:hAnsi="华文仿宋" w:cs="华文仿宋"/>
          <w:color w:val="auto"/>
          <w:highlight w:val="none"/>
          <w:lang w:eastAsia="zh-CN"/>
        </w:rPr>
        <w:t>（五）</w:t>
      </w:r>
      <w:r>
        <w:rPr>
          <w:rFonts w:hint="eastAsia" w:ascii="华文仿宋" w:hAnsi="华文仿宋" w:cs="华文仿宋"/>
          <w:color w:val="auto"/>
          <w:highlight w:val="none"/>
        </w:rPr>
        <w:t>未按本项目合同要求提供服务或服务质量不能满足合同要求，采购人应当将服务违约的情况以及拟按合同约定采取的措施以书面形式报政府采购监管部门，根据政府采购监管部门的处理意见，采购人有权依据《中华人民共和国民法典》有关条款及合同约定终止合同，并要求</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承担违约责任。同时，政府采购监管部门有权依据《政府采购法》及相关法律法规对</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的违法行为进行相应的处罚。</w:t>
      </w:r>
    </w:p>
    <w:p w14:paraId="6B834083">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color w:val="auto"/>
          <w:sz w:val="28"/>
          <w:szCs w:val="28"/>
          <w:highlight w:val="none"/>
          <w:lang w:eastAsia="zh-CN"/>
        </w:rPr>
      </w:pPr>
      <w:bookmarkStart w:id="334" w:name="_Toc526"/>
      <w:bookmarkStart w:id="335" w:name="_Toc2214"/>
      <w:bookmarkStart w:id="336" w:name="_Toc780"/>
      <w:bookmarkStart w:id="337" w:name="_Toc7237"/>
      <w:bookmarkStart w:id="338" w:name="_Toc20997"/>
      <w:bookmarkStart w:id="339" w:name="_Toc2376"/>
      <w:bookmarkStart w:id="340" w:name="_Toc18805"/>
      <w:r>
        <w:rPr>
          <w:rFonts w:hint="eastAsia" w:ascii="华文仿宋" w:hAnsi="华文仿宋" w:cs="华文仿宋"/>
          <w:b/>
          <w:bCs/>
          <w:color w:val="auto"/>
          <w:sz w:val="28"/>
          <w:szCs w:val="28"/>
          <w:highlight w:val="none"/>
        </w:rPr>
        <w:t>九、</w:t>
      </w:r>
      <w:bookmarkEnd w:id="334"/>
      <w:bookmarkEnd w:id="335"/>
      <w:bookmarkEnd w:id="336"/>
      <w:bookmarkEnd w:id="337"/>
      <w:bookmarkEnd w:id="338"/>
      <w:bookmarkEnd w:id="339"/>
      <w:bookmarkEnd w:id="340"/>
      <w:r>
        <w:rPr>
          <w:rFonts w:hint="eastAsia" w:ascii="华文仿宋" w:hAnsi="华文仿宋" w:cs="华文仿宋"/>
          <w:b/>
          <w:bCs/>
          <w:color w:val="auto"/>
          <w:sz w:val="28"/>
          <w:szCs w:val="28"/>
          <w:highlight w:val="none"/>
          <w:lang w:eastAsia="zh-CN"/>
        </w:rPr>
        <w:t>违约责任</w:t>
      </w:r>
    </w:p>
    <w:p w14:paraId="42E2D454">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rPr>
        <w:t>（一）按《中华人民共和国民法典》中的相关条款执行。</w:t>
      </w:r>
    </w:p>
    <w:p w14:paraId="6AEE8178">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highlight w:val="none"/>
        </w:rPr>
        <w:t>（二）未按合同要求提供服务或服务质量不能满足合同要求，采购人有权依据《中华人民共和国民法典》有关条款及合同约定终止合同，并要求</w:t>
      </w:r>
      <w:r>
        <w:rPr>
          <w:rFonts w:hint="eastAsia" w:ascii="华文仿宋" w:hAnsi="华文仿宋" w:cs="华文仿宋"/>
          <w:color w:val="auto"/>
          <w:highlight w:val="none"/>
          <w:lang w:eastAsia="zh-CN"/>
        </w:rPr>
        <w:t>成交供应商</w:t>
      </w:r>
      <w:r>
        <w:rPr>
          <w:rFonts w:hint="eastAsia" w:ascii="华文仿宋" w:hAnsi="华文仿宋" w:cs="华文仿宋"/>
          <w:color w:val="auto"/>
          <w:highlight w:val="none"/>
        </w:rPr>
        <w:t>承担违约责任。</w:t>
      </w:r>
    </w:p>
    <w:p w14:paraId="576AC307">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lang w:eastAsia="zh-CN"/>
        </w:rPr>
      </w:pPr>
      <w:r>
        <w:rPr>
          <w:rFonts w:hint="eastAsia" w:ascii="华文仿宋" w:hAnsi="华文仿宋" w:cs="华文仿宋"/>
          <w:color w:val="auto"/>
          <w:highlight w:val="none"/>
        </w:rPr>
        <w:t>（三）双方如因为其他原因要解除合约，应提前一个月通知对方，如有一方违反将补偿对方一个月服务费</w:t>
      </w:r>
      <w:r>
        <w:rPr>
          <w:rFonts w:hint="eastAsia" w:ascii="华文仿宋" w:hAnsi="华文仿宋" w:cs="华文仿宋"/>
          <w:color w:val="auto"/>
          <w:highlight w:val="none"/>
          <w:lang w:eastAsia="zh-CN"/>
        </w:rPr>
        <w:t>。</w:t>
      </w:r>
    </w:p>
    <w:p w14:paraId="260D6C1A">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default"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（四）成交供应商违反其服务条款时，采购人有权要求成交供应商在</w:t>
      </w:r>
      <w:r>
        <w:rPr>
          <w:rFonts w:hint="eastAsia" w:ascii="仿宋" w:hAnsi="仿宋" w:eastAsia="仿宋" w:cs="仿宋"/>
          <w:color w:val="auto"/>
          <w:highlight w:val="none"/>
          <w:lang w:val="en-US" w:eastAsia="zh-CN"/>
        </w:rPr>
        <w:t>5</w:t>
      </w:r>
      <w:r>
        <w:rPr>
          <w:rFonts w:hint="eastAsia" w:ascii="华文仿宋" w:hAnsi="华文仿宋" w:cs="华文仿宋"/>
          <w:color w:val="auto"/>
          <w:highlight w:val="none"/>
          <w:lang w:val="en-US" w:eastAsia="zh-CN"/>
        </w:rPr>
        <w:t>天内予以改正，逾期不改的，成交供应商有权每日按照合同总金额的</w:t>
      </w:r>
      <w:r>
        <w:rPr>
          <w:rFonts w:hint="eastAsia" w:ascii="仿宋" w:hAnsi="仿宋" w:eastAsia="仿宋" w:cs="仿宋"/>
          <w:color w:val="auto"/>
          <w:highlight w:val="none"/>
          <w:lang w:val="en-US" w:eastAsia="zh-CN"/>
        </w:rPr>
        <w:t>0.1%</w:t>
      </w:r>
      <w:r>
        <w:rPr>
          <w:rFonts w:hint="eastAsia" w:ascii="华文仿宋" w:hAnsi="华文仿宋" w:cs="华文仿宋"/>
          <w:color w:val="auto"/>
          <w:highlight w:val="none"/>
          <w:lang w:val="en-US" w:eastAsia="zh-CN"/>
        </w:rPr>
        <w:t>收取成交供应商违约金。当以上情况持续</w:t>
      </w:r>
      <w:r>
        <w:rPr>
          <w:rFonts w:hint="eastAsia" w:ascii="仿宋" w:hAnsi="仿宋" w:eastAsia="仿宋" w:cs="仿宋"/>
          <w:color w:val="auto"/>
          <w:highlight w:val="none"/>
          <w:lang w:val="en-US" w:eastAsia="zh-CN"/>
        </w:rPr>
        <w:t>30</w:t>
      </w:r>
      <w:r>
        <w:rPr>
          <w:rFonts w:hint="eastAsia" w:ascii="华文仿宋" w:hAnsi="华文仿宋" w:cs="华文仿宋"/>
          <w:color w:val="auto"/>
          <w:highlight w:val="none"/>
          <w:lang w:val="en-US" w:eastAsia="zh-CN"/>
        </w:rPr>
        <w:t>天或以上时，成交供应商有权终止合同，成交供应商必须将全部服务资料移交成交供应商，并在合同终止之日起</w:t>
      </w:r>
      <w:r>
        <w:rPr>
          <w:rFonts w:hint="eastAsia" w:ascii="仿宋" w:hAnsi="仿宋" w:eastAsia="仿宋" w:cs="仿宋"/>
          <w:color w:val="auto"/>
          <w:highlight w:val="none"/>
          <w:lang w:val="en-US" w:eastAsia="zh-CN"/>
        </w:rPr>
        <w:t>10</w:t>
      </w:r>
      <w:r>
        <w:rPr>
          <w:rFonts w:hint="eastAsia" w:ascii="华文仿宋" w:hAnsi="华文仿宋" w:cs="华文仿宋"/>
          <w:color w:val="auto"/>
          <w:highlight w:val="none"/>
          <w:lang w:val="en-US" w:eastAsia="zh-CN"/>
        </w:rPr>
        <w:t>天内，配合成交供应商做好服务交接工作，成交供应商有权追回未完成合同项目的款项，并有权对由此引起的损失要求成交供应商予以赔偿。</w:t>
      </w:r>
    </w:p>
    <w:p w14:paraId="1ACF4110">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（五）因成交供应商行为违反法律规定产生引起的民事和刑事责任由成交供应商承担。</w:t>
      </w:r>
    </w:p>
    <w:p w14:paraId="04B02FA5">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（六）因成交供应商行为侵害第三方权益的，责任和相关损失由成交供应商承担。</w:t>
      </w:r>
    </w:p>
    <w:p w14:paraId="4641737F">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（七）成交供应商违反保密规定，全部责任由成交供应商承担，并需赔偿成交供应商由此引起的损失。</w:t>
      </w:r>
    </w:p>
    <w:p w14:paraId="2729E4CF">
      <w:pPr>
        <w:pStyle w:val="2"/>
        <w:keepNext w:val="0"/>
        <w:keepLines w:val="0"/>
        <w:pageBreakBefore w:val="0"/>
        <w:kinsoku/>
        <w:wordWrap/>
        <w:overflowPunct/>
        <w:topLinePunct w:val="0"/>
        <w:autoSpaceDE/>
        <w:autoSpaceDN/>
        <w:bidi w:val="0"/>
        <w:adjustRightInd/>
        <w:snapToGrid/>
        <w:spacing w:afterLines="0" w:line="500" w:lineRule="exact"/>
        <w:ind w:firstLine="566" w:firstLineChars="200"/>
        <w:textAlignment w:val="auto"/>
        <w:rPr>
          <w:rFonts w:hint="eastAsia" w:ascii="华文仿宋" w:hAnsi="华文仿宋" w:eastAsia="华文仿宋" w:cs="华文仿宋"/>
          <w:b/>
          <w:bCs/>
          <w:color w:val="auto"/>
          <w:kern w:val="2"/>
          <w:sz w:val="28"/>
          <w:szCs w:val="28"/>
          <w:highlight w:val="none"/>
          <w:lang w:val="en-US" w:eastAsia="zh-CN" w:bidi="ar-SA"/>
        </w:rPr>
      </w:pPr>
      <w:bookmarkStart w:id="341" w:name="_Toc27716"/>
      <w:bookmarkStart w:id="342" w:name="_Toc13565"/>
      <w:bookmarkStart w:id="343" w:name="_Toc2690"/>
      <w:bookmarkStart w:id="344" w:name="_Toc2022"/>
      <w:bookmarkStart w:id="345" w:name="_Toc23197"/>
      <w:r>
        <w:rPr>
          <w:rFonts w:hint="eastAsia" w:ascii="华文仿宋" w:hAnsi="华文仿宋" w:eastAsia="华文仿宋" w:cs="华文仿宋"/>
          <w:b/>
          <w:bCs/>
          <w:color w:val="auto"/>
          <w:kern w:val="2"/>
          <w:sz w:val="28"/>
          <w:szCs w:val="28"/>
          <w:highlight w:val="none"/>
          <w:lang w:val="en-US" w:eastAsia="zh-CN" w:bidi="ar-SA"/>
        </w:rPr>
        <w:t>十、争议解决</w:t>
      </w:r>
      <w:bookmarkEnd w:id="341"/>
      <w:bookmarkEnd w:id="342"/>
      <w:bookmarkEnd w:id="343"/>
      <w:bookmarkEnd w:id="344"/>
      <w:bookmarkEnd w:id="345"/>
    </w:p>
    <w:p w14:paraId="15960F69">
      <w:pPr>
        <w:pStyle w:val="4"/>
        <w:keepNext w:val="0"/>
        <w:keepLines w:val="0"/>
        <w:pageBreakBefore w:val="0"/>
        <w:widowControl/>
        <w:kinsoku/>
        <w:wordWrap/>
        <w:overflowPunct/>
        <w:topLinePunct w:val="0"/>
        <w:autoSpaceDE/>
        <w:autoSpaceDN/>
        <w:bidi w:val="0"/>
        <w:adjustRightInd/>
        <w:snapToGrid/>
        <w:spacing w:after="0" w:line="500" w:lineRule="exact"/>
        <w:ind w:left="0" w:leftChars="0"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执行本合同中产生纠纷，由采购人与成交供应商双方协商解决；协商不成，向有管辖权的人民法院提起诉讼</w:t>
      </w:r>
    </w:p>
    <w:p w14:paraId="7C0E3698">
      <w:pPr>
        <w:pStyle w:val="4"/>
        <w:keepNext w:val="0"/>
        <w:keepLines w:val="0"/>
        <w:pageBreakBefore w:val="0"/>
        <w:widowControl/>
        <w:kinsoku/>
        <w:wordWrap/>
        <w:overflowPunct/>
        <w:topLinePunct w:val="0"/>
        <w:autoSpaceDE/>
        <w:autoSpaceDN/>
        <w:bidi w:val="0"/>
        <w:adjustRightInd/>
        <w:snapToGrid/>
        <w:spacing w:after="0" w:line="500" w:lineRule="exact"/>
        <w:ind w:left="0" w:leftChars="0"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（一）合同一经签订，不得擅自变更、中止或者终止合同。对确需变更、调整或者中止、终止合同的，应按规定履行相应的手续。</w:t>
      </w:r>
    </w:p>
    <w:p w14:paraId="6E2C9B59">
      <w:pPr>
        <w:pStyle w:val="4"/>
        <w:keepNext w:val="0"/>
        <w:keepLines w:val="0"/>
        <w:pageBreakBefore w:val="0"/>
        <w:widowControl/>
        <w:kinsoku/>
        <w:wordWrap/>
        <w:overflowPunct/>
        <w:topLinePunct w:val="0"/>
        <w:autoSpaceDE/>
        <w:autoSpaceDN/>
        <w:bidi w:val="0"/>
        <w:adjustRightInd/>
        <w:snapToGrid/>
        <w:spacing w:after="0" w:line="500" w:lineRule="exact"/>
        <w:ind w:left="0" w:leftChars="0"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（二）成交供应商在合同的履行期间以及履行期后，可以随时检查项目的执行情况，对招标标准、招标采购内容进行调查核实，并对发现的问题进行处理。</w:t>
      </w:r>
    </w:p>
    <w:p w14:paraId="14CB49AC">
      <w:pPr>
        <w:pStyle w:val="4"/>
        <w:keepNext w:val="0"/>
        <w:keepLines w:val="0"/>
        <w:pageBreakBefore w:val="0"/>
        <w:widowControl/>
        <w:kinsoku/>
        <w:wordWrap/>
        <w:overflowPunct/>
        <w:topLinePunct w:val="0"/>
        <w:autoSpaceDE/>
        <w:autoSpaceDN/>
        <w:bidi w:val="0"/>
        <w:adjustRightInd/>
        <w:snapToGrid/>
        <w:spacing w:after="0" w:line="500" w:lineRule="exact"/>
        <w:ind w:left="0" w:leftChars="0"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（三）合同争议的解决：合同在履行过程中发生的争议，当事人双方应协商解决，协商达不成一致时，可向合同履行地人民法院提起诉讼。</w:t>
      </w:r>
    </w:p>
    <w:p w14:paraId="6CFB8477">
      <w:pPr>
        <w:pStyle w:val="7"/>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bCs/>
          <w:color w:val="auto"/>
          <w:kern w:val="2"/>
          <w:sz w:val="28"/>
          <w:szCs w:val="28"/>
          <w:highlight w:val="none"/>
          <w:lang w:val="en-US" w:eastAsia="zh-CN" w:bidi="ar-SA"/>
        </w:rPr>
      </w:pPr>
      <w:r>
        <w:rPr>
          <w:rFonts w:hint="eastAsia" w:ascii="华文仿宋" w:hAnsi="华文仿宋" w:eastAsia="华文仿宋" w:cs="华文仿宋"/>
          <w:b/>
          <w:bCs/>
          <w:color w:val="auto"/>
          <w:kern w:val="2"/>
          <w:sz w:val="28"/>
          <w:szCs w:val="28"/>
          <w:highlight w:val="none"/>
          <w:lang w:val="en-US" w:eastAsia="zh-CN" w:bidi="ar-SA"/>
        </w:rPr>
        <w:t>十一、甲乙双方的权利义务（甲方：采购人；乙方：</w:t>
      </w:r>
      <w:r>
        <w:rPr>
          <w:rFonts w:hint="eastAsia" w:ascii="华文仿宋" w:hAnsi="华文仿宋" w:cs="华文仿宋"/>
          <w:b/>
          <w:bCs/>
          <w:color w:val="auto"/>
          <w:kern w:val="2"/>
          <w:sz w:val="28"/>
          <w:szCs w:val="28"/>
          <w:highlight w:val="none"/>
          <w:lang w:val="en-US" w:eastAsia="zh-CN" w:bidi="ar-SA"/>
        </w:rPr>
        <w:t>成交供应商</w:t>
      </w:r>
      <w:r>
        <w:rPr>
          <w:rFonts w:hint="eastAsia" w:ascii="华文仿宋" w:hAnsi="华文仿宋" w:eastAsia="华文仿宋" w:cs="华文仿宋"/>
          <w:b/>
          <w:bCs/>
          <w:color w:val="auto"/>
          <w:kern w:val="2"/>
          <w:sz w:val="28"/>
          <w:szCs w:val="28"/>
          <w:highlight w:val="none"/>
          <w:lang w:val="en-US" w:eastAsia="zh-CN" w:bidi="ar-SA"/>
        </w:rPr>
        <w:t>）</w:t>
      </w:r>
    </w:p>
    <w:p w14:paraId="040B6AAD">
      <w:pPr>
        <w:keepNext w:val="0"/>
        <w:keepLines w:val="0"/>
        <w:pageBreakBefore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bCs/>
          <w:color w:val="auto"/>
          <w:kern w:val="2"/>
          <w:sz w:val="28"/>
          <w:szCs w:val="28"/>
          <w:highlight w:val="none"/>
          <w:lang w:val="en-US" w:eastAsia="zh-CN" w:bidi="ar-SA"/>
        </w:rPr>
      </w:pPr>
      <w:r>
        <w:rPr>
          <w:rFonts w:hint="eastAsia" w:ascii="华文仿宋" w:hAnsi="华文仿宋" w:eastAsia="华文仿宋" w:cs="华文仿宋"/>
          <w:b/>
          <w:bCs/>
          <w:color w:val="auto"/>
          <w:kern w:val="2"/>
          <w:sz w:val="28"/>
          <w:szCs w:val="28"/>
          <w:highlight w:val="none"/>
          <w:lang w:val="en-US" w:eastAsia="zh-CN" w:bidi="ar-SA"/>
        </w:rPr>
        <w:t>（一）甲方的权利、义务</w:t>
      </w:r>
    </w:p>
    <w:p w14:paraId="17C056C9">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1、甲方有权指派专门人员或者单位对乙方的工作进行全程监督管理。</w:t>
      </w:r>
    </w:p>
    <w:p w14:paraId="16B20624">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2、甲方应按合同约定向乙方支付服务费用。如乙方服务未达到合同要求，甲方有权拒付未达到要求部分的款项。</w:t>
      </w:r>
    </w:p>
    <w:p w14:paraId="6151569D">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3、甲方有权要求乙方提供与相关服务内容有关的相关信息。</w:t>
      </w:r>
    </w:p>
    <w:p w14:paraId="7D54E0DB">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4、甲方有权得到符合合同要求的所有服务。</w:t>
      </w:r>
    </w:p>
    <w:p w14:paraId="3385D8F9">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5、乙方完成所有协议约定内容后，甲方根据项目实施情况出具的客观公正的书面用户验收意见。</w:t>
      </w:r>
    </w:p>
    <w:p w14:paraId="7EF1A098">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bCs/>
          <w:color w:val="auto"/>
          <w:kern w:val="2"/>
          <w:sz w:val="28"/>
          <w:szCs w:val="28"/>
          <w:highlight w:val="none"/>
          <w:lang w:val="en-US" w:eastAsia="zh-CN" w:bidi="ar-SA"/>
        </w:rPr>
        <w:t>（二）乙方的权利、义务</w:t>
      </w:r>
    </w:p>
    <w:p w14:paraId="36B37301">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bookmarkStart w:id="346" w:name="_Toc13398"/>
      <w:r>
        <w:rPr>
          <w:rFonts w:hint="eastAsia" w:ascii="华文仿宋" w:hAnsi="华文仿宋" w:eastAsia="华文仿宋" w:cs="华文仿宋"/>
          <w:b w:val="0"/>
          <w:color w:val="auto"/>
          <w:kern w:val="2"/>
          <w:sz w:val="28"/>
          <w:szCs w:val="28"/>
          <w:highlight w:val="none"/>
          <w:lang w:val="en-US" w:eastAsia="zh-CN" w:bidi="ar-SA"/>
        </w:rPr>
        <w:t>1、乙方应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p>
    <w:p w14:paraId="6F921CC3">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2、负责服务实施，按合同要求交付服务成果。</w:t>
      </w:r>
    </w:p>
    <w:p w14:paraId="1BDE36A9">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3、合作过程中乙方应指派专门的业务负责人负责合作事项的全程沟通及协调工作。</w:t>
      </w:r>
    </w:p>
    <w:p w14:paraId="05AFEAD3">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4、乙方应遵守甲方有关合作事项的各项管理规定，及时报告工作进度，在规定时间内完成相应工作。</w:t>
      </w:r>
    </w:p>
    <w:p w14:paraId="5627A391">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5、甲方在工作质量、工作进度、工作内容等方面提出意见及建议，乙方应及时响应并有效改进。</w:t>
      </w:r>
    </w:p>
    <w:p w14:paraId="3372298A">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6、未经甲方书面同意，乙方不得擅自将本项目相关资料及服务成果提供给第三方使用，否则，由此发生的损失和法律责任由乙方承担。</w:t>
      </w:r>
    </w:p>
    <w:p w14:paraId="730EF42F">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7、乙方工作人员为甲方提供服务过程中，个人及财产安全由乙方自行负责，与甲方无关。</w:t>
      </w:r>
    </w:p>
    <w:p w14:paraId="11B9FEF7">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8、乙方应对本项目所提供服务结果的可靠性、准确性、全面性向甲方负责，由于服务结果的可靠性、准确性、全面性不足而导致甲方工作偏差或失误，乙方应承担责任。</w:t>
      </w:r>
    </w:p>
    <w:p w14:paraId="4783E27F">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9、按法律规定或经双方商定由乙方承担的其他责任和义务。</w:t>
      </w:r>
    </w:p>
    <w:p w14:paraId="5727E631">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bCs/>
          <w:color w:val="auto"/>
          <w:kern w:val="2"/>
          <w:sz w:val="28"/>
          <w:szCs w:val="28"/>
          <w:highlight w:val="none"/>
          <w:lang w:val="en-US" w:eastAsia="zh-CN" w:bidi="ar-SA"/>
        </w:rPr>
        <w:t>十二、合同生效及其他</w:t>
      </w:r>
      <w:bookmarkEnd w:id="346"/>
    </w:p>
    <w:p w14:paraId="42E824CD">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（一）本合同自签订之日起生效。</w:t>
      </w:r>
    </w:p>
    <w:p w14:paraId="0A765829">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（二）合同份数由采购人和</w:t>
      </w:r>
      <w:r>
        <w:rPr>
          <w:rFonts w:hint="eastAsia" w:ascii="华文仿宋" w:hAnsi="华文仿宋" w:cs="华文仿宋"/>
          <w:b w:val="0"/>
          <w:color w:val="auto"/>
          <w:kern w:val="2"/>
          <w:sz w:val="28"/>
          <w:szCs w:val="28"/>
          <w:highlight w:val="none"/>
          <w:lang w:val="en-US" w:eastAsia="zh-CN" w:bidi="ar-SA"/>
        </w:rPr>
        <w:t>成交供应商</w:t>
      </w:r>
      <w:r>
        <w:rPr>
          <w:rFonts w:hint="eastAsia" w:ascii="华文仿宋" w:hAnsi="华文仿宋" w:eastAsia="华文仿宋" w:cs="华文仿宋"/>
          <w:b w:val="0"/>
          <w:color w:val="auto"/>
          <w:kern w:val="2"/>
          <w:sz w:val="28"/>
          <w:szCs w:val="28"/>
          <w:highlight w:val="none"/>
          <w:lang w:val="en-US" w:eastAsia="zh-CN" w:bidi="ar-SA"/>
        </w:rPr>
        <w:t>具体商定。</w:t>
      </w:r>
    </w:p>
    <w:p w14:paraId="0A63F865">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b w:val="0"/>
          <w:color w:val="auto"/>
          <w:kern w:val="2"/>
          <w:sz w:val="28"/>
          <w:szCs w:val="28"/>
          <w:highlight w:val="none"/>
          <w:lang w:val="en-US" w:eastAsia="zh-CN" w:bidi="ar-SA"/>
        </w:rPr>
      </w:pPr>
      <w:r>
        <w:rPr>
          <w:rFonts w:hint="eastAsia" w:ascii="华文仿宋" w:hAnsi="华文仿宋" w:eastAsia="华文仿宋" w:cs="华文仿宋"/>
          <w:b w:val="0"/>
          <w:color w:val="auto"/>
          <w:kern w:val="2"/>
          <w:sz w:val="28"/>
          <w:szCs w:val="28"/>
          <w:highlight w:val="none"/>
          <w:lang w:val="en-US" w:eastAsia="zh-CN" w:bidi="ar-SA"/>
        </w:rPr>
        <w:t>（三）未尽事宜由双方在签订合同时具体明确。</w:t>
      </w:r>
    </w:p>
    <w:p w14:paraId="07E7066E">
      <w:pPr>
        <w:pStyle w:val="6"/>
        <w:widowControl w:val="0"/>
        <w:rPr>
          <w:rFonts w:ascii="黑体" w:hAnsi="黑体" w:eastAsia="黑体" w:cs="Times New Roman"/>
          <w:b w:val="0"/>
          <w:bCs w:val="0"/>
          <w:color w:val="auto"/>
          <w:sz w:val="32"/>
          <w:szCs w:val="32"/>
          <w:highlight w:val="none"/>
        </w:rPr>
      </w:pPr>
      <w:r>
        <w:rPr>
          <w:rFonts w:hint="eastAsia" w:ascii="黑体" w:hAnsi="黑体" w:eastAsia="黑体" w:cs="黑体"/>
          <w:b w:val="0"/>
          <w:bCs w:val="0"/>
          <w:color w:val="auto"/>
          <w:sz w:val="32"/>
          <w:szCs w:val="32"/>
          <w:highlight w:val="none"/>
        </w:rPr>
        <w:br w:type="page"/>
      </w:r>
      <w:bookmarkStart w:id="347" w:name="_Toc3151"/>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 xml:space="preserve">章  </w:t>
      </w:r>
      <w:r>
        <w:rPr>
          <w:rFonts w:hint="eastAsia" w:ascii="黑体" w:hAnsi="黑体" w:eastAsia="黑体" w:cs="黑体"/>
          <w:b w:val="0"/>
          <w:bCs w:val="0"/>
          <w:color w:val="auto"/>
          <w:sz w:val="32"/>
          <w:szCs w:val="32"/>
          <w:highlight w:val="none"/>
          <w:lang w:eastAsia="zh-CN"/>
        </w:rPr>
        <w:t>响应文件</w:t>
      </w:r>
      <w:r>
        <w:rPr>
          <w:rFonts w:hint="eastAsia" w:ascii="黑体" w:hAnsi="黑体" w:eastAsia="黑体" w:cs="黑体"/>
          <w:b w:val="0"/>
          <w:bCs w:val="0"/>
          <w:color w:val="auto"/>
          <w:sz w:val="32"/>
          <w:szCs w:val="32"/>
          <w:highlight w:val="none"/>
        </w:rPr>
        <w:t>构成及格式</w:t>
      </w:r>
      <w:bookmarkEnd w:id="319"/>
      <w:bookmarkEnd w:id="320"/>
      <w:bookmarkEnd w:id="321"/>
      <w:bookmarkEnd w:id="322"/>
      <w:bookmarkEnd w:id="323"/>
      <w:bookmarkEnd w:id="324"/>
      <w:bookmarkEnd w:id="325"/>
      <w:bookmarkEnd w:id="326"/>
      <w:bookmarkEnd w:id="327"/>
      <w:bookmarkEnd w:id="328"/>
      <w:bookmarkEnd w:id="329"/>
      <w:bookmarkEnd w:id="347"/>
    </w:p>
    <w:p w14:paraId="61747707">
      <w:pPr>
        <w:widowControl w:val="0"/>
        <w:rPr>
          <w:rFonts w:cs="Times New Roman"/>
          <w:color w:val="auto"/>
          <w:highlight w:val="none"/>
        </w:rPr>
      </w:pPr>
    </w:p>
    <w:p w14:paraId="25EAA8E6">
      <w:pPr>
        <w:widowControl w:val="0"/>
        <w:rPr>
          <w:rFonts w:cs="Times New Roman"/>
          <w:color w:val="auto"/>
          <w:highlight w:val="none"/>
        </w:rPr>
      </w:pPr>
    </w:p>
    <w:tbl>
      <w:tblPr>
        <w:tblStyle w:val="25"/>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0954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14:paraId="1E441F41">
            <w:pPr>
              <w:widowControl w:val="0"/>
              <w:spacing w:before="1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注释：</w:t>
            </w:r>
          </w:p>
          <w:p w14:paraId="71A4638E">
            <w:pPr>
              <w:widowControl w:val="0"/>
              <w:spacing w:before="120" w:line="420" w:lineRule="exact"/>
              <w:ind w:firstLine="486"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、本章分为三部分，是为方便</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设计。第一、二部分应按要求或给定格式选择填报。</w:t>
            </w:r>
          </w:p>
          <w:p w14:paraId="6E54512C">
            <w:pPr>
              <w:widowControl w:val="0"/>
              <w:spacing w:before="120" w:line="420" w:lineRule="exact"/>
              <w:ind w:firstLine="486" w:firstLineChars="200"/>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、第三部分</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方案格式仅供参考，</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应根据项目特点，结合本次</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要求，对有关表格进行补充或修改，但不得对实质性文件的相关条款作出变动。</w:t>
            </w:r>
          </w:p>
        </w:tc>
      </w:tr>
    </w:tbl>
    <w:p w14:paraId="02B54A39">
      <w:pPr>
        <w:pStyle w:val="44"/>
        <w:widowControl w:val="0"/>
        <w:spacing w:line="240" w:lineRule="auto"/>
        <w:ind w:firstLine="0" w:firstLineChars="0"/>
        <w:rPr>
          <w:rFonts w:ascii="黑体" w:hAnsi="黑体" w:eastAsia="黑体" w:cs="Times New Roman"/>
          <w:color w:val="auto"/>
          <w:highlight w:val="none"/>
        </w:rPr>
      </w:pPr>
    </w:p>
    <w:p w14:paraId="410874F7">
      <w:pPr>
        <w:pStyle w:val="44"/>
        <w:widowControl w:val="0"/>
        <w:spacing w:line="240" w:lineRule="auto"/>
        <w:ind w:firstLine="0" w:firstLineChars="0"/>
        <w:rPr>
          <w:rFonts w:ascii="黑体" w:hAnsi="黑体" w:eastAsia="黑体" w:cs="Times New Roman"/>
          <w:color w:val="auto"/>
          <w:highlight w:val="none"/>
        </w:rPr>
      </w:pPr>
    </w:p>
    <w:p w14:paraId="24887B6D">
      <w:pPr>
        <w:pStyle w:val="44"/>
        <w:widowControl w:val="0"/>
        <w:spacing w:line="240" w:lineRule="auto"/>
        <w:ind w:firstLine="0" w:firstLineChars="0"/>
        <w:rPr>
          <w:rFonts w:ascii="黑体" w:hAnsi="黑体" w:eastAsia="黑体" w:cs="Times New Roman"/>
          <w:color w:val="auto"/>
          <w:highlight w:val="none"/>
        </w:rPr>
      </w:pPr>
    </w:p>
    <w:p w14:paraId="0B059A80">
      <w:pPr>
        <w:pStyle w:val="44"/>
        <w:widowControl w:val="0"/>
        <w:spacing w:line="240" w:lineRule="auto"/>
        <w:ind w:firstLine="0" w:firstLineChars="0"/>
        <w:rPr>
          <w:rFonts w:ascii="黑体" w:hAnsi="黑体" w:eastAsia="黑体" w:cs="Times New Roman"/>
          <w:color w:val="auto"/>
          <w:highlight w:val="none"/>
        </w:rPr>
      </w:pPr>
    </w:p>
    <w:p w14:paraId="16D5DA35">
      <w:pPr>
        <w:pStyle w:val="44"/>
        <w:widowControl w:val="0"/>
        <w:spacing w:line="240" w:lineRule="auto"/>
        <w:ind w:firstLine="0" w:firstLineChars="0"/>
        <w:rPr>
          <w:rFonts w:ascii="黑体" w:hAnsi="黑体" w:eastAsia="黑体" w:cs="Times New Roman"/>
          <w:color w:val="auto"/>
          <w:highlight w:val="none"/>
        </w:rPr>
      </w:pPr>
    </w:p>
    <w:p w14:paraId="7BE63F30">
      <w:pPr>
        <w:pStyle w:val="44"/>
        <w:widowControl w:val="0"/>
        <w:spacing w:line="240" w:lineRule="auto"/>
        <w:ind w:firstLine="0" w:firstLineChars="0"/>
        <w:rPr>
          <w:rFonts w:ascii="黑体" w:hAnsi="黑体" w:eastAsia="黑体" w:cs="Times New Roman"/>
          <w:color w:val="auto"/>
          <w:highlight w:val="none"/>
        </w:rPr>
      </w:pPr>
    </w:p>
    <w:p w14:paraId="4C90E811">
      <w:pPr>
        <w:pStyle w:val="44"/>
        <w:widowControl w:val="0"/>
        <w:spacing w:line="240" w:lineRule="auto"/>
        <w:ind w:firstLine="0" w:firstLineChars="0"/>
        <w:rPr>
          <w:rFonts w:ascii="黑体" w:hAnsi="黑体" w:eastAsia="黑体" w:cs="Times New Roman"/>
          <w:color w:val="auto"/>
          <w:highlight w:val="none"/>
        </w:rPr>
      </w:pPr>
    </w:p>
    <w:p w14:paraId="46F1F8FE">
      <w:pPr>
        <w:pStyle w:val="44"/>
        <w:widowControl w:val="0"/>
        <w:spacing w:line="240" w:lineRule="auto"/>
        <w:ind w:firstLine="0" w:firstLineChars="0"/>
        <w:rPr>
          <w:rFonts w:ascii="黑体" w:hAnsi="黑体" w:eastAsia="黑体" w:cs="Times New Roman"/>
          <w:color w:val="auto"/>
          <w:highlight w:val="none"/>
        </w:rPr>
      </w:pPr>
    </w:p>
    <w:p w14:paraId="27480AF9">
      <w:pPr>
        <w:pStyle w:val="44"/>
        <w:widowControl w:val="0"/>
        <w:spacing w:line="240" w:lineRule="auto"/>
        <w:ind w:firstLine="0" w:firstLineChars="0"/>
        <w:rPr>
          <w:rFonts w:ascii="黑体" w:hAnsi="黑体" w:eastAsia="黑体" w:cs="Times New Roman"/>
          <w:color w:val="auto"/>
          <w:highlight w:val="none"/>
        </w:rPr>
      </w:pPr>
    </w:p>
    <w:p w14:paraId="1A99013D">
      <w:pPr>
        <w:pStyle w:val="44"/>
        <w:widowControl w:val="0"/>
        <w:spacing w:line="240" w:lineRule="auto"/>
        <w:ind w:firstLine="0" w:firstLineChars="0"/>
        <w:rPr>
          <w:rFonts w:ascii="黑体" w:hAnsi="黑体" w:eastAsia="黑体" w:cs="Times New Roman"/>
          <w:color w:val="auto"/>
          <w:highlight w:val="none"/>
        </w:rPr>
      </w:pPr>
    </w:p>
    <w:p w14:paraId="1D375A95">
      <w:pPr>
        <w:pStyle w:val="44"/>
        <w:widowControl w:val="0"/>
        <w:spacing w:line="240" w:lineRule="auto"/>
        <w:ind w:firstLine="0" w:firstLineChars="0"/>
        <w:rPr>
          <w:rFonts w:ascii="黑体" w:hAnsi="黑体" w:eastAsia="黑体" w:cs="Times New Roman"/>
          <w:color w:val="auto"/>
          <w:highlight w:val="none"/>
        </w:rPr>
      </w:pPr>
    </w:p>
    <w:p w14:paraId="2170CF3B">
      <w:pPr>
        <w:pStyle w:val="44"/>
        <w:widowControl w:val="0"/>
        <w:spacing w:line="240" w:lineRule="auto"/>
        <w:ind w:firstLine="0" w:firstLineChars="0"/>
        <w:rPr>
          <w:rFonts w:ascii="黑体" w:hAnsi="黑体" w:eastAsia="黑体" w:cs="Times New Roman"/>
          <w:color w:val="auto"/>
          <w:highlight w:val="none"/>
        </w:rPr>
      </w:pPr>
    </w:p>
    <w:p w14:paraId="665CB5F4">
      <w:pPr>
        <w:pStyle w:val="44"/>
        <w:widowControl w:val="0"/>
        <w:spacing w:line="240" w:lineRule="auto"/>
        <w:ind w:firstLine="0" w:firstLineChars="0"/>
        <w:rPr>
          <w:rFonts w:ascii="黑体" w:hAnsi="黑体" w:eastAsia="黑体" w:cs="Times New Roman"/>
          <w:color w:val="auto"/>
          <w:highlight w:val="none"/>
        </w:rPr>
      </w:pPr>
    </w:p>
    <w:p w14:paraId="598B4DCB">
      <w:pPr>
        <w:pStyle w:val="44"/>
        <w:widowControl w:val="0"/>
        <w:spacing w:line="240" w:lineRule="auto"/>
        <w:ind w:firstLine="0" w:firstLineChars="0"/>
        <w:rPr>
          <w:rFonts w:ascii="黑体" w:hAnsi="黑体" w:eastAsia="黑体" w:cs="Times New Roman"/>
          <w:color w:val="auto"/>
          <w:highlight w:val="none"/>
        </w:rPr>
      </w:pPr>
    </w:p>
    <w:p w14:paraId="23D71E28">
      <w:pPr>
        <w:pStyle w:val="44"/>
        <w:widowControl w:val="0"/>
        <w:spacing w:line="240" w:lineRule="auto"/>
        <w:ind w:firstLine="0" w:firstLineChars="0"/>
        <w:rPr>
          <w:rFonts w:ascii="黑体" w:hAnsi="黑体" w:eastAsia="黑体" w:cs="Times New Roman"/>
          <w:color w:val="auto"/>
          <w:highlight w:val="none"/>
        </w:rPr>
      </w:pPr>
    </w:p>
    <w:p w14:paraId="30AA76D5">
      <w:pPr>
        <w:pStyle w:val="44"/>
        <w:widowControl w:val="0"/>
        <w:spacing w:line="240" w:lineRule="auto"/>
        <w:ind w:firstLine="0" w:firstLineChars="0"/>
        <w:rPr>
          <w:rFonts w:ascii="黑体" w:hAnsi="黑体" w:eastAsia="黑体" w:cs="Times New Roman"/>
          <w:color w:val="auto"/>
          <w:highlight w:val="none"/>
        </w:rPr>
      </w:pPr>
    </w:p>
    <w:p w14:paraId="0D082A36">
      <w:pPr>
        <w:pStyle w:val="44"/>
        <w:widowControl w:val="0"/>
        <w:spacing w:line="240" w:lineRule="auto"/>
        <w:ind w:firstLine="0" w:firstLineChars="0"/>
        <w:rPr>
          <w:rFonts w:ascii="黑体" w:hAnsi="黑体" w:eastAsia="黑体" w:cs="Times New Roman"/>
          <w:color w:val="auto"/>
          <w:highlight w:val="none"/>
        </w:rPr>
      </w:pPr>
    </w:p>
    <w:p w14:paraId="0A43478A">
      <w:pPr>
        <w:pStyle w:val="44"/>
        <w:widowControl w:val="0"/>
        <w:spacing w:line="240" w:lineRule="auto"/>
        <w:ind w:firstLine="0" w:firstLineChars="0"/>
        <w:rPr>
          <w:rFonts w:ascii="黑体" w:hAnsi="黑体" w:eastAsia="黑体" w:cs="Times New Roman"/>
          <w:color w:val="auto"/>
          <w:highlight w:val="none"/>
        </w:rPr>
      </w:pPr>
    </w:p>
    <w:p w14:paraId="2D051FFD">
      <w:pPr>
        <w:pStyle w:val="44"/>
        <w:widowControl w:val="0"/>
        <w:spacing w:line="240" w:lineRule="auto"/>
        <w:ind w:firstLine="0" w:firstLineChars="0"/>
        <w:rPr>
          <w:rFonts w:ascii="黑体" w:hAnsi="黑体" w:eastAsia="黑体" w:cs="Times New Roman"/>
          <w:color w:val="auto"/>
          <w:highlight w:val="none"/>
        </w:rPr>
      </w:pPr>
    </w:p>
    <w:p w14:paraId="3521C3B6">
      <w:pPr>
        <w:pStyle w:val="44"/>
        <w:widowControl w:val="0"/>
        <w:spacing w:line="240" w:lineRule="auto"/>
        <w:ind w:firstLine="0" w:firstLineChars="0"/>
        <w:rPr>
          <w:rFonts w:ascii="黑体" w:hAnsi="黑体" w:eastAsia="黑体" w:cs="Times New Roman"/>
          <w:color w:val="auto"/>
          <w:highlight w:val="none"/>
        </w:rPr>
      </w:pPr>
    </w:p>
    <w:p w14:paraId="3612D89F">
      <w:pPr>
        <w:pStyle w:val="44"/>
        <w:widowControl w:val="0"/>
        <w:spacing w:line="240" w:lineRule="auto"/>
        <w:ind w:firstLine="0" w:firstLineChars="0"/>
        <w:rPr>
          <w:rFonts w:ascii="黑体" w:hAnsi="黑体" w:eastAsia="黑体" w:cs="Times New Roman"/>
          <w:color w:val="auto"/>
          <w:highlight w:val="none"/>
        </w:rPr>
      </w:pPr>
    </w:p>
    <w:p w14:paraId="492A38BB">
      <w:pPr>
        <w:pStyle w:val="44"/>
        <w:widowControl w:val="0"/>
        <w:spacing w:line="240" w:lineRule="auto"/>
        <w:ind w:firstLine="0" w:firstLineChars="0"/>
        <w:rPr>
          <w:rFonts w:ascii="黑体" w:hAnsi="黑体" w:eastAsia="黑体" w:cs="Times New Roman"/>
          <w:color w:val="auto"/>
          <w:highlight w:val="none"/>
        </w:rPr>
      </w:pPr>
    </w:p>
    <w:p w14:paraId="2C4F562F">
      <w:pPr>
        <w:pStyle w:val="44"/>
        <w:widowControl w:val="0"/>
        <w:spacing w:line="240" w:lineRule="auto"/>
        <w:ind w:firstLine="0" w:firstLineChars="0"/>
        <w:rPr>
          <w:rFonts w:ascii="黑体" w:hAnsi="黑体" w:eastAsia="黑体" w:cs="Times New Roman"/>
          <w:color w:val="auto"/>
          <w:highlight w:val="none"/>
        </w:rPr>
      </w:pPr>
    </w:p>
    <w:p w14:paraId="1863CCC1">
      <w:pPr>
        <w:pStyle w:val="44"/>
        <w:widowControl w:val="0"/>
        <w:spacing w:line="240" w:lineRule="auto"/>
        <w:ind w:firstLine="0" w:firstLineChars="0"/>
        <w:rPr>
          <w:rFonts w:ascii="黑体" w:hAnsi="黑体" w:eastAsia="黑体" w:cs="Times New Roman"/>
          <w:color w:val="auto"/>
          <w:highlight w:val="none"/>
        </w:rPr>
      </w:pPr>
    </w:p>
    <w:p w14:paraId="6E66B0AD">
      <w:pPr>
        <w:pStyle w:val="44"/>
        <w:widowControl w:val="0"/>
        <w:spacing w:line="240" w:lineRule="auto"/>
        <w:ind w:firstLine="0" w:firstLineChars="0"/>
        <w:rPr>
          <w:rFonts w:ascii="黑体" w:hAnsi="黑体" w:eastAsia="黑体" w:cs="Times New Roman"/>
          <w:color w:val="auto"/>
          <w:highlight w:val="none"/>
        </w:rPr>
      </w:pPr>
    </w:p>
    <w:p w14:paraId="4BF81B6A">
      <w:pPr>
        <w:pStyle w:val="44"/>
        <w:widowControl w:val="0"/>
        <w:spacing w:line="240" w:lineRule="auto"/>
        <w:ind w:firstLine="0" w:firstLineChars="0"/>
        <w:rPr>
          <w:rFonts w:ascii="黑体" w:hAnsi="黑体" w:eastAsia="黑体" w:cs="Times New Roman"/>
          <w:color w:val="auto"/>
          <w:highlight w:val="none"/>
        </w:rPr>
      </w:pPr>
      <w:r>
        <w:rPr>
          <w:rFonts w:hint="eastAsia" w:ascii="黑体" w:hAnsi="黑体" w:eastAsia="黑体" w:cs="黑体"/>
          <w:color w:val="auto"/>
          <w:highlight w:val="none"/>
        </w:rPr>
        <w:t>封面格式</w:t>
      </w:r>
    </w:p>
    <w:p w14:paraId="62A27159">
      <w:pPr>
        <w:pStyle w:val="44"/>
        <w:widowControl w:val="0"/>
        <w:spacing w:line="240" w:lineRule="auto"/>
        <w:ind w:firstLine="253" w:firstLineChars="70"/>
        <w:jc w:val="center"/>
        <w:rPr>
          <w:rFonts w:cs="Times New Roman"/>
          <w:color w:val="auto"/>
          <w:sz w:val="36"/>
          <w:szCs w:val="36"/>
          <w:highlight w:val="none"/>
        </w:rPr>
      </w:pPr>
    </w:p>
    <w:p w14:paraId="7D0CFA2B">
      <w:pPr>
        <w:widowControl w:val="0"/>
        <w:spacing w:line="240" w:lineRule="auto"/>
        <w:jc w:val="center"/>
        <w:rPr>
          <w:rFonts w:cs="Times New Roman"/>
          <w:color w:val="auto"/>
          <w:sz w:val="36"/>
          <w:szCs w:val="36"/>
          <w:highlight w:val="none"/>
        </w:rPr>
      </w:pPr>
      <w:r>
        <w:rPr>
          <w:rFonts w:hint="eastAsia" w:ascii="华文中宋" w:hAnsi="华文中宋" w:eastAsia="华文中宋" w:cs="华文中宋"/>
          <w:color w:val="auto"/>
          <w:sz w:val="60"/>
          <w:szCs w:val="60"/>
          <w:highlight w:val="none"/>
        </w:rPr>
        <w:t>陕西省政府采购货物和服务项目</w:t>
      </w:r>
    </w:p>
    <w:p w14:paraId="7C3A59E3">
      <w:pPr>
        <w:widowControl w:val="0"/>
        <w:spacing w:line="500" w:lineRule="exact"/>
        <w:ind w:right="11"/>
        <w:rPr>
          <w:rFonts w:cs="Times New Roman"/>
          <w:color w:val="auto"/>
          <w:highlight w:val="none"/>
          <w:u w:val="single"/>
        </w:rPr>
      </w:pPr>
    </w:p>
    <w:p w14:paraId="7C48DB84">
      <w:pPr>
        <w:pStyle w:val="44"/>
        <w:widowControl w:val="0"/>
        <w:spacing w:line="240" w:lineRule="auto"/>
        <w:ind w:firstLine="0" w:firstLineChars="0"/>
        <w:jc w:val="center"/>
        <w:rPr>
          <w:rFonts w:hint="eastAsia" w:ascii="华文中宋" w:hAnsi="华文中宋" w:eastAsia="华文中宋" w:cs="Times New Roman"/>
          <w:color w:val="auto"/>
          <w:sz w:val="96"/>
          <w:szCs w:val="96"/>
          <w:highlight w:val="none"/>
          <w:lang w:eastAsia="zh-CN"/>
        </w:rPr>
      </w:pPr>
      <w:r>
        <w:rPr>
          <w:rFonts w:hint="eastAsia" w:ascii="华文中宋" w:hAnsi="华文中宋" w:eastAsia="华文中宋" w:cs="华文中宋"/>
          <w:color w:val="auto"/>
          <w:spacing w:val="323"/>
          <w:kern w:val="0"/>
          <w:sz w:val="96"/>
          <w:szCs w:val="96"/>
          <w:highlight w:val="none"/>
          <w:lang w:eastAsia="zh-CN"/>
        </w:rPr>
        <w:t>响应文件</w:t>
      </w:r>
    </w:p>
    <w:p w14:paraId="483AB168">
      <w:pPr>
        <w:pStyle w:val="44"/>
        <w:widowControl w:val="0"/>
        <w:spacing w:line="240" w:lineRule="auto"/>
        <w:ind w:firstLine="0" w:firstLineChars="0"/>
        <w:jc w:val="center"/>
        <w:rPr>
          <w:rFonts w:cs="Times New Roman"/>
          <w:color w:val="auto"/>
          <w:sz w:val="36"/>
          <w:szCs w:val="36"/>
          <w:highlight w:val="none"/>
        </w:rPr>
      </w:pPr>
    </w:p>
    <w:p w14:paraId="460F2F88">
      <w:pPr>
        <w:pStyle w:val="44"/>
        <w:widowControl w:val="0"/>
        <w:spacing w:line="240" w:lineRule="auto"/>
        <w:ind w:firstLine="0" w:firstLineChars="0"/>
        <w:jc w:val="center"/>
        <w:rPr>
          <w:rFonts w:cs="Times New Roman"/>
          <w:color w:val="auto"/>
          <w:sz w:val="36"/>
          <w:szCs w:val="36"/>
          <w:highlight w:val="none"/>
        </w:rPr>
      </w:pPr>
    </w:p>
    <w:p w14:paraId="694868D1">
      <w:pPr>
        <w:pStyle w:val="44"/>
        <w:widowControl w:val="0"/>
        <w:spacing w:line="240" w:lineRule="auto"/>
        <w:ind w:firstLine="0" w:firstLineChars="0"/>
        <w:jc w:val="center"/>
        <w:rPr>
          <w:rFonts w:cs="Times New Roman"/>
          <w:color w:val="auto"/>
          <w:sz w:val="36"/>
          <w:szCs w:val="36"/>
          <w:highlight w:val="none"/>
        </w:rPr>
      </w:pPr>
    </w:p>
    <w:p w14:paraId="4485BF33">
      <w:pPr>
        <w:pStyle w:val="44"/>
        <w:widowControl w:val="0"/>
        <w:spacing w:line="240" w:lineRule="auto"/>
        <w:ind w:firstLine="0" w:firstLineChars="0"/>
        <w:jc w:val="center"/>
        <w:rPr>
          <w:rFonts w:cs="Times New Roman"/>
          <w:color w:val="auto"/>
          <w:sz w:val="36"/>
          <w:szCs w:val="36"/>
          <w:highlight w:val="none"/>
        </w:rPr>
      </w:pPr>
    </w:p>
    <w:p w14:paraId="2735C181">
      <w:pPr>
        <w:pStyle w:val="44"/>
        <w:widowControl w:val="0"/>
        <w:spacing w:line="240" w:lineRule="auto"/>
        <w:ind w:firstLine="0" w:firstLineChars="0"/>
        <w:jc w:val="center"/>
        <w:rPr>
          <w:rFonts w:cs="Times New Roman"/>
          <w:color w:val="auto"/>
          <w:sz w:val="36"/>
          <w:szCs w:val="36"/>
          <w:highlight w:val="none"/>
        </w:rPr>
      </w:pPr>
    </w:p>
    <w:p w14:paraId="3A444A2A">
      <w:pPr>
        <w:pStyle w:val="44"/>
        <w:widowControl w:val="0"/>
        <w:spacing w:line="240" w:lineRule="auto"/>
        <w:ind w:firstLine="0" w:firstLineChars="0"/>
        <w:jc w:val="center"/>
        <w:rPr>
          <w:rFonts w:cs="Times New Roman"/>
          <w:color w:val="auto"/>
          <w:sz w:val="36"/>
          <w:szCs w:val="36"/>
          <w:highlight w:val="none"/>
        </w:rPr>
      </w:pPr>
    </w:p>
    <w:p w14:paraId="04387E30">
      <w:pPr>
        <w:pStyle w:val="44"/>
        <w:widowControl w:val="0"/>
        <w:spacing w:line="240" w:lineRule="auto"/>
        <w:ind w:firstLine="1815" w:firstLineChars="500"/>
        <w:jc w:val="left"/>
        <w:rPr>
          <w:rFonts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u w:val="single"/>
        </w:rPr>
        <w:t xml:space="preserve">             </w:t>
      </w:r>
    </w:p>
    <w:p w14:paraId="6C8D30C8">
      <w:pPr>
        <w:pStyle w:val="44"/>
        <w:widowControl w:val="0"/>
        <w:spacing w:line="240" w:lineRule="auto"/>
        <w:ind w:firstLine="1815" w:firstLine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u w:val="single"/>
        </w:rPr>
        <w:t xml:space="preserve">             </w:t>
      </w:r>
    </w:p>
    <w:p w14:paraId="35E2E1BA">
      <w:pPr>
        <w:pStyle w:val="44"/>
        <w:widowControl w:val="0"/>
        <w:spacing w:line="240" w:lineRule="auto"/>
        <w:ind w:firstLine="1815" w:firstLine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供 应 商：</w:t>
      </w:r>
      <w:r>
        <w:rPr>
          <w:rFonts w:hint="eastAsia" w:ascii="仿宋" w:hAnsi="仿宋" w:eastAsia="仿宋" w:cs="仿宋"/>
          <w:color w:val="auto"/>
          <w:sz w:val="36"/>
          <w:szCs w:val="36"/>
          <w:highlight w:val="none"/>
          <w:u w:val="single"/>
        </w:rPr>
        <w:t xml:space="preserve">             </w:t>
      </w:r>
      <w:r>
        <w:rPr>
          <w:rFonts w:hint="eastAsia" w:ascii="仿宋" w:hAnsi="仿宋" w:eastAsia="仿宋" w:cs="仿宋"/>
          <w:color w:val="auto"/>
          <w:sz w:val="36"/>
          <w:szCs w:val="36"/>
          <w:highlight w:val="none"/>
        </w:rPr>
        <w:t>（公章）</w:t>
      </w:r>
    </w:p>
    <w:p w14:paraId="42CD85B9">
      <w:pPr>
        <w:pStyle w:val="44"/>
        <w:widowControl w:val="0"/>
        <w:spacing w:line="240" w:lineRule="auto"/>
        <w:ind w:firstLine="1815" w:firstLineChars="500"/>
        <w:rPr>
          <w:rFonts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rPr>
        <w:t>时　  间：</w:t>
      </w:r>
      <w:r>
        <w:rPr>
          <w:rFonts w:hint="eastAsia" w:ascii="仿宋" w:hAnsi="仿宋" w:eastAsia="仿宋" w:cs="仿宋"/>
          <w:color w:val="auto"/>
          <w:sz w:val="36"/>
          <w:szCs w:val="36"/>
          <w:highlight w:val="none"/>
          <w:u w:val="single"/>
        </w:rPr>
        <w:t xml:space="preserve">             </w:t>
      </w:r>
    </w:p>
    <w:p w14:paraId="29D080EC">
      <w:pPr>
        <w:widowControl w:val="0"/>
        <w:numPr>
          <w:ilvl w:val="255"/>
          <w:numId w:val="0"/>
        </w:numPr>
        <w:tabs>
          <w:tab w:val="right" w:leader="hyphen" w:pos="8504"/>
        </w:tabs>
        <w:spacing w:line="500" w:lineRule="exact"/>
        <w:ind w:firstLine="1815" w:firstLineChars="500"/>
        <w:rPr>
          <w:color w:val="auto"/>
          <w:highlight w:val="none"/>
        </w:rPr>
      </w:pPr>
      <w:r>
        <w:rPr>
          <w:rFonts w:hint="eastAsia" w:ascii="黑体" w:hAnsi="黑体" w:eastAsia="黑体" w:cs="黑体"/>
          <w:color w:val="auto"/>
          <w:sz w:val="36"/>
          <w:szCs w:val="36"/>
          <w:highlight w:val="none"/>
        </w:rPr>
        <w:br w:type="page"/>
      </w:r>
    </w:p>
    <w:p w14:paraId="51E4D22E">
      <w:pPr>
        <w:widowControl w:val="0"/>
        <w:tabs>
          <w:tab w:val="right" w:leader="hyphen" w:pos="8504"/>
        </w:tabs>
        <w:spacing w:line="500" w:lineRule="exact"/>
        <w:ind w:left="2381" w:leftChars="200" w:right="849" w:rightChars="300" w:hanging="1815" w:hangingChars="50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14:paraId="1AA733C1">
      <w:pPr>
        <w:widowControl w:val="0"/>
        <w:tabs>
          <w:tab w:val="right" w:leader="hyphen" w:pos="8504"/>
        </w:tabs>
        <w:spacing w:line="500" w:lineRule="exact"/>
        <w:ind w:left="1981" w:leftChars="200" w:right="849" w:rightChars="300" w:hanging="1415" w:hangingChars="500"/>
        <w:rPr>
          <w:rFonts w:ascii="黑体" w:hAnsi="黑体" w:eastAsia="黑体" w:cs="黑体"/>
          <w:color w:val="auto"/>
          <w:highlight w:val="none"/>
        </w:rPr>
      </w:pPr>
      <w:r>
        <w:rPr>
          <w:rFonts w:hint="eastAsia" w:ascii="黑体" w:hAnsi="黑体" w:eastAsia="黑体" w:cs="黑体"/>
          <w:color w:val="auto"/>
          <w:highlight w:val="none"/>
        </w:rPr>
        <w:t>第一部分  资格证明文件</w:t>
      </w:r>
      <w:r>
        <w:rPr>
          <w:rFonts w:ascii="黑体" w:hAnsi="黑体" w:eastAsia="黑体" w:cs="Times New Roman"/>
          <w:color w:val="auto"/>
          <w:highlight w:val="none"/>
        </w:rPr>
        <w:tab/>
      </w:r>
      <w:r>
        <w:rPr>
          <w:rFonts w:ascii="黑体" w:hAnsi="黑体" w:eastAsia="黑体" w:cs="黑体"/>
          <w:color w:val="auto"/>
          <w:highlight w:val="none"/>
        </w:rPr>
        <w:t>X</w:t>
      </w:r>
    </w:p>
    <w:p w14:paraId="71FC3F65">
      <w:pPr>
        <w:widowControl w:val="0"/>
        <w:tabs>
          <w:tab w:val="right" w:leader="hyphen" w:pos="8504"/>
        </w:tabs>
        <w:spacing w:line="500" w:lineRule="exact"/>
        <w:ind w:left="1981" w:leftChars="200" w:right="849" w:rightChars="300" w:hanging="1415" w:hangingChars="500"/>
        <w:rPr>
          <w:rFonts w:ascii="华文仿宋" w:cs="Times New Roman"/>
          <w:color w:val="auto"/>
          <w:highlight w:val="none"/>
        </w:rPr>
      </w:pPr>
      <w:r>
        <w:rPr>
          <w:rFonts w:hint="eastAsia" w:ascii="华文仿宋" w:hAnsi="华文仿宋" w:cs="华文仿宋"/>
          <w:color w:val="auto"/>
          <w:highlight w:val="none"/>
        </w:rPr>
        <w:t>　　  一、营业执照等主体资格证明文件</w:t>
      </w:r>
      <w:r>
        <w:rPr>
          <w:rFonts w:cs="Times New Roman"/>
          <w:color w:val="auto"/>
          <w:highlight w:val="none"/>
        </w:rPr>
        <w:tab/>
      </w:r>
      <w:r>
        <w:rPr>
          <w:color w:val="auto"/>
          <w:highlight w:val="none"/>
        </w:rPr>
        <w:t>X</w:t>
      </w:r>
    </w:p>
    <w:p w14:paraId="64FFC733">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二、财务状况报告</w:t>
      </w:r>
      <w:r>
        <w:rPr>
          <w:rFonts w:cs="Times New Roman"/>
          <w:color w:val="auto"/>
          <w:highlight w:val="none"/>
        </w:rPr>
        <w:tab/>
      </w:r>
      <w:r>
        <w:rPr>
          <w:color w:val="auto"/>
          <w:highlight w:val="none"/>
        </w:rPr>
        <w:t>X</w:t>
      </w:r>
    </w:p>
    <w:p w14:paraId="075F0848">
      <w:pPr>
        <w:widowControl w:val="0"/>
        <w:tabs>
          <w:tab w:val="right" w:leader="hyphen" w:pos="8504"/>
        </w:tabs>
        <w:spacing w:line="500" w:lineRule="exact"/>
        <w:ind w:right="849" w:rightChars="300" w:firstLine="1415" w:firstLineChars="500"/>
        <w:rPr>
          <w:color w:val="auto"/>
          <w:highlight w:val="none"/>
        </w:rPr>
      </w:pPr>
      <w:r>
        <w:rPr>
          <w:rFonts w:hint="eastAsia" w:ascii="华文仿宋" w:hAnsi="华文仿宋" w:cs="华文仿宋"/>
          <w:color w:val="auto"/>
          <w:highlight w:val="none"/>
        </w:rPr>
        <w:t>三、社保缴纳证明</w:t>
      </w:r>
      <w:r>
        <w:rPr>
          <w:rFonts w:cs="Times New Roman"/>
          <w:color w:val="auto"/>
          <w:highlight w:val="none"/>
        </w:rPr>
        <w:tab/>
      </w:r>
      <w:r>
        <w:rPr>
          <w:color w:val="auto"/>
          <w:highlight w:val="none"/>
        </w:rPr>
        <w:t>X</w:t>
      </w:r>
    </w:p>
    <w:p w14:paraId="7700CD1C">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四、税收缴纳证明</w:t>
      </w:r>
      <w:r>
        <w:rPr>
          <w:rFonts w:cs="Times New Roman"/>
          <w:color w:val="auto"/>
          <w:highlight w:val="none"/>
        </w:rPr>
        <w:tab/>
      </w:r>
      <w:r>
        <w:rPr>
          <w:color w:val="auto"/>
          <w:highlight w:val="none"/>
        </w:rPr>
        <w:t>X</w:t>
      </w:r>
    </w:p>
    <w:p w14:paraId="3FC12EA7">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五、信用记录</w:t>
      </w:r>
      <w:r>
        <w:rPr>
          <w:rFonts w:cs="Times New Roman"/>
          <w:color w:val="auto"/>
          <w:highlight w:val="none"/>
        </w:rPr>
        <w:tab/>
      </w:r>
      <w:r>
        <w:rPr>
          <w:color w:val="auto"/>
          <w:highlight w:val="none"/>
        </w:rPr>
        <w:t>X</w:t>
      </w:r>
    </w:p>
    <w:p w14:paraId="5C9B4B6A">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六、控股管理关系</w:t>
      </w:r>
      <w:r>
        <w:rPr>
          <w:rFonts w:cs="Times New Roman"/>
          <w:color w:val="auto"/>
          <w:highlight w:val="none"/>
        </w:rPr>
        <w:tab/>
      </w:r>
      <w:r>
        <w:rPr>
          <w:color w:val="auto"/>
          <w:highlight w:val="none"/>
        </w:rPr>
        <w:t>X</w:t>
      </w:r>
    </w:p>
    <w:p w14:paraId="54574387">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七、书面声明</w:t>
      </w:r>
      <w:r>
        <w:rPr>
          <w:rFonts w:cs="Times New Roman"/>
          <w:color w:val="auto"/>
          <w:highlight w:val="none"/>
        </w:rPr>
        <w:tab/>
      </w:r>
      <w:r>
        <w:rPr>
          <w:color w:val="auto"/>
          <w:highlight w:val="none"/>
        </w:rPr>
        <w:t>X</w:t>
      </w:r>
    </w:p>
    <w:p w14:paraId="390D1054">
      <w:pPr>
        <w:widowControl w:val="0"/>
        <w:tabs>
          <w:tab w:val="right" w:leader="hyphen" w:pos="8504"/>
        </w:tabs>
        <w:spacing w:line="500" w:lineRule="exact"/>
        <w:ind w:left="1981" w:leftChars="200" w:right="849" w:rightChars="300" w:hanging="1415" w:hangingChars="500"/>
        <w:rPr>
          <w:color w:val="auto"/>
          <w:highlight w:val="none"/>
        </w:rPr>
      </w:pPr>
      <w:r>
        <w:rPr>
          <w:rFonts w:hint="eastAsia" w:ascii="华文仿宋" w:hAnsi="华文仿宋" w:cs="华文仿宋"/>
          <w:color w:val="auto"/>
          <w:highlight w:val="none"/>
        </w:rPr>
        <w:t>　　  八、法定代表人授权委托书</w:t>
      </w:r>
      <w:r>
        <w:rPr>
          <w:rFonts w:cs="Times New Roman"/>
          <w:color w:val="auto"/>
          <w:highlight w:val="none"/>
        </w:rPr>
        <w:tab/>
      </w:r>
      <w:r>
        <w:rPr>
          <w:color w:val="auto"/>
          <w:highlight w:val="none"/>
        </w:rPr>
        <w:t>X</w:t>
      </w:r>
    </w:p>
    <w:p w14:paraId="0B7ACD19">
      <w:pPr>
        <w:widowControl w:val="0"/>
        <w:tabs>
          <w:tab w:val="right" w:leader="hyphen" w:pos="8504"/>
        </w:tabs>
        <w:spacing w:line="500" w:lineRule="exact"/>
        <w:ind w:left="1734" w:leftChars="513" w:right="849" w:rightChars="300" w:hanging="283" w:hangingChars="100"/>
        <w:rPr>
          <w:color w:val="auto"/>
          <w:highlight w:val="none"/>
        </w:rPr>
      </w:pPr>
      <w:r>
        <w:rPr>
          <w:rFonts w:hint="eastAsia" w:ascii="华文仿宋" w:hAnsi="华文仿宋" w:cs="华文仿宋"/>
          <w:color w:val="auto"/>
          <w:highlight w:val="none"/>
        </w:rPr>
        <w:t>九、本项目接受联合体</w:t>
      </w:r>
      <w:r>
        <w:rPr>
          <w:rFonts w:hint="eastAsia" w:ascii="华文仿宋" w:hAnsi="华文仿宋" w:cs="华文仿宋"/>
          <w:color w:val="auto"/>
          <w:highlight w:val="none"/>
          <w:lang w:eastAsia="zh-CN"/>
        </w:rPr>
        <w:t>投标</w:t>
      </w:r>
      <w:r>
        <w:rPr>
          <w:rFonts w:hint="eastAsia" w:ascii="华文仿宋" w:hAnsi="华文仿宋" w:cs="华文仿宋"/>
          <w:color w:val="auto"/>
          <w:highlight w:val="none"/>
        </w:rPr>
        <w:t>，不允许分包</w:t>
      </w:r>
      <w:r>
        <w:rPr>
          <w:rFonts w:cs="Times New Roman"/>
          <w:color w:val="auto"/>
          <w:highlight w:val="none"/>
        </w:rPr>
        <w:tab/>
      </w:r>
      <w:r>
        <w:rPr>
          <w:color w:val="auto"/>
          <w:highlight w:val="none"/>
        </w:rPr>
        <w:t>X</w:t>
      </w:r>
    </w:p>
    <w:p w14:paraId="1F07B92C">
      <w:pPr>
        <w:widowControl w:val="0"/>
        <w:tabs>
          <w:tab w:val="right" w:leader="hyphen" w:pos="8504"/>
        </w:tabs>
        <w:spacing w:line="500" w:lineRule="exact"/>
        <w:ind w:left="1981" w:leftChars="200" w:right="849" w:rightChars="300" w:hanging="1415" w:hangingChars="500"/>
        <w:rPr>
          <w:rFonts w:ascii="华文仿宋" w:cs="Times New Roman"/>
          <w:color w:val="auto"/>
          <w:highlight w:val="none"/>
        </w:rPr>
      </w:pPr>
      <w:r>
        <w:rPr>
          <w:rFonts w:hint="eastAsia" w:ascii="黑体" w:hAnsi="黑体" w:eastAsia="黑体" w:cs="黑体"/>
          <w:color w:val="auto"/>
          <w:highlight w:val="none"/>
        </w:rPr>
        <w:t>第二部分  符合性证明文件</w:t>
      </w:r>
      <w:r>
        <w:rPr>
          <w:rFonts w:ascii="黑体" w:hAnsi="黑体" w:eastAsia="黑体" w:cs="Times New Roman"/>
          <w:color w:val="auto"/>
          <w:highlight w:val="none"/>
        </w:rPr>
        <w:tab/>
      </w:r>
      <w:r>
        <w:rPr>
          <w:rFonts w:ascii="黑体" w:hAnsi="黑体" w:eastAsia="黑体" w:cs="黑体"/>
          <w:color w:val="auto"/>
          <w:highlight w:val="none"/>
        </w:rPr>
        <w:t>X</w:t>
      </w:r>
    </w:p>
    <w:p w14:paraId="2A43A7EC">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一、</w:t>
      </w:r>
      <w:r>
        <w:rPr>
          <w:rFonts w:hint="eastAsia" w:ascii="华文仿宋" w:hAnsi="华文仿宋" w:cs="华文仿宋"/>
          <w:color w:val="auto"/>
          <w:highlight w:val="none"/>
          <w:lang w:eastAsia="zh-CN"/>
        </w:rPr>
        <w:t>响应</w:t>
      </w:r>
      <w:r>
        <w:rPr>
          <w:rFonts w:hint="eastAsia" w:ascii="华文仿宋" w:hAnsi="华文仿宋" w:cs="华文仿宋"/>
          <w:color w:val="auto"/>
          <w:highlight w:val="none"/>
        </w:rPr>
        <w:t>函格式</w:t>
      </w:r>
      <w:r>
        <w:rPr>
          <w:rFonts w:cs="Times New Roman"/>
          <w:color w:val="auto"/>
          <w:highlight w:val="none"/>
        </w:rPr>
        <w:tab/>
      </w:r>
      <w:r>
        <w:rPr>
          <w:color w:val="auto"/>
          <w:highlight w:val="none"/>
        </w:rPr>
        <w:t>X</w:t>
      </w:r>
    </w:p>
    <w:p w14:paraId="06E57626">
      <w:pPr>
        <w:widowControl w:val="0"/>
        <w:tabs>
          <w:tab w:val="right" w:leader="hyphen" w:pos="8504"/>
        </w:tabs>
        <w:spacing w:line="500" w:lineRule="exact"/>
        <w:ind w:left="1981" w:leftChars="500" w:right="849" w:rightChars="300" w:hanging="566" w:hangingChars="200"/>
        <w:rPr>
          <w:rFonts w:ascii="华文仿宋" w:cs="Times New Roman"/>
          <w:color w:val="auto"/>
          <w:highlight w:val="none"/>
        </w:rPr>
      </w:pPr>
      <w:r>
        <w:rPr>
          <w:rFonts w:hint="eastAsia" w:ascii="华文仿宋" w:hAnsi="华文仿宋" w:cs="华文仿宋"/>
          <w:color w:val="auto"/>
          <w:highlight w:val="none"/>
        </w:rPr>
        <w:t>二、</w:t>
      </w:r>
      <w:r>
        <w:rPr>
          <w:rFonts w:hint="eastAsia" w:ascii="华文仿宋" w:hAnsi="华文仿宋" w:cs="华文仿宋"/>
          <w:color w:val="auto"/>
          <w:highlight w:val="none"/>
          <w:lang w:eastAsia="zh-CN"/>
        </w:rPr>
        <w:t>第一次磋商报价表</w:t>
      </w:r>
      <w:r>
        <w:rPr>
          <w:rFonts w:cs="Times New Roman"/>
          <w:color w:val="auto"/>
          <w:highlight w:val="none"/>
        </w:rPr>
        <w:tab/>
      </w:r>
      <w:r>
        <w:rPr>
          <w:color w:val="auto"/>
          <w:highlight w:val="none"/>
        </w:rPr>
        <w:t>X</w:t>
      </w:r>
    </w:p>
    <w:p w14:paraId="784F9588">
      <w:pPr>
        <w:widowControl w:val="0"/>
        <w:tabs>
          <w:tab w:val="right" w:leader="hyphen" w:pos="8504"/>
        </w:tabs>
        <w:spacing w:line="500" w:lineRule="exact"/>
        <w:ind w:left="1981" w:leftChars="200" w:right="849" w:rightChars="300" w:hanging="1415" w:hangingChars="500"/>
        <w:rPr>
          <w:rFonts w:ascii="华文仿宋" w:cs="Times New Roman"/>
          <w:color w:val="auto"/>
          <w:highlight w:val="none"/>
        </w:rPr>
      </w:pPr>
      <w:r>
        <w:rPr>
          <w:rFonts w:hint="eastAsia" w:ascii="华文仿宋" w:hAnsi="华文仿宋" w:cs="华文仿宋"/>
          <w:color w:val="auto"/>
          <w:highlight w:val="none"/>
        </w:rPr>
        <w:t>　　　    分项报价表</w:t>
      </w:r>
      <w:r>
        <w:rPr>
          <w:rFonts w:cs="Times New Roman"/>
          <w:color w:val="auto"/>
          <w:highlight w:val="none"/>
        </w:rPr>
        <w:tab/>
      </w:r>
      <w:r>
        <w:rPr>
          <w:color w:val="auto"/>
          <w:highlight w:val="none"/>
        </w:rPr>
        <w:t>X</w:t>
      </w:r>
    </w:p>
    <w:p w14:paraId="7538131A">
      <w:pPr>
        <w:widowControl w:val="0"/>
        <w:numPr>
          <w:ilvl w:val="255"/>
          <w:numId w:val="0"/>
        </w:numPr>
        <w:tabs>
          <w:tab w:val="right" w:leader="hyphen" w:pos="8504"/>
        </w:tabs>
        <w:spacing w:line="500" w:lineRule="exact"/>
        <w:ind w:left="1415" w:right="849" w:rightChars="300"/>
        <w:rPr>
          <w:color w:val="auto"/>
          <w:highlight w:val="none"/>
        </w:rPr>
      </w:pPr>
      <w:r>
        <w:rPr>
          <w:rFonts w:hint="eastAsia" w:ascii="华文仿宋" w:hAnsi="华文仿宋" w:cs="华文仿宋"/>
          <w:color w:val="auto"/>
          <w:highlight w:val="none"/>
        </w:rPr>
        <w:t>三、</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承诺书</w:t>
      </w:r>
      <w:r>
        <w:rPr>
          <w:rFonts w:cs="Times New Roman"/>
          <w:color w:val="auto"/>
          <w:highlight w:val="none"/>
        </w:rPr>
        <w:tab/>
      </w:r>
      <w:r>
        <w:rPr>
          <w:color w:val="auto"/>
          <w:highlight w:val="none"/>
        </w:rPr>
        <w:t>X</w:t>
      </w:r>
    </w:p>
    <w:p w14:paraId="65DFF73A">
      <w:pPr>
        <w:widowControl w:val="0"/>
        <w:tabs>
          <w:tab w:val="right" w:leader="hyphen" w:pos="8504"/>
        </w:tabs>
        <w:spacing w:line="500" w:lineRule="exact"/>
        <w:ind w:right="849" w:rightChars="300" w:firstLine="1981" w:firstLineChars="700"/>
        <w:rPr>
          <w:rFonts w:ascii="华文仿宋" w:hAnsi="华文仿宋" w:cs="华文仿宋"/>
          <w:color w:val="auto"/>
          <w:highlight w:val="none"/>
        </w:rPr>
      </w:pPr>
      <w:r>
        <w:rPr>
          <w:rFonts w:hint="eastAsia" w:ascii="华文仿宋" w:hAnsi="华文仿宋" w:cs="华文仿宋"/>
          <w:color w:val="auto"/>
          <w:highlight w:val="none"/>
        </w:rPr>
        <w:t>（一）质量安全责任承诺书</w:t>
      </w:r>
      <w:r>
        <w:rPr>
          <w:rFonts w:hint="eastAsia" w:ascii="华文仿宋" w:hAnsi="华文仿宋" w:cs="华文仿宋"/>
          <w:color w:val="auto"/>
          <w:highlight w:val="none"/>
        </w:rPr>
        <w:tab/>
      </w:r>
      <w:r>
        <w:rPr>
          <w:color w:val="auto"/>
          <w:highlight w:val="none"/>
        </w:rPr>
        <w:t>X</w:t>
      </w:r>
    </w:p>
    <w:p w14:paraId="4F46C0AB">
      <w:pPr>
        <w:widowControl w:val="0"/>
        <w:tabs>
          <w:tab w:val="right" w:leader="hyphen" w:pos="8504"/>
        </w:tabs>
        <w:spacing w:line="500" w:lineRule="exact"/>
        <w:ind w:right="849" w:rightChars="300" w:firstLine="1981" w:firstLineChars="700"/>
        <w:rPr>
          <w:color w:val="auto"/>
          <w:highlight w:val="none"/>
        </w:rPr>
      </w:pPr>
      <w:r>
        <w:rPr>
          <w:rFonts w:hint="eastAsia" w:ascii="华文仿宋" w:hAnsi="华文仿宋" w:cs="华文仿宋"/>
          <w:color w:val="auto"/>
          <w:highlight w:val="none"/>
        </w:rPr>
        <w:t>（二）拒绝政府采购领域商业贿赂承诺书</w:t>
      </w:r>
      <w:r>
        <w:rPr>
          <w:rFonts w:hint="eastAsia" w:ascii="华文仿宋" w:hAnsi="华文仿宋" w:cs="华文仿宋"/>
          <w:color w:val="auto"/>
          <w:highlight w:val="none"/>
        </w:rPr>
        <w:tab/>
      </w:r>
      <w:r>
        <w:rPr>
          <w:color w:val="auto"/>
          <w:highlight w:val="none"/>
        </w:rPr>
        <w:t>X</w:t>
      </w:r>
    </w:p>
    <w:p w14:paraId="4AA06B36">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四、实质性条款响应</w:t>
      </w:r>
      <w:r>
        <w:rPr>
          <w:rFonts w:cs="Times New Roman"/>
          <w:color w:val="auto"/>
          <w:highlight w:val="none"/>
        </w:rPr>
        <w:tab/>
      </w:r>
      <w:r>
        <w:rPr>
          <w:color w:val="auto"/>
          <w:highlight w:val="none"/>
        </w:rPr>
        <w:t>X</w:t>
      </w:r>
    </w:p>
    <w:p w14:paraId="21FF302F">
      <w:pPr>
        <w:widowControl w:val="0"/>
        <w:tabs>
          <w:tab w:val="right" w:leader="hyphen" w:pos="8504"/>
        </w:tabs>
        <w:spacing w:line="500" w:lineRule="exact"/>
        <w:ind w:left="1981" w:leftChars="500" w:right="849" w:rightChars="300" w:hanging="566" w:hangingChars="200"/>
        <w:rPr>
          <w:color w:val="auto"/>
          <w:highlight w:val="none"/>
        </w:rPr>
      </w:pPr>
      <w:r>
        <w:rPr>
          <w:rFonts w:hint="eastAsia" w:ascii="华文仿宋" w:hAnsi="华文仿宋" w:cs="华文仿宋"/>
          <w:color w:val="auto"/>
          <w:highlight w:val="none"/>
        </w:rPr>
        <w:t>五、合同</w:t>
      </w:r>
      <w:r>
        <w:rPr>
          <w:rFonts w:hint="eastAsia" w:ascii="华文仿宋" w:hAnsi="华文仿宋" w:cs="华文仿宋"/>
          <w:color w:val="auto"/>
          <w:highlight w:val="none"/>
          <w:lang w:eastAsia="zh-CN"/>
        </w:rPr>
        <w:t>草案</w:t>
      </w:r>
      <w:r>
        <w:rPr>
          <w:rFonts w:hint="eastAsia" w:ascii="华文仿宋" w:hAnsi="华文仿宋" w:cs="华文仿宋"/>
          <w:color w:val="auto"/>
          <w:highlight w:val="none"/>
        </w:rPr>
        <w:t>条款响应</w:t>
      </w:r>
      <w:r>
        <w:rPr>
          <w:rFonts w:cs="Times New Roman"/>
          <w:color w:val="auto"/>
          <w:highlight w:val="none"/>
        </w:rPr>
        <w:tab/>
      </w:r>
      <w:r>
        <w:rPr>
          <w:color w:val="auto"/>
          <w:highlight w:val="none"/>
        </w:rPr>
        <w:t>X</w:t>
      </w:r>
    </w:p>
    <w:p w14:paraId="36385358">
      <w:pPr>
        <w:widowControl w:val="0"/>
        <w:tabs>
          <w:tab w:val="right" w:leader="hyphen" w:pos="8504"/>
        </w:tabs>
        <w:spacing w:line="500" w:lineRule="exact"/>
        <w:ind w:right="849" w:rightChars="300" w:firstLine="566" w:firstLineChars="200"/>
        <w:rPr>
          <w:rFonts w:ascii="黑体" w:hAnsi="黑体" w:eastAsia="黑体" w:cs="黑体"/>
          <w:color w:val="auto"/>
          <w:highlight w:val="none"/>
        </w:rPr>
      </w:pPr>
      <w:r>
        <w:rPr>
          <w:rFonts w:hint="eastAsia" w:ascii="黑体" w:hAnsi="黑体" w:eastAsia="黑体" w:cs="黑体"/>
          <w:color w:val="auto"/>
          <w:highlight w:val="none"/>
        </w:rPr>
        <w:t>第三部分</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 xml:space="preserve"> </w:t>
      </w:r>
      <w:r>
        <w:rPr>
          <w:rFonts w:hint="eastAsia" w:ascii="黑体" w:hAnsi="黑体" w:eastAsia="黑体" w:cs="黑体"/>
          <w:b w:val="0"/>
          <w:bCs w:val="0"/>
          <w:color w:val="auto"/>
          <w:highlight w:val="none"/>
          <w:lang w:eastAsia="zh-CN"/>
        </w:rPr>
        <w:t>响应</w:t>
      </w:r>
      <w:r>
        <w:rPr>
          <w:rFonts w:hint="eastAsia" w:ascii="黑体" w:hAnsi="黑体" w:eastAsia="黑体" w:cs="黑体"/>
          <w:color w:val="auto"/>
          <w:highlight w:val="none"/>
        </w:rPr>
        <w:t>方案</w:t>
      </w:r>
      <w:r>
        <w:rPr>
          <w:rFonts w:ascii="黑体" w:hAnsi="黑体" w:eastAsia="黑体" w:cs="Times New Roman"/>
          <w:color w:val="auto"/>
          <w:highlight w:val="none"/>
        </w:rPr>
        <w:tab/>
      </w:r>
      <w:r>
        <w:rPr>
          <w:rFonts w:ascii="黑体" w:hAnsi="黑体" w:eastAsia="黑体" w:cs="黑体"/>
          <w:color w:val="auto"/>
          <w:highlight w:val="none"/>
        </w:rPr>
        <w:t>X</w:t>
      </w:r>
    </w:p>
    <w:p w14:paraId="6A114735">
      <w:pPr>
        <w:widowControl w:val="0"/>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一、</w:t>
      </w:r>
      <w:r>
        <w:rPr>
          <w:rFonts w:hint="eastAsia" w:ascii="华文仿宋" w:hAnsi="华文仿宋" w:cs="华文仿宋"/>
          <w:color w:val="auto"/>
          <w:highlight w:val="none"/>
          <w:lang w:eastAsia="zh-CN"/>
        </w:rPr>
        <w:t>供应商性质及</w:t>
      </w:r>
      <w:r>
        <w:rPr>
          <w:rFonts w:hint="eastAsia" w:ascii="华文仿宋" w:hAnsi="华文仿宋" w:cs="华文仿宋"/>
          <w:color w:val="auto"/>
          <w:highlight w:val="none"/>
        </w:rPr>
        <w:t>概况</w:t>
      </w:r>
      <w:r>
        <w:rPr>
          <w:rFonts w:cs="Times New Roman"/>
          <w:color w:val="auto"/>
          <w:highlight w:val="none"/>
        </w:rPr>
        <w:tab/>
      </w:r>
      <w:r>
        <w:rPr>
          <w:color w:val="auto"/>
          <w:highlight w:val="none"/>
        </w:rPr>
        <w:t>X</w:t>
      </w:r>
    </w:p>
    <w:p w14:paraId="6960900C">
      <w:pPr>
        <w:widowControl w:val="0"/>
        <w:numPr>
          <w:ilvl w:val="255"/>
          <w:numId w:val="0"/>
        </w:numPr>
        <w:tabs>
          <w:tab w:val="right" w:leader="hyphen" w:pos="8504"/>
        </w:tabs>
        <w:spacing w:line="500" w:lineRule="exact"/>
        <w:ind w:right="849" w:rightChars="300" w:firstLine="1415" w:firstLineChars="500"/>
        <w:rPr>
          <w:rFonts w:ascii="华文仿宋" w:cs="Times New Roman"/>
          <w:color w:val="auto"/>
          <w:highlight w:val="none"/>
        </w:rPr>
      </w:pPr>
      <w:r>
        <w:rPr>
          <w:rFonts w:hint="eastAsia" w:cs="Times New Roman"/>
          <w:color w:val="auto"/>
          <w:highlight w:val="none"/>
        </w:rPr>
        <w:t>二、</w:t>
      </w:r>
      <w:r>
        <w:rPr>
          <w:rFonts w:hint="eastAsia" w:cs="Times New Roman"/>
          <w:color w:val="auto"/>
          <w:highlight w:val="none"/>
          <w:lang w:eastAsia="zh-CN"/>
        </w:rPr>
        <w:t>响应</w:t>
      </w:r>
      <w:r>
        <w:rPr>
          <w:rFonts w:hint="eastAsia" w:cs="Times New Roman"/>
          <w:color w:val="auto"/>
          <w:highlight w:val="none"/>
        </w:rPr>
        <w:t>方案</w:t>
      </w:r>
      <w:r>
        <w:rPr>
          <w:rFonts w:cs="Times New Roman"/>
          <w:color w:val="auto"/>
          <w:highlight w:val="none"/>
        </w:rPr>
        <w:tab/>
      </w:r>
      <w:r>
        <w:rPr>
          <w:color w:val="auto"/>
          <w:highlight w:val="none"/>
        </w:rPr>
        <w:t>X</w:t>
      </w:r>
    </w:p>
    <w:p w14:paraId="45C172C1">
      <w:pPr>
        <w:widowControl w:val="0"/>
        <w:numPr>
          <w:ilvl w:val="255"/>
          <w:numId w:val="0"/>
        </w:numPr>
        <w:tabs>
          <w:tab w:val="right" w:leader="hyphen" w:pos="8504"/>
        </w:tabs>
        <w:spacing w:line="500" w:lineRule="exact"/>
        <w:ind w:right="849" w:rightChars="300" w:firstLine="1415" w:firstLineChars="500"/>
        <w:rPr>
          <w:rFonts w:ascii="华文仿宋" w:cs="Times New Roman"/>
          <w:color w:val="auto"/>
          <w:highlight w:val="none"/>
        </w:rPr>
      </w:pPr>
      <w:r>
        <w:rPr>
          <w:rFonts w:hint="eastAsia" w:ascii="华文仿宋" w:hAnsi="华文仿宋" w:cs="华文仿宋"/>
          <w:color w:val="auto"/>
          <w:highlight w:val="none"/>
        </w:rPr>
        <w:t>三、参考样表</w:t>
      </w:r>
      <w:r>
        <w:rPr>
          <w:rFonts w:cs="Times New Roman"/>
          <w:color w:val="auto"/>
          <w:highlight w:val="none"/>
        </w:rPr>
        <w:tab/>
      </w:r>
      <w:r>
        <w:rPr>
          <w:color w:val="auto"/>
          <w:highlight w:val="none"/>
        </w:rPr>
        <w:t>X</w:t>
      </w:r>
    </w:p>
    <w:p w14:paraId="060B990C">
      <w:pPr>
        <w:rPr>
          <w:rFonts w:ascii="黑体" w:hAnsi="黑体" w:eastAsia="黑体" w:cs="黑体"/>
          <w:color w:val="auto"/>
          <w:highlight w:val="none"/>
        </w:rPr>
      </w:pPr>
      <w:bookmarkStart w:id="348" w:name="_Toc6003"/>
      <w:bookmarkStart w:id="349" w:name="_Toc27546"/>
      <w:bookmarkStart w:id="350" w:name="_Toc12653"/>
      <w:r>
        <w:rPr>
          <w:rFonts w:hint="eastAsia" w:ascii="黑体" w:hAnsi="黑体" w:eastAsia="黑体" w:cs="黑体"/>
          <w:color w:val="auto"/>
          <w:highlight w:val="none"/>
        </w:rPr>
        <w:br w:type="page"/>
      </w:r>
    </w:p>
    <w:p w14:paraId="550FE251">
      <w:pPr>
        <w:pStyle w:val="46"/>
        <w:widowControl w:val="0"/>
        <w:rPr>
          <w:rFonts w:ascii="黑体" w:hAnsi="黑体" w:eastAsia="黑体" w:cs="Times New Roman"/>
          <w:b w:val="0"/>
          <w:bCs w:val="0"/>
          <w:color w:val="auto"/>
          <w:highlight w:val="none"/>
        </w:rPr>
      </w:pPr>
      <w:r>
        <w:rPr>
          <w:rFonts w:hint="eastAsia" w:ascii="黑体" w:hAnsi="黑体" w:eastAsia="黑体" w:cs="黑体"/>
          <w:b w:val="0"/>
          <w:bCs w:val="0"/>
          <w:color w:val="auto"/>
          <w:highlight w:val="none"/>
        </w:rPr>
        <w:t>第一部分  资格证明文件</w:t>
      </w:r>
      <w:bookmarkEnd w:id="348"/>
      <w:bookmarkEnd w:id="349"/>
      <w:bookmarkEnd w:id="350"/>
    </w:p>
    <w:p w14:paraId="459B722F">
      <w:pPr>
        <w:spacing w:line="500" w:lineRule="exact"/>
        <w:ind w:firstLine="566" w:firstLineChars="200"/>
        <w:rPr>
          <w:rFonts w:ascii="仿宋" w:hAnsi="仿宋" w:eastAsia="仿宋"/>
          <w:b/>
          <w:color w:val="auto"/>
          <w:highlight w:val="none"/>
        </w:rPr>
      </w:pPr>
      <w:r>
        <w:rPr>
          <w:rFonts w:hint="eastAsia" w:cs="华文仿宋"/>
          <w:color w:val="auto"/>
          <w:highlight w:val="none"/>
          <w:lang w:eastAsia="zh-CN"/>
        </w:rPr>
        <w:t>供应商</w:t>
      </w:r>
      <w:r>
        <w:rPr>
          <w:rFonts w:hint="eastAsia" w:cs="华文仿宋"/>
          <w:color w:val="auto"/>
          <w:highlight w:val="none"/>
        </w:rPr>
        <w:t>应按照</w:t>
      </w:r>
      <w:r>
        <w:rPr>
          <w:rFonts w:hint="eastAsia" w:cs="华文仿宋"/>
          <w:color w:val="auto"/>
          <w:highlight w:val="none"/>
          <w:lang w:eastAsia="zh-CN"/>
        </w:rPr>
        <w:t>磋商文件</w:t>
      </w:r>
      <w:r>
        <w:rPr>
          <w:rFonts w:hint="eastAsia" w:cs="华文仿宋"/>
          <w:color w:val="auto"/>
          <w:highlight w:val="none"/>
        </w:rPr>
        <w:t>第一章第十项所列“</w:t>
      </w:r>
      <w:r>
        <w:rPr>
          <w:rFonts w:hint="eastAsia" w:cs="华文仿宋"/>
          <w:color w:val="auto"/>
          <w:highlight w:val="none"/>
          <w:lang w:eastAsia="zh-CN"/>
        </w:rPr>
        <w:t>供应商</w:t>
      </w:r>
      <w:r>
        <w:rPr>
          <w:rFonts w:hint="eastAsia" w:cs="华文仿宋"/>
          <w:color w:val="auto"/>
          <w:highlight w:val="none"/>
        </w:rPr>
        <w:t>资格要求”逐一提供全部资格证明文件。缺少其中任何一项，其</w:t>
      </w:r>
      <w:r>
        <w:rPr>
          <w:rFonts w:hint="eastAsia" w:cs="华文仿宋"/>
          <w:color w:val="auto"/>
          <w:highlight w:val="none"/>
          <w:lang w:eastAsia="zh-CN"/>
        </w:rPr>
        <w:t>响应文件</w:t>
      </w:r>
      <w:r>
        <w:rPr>
          <w:rFonts w:hint="eastAsia" w:cs="华文仿宋"/>
          <w:color w:val="auto"/>
          <w:highlight w:val="none"/>
        </w:rPr>
        <w:t>将被视为无效文件。其中，</w:t>
      </w:r>
      <w:r>
        <w:rPr>
          <w:rFonts w:hint="eastAsia" w:ascii="仿宋" w:hAnsi="仿宋" w:eastAsia="仿宋" w:cs="仿宋"/>
          <w:color w:val="auto"/>
          <w:highlight w:val="none"/>
        </w:rPr>
        <w:t>《供应商信用记录书面声明函》、《法定代表人授权委托书》《书面声明》、</w:t>
      </w:r>
      <w:r>
        <w:rPr>
          <w:rFonts w:hint="eastAsia"/>
          <w:color w:val="auto"/>
          <w:highlight w:val="none"/>
          <w:lang w:eastAsia="zh-CN"/>
        </w:rPr>
        <w:t>《</w:t>
      </w:r>
      <w:r>
        <w:rPr>
          <w:rFonts w:hint="eastAsia"/>
          <w:color w:val="auto"/>
          <w:highlight w:val="none"/>
          <w:lang w:val="en-US" w:eastAsia="zh-CN"/>
        </w:rPr>
        <w:t>联合体协议书</w:t>
      </w:r>
      <w:r>
        <w:rPr>
          <w:rFonts w:hint="eastAsia"/>
          <w:color w:val="auto"/>
          <w:highlight w:val="none"/>
          <w:lang w:eastAsia="zh-CN"/>
        </w:rPr>
        <w:t>》、</w:t>
      </w:r>
      <w:r>
        <w:rPr>
          <w:rFonts w:hint="eastAsia"/>
          <w:color w:val="auto"/>
          <w:highlight w:val="none"/>
        </w:rPr>
        <w:t>《不分包</w:t>
      </w:r>
      <w:r>
        <w:rPr>
          <w:rFonts w:hint="eastAsia"/>
          <w:color w:val="auto"/>
          <w:highlight w:val="none"/>
          <w:lang w:eastAsia="zh-CN"/>
        </w:rPr>
        <w:t>投标</w:t>
      </w:r>
      <w:r>
        <w:rPr>
          <w:rFonts w:hint="eastAsia"/>
          <w:color w:val="auto"/>
          <w:highlight w:val="none"/>
        </w:rPr>
        <w:t>声明》</w:t>
      </w:r>
      <w:r>
        <w:rPr>
          <w:rFonts w:hint="eastAsia" w:ascii="仿宋" w:hAnsi="仿宋" w:eastAsia="仿宋" w:cs="仿宋"/>
          <w:color w:val="auto"/>
          <w:highlight w:val="none"/>
        </w:rPr>
        <w:t>须按下文给定格式填写。</w:t>
      </w:r>
      <w:r>
        <w:rPr>
          <w:rFonts w:hint="eastAsia"/>
          <w:color w:val="auto"/>
          <w:highlight w:val="none"/>
        </w:rPr>
        <w:t>特别说明，法定代表人亲自参加</w:t>
      </w:r>
      <w:r>
        <w:rPr>
          <w:rFonts w:hint="eastAsia"/>
          <w:color w:val="auto"/>
          <w:highlight w:val="none"/>
          <w:lang w:eastAsia="zh-CN"/>
        </w:rPr>
        <w:t>磋商</w:t>
      </w:r>
      <w:r>
        <w:rPr>
          <w:rFonts w:hint="eastAsia"/>
          <w:color w:val="auto"/>
          <w:highlight w:val="none"/>
        </w:rPr>
        <w:t>的，可不提供法定代表人授权委托书，但须提供其本人身份证（正反面）复印件。</w:t>
      </w:r>
      <w:r>
        <w:rPr>
          <w:rFonts w:hint="eastAsia"/>
          <w:color w:val="auto"/>
          <w:highlight w:val="none"/>
          <w:lang w:eastAsia="zh-CN"/>
        </w:rPr>
        <w:t>（以联合体形式参与磋商的，须提供《联合体协议书》及联合体各方的下述资质证明材料。）</w:t>
      </w:r>
    </w:p>
    <w:p w14:paraId="07FE7F31">
      <w:pPr>
        <w:widowControl w:val="0"/>
        <w:spacing w:line="500" w:lineRule="exact"/>
        <w:ind w:firstLine="562"/>
        <w:rPr>
          <w:rFonts w:ascii="仿宋" w:hAnsi="仿宋" w:eastAsia="仿宋" w:cs="Times New Roman"/>
          <w:b/>
          <w:bCs/>
          <w:color w:val="auto"/>
          <w:highlight w:val="none"/>
        </w:rPr>
      </w:pPr>
      <w:r>
        <w:rPr>
          <w:rFonts w:hint="eastAsia" w:ascii="仿宋" w:hAnsi="仿宋" w:eastAsia="仿宋" w:cs="仿宋"/>
          <w:b/>
          <w:bCs/>
          <w:color w:val="auto"/>
          <w:highlight w:val="none"/>
        </w:rPr>
        <w:t>一、营业执照等主体资格证明文件</w:t>
      </w:r>
    </w:p>
    <w:p w14:paraId="3107ADE7">
      <w:pPr>
        <w:widowControl w:val="0"/>
        <w:spacing w:line="500" w:lineRule="exact"/>
        <w:ind w:firstLine="562"/>
        <w:rPr>
          <w:rFonts w:ascii="仿宋" w:hAnsi="仿宋" w:eastAsia="仿宋" w:cs="Times New Roman"/>
          <w:b/>
          <w:bCs/>
          <w:color w:val="auto"/>
          <w:highlight w:val="none"/>
        </w:rPr>
      </w:pPr>
      <w:r>
        <w:rPr>
          <w:rFonts w:hint="eastAsia" w:ascii="仿宋" w:hAnsi="仿宋" w:eastAsia="仿宋" w:cs="仿宋"/>
          <w:b/>
          <w:bCs/>
          <w:color w:val="auto"/>
          <w:highlight w:val="none"/>
        </w:rPr>
        <w:t>二、财务状况报告</w:t>
      </w:r>
    </w:p>
    <w:p w14:paraId="34E6D58A">
      <w:pPr>
        <w:widowControl w:val="0"/>
        <w:spacing w:line="500" w:lineRule="exact"/>
        <w:ind w:firstLine="562"/>
        <w:rPr>
          <w:rFonts w:ascii="仿宋" w:hAnsi="仿宋" w:eastAsia="仿宋" w:cs="Times New Roman"/>
          <w:b/>
          <w:bCs/>
          <w:color w:val="auto"/>
          <w:highlight w:val="none"/>
        </w:rPr>
      </w:pPr>
      <w:r>
        <w:rPr>
          <w:rFonts w:hint="eastAsia" w:ascii="仿宋" w:hAnsi="仿宋" w:eastAsia="仿宋" w:cs="仿宋"/>
          <w:b/>
          <w:bCs/>
          <w:color w:val="auto"/>
          <w:highlight w:val="none"/>
        </w:rPr>
        <w:t>三、社保缴纳证明</w:t>
      </w:r>
    </w:p>
    <w:p w14:paraId="72B1DFF4">
      <w:pPr>
        <w:widowControl w:val="0"/>
        <w:spacing w:line="500" w:lineRule="exact"/>
        <w:ind w:firstLine="562"/>
        <w:rPr>
          <w:rFonts w:ascii="仿宋" w:hAnsi="仿宋" w:eastAsia="仿宋" w:cs="Times New Roman"/>
          <w:b/>
          <w:bCs/>
          <w:color w:val="auto"/>
          <w:highlight w:val="none"/>
        </w:rPr>
      </w:pPr>
      <w:r>
        <w:rPr>
          <w:rFonts w:hint="eastAsia" w:ascii="仿宋" w:hAnsi="仿宋" w:eastAsia="仿宋" w:cs="仿宋"/>
          <w:b/>
          <w:bCs/>
          <w:color w:val="auto"/>
          <w:highlight w:val="none"/>
        </w:rPr>
        <w:t>四、税收缴纳证明</w:t>
      </w:r>
    </w:p>
    <w:p w14:paraId="1CA65833">
      <w:pPr>
        <w:widowControl w:val="0"/>
        <w:spacing w:line="500" w:lineRule="exact"/>
        <w:ind w:firstLine="562"/>
        <w:rPr>
          <w:rFonts w:ascii="仿宋" w:hAnsi="仿宋" w:eastAsia="仿宋" w:cs="Times New Roman"/>
          <w:b/>
          <w:bCs/>
          <w:color w:val="auto"/>
          <w:highlight w:val="none"/>
        </w:rPr>
      </w:pPr>
      <w:r>
        <w:rPr>
          <w:rFonts w:hint="eastAsia" w:ascii="仿宋" w:hAnsi="仿宋" w:eastAsia="仿宋" w:cs="仿宋"/>
          <w:b/>
          <w:bCs/>
          <w:color w:val="auto"/>
          <w:highlight w:val="none"/>
        </w:rPr>
        <w:t>五、信用记录</w:t>
      </w:r>
    </w:p>
    <w:p w14:paraId="02EC44CA">
      <w:pPr>
        <w:pStyle w:val="47"/>
        <w:widowControl w:val="0"/>
        <w:jc w:val="center"/>
        <w:rPr>
          <w:rFonts w:cs="Times New Roman"/>
          <w:color w:val="auto"/>
          <w:sz w:val="30"/>
          <w:szCs w:val="30"/>
          <w:highlight w:val="none"/>
        </w:rPr>
      </w:pPr>
      <w:bookmarkStart w:id="351" w:name="_Toc528596084"/>
      <w:bookmarkStart w:id="352" w:name="_Toc726"/>
      <w:bookmarkStart w:id="353" w:name="_Toc9011"/>
      <w:bookmarkStart w:id="354" w:name="_Toc22518"/>
    </w:p>
    <w:p w14:paraId="4ABDA1FB">
      <w:pPr>
        <w:widowControl w:val="0"/>
        <w:rPr>
          <w:color w:val="auto"/>
          <w:highlight w:val="none"/>
        </w:rPr>
      </w:pPr>
    </w:p>
    <w:bookmarkEnd w:id="351"/>
    <w:bookmarkEnd w:id="352"/>
    <w:bookmarkEnd w:id="353"/>
    <w:bookmarkEnd w:id="354"/>
    <w:p w14:paraId="352DD2A7">
      <w:pPr>
        <w:pStyle w:val="47"/>
        <w:widowControl w:val="0"/>
        <w:jc w:val="center"/>
        <w:rPr>
          <w:rFonts w:cs="Times New Roman"/>
          <w:color w:val="auto"/>
          <w:sz w:val="30"/>
          <w:szCs w:val="30"/>
          <w:highlight w:val="none"/>
        </w:rPr>
      </w:pPr>
      <w:r>
        <w:rPr>
          <w:rFonts w:hint="eastAsia" w:cs="华文仿宋"/>
          <w:color w:val="auto"/>
          <w:sz w:val="30"/>
          <w:szCs w:val="30"/>
          <w:highlight w:val="none"/>
        </w:rPr>
        <w:t>供应商信用记录书面声明函（格式）</w:t>
      </w:r>
    </w:p>
    <w:p w14:paraId="3613F5A5">
      <w:pPr>
        <w:widowControl w:val="0"/>
        <w:spacing w:line="500" w:lineRule="exact"/>
        <w:rPr>
          <w:rFonts w:cs="Times New Roman"/>
          <w:color w:val="auto"/>
          <w:highlight w:val="none"/>
        </w:rPr>
      </w:pPr>
      <w:r>
        <w:rPr>
          <w:rFonts w:hint="eastAsia" w:ascii="仿宋" w:hAnsi="仿宋" w:eastAsia="仿宋" w:cs="仿宋"/>
          <w:color w:val="auto"/>
          <w:highlight w:val="none"/>
        </w:rPr>
        <w:t>陕西省省级单位政府采购中心</w:t>
      </w:r>
      <w:r>
        <w:rPr>
          <w:rFonts w:hint="eastAsia" w:cs="华文仿宋"/>
          <w:color w:val="auto"/>
          <w:highlight w:val="none"/>
        </w:rPr>
        <w:t>：</w:t>
      </w:r>
    </w:p>
    <w:p w14:paraId="2675E927">
      <w:pPr>
        <w:widowControl w:val="0"/>
        <w:spacing w:line="500" w:lineRule="exact"/>
        <w:ind w:right="11" w:firstLine="566" w:firstLineChars="200"/>
        <w:rPr>
          <w:rFonts w:cs="Times New Roman"/>
          <w:color w:val="auto"/>
          <w:highlight w:val="none"/>
        </w:rPr>
      </w:pPr>
      <w:r>
        <w:rPr>
          <w:rFonts w:hint="eastAsia" w:ascii="华文仿宋" w:hAnsi="华文仿宋" w:cs="华文仿宋"/>
          <w:color w:val="auto"/>
          <w:highlight w:val="none"/>
        </w:rPr>
        <w:t>我方作为《</w:t>
      </w:r>
      <w:r>
        <w:rPr>
          <w:rFonts w:hint="eastAsia" w:ascii="华文仿宋" w:hAnsi="华文仿宋" w:cs="华文仿宋"/>
          <w:color w:val="auto"/>
          <w:highlight w:val="none"/>
          <w:u w:val="single"/>
        </w:rPr>
        <w:t>项目名称</w:t>
      </w:r>
      <w:r>
        <w:rPr>
          <w:rFonts w:hint="eastAsia" w:ascii="华文仿宋" w:hAnsi="华文仿宋" w:cs="华文仿宋"/>
          <w:color w:val="auto"/>
          <w:highlight w:val="none"/>
        </w:rPr>
        <w:t>》（项目编号：</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）第</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标段</w:t>
      </w:r>
      <w:r>
        <w:rPr>
          <w:rFonts w:hint="eastAsia" w:cs="华文仿宋"/>
          <w:color w:val="auto"/>
          <w:highlight w:val="none"/>
        </w:rPr>
        <w:t>的</w:t>
      </w:r>
      <w:r>
        <w:rPr>
          <w:rFonts w:hint="eastAsia" w:cs="华文仿宋"/>
          <w:color w:val="auto"/>
          <w:highlight w:val="none"/>
          <w:lang w:eastAsia="zh-CN"/>
        </w:rPr>
        <w:t>供应商</w:t>
      </w:r>
      <w:r>
        <w:rPr>
          <w:rFonts w:hint="eastAsia" w:cs="华文仿宋"/>
          <w:color w:val="auto"/>
          <w:highlight w:val="none"/>
        </w:rPr>
        <w:t>，在此郑重声明：</w:t>
      </w:r>
    </w:p>
    <w:p w14:paraId="4001F27D">
      <w:pPr>
        <w:widowControl w:val="0"/>
        <w:spacing w:line="500" w:lineRule="exact"/>
        <w:ind w:firstLine="566" w:firstLineChars="200"/>
        <w:rPr>
          <w:rFonts w:cs="Times New Roman"/>
          <w:color w:val="auto"/>
          <w:highlight w:val="none"/>
        </w:rPr>
      </w:pPr>
      <w:r>
        <w:rPr>
          <w:color w:val="auto"/>
          <w:highlight w:val="none"/>
        </w:rPr>
        <w:t>1</w:t>
      </w:r>
      <w:r>
        <w:rPr>
          <w:rFonts w:hint="eastAsia" w:cs="华文仿宋"/>
          <w:color w:val="auto"/>
          <w:highlight w:val="none"/>
        </w:rPr>
        <w:t>、在参加本次政府采购活动前</w:t>
      </w:r>
      <w:r>
        <w:rPr>
          <w:rFonts w:ascii="仿宋" w:hAnsi="仿宋" w:eastAsia="仿宋" w:cs="仿宋"/>
          <w:color w:val="auto"/>
          <w:highlight w:val="none"/>
        </w:rPr>
        <w:t>3</w:t>
      </w:r>
      <w:r>
        <w:rPr>
          <w:rFonts w:hint="eastAsia" w:cs="华文仿宋"/>
          <w:color w:val="auto"/>
          <w:highlight w:val="none"/>
        </w:rPr>
        <w:t>年内的经营活动中</w:t>
      </w:r>
      <w:r>
        <w:rPr>
          <w:color w:val="auto"/>
          <w:highlight w:val="none"/>
        </w:rPr>
        <w:t>____</w:t>
      </w:r>
      <w:r>
        <w:rPr>
          <w:rFonts w:hint="eastAsia" w:cs="华文仿宋"/>
          <w:color w:val="auto"/>
          <w:highlight w:val="none"/>
        </w:rPr>
        <w:t>（填“没有”或“有”）重大违法记录。</w:t>
      </w:r>
      <w:r>
        <w:rPr>
          <w:rFonts w:hint="eastAsia" w:cs="华文仿宋"/>
          <w:b/>
          <w:bCs/>
          <w:color w:val="auto"/>
          <w:highlight w:val="none"/>
          <w:lang w:eastAsia="zh-CN"/>
        </w:rPr>
        <w:t>供应商</w:t>
      </w:r>
      <w:r>
        <w:rPr>
          <w:rFonts w:hint="eastAsia" w:cs="华文仿宋"/>
          <w:b/>
          <w:bCs/>
          <w:color w:val="auto"/>
          <w:highlight w:val="none"/>
        </w:rPr>
        <w:t>在参加政府采购活动前</w:t>
      </w:r>
      <w:r>
        <w:rPr>
          <w:rFonts w:ascii="仿宋" w:hAnsi="仿宋" w:eastAsia="仿宋" w:cs="仿宋"/>
          <w:b/>
          <w:bCs/>
          <w:color w:val="auto"/>
          <w:highlight w:val="none"/>
        </w:rPr>
        <w:t>3</w:t>
      </w:r>
      <w:r>
        <w:rPr>
          <w:rFonts w:hint="eastAsia" w:cs="华文仿宋"/>
          <w:b/>
          <w:bCs/>
          <w:color w:val="auto"/>
          <w:highlight w:val="none"/>
        </w:rPr>
        <w:t>年内因违法经营被禁止在一定期限内参加政府采购活动，期限届满的，可以参加政府采购活动，但应提供期限届满的证明材料。</w:t>
      </w:r>
    </w:p>
    <w:p w14:paraId="0E341625">
      <w:pPr>
        <w:widowControl w:val="0"/>
        <w:spacing w:line="500" w:lineRule="exact"/>
        <w:ind w:firstLine="566" w:firstLineChars="200"/>
        <w:rPr>
          <w:rFonts w:cs="Times New Roman"/>
          <w:color w:val="auto"/>
          <w:highlight w:val="none"/>
        </w:rPr>
      </w:pPr>
      <w:r>
        <w:rPr>
          <w:color w:val="auto"/>
          <w:highlight w:val="none"/>
        </w:rPr>
        <w:t>2</w:t>
      </w:r>
      <w:r>
        <w:rPr>
          <w:rFonts w:hint="eastAsia" w:cs="华文仿宋"/>
          <w:color w:val="auto"/>
          <w:highlight w:val="none"/>
        </w:rPr>
        <w:t>、我方</w:t>
      </w:r>
      <w:r>
        <w:rPr>
          <w:color w:val="auto"/>
          <w:highlight w:val="none"/>
        </w:rPr>
        <w:t>______</w:t>
      </w:r>
      <w:r>
        <w:rPr>
          <w:rFonts w:hint="eastAsia" w:cs="华文仿宋"/>
          <w:color w:val="auto"/>
          <w:highlight w:val="none"/>
        </w:rPr>
        <w:t>（填“未被列入”或“被列入”）失信被执行人名单。</w:t>
      </w:r>
    </w:p>
    <w:p w14:paraId="35BA7EDB">
      <w:pPr>
        <w:widowControl w:val="0"/>
        <w:spacing w:line="500" w:lineRule="exact"/>
        <w:ind w:firstLine="566" w:firstLineChars="200"/>
        <w:rPr>
          <w:rFonts w:cs="Times New Roman"/>
          <w:color w:val="auto"/>
          <w:highlight w:val="none"/>
        </w:rPr>
      </w:pPr>
      <w:r>
        <w:rPr>
          <w:color w:val="auto"/>
          <w:highlight w:val="none"/>
        </w:rPr>
        <w:t>3</w:t>
      </w:r>
      <w:r>
        <w:rPr>
          <w:rFonts w:hint="eastAsia" w:cs="华文仿宋"/>
          <w:color w:val="auto"/>
          <w:highlight w:val="none"/>
        </w:rPr>
        <w:t>、我方</w:t>
      </w:r>
      <w:r>
        <w:rPr>
          <w:color w:val="auto"/>
          <w:highlight w:val="none"/>
        </w:rPr>
        <w:t>______</w:t>
      </w:r>
      <w:r>
        <w:rPr>
          <w:rFonts w:hint="eastAsia" w:cs="华文仿宋"/>
          <w:color w:val="auto"/>
          <w:highlight w:val="none"/>
        </w:rPr>
        <w:t>（填“未被列入”或“被列入”）重大税收违法案件当事人名单。</w:t>
      </w:r>
    </w:p>
    <w:p w14:paraId="195EE15E">
      <w:pPr>
        <w:widowControl w:val="0"/>
        <w:spacing w:line="500" w:lineRule="exact"/>
        <w:ind w:firstLine="566" w:firstLineChars="200"/>
        <w:rPr>
          <w:rFonts w:cs="Times New Roman"/>
          <w:color w:val="auto"/>
          <w:highlight w:val="none"/>
        </w:rPr>
      </w:pPr>
      <w:r>
        <w:rPr>
          <w:color w:val="auto"/>
          <w:highlight w:val="none"/>
        </w:rPr>
        <w:t>4</w:t>
      </w:r>
      <w:r>
        <w:rPr>
          <w:rFonts w:hint="eastAsia" w:cs="华文仿宋"/>
          <w:color w:val="auto"/>
          <w:highlight w:val="none"/>
        </w:rPr>
        <w:t>、我方</w:t>
      </w:r>
      <w:r>
        <w:rPr>
          <w:color w:val="auto"/>
          <w:highlight w:val="none"/>
        </w:rPr>
        <w:t>______</w:t>
      </w:r>
      <w:r>
        <w:rPr>
          <w:rFonts w:hint="eastAsia" w:cs="华文仿宋"/>
          <w:color w:val="auto"/>
          <w:highlight w:val="none"/>
        </w:rPr>
        <w:t>（填“未被列入”或“被列入”）政府采购严重违法失信行为记录名单。</w:t>
      </w:r>
    </w:p>
    <w:p w14:paraId="3D7AEFE2">
      <w:pPr>
        <w:widowControl w:val="0"/>
        <w:spacing w:line="500" w:lineRule="exact"/>
        <w:ind w:firstLine="566" w:firstLineChars="200"/>
        <w:rPr>
          <w:rFonts w:cs="Times New Roman"/>
          <w:color w:val="auto"/>
          <w:highlight w:val="none"/>
        </w:rPr>
      </w:pPr>
      <w:r>
        <w:rPr>
          <w:rFonts w:hint="eastAsia" w:cs="华文仿宋"/>
          <w:color w:val="auto"/>
          <w:highlight w:val="none"/>
        </w:rPr>
        <w:t>如有不实，我方将无条件地退出本项目的采购活动，并遵照《政府采购法》有关“提供虚假材料的规定”接受处罚。</w:t>
      </w:r>
    </w:p>
    <w:p w14:paraId="66716EA8">
      <w:pPr>
        <w:widowControl w:val="0"/>
        <w:spacing w:line="500" w:lineRule="exact"/>
        <w:ind w:firstLine="566" w:firstLineChars="200"/>
        <w:rPr>
          <w:rFonts w:cs="Times New Roman"/>
          <w:color w:val="auto"/>
          <w:highlight w:val="none"/>
        </w:rPr>
      </w:pPr>
      <w:r>
        <w:rPr>
          <w:rFonts w:hint="eastAsia" w:cs="华文仿宋"/>
          <w:color w:val="auto"/>
          <w:highlight w:val="none"/>
        </w:rPr>
        <w:t>特此声明。</w:t>
      </w:r>
    </w:p>
    <w:p w14:paraId="5CABF038">
      <w:pPr>
        <w:widowControl w:val="0"/>
        <w:spacing w:line="500" w:lineRule="exact"/>
        <w:ind w:firstLine="4811" w:firstLineChars="1700"/>
        <w:rPr>
          <w:rFonts w:cs="Times New Roman"/>
          <w:color w:val="auto"/>
          <w:highlight w:val="none"/>
        </w:rPr>
      </w:pPr>
      <w:r>
        <w:rPr>
          <w:rFonts w:hint="eastAsia" w:cs="华文仿宋"/>
          <w:color w:val="auto"/>
          <w:highlight w:val="none"/>
          <w:lang w:eastAsia="zh-CN"/>
        </w:rPr>
        <w:t>供应商</w:t>
      </w:r>
      <w:r>
        <w:rPr>
          <w:rFonts w:hint="eastAsia" w:cs="华文仿宋"/>
          <w:color w:val="auto"/>
          <w:highlight w:val="none"/>
        </w:rPr>
        <w:t>：</w:t>
      </w:r>
      <w:r>
        <w:rPr>
          <w:rFonts w:hint="eastAsia" w:cs="华文仿宋"/>
          <w:color w:val="auto"/>
          <w:highlight w:val="none"/>
          <w:u w:val="single"/>
        </w:rPr>
        <w:t>名称</w:t>
      </w:r>
      <w:r>
        <w:rPr>
          <w:rFonts w:hint="eastAsia" w:cs="华文仿宋"/>
          <w:color w:val="auto"/>
          <w:highlight w:val="none"/>
        </w:rPr>
        <w:t>（加盖公章）</w:t>
      </w:r>
    </w:p>
    <w:p w14:paraId="562A6E85">
      <w:pPr>
        <w:widowControl w:val="0"/>
        <w:spacing w:line="500" w:lineRule="exact"/>
        <w:ind w:firstLine="5094" w:firstLineChars="1800"/>
        <w:rPr>
          <w:rFonts w:cs="Times New Roman"/>
          <w:color w:val="auto"/>
          <w:highlight w:val="none"/>
        </w:rPr>
      </w:pPr>
      <w:r>
        <w:rPr>
          <w:rFonts w:hint="eastAsia" w:cs="华文仿宋"/>
          <w:color w:val="auto"/>
          <w:highlight w:val="none"/>
        </w:rPr>
        <w:t>日期：　　年　月　日</w:t>
      </w:r>
    </w:p>
    <w:p w14:paraId="2DB5CC0B">
      <w:pPr>
        <w:widowControl w:val="0"/>
        <w:spacing w:line="500" w:lineRule="exact"/>
        <w:ind w:firstLine="426" w:firstLineChars="200"/>
        <w:rPr>
          <w:rFonts w:ascii="宋体" w:hAnsi="宋体" w:eastAsia="宋体" w:cs="Times New Roman"/>
          <w:color w:val="auto"/>
          <w:sz w:val="21"/>
          <w:szCs w:val="21"/>
          <w:highlight w:val="none"/>
        </w:rPr>
      </w:pPr>
    </w:p>
    <w:p w14:paraId="64FF97A2">
      <w:pPr>
        <w:pStyle w:val="2"/>
        <w:widowControl w:val="0"/>
        <w:ind w:firstLine="213"/>
        <w:rPr>
          <w:color w:val="auto"/>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项目不分标段的，第</w:t>
      </w:r>
      <w:r>
        <w:rPr>
          <w:rFonts w:ascii="宋体" w:hAnsi="宋体" w:eastAsia="宋体" w:cs="宋体"/>
          <w:color w:val="auto"/>
          <w:sz w:val="21"/>
          <w:szCs w:val="21"/>
          <w:highlight w:val="none"/>
        </w:rPr>
        <w:t>___</w:t>
      </w:r>
      <w:r>
        <w:rPr>
          <w:rFonts w:hint="eastAsia" w:ascii="宋体" w:hAnsi="宋体" w:eastAsia="宋体" w:cs="宋体"/>
          <w:color w:val="auto"/>
          <w:sz w:val="21"/>
          <w:szCs w:val="21"/>
          <w:highlight w:val="none"/>
        </w:rPr>
        <w:t>标段空白处填写“</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w:t>
      </w:r>
    </w:p>
    <w:p w14:paraId="7A4D6CE9">
      <w:pPr>
        <w:pStyle w:val="3"/>
        <w:ind w:firstLine="852" w:firstLineChars="400"/>
        <w:rPr>
          <w:rFonts w:hint="eastAsia" w:eastAsia="宋体"/>
          <w:b/>
          <w:bCs/>
          <w:highlight w:val="none"/>
          <w:lang w:val="en-US" w:eastAsia="zh-CN"/>
        </w:rPr>
      </w:pPr>
      <w:r>
        <w:rPr>
          <w:rFonts w:hint="eastAsia" w:ascii="宋体" w:hAnsi="宋体" w:eastAsia="宋体" w:cs="宋体"/>
          <w:b/>
          <w:bCs/>
          <w:color w:val="auto"/>
          <w:sz w:val="21"/>
          <w:szCs w:val="21"/>
          <w:highlight w:val="none"/>
          <w:lang w:val="en-US" w:eastAsia="zh-CN"/>
        </w:rPr>
        <w:t>2.如为联合体的，联合体各方均需提供此证明。</w:t>
      </w:r>
    </w:p>
    <w:p w14:paraId="6970313B">
      <w:pPr>
        <w:pStyle w:val="2"/>
        <w:widowControl w:val="0"/>
        <w:ind w:firstLine="183"/>
        <w:rPr>
          <w:color w:val="auto"/>
          <w:highlight w:val="none"/>
        </w:rPr>
      </w:pPr>
    </w:p>
    <w:p w14:paraId="1B971D8F">
      <w:pPr>
        <w:pStyle w:val="2"/>
        <w:widowControl w:val="0"/>
        <w:ind w:firstLine="183"/>
        <w:rPr>
          <w:color w:val="auto"/>
          <w:highlight w:val="none"/>
        </w:rPr>
      </w:pPr>
    </w:p>
    <w:p w14:paraId="17E00BB3">
      <w:pPr>
        <w:pStyle w:val="47"/>
        <w:widowControl w:val="0"/>
        <w:rPr>
          <w:rFonts w:cs="Times New Roman"/>
          <w:color w:val="auto"/>
          <w:sz w:val="28"/>
          <w:szCs w:val="28"/>
          <w:highlight w:val="none"/>
        </w:rPr>
      </w:pPr>
      <w:bookmarkStart w:id="355" w:name="_Toc9550"/>
      <w:bookmarkStart w:id="356" w:name="_Toc29757"/>
    </w:p>
    <w:p w14:paraId="67ED961F">
      <w:pPr>
        <w:pStyle w:val="42"/>
        <w:widowControl w:val="0"/>
        <w:ind w:firstLine="0" w:firstLineChars="0"/>
        <w:rPr>
          <w:rFonts w:cs="Times New Roman"/>
          <w:color w:val="auto"/>
          <w:highlight w:val="none"/>
        </w:rPr>
      </w:pPr>
    </w:p>
    <w:p w14:paraId="0D8D1248">
      <w:pPr>
        <w:pStyle w:val="42"/>
        <w:widowControl w:val="0"/>
        <w:rPr>
          <w:rFonts w:cs="Times New Roman"/>
          <w:color w:val="auto"/>
          <w:highlight w:val="none"/>
        </w:rPr>
      </w:pPr>
    </w:p>
    <w:p w14:paraId="4C3BD892">
      <w:pPr>
        <w:pStyle w:val="42"/>
        <w:widowControl w:val="0"/>
        <w:ind w:firstLine="0" w:firstLineChars="0"/>
        <w:rPr>
          <w:rFonts w:cs="Times New Roman"/>
          <w:color w:val="auto"/>
          <w:highlight w:val="none"/>
        </w:rPr>
      </w:pPr>
    </w:p>
    <w:p w14:paraId="7016C025">
      <w:pPr>
        <w:pStyle w:val="42"/>
        <w:widowControl w:val="0"/>
        <w:ind w:firstLine="0" w:firstLineChars="0"/>
        <w:rPr>
          <w:rFonts w:cs="Times New Roman"/>
          <w:color w:val="auto"/>
          <w:highlight w:val="none"/>
        </w:rPr>
      </w:pPr>
    </w:p>
    <w:p w14:paraId="2A4E04C2">
      <w:pPr>
        <w:pStyle w:val="42"/>
        <w:widowControl w:val="0"/>
        <w:ind w:firstLine="0" w:firstLineChars="0"/>
        <w:rPr>
          <w:rFonts w:cs="Times New Roman"/>
          <w:color w:val="auto"/>
          <w:highlight w:val="none"/>
        </w:rPr>
      </w:pPr>
    </w:p>
    <w:p w14:paraId="0CA56C1E">
      <w:pPr>
        <w:pStyle w:val="42"/>
        <w:widowControl w:val="0"/>
        <w:ind w:firstLine="0" w:firstLineChars="0"/>
        <w:rPr>
          <w:rFonts w:cs="Times New Roman"/>
          <w:color w:val="auto"/>
          <w:highlight w:val="none"/>
        </w:rPr>
      </w:pPr>
    </w:p>
    <w:p w14:paraId="3FD88136">
      <w:pPr>
        <w:pStyle w:val="42"/>
        <w:widowControl w:val="0"/>
        <w:ind w:firstLine="0" w:firstLineChars="0"/>
        <w:rPr>
          <w:rFonts w:cs="Times New Roman"/>
          <w:color w:val="auto"/>
          <w:highlight w:val="none"/>
        </w:rPr>
      </w:pPr>
    </w:p>
    <w:p w14:paraId="19461F38">
      <w:pPr>
        <w:pStyle w:val="42"/>
        <w:widowControl w:val="0"/>
        <w:ind w:firstLine="0" w:firstLineChars="0"/>
        <w:rPr>
          <w:rFonts w:cs="Times New Roman"/>
          <w:color w:val="auto"/>
          <w:highlight w:val="none"/>
        </w:rPr>
      </w:pPr>
    </w:p>
    <w:p w14:paraId="6BE94A89">
      <w:pPr>
        <w:pStyle w:val="42"/>
        <w:widowControl w:val="0"/>
        <w:ind w:firstLine="0" w:firstLineChars="0"/>
        <w:rPr>
          <w:rFonts w:cs="Times New Roman"/>
          <w:color w:val="auto"/>
          <w:highlight w:val="none"/>
        </w:rPr>
      </w:pPr>
    </w:p>
    <w:p w14:paraId="40E1F55F">
      <w:pPr>
        <w:pStyle w:val="42"/>
        <w:widowControl w:val="0"/>
        <w:ind w:firstLine="0" w:firstLineChars="0"/>
        <w:rPr>
          <w:rFonts w:cs="Times New Roman"/>
          <w:color w:val="auto"/>
          <w:highlight w:val="none"/>
        </w:rPr>
      </w:pPr>
    </w:p>
    <w:p w14:paraId="385EF89B">
      <w:pPr>
        <w:pStyle w:val="42"/>
        <w:widowControl w:val="0"/>
        <w:ind w:firstLine="0" w:firstLineChars="0"/>
        <w:rPr>
          <w:rFonts w:cs="Times New Roman"/>
          <w:color w:val="auto"/>
          <w:highlight w:val="none"/>
        </w:rPr>
      </w:pPr>
    </w:p>
    <w:p w14:paraId="288FC369">
      <w:pPr>
        <w:pStyle w:val="42"/>
        <w:widowControl w:val="0"/>
        <w:ind w:firstLine="0" w:firstLineChars="0"/>
        <w:rPr>
          <w:rFonts w:cs="Times New Roman"/>
          <w:color w:val="auto"/>
          <w:highlight w:val="none"/>
        </w:rPr>
      </w:pPr>
    </w:p>
    <w:p w14:paraId="4E06E02B">
      <w:pPr>
        <w:pStyle w:val="42"/>
        <w:widowControl w:val="0"/>
        <w:ind w:firstLine="0" w:firstLineChars="0"/>
        <w:rPr>
          <w:rFonts w:cs="Times New Roman"/>
          <w:color w:val="auto"/>
          <w:highlight w:val="none"/>
        </w:rPr>
      </w:pPr>
    </w:p>
    <w:p w14:paraId="46A8A81D">
      <w:pPr>
        <w:pStyle w:val="42"/>
        <w:widowControl w:val="0"/>
        <w:ind w:firstLine="0" w:firstLineChars="0"/>
        <w:rPr>
          <w:rFonts w:cs="Times New Roman"/>
          <w:color w:val="auto"/>
          <w:highlight w:val="none"/>
        </w:rPr>
      </w:pPr>
    </w:p>
    <w:p w14:paraId="5EFAD5CD">
      <w:pPr>
        <w:pStyle w:val="42"/>
        <w:widowControl w:val="0"/>
        <w:ind w:firstLine="0" w:firstLineChars="0"/>
        <w:rPr>
          <w:rFonts w:cs="Times New Roman"/>
          <w:color w:val="auto"/>
          <w:highlight w:val="none"/>
        </w:rPr>
      </w:pPr>
    </w:p>
    <w:p w14:paraId="17041DE2">
      <w:pPr>
        <w:pStyle w:val="42"/>
        <w:widowControl w:val="0"/>
        <w:ind w:firstLine="0" w:firstLineChars="0"/>
        <w:rPr>
          <w:rFonts w:cs="Times New Roman"/>
          <w:color w:val="auto"/>
          <w:highlight w:val="none"/>
        </w:rPr>
      </w:pPr>
    </w:p>
    <w:p w14:paraId="0471F4B7">
      <w:pPr>
        <w:pStyle w:val="42"/>
        <w:widowControl w:val="0"/>
        <w:ind w:firstLine="0" w:firstLineChars="0"/>
        <w:rPr>
          <w:rFonts w:cs="Times New Roman"/>
          <w:color w:val="auto"/>
          <w:highlight w:val="none"/>
        </w:rPr>
      </w:pPr>
    </w:p>
    <w:p w14:paraId="4BBBD7E4">
      <w:pPr>
        <w:pStyle w:val="42"/>
        <w:widowControl w:val="0"/>
        <w:ind w:firstLine="0" w:firstLineChars="0"/>
        <w:rPr>
          <w:rFonts w:cs="Times New Roman"/>
          <w:color w:val="auto"/>
          <w:highlight w:val="none"/>
        </w:rPr>
      </w:pPr>
    </w:p>
    <w:p w14:paraId="38FDD10A">
      <w:pPr>
        <w:rPr>
          <w:rFonts w:cs="Times New Roman"/>
          <w:color w:val="auto"/>
          <w:highlight w:val="none"/>
        </w:rPr>
      </w:pPr>
      <w:r>
        <w:rPr>
          <w:rFonts w:cs="Times New Roman"/>
          <w:color w:val="auto"/>
          <w:highlight w:val="none"/>
        </w:rPr>
        <w:br w:type="page"/>
      </w:r>
    </w:p>
    <w:p w14:paraId="3298228D">
      <w:pPr>
        <w:pStyle w:val="2"/>
        <w:widowControl w:val="0"/>
        <w:numPr>
          <w:ilvl w:val="0"/>
          <w:numId w:val="6"/>
        </w:numPr>
        <w:ind w:firstLine="606" w:firstLineChars="200"/>
        <w:outlineLvl w:val="2"/>
        <w:rPr>
          <w:rFonts w:ascii="仿宋" w:hAnsi="仿宋" w:eastAsia="仿宋" w:cs="仿宋"/>
          <w:b/>
          <w:bCs/>
          <w:color w:val="auto"/>
          <w:sz w:val="30"/>
          <w:szCs w:val="30"/>
          <w:highlight w:val="none"/>
        </w:rPr>
      </w:pPr>
      <w:bookmarkStart w:id="357" w:name="_Toc6319"/>
      <w:bookmarkStart w:id="358" w:name="_Toc3475"/>
      <w:bookmarkStart w:id="359" w:name="_Toc24508"/>
      <w:bookmarkStart w:id="360" w:name="_Toc14054"/>
      <w:bookmarkStart w:id="361" w:name="_Toc5613"/>
      <w:bookmarkStart w:id="362" w:name="_Toc14266"/>
      <w:bookmarkStart w:id="363" w:name="_Toc28599"/>
      <w:bookmarkStart w:id="364" w:name="_Toc13686"/>
      <w:bookmarkStart w:id="365" w:name="_Toc27767"/>
      <w:r>
        <w:rPr>
          <w:rFonts w:hint="eastAsia" w:ascii="仿宋" w:hAnsi="仿宋" w:eastAsia="仿宋" w:cs="仿宋"/>
          <w:b/>
          <w:bCs/>
          <w:color w:val="auto"/>
          <w:sz w:val="30"/>
          <w:szCs w:val="30"/>
          <w:highlight w:val="none"/>
        </w:rPr>
        <w:t>控股管理关系</w:t>
      </w:r>
      <w:bookmarkEnd w:id="357"/>
      <w:bookmarkEnd w:id="358"/>
      <w:bookmarkEnd w:id="359"/>
      <w:bookmarkEnd w:id="360"/>
      <w:bookmarkEnd w:id="361"/>
      <w:bookmarkEnd w:id="362"/>
    </w:p>
    <w:p w14:paraId="2DB6F7FC">
      <w:pPr>
        <w:pStyle w:val="2"/>
        <w:widowControl w:val="0"/>
        <w:ind w:firstLine="606" w:firstLineChars="200"/>
        <w:outlineLvl w:val="2"/>
        <w:rPr>
          <w:rFonts w:ascii="仿宋" w:hAnsi="仿宋" w:eastAsia="仿宋" w:cs="仿宋"/>
          <w:b/>
          <w:bCs/>
          <w:color w:val="auto"/>
          <w:sz w:val="30"/>
          <w:szCs w:val="30"/>
          <w:highlight w:val="none"/>
        </w:rPr>
      </w:pPr>
      <w:bookmarkStart w:id="366" w:name="_Toc25983"/>
      <w:bookmarkStart w:id="367" w:name="_Toc23765"/>
      <w:bookmarkStart w:id="368" w:name="_Toc12007"/>
      <w:bookmarkStart w:id="369" w:name="_Toc31826"/>
      <w:bookmarkStart w:id="370" w:name="_Toc15773"/>
      <w:bookmarkStart w:id="371" w:name="_Toc7884"/>
      <w:r>
        <w:rPr>
          <w:rFonts w:hint="eastAsia" w:ascii="仿宋" w:hAnsi="仿宋" w:eastAsia="仿宋" w:cs="仿宋"/>
          <w:b/>
          <w:bCs/>
          <w:color w:val="auto"/>
          <w:sz w:val="30"/>
          <w:szCs w:val="30"/>
          <w:highlight w:val="none"/>
          <w:lang w:eastAsia="zh-CN"/>
        </w:rPr>
        <w:t>供应商</w:t>
      </w:r>
      <w:r>
        <w:rPr>
          <w:rFonts w:hint="eastAsia" w:ascii="仿宋" w:hAnsi="仿宋" w:eastAsia="仿宋" w:cs="仿宋"/>
          <w:b/>
          <w:bCs/>
          <w:color w:val="auto"/>
          <w:sz w:val="30"/>
          <w:szCs w:val="30"/>
          <w:highlight w:val="none"/>
        </w:rPr>
        <w:t>提供直接控股和管理关系清单，格式不限。</w:t>
      </w:r>
      <w:bookmarkEnd w:id="366"/>
      <w:bookmarkEnd w:id="367"/>
      <w:bookmarkEnd w:id="368"/>
      <w:bookmarkEnd w:id="369"/>
      <w:bookmarkEnd w:id="370"/>
      <w:bookmarkEnd w:id="371"/>
    </w:p>
    <w:p w14:paraId="6B8657D0">
      <w:pPr>
        <w:pStyle w:val="2"/>
        <w:widowControl w:val="0"/>
        <w:ind w:firstLine="0" w:firstLineChars="0"/>
        <w:jc w:val="center"/>
        <w:rPr>
          <w:rFonts w:ascii="仿宋" w:hAnsi="仿宋" w:eastAsia="仿宋" w:cs="仿宋"/>
          <w:b/>
          <w:bCs/>
          <w:color w:val="auto"/>
          <w:sz w:val="30"/>
          <w:szCs w:val="30"/>
          <w:highlight w:val="none"/>
        </w:rPr>
      </w:pPr>
      <w:bookmarkStart w:id="372" w:name="_Toc26760"/>
      <w:bookmarkStart w:id="373" w:name="_Toc21260"/>
      <w:bookmarkStart w:id="374" w:name="_Toc952"/>
      <w:bookmarkStart w:id="375" w:name="_Toc27988"/>
      <w:bookmarkStart w:id="376" w:name="_Toc15131"/>
      <w:bookmarkStart w:id="377" w:name="_Toc12979"/>
      <w:bookmarkStart w:id="378" w:name="_Toc22023"/>
      <w:bookmarkStart w:id="379" w:name="_Toc10651"/>
      <w:bookmarkStart w:id="380" w:name="_Toc27526"/>
      <w:r>
        <w:rPr>
          <w:rFonts w:hint="eastAsia" w:ascii="仿宋" w:hAnsi="仿宋" w:eastAsia="仿宋" w:cs="仿宋"/>
          <w:b/>
          <w:bCs/>
          <w:color w:val="auto"/>
          <w:sz w:val="30"/>
          <w:szCs w:val="30"/>
          <w:highlight w:val="none"/>
        </w:rPr>
        <w:t>控股管理关系（样表）</w:t>
      </w:r>
      <w:bookmarkEnd w:id="372"/>
      <w:bookmarkEnd w:id="373"/>
      <w:bookmarkEnd w:id="374"/>
    </w:p>
    <w:p w14:paraId="4BD8F25C">
      <w:pPr>
        <w:widowControl w:val="0"/>
        <w:spacing w:line="500" w:lineRule="exact"/>
        <w:rPr>
          <w:rFonts w:ascii="仿宋" w:hAnsi="仿宋" w:eastAsia="仿宋" w:cs="仿宋"/>
          <w:color w:val="auto"/>
          <w:highlight w:val="none"/>
        </w:rPr>
      </w:pPr>
      <w:r>
        <w:rPr>
          <w:rFonts w:hint="eastAsia" w:ascii="仿宋" w:hAnsi="仿宋" w:eastAsia="仿宋" w:cs="仿宋"/>
          <w:color w:val="auto"/>
          <w:highlight w:val="none"/>
        </w:rPr>
        <w:t>陕西省省级单位政府采购中心：</w:t>
      </w:r>
    </w:p>
    <w:p w14:paraId="7811F1C1">
      <w:pPr>
        <w:widowControl w:val="0"/>
        <w:spacing w:line="500" w:lineRule="exact"/>
        <w:ind w:firstLine="566" w:firstLineChars="200"/>
        <w:rPr>
          <w:rFonts w:ascii="仿宋" w:hAnsi="仿宋" w:eastAsia="仿宋" w:cs="仿宋"/>
          <w:b/>
          <w:bCs/>
          <w:color w:val="auto"/>
          <w:sz w:val="30"/>
          <w:szCs w:val="30"/>
          <w:highlight w:val="none"/>
        </w:rPr>
      </w:pPr>
      <w:r>
        <w:rPr>
          <w:rFonts w:hint="eastAsia" w:ascii="仿宋" w:hAnsi="仿宋" w:eastAsia="仿宋" w:cs="仿宋"/>
          <w:color w:val="auto"/>
          <w:highlight w:val="none"/>
        </w:rPr>
        <w:t>我方与以下</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存在直接控股、管理关系：</w:t>
      </w:r>
    </w:p>
    <w:tbl>
      <w:tblPr>
        <w:tblStyle w:val="25"/>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414BB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6BA5CB92">
            <w:pPr>
              <w:widowControl w:val="0"/>
              <w:autoSpaceDE w:val="0"/>
              <w:autoSpaceDN w:val="0"/>
              <w:adjustRightInd w:val="0"/>
              <w:spacing w:line="32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存在直接控股、管理关系的相关</w:t>
            </w:r>
            <w:r>
              <w:rPr>
                <w:rFonts w:hint="eastAsia" w:ascii="仿宋" w:hAnsi="仿宋" w:eastAsia="仿宋" w:cs="仿宋"/>
                <w:color w:val="auto"/>
                <w:kern w:val="0"/>
                <w:sz w:val="24"/>
                <w:szCs w:val="24"/>
                <w:highlight w:val="none"/>
                <w:lang w:eastAsia="zh-CN"/>
              </w:rPr>
              <w:t>供应商</w:t>
            </w:r>
          </w:p>
        </w:tc>
      </w:tr>
      <w:tr w14:paraId="7648B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C0BD319">
            <w:pPr>
              <w:widowControl w:val="0"/>
              <w:autoSpaceDE w:val="0"/>
              <w:autoSpaceDN w:val="0"/>
              <w:adjustRightInd w:val="0"/>
              <w:spacing w:line="32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855" w:type="dxa"/>
            <w:tcBorders>
              <w:right w:val="single" w:color="auto" w:sz="4" w:space="0"/>
            </w:tcBorders>
            <w:noWrap/>
            <w:vAlign w:val="center"/>
          </w:tcPr>
          <w:p w14:paraId="7B2C0D43">
            <w:pPr>
              <w:widowControl w:val="0"/>
              <w:autoSpaceDE w:val="0"/>
              <w:autoSpaceDN w:val="0"/>
              <w:adjustRightInd w:val="0"/>
              <w:spacing w:line="32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直接控股股东名称及出资比例</w:t>
            </w:r>
          </w:p>
        </w:tc>
        <w:tc>
          <w:tcPr>
            <w:tcW w:w="2646" w:type="dxa"/>
            <w:tcBorders>
              <w:left w:val="single" w:color="auto" w:sz="4" w:space="0"/>
              <w:right w:val="single" w:color="auto" w:sz="4" w:space="0"/>
            </w:tcBorders>
            <w:noWrap/>
            <w:vAlign w:val="center"/>
          </w:tcPr>
          <w:p w14:paraId="6CA10FC5">
            <w:pPr>
              <w:widowControl w:val="0"/>
              <w:autoSpaceDE w:val="0"/>
              <w:autoSpaceDN w:val="0"/>
              <w:adjustRightInd w:val="0"/>
              <w:spacing w:line="32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直接管理关系单位</w:t>
            </w:r>
          </w:p>
          <w:p w14:paraId="740D805A">
            <w:pPr>
              <w:widowControl w:val="0"/>
              <w:autoSpaceDE w:val="0"/>
              <w:autoSpaceDN w:val="0"/>
              <w:adjustRightInd w:val="0"/>
              <w:spacing w:line="32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名称</w:t>
            </w:r>
          </w:p>
        </w:tc>
        <w:tc>
          <w:tcPr>
            <w:tcW w:w="1993" w:type="dxa"/>
            <w:tcBorders>
              <w:left w:val="single" w:color="auto" w:sz="4" w:space="0"/>
              <w:right w:val="single" w:color="auto" w:sz="12" w:space="0"/>
            </w:tcBorders>
            <w:noWrap/>
            <w:vAlign w:val="center"/>
          </w:tcPr>
          <w:p w14:paraId="667E3342">
            <w:pPr>
              <w:widowControl w:val="0"/>
              <w:autoSpaceDE w:val="0"/>
              <w:autoSpaceDN w:val="0"/>
              <w:adjustRightInd w:val="0"/>
              <w:spacing w:line="320" w:lineRule="exact"/>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备注</w:t>
            </w:r>
          </w:p>
        </w:tc>
      </w:tr>
      <w:tr w14:paraId="03DD6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715E0FB5">
            <w:pPr>
              <w:widowControl w:val="0"/>
              <w:autoSpaceDE w:val="0"/>
              <w:autoSpaceDN w:val="0"/>
              <w:adjustRightInd w:val="0"/>
              <w:spacing w:line="3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55" w:type="dxa"/>
            <w:tcBorders>
              <w:right w:val="single" w:color="auto" w:sz="4" w:space="0"/>
            </w:tcBorders>
            <w:noWrap/>
            <w:vAlign w:val="center"/>
          </w:tcPr>
          <w:p w14:paraId="5A8A2D51">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2646" w:type="dxa"/>
            <w:tcBorders>
              <w:left w:val="single" w:color="auto" w:sz="4" w:space="0"/>
              <w:right w:val="single" w:color="auto" w:sz="4" w:space="0"/>
            </w:tcBorders>
            <w:noWrap/>
            <w:vAlign w:val="center"/>
          </w:tcPr>
          <w:p w14:paraId="1764E483">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1993" w:type="dxa"/>
            <w:tcBorders>
              <w:left w:val="single" w:color="auto" w:sz="4" w:space="0"/>
              <w:right w:val="single" w:color="auto" w:sz="12" w:space="0"/>
            </w:tcBorders>
            <w:noWrap/>
            <w:vAlign w:val="center"/>
          </w:tcPr>
          <w:p w14:paraId="21D2E3AC">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r>
      <w:tr w14:paraId="4F79B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6A6251DB">
            <w:pPr>
              <w:widowControl w:val="0"/>
              <w:autoSpaceDE w:val="0"/>
              <w:autoSpaceDN w:val="0"/>
              <w:adjustRightInd w:val="0"/>
              <w:spacing w:line="3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855" w:type="dxa"/>
            <w:tcBorders>
              <w:right w:val="single" w:color="auto" w:sz="4" w:space="0"/>
            </w:tcBorders>
            <w:noWrap/>
            <w:vAlign w:val="center"/>
          </w:tcPr>
          <w:p w14:paraId="6EEE7DC7">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2646" w:type="dxa"/>
            <w:tcBorders>
              <w:left w:val="single" w:color="auto" w:sz="4" w:space="0"/>
              <w:right w:val="single" w:color="auto" w:sz="4" w:space="0"/>
            </w:tcBorders>
            <w:noWrap/>
            <w:vAlign w:val="center"/>
          </w:tcPr>
          <w:p w14:paraId="7FD9287A">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1993" w:type="dxa"/>
            <w:tcBorders>
              <w:left w:val="single" w:color="auto" w:sz="4" w:space="0"/>
              <w:right w:val="single" w:color="auto" w:sz="12" w:space="0"/>
            </w:tcBorders>
            <w:noWrap/>
            <w:vAlign w:val="center"/>
          </w:tcPr>
          <w:p w14:paraId="4CE49312">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r>
      <w:tr w14:paraId="5EF39D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397EEB33">
            <w:pPr>
              <w:widowControl w:val="0"/>
              <w:autoSpaceDE w:val="0"/>
              <w:autoSpaceDN w:val="0"/>
              <w:adjustRightInd w:val="0"/>
              <w:spacing w:line="3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855" w:type="dxa"/>
            <w:tcBorders>
              <w:right w:val="single" w:color="auto" w:sz="4" w:space="0"/>
            </w:tcBorders>
            <w:noWrap/>
            <w:vAlign w:val="center"/>
          </w:tcPr>
          <w:p w14:paraId="335AA1F9">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2646" w:type="dxa"/>
            <w:tcBorders>
              <w:left w:val="single" w:color="auto" w:sz="4" w:space="0"/>
              <w:right w:val="single" w:color="auto" w:sz="4" w:space="0"/>
            </w:tcBorders>
            <w:noWrap/>
            <w:vAlign w:val="center"/>
          </w:tcPr>
          <w:p w14:paraId="387DA228">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1993" w:type="dxa"/>
            <w:tcBorders>
              <w:left w:val="single" w:color="auto" w:sz="4" w:space="0"/>
              <w:right w:val="single" w:color="auto" w:sz="12" w:space="0"/>
            </w:tcBorders>
            <w:noWrap/>
            <w:vAlign w:val="center"/>
          </w:tcPr>
          <w:p w14:paraId="3F70D1EF">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r>
      <w:tr w14:paraId="066293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99BF938">
            <w:pPr>
              <w:widowControl w:val="0"/>
              <w:autoSpaceDE w:val="0"/>
              <w:autoSpaceDN w:val="0"/>
              <w:adjustRightInd w:val="0"/>
              <w:spacing w:line="320" w:lineRule="exact"/>
              <w:jc w:val="center"/>
              <w:rPr>
                <w:rFonts w:ascii="仿宋" w:hAnsi="仿宋" w:eastAsia="仿宋" w:cs="仿宋"/>
                <w:color w:val="auto"/>
                <w:kern w:val="0"/>
                <w:sz w:val="24"/>
                <w:szCs w:val="24"/>
                <w:highlight w:val="none"/>
              </w:rPr>
            </w:pPr>
            <w:r>
              <w:rPr>
                <w:rFonts w:hint="eastAsia" w:ascii="宋体" w:hAnsi="宋体" w:cs="宋体"/>
                <w:color w:val="auto"/>
                <w:kern w:val="0"/>
                <w:sz w:val="24"/>
                <w:highlight w:val="none"/>
              </w:rPr>
              <w:t>……</w:t>
            </w:r>
          </w:p>
        </w:tc>
        <w:tc>
          <w:tcPr>
            <w:tcW w:w="2855" w:type="dxa"/>
            <w:tcBorders>
              <w:right w:val="single" w:color="auto" w:sz="4" w:space="0"/>
            </w:tcBorders>
            <w:noWrap/>
            <w:vAlign w:val="center"/>
          </w:tcPr>
          <w:p w14:paraId="7DE1FB60">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2646" w:type="dxa"/>
            <w:tcBorders>
              <w:left w:val="single" w:color="auto" w:sz="4" w:space="0"/>
              <w:right w:val="single" w:color="auto" w:sz="4" w:space="0"/>
            </w:tcBorders>
            <w:noWrap/>
            <w:vAlign w:val="center"/>
          </w:tcPr>
          <w:p w14:paraId="68EDB029">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c>
          <w:tcPr>
            <w:tcW w:w="1993" w:type="dxa"/>
            <w:tcBorders>
              <w:left w:val="single" w:color="auto" w:sz="4" w:space="0"/>
              <w:right w:val="single" w:color="auto" w:sz="12" w:space="0"/>
            </w:tcBorders>
            <w:noWrap/>
            <w:vAlign w:val="center"/>
          </w:tcPr>
          <w:p w14:paraId="44955E65">
            <w:pPr>
              <w:widowControl w:val="0"/>
              <w:autoSpaceDE w:val="0"/>
              <w:autoSpaceDN w:val="0"/>
              <w:adjustRightInd w:val="0"/>
              <w:spacing w:line="320" w:lineRule="exact"/>
              <w:rPr>
                <w:rFonts w:ascii="仿宋" w:hAnsi="仿宋" w:eastAsia="仿宋" w:cs="仿宋"/>
                <w:bCs/>
                <w:color w:val="auto"/>
                <w:kern w:val="0"/>
                <w:sz w:val="24"/>
                <w:szCs w:val="24"/>
                <w:highlight w:val="none"/>
              </w:rPr>
            </w:pPr>
          </w:p>
        </w:tc>
      </w:tr>
    </w:tbl>
    <w:p w14:paraId="48B533A6">
      <w:pPr>
        <w:widowControl w:val="0"/>
        <w:spacing w:line="500" w:lineRule="exact"/>
        <w:ind w:firstLine="4528" w:firstLineChars="1600"/>
        <w:rPr>
          <w:rFonts w:ascii="仿宋" w:hAnsi="仿宋" w:eastAsia="仿宋" w:cs="仿宋"/>
          <w:color w:val="auto"/>
          <w:highlight w:val="none"/>
        </w:rPr>
      </w:pPr>
    </w:p>
    <w:p w14:paraId="191F4FE5">
      <w:pPr>
        <w:widowControl w:val="0"/>
        <w:spacing w:line="500" w:lineRule="exact"/>
        <w:ind w:firstLine="4528" w:firstLineChars="1600"/>
        <w:rPr>
          <w:rFonts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名称</w:t>
      </w:r>
      <w:r>
        <w:rPr>
          <w:rFonts w:hint="eastAsia" w:ascii="仿宋" w:hAnsi="仿宋" w:eastAsia="仿宋" w:cs="仿宋"/>
          <w:color w:val="auto"/>
          <w:highlight w:val="none"/>
        </w:rPr>
        <w:t>（加盖公章）</w:t>
      </w:r>
    </w:p>
    <w:p w14:paraId="5782C46D">
      <w:pPr>
        <w:widowControl w:val="0"/>
        <w:spacing w:line="500" w:lineRule="exact"/>
        <w:ind w:firstLine="4528" w:firstLineChars="1600"/>
        <w:rPr>
          <w:rFonts w:ascii="仿宋" w:hAnsi="仿宋" w:eastAsia="仿宋" w:cs="仿宋"/>
          <w:color w:val="auto"/>
          <w:highlight w:val="none"/>
        </w:rPr>
      </w:pPr>
      <w:r>
        <w:rPr>
          <w:rFonts w:hint="eastAsia" w:ascii="仿宋" w:hAnsi="仿宋" w:eastAsia="仿宋" w:cs="仿宋"/>
          <w:color w:val="auto"/>
          <w:highlight w:val="none"/>
        </w:rPr>
        <w:t>日期：  年  月  日</w:t>
      </w:r>
    </w:p>
    <w:p w14:paraId="03A7BABF">
      <w:pPr>
        <w:pStyle w:val="8"/>
        <w:widowControl w:val="0"/>
        <w:rPr>
          <w:rFonts w:ascii="仿宋" w:hAnsi="仿宋" w:eastAsia="仿宋" w:cs="仿宋"/>
          <w:color w:val="auto"/>
          <w:highlight w:val="none"/>
        </w:rPr>
      </w:pPr>
    </w:p>
    <w:p w14:paraId="262A0A3F">
      <w:pPr>
        <w:pStyle w:val="2"/>
        <w:widowControl w:val="0"/>
        <w:wordWrap w:val="0"/>
        <w:spacing w:line="50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DE2E63C">
      <w:pPr>
        <w:pStyle w:val="2"/>
        <w:widowControl w:val="0"/>
        <w:numPr>
          <w:ilvl w:val="255"/>
          <w:numId w:val="0"/>
        </w:numPr>
        <w:wordWrap w:val="0"/>
        <w:spacing w:line="40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7414C3">
      <w:pPr>
        <w:pStyle w:val="2"/>
        <w:widowControl w:val="0"/>
        <w:numPr>
          <w:ilvl w:val="255"/>
          <w:numId w:val="0"/>
        </w:numPr>
        <w:wordWrap w:val="0"/>
        <w:spacing w:line="40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2.管理关系：是指不具有出资持股关系的其他单位之间存在的管理与被管理关系，如一些上下级关系的事业单位和团体组织。</w:t>
      </w:r>
    </w:p>
    <w:p w14:paraId="4203E1F0">
      <w:pPr>
        <w:pStyle w:val="2"/>
        <w:widowControl w:val="0"/>
        <w:wordWrap w:val="0"/>
        <w:spacing w:line="40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3.本表所指的控股、管理关系仅限于直接控股、直接管理关系，不包括间接的控股或管理关系。公司实际控制人与公司之间的关系不属于本表所指的直接控股关系。</w:t>
      </w:r>
    </w:p>
    <w:p w14:paraId="77F5EF70">
      <w:pPr>
        <w:pStyle w:val="2"/>
        <w:widowControl w:val="0"/>
        <w:wordWrap w:val="0"/>
        <w:spacing w:line="400" w:lineRule="exact"/>
        <w:ind w:firstLine="426"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如不存在直接控股股东的，则在“直接控股股东名称及出资比例”处填写“无”或“/”。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不存在直接管理关系的，则在“直接管理关系单位名称”中填“无”或“/”。</w:t>
      </w:r>
    </w:p>
    <w:bookmarkEnd w:id="375"/>
    <w:bookmarkEnd w:id="376"/>
    <w:bookmarkEnd w:id="377"/>
    <w:bookmarkEnd w:id="378"/>
    <w:bookmarkEnd w:id="379"/>
    <w:bookmarkEnd w:id="380"/>
    <w:p w14:paraId="4991AB74">
      <w:pPr>
        <w:pStyle w:val="3"/>
        <w:ind w:firstLine="426" w:firstLineChars="200"/>
        <w:rPr>
          <w:rFonts w:hint="eastAsia" w:eastAsia="宋体"/>
          <w:b/>
          <w:bCs/>
          <w:highlight w:val="none"/>
          <w:lang w:val="en-US" w:eastAsia="zh-CN"/>
        </w:rPr>
      </w:pPr>
      <w:r>
        <w:rPr>
          <w:rFonts w:hint="eastAsia" w:ascii="宋体" w:hAnsi="宋体" w:eastAsia="宋体" w:cs="宋体"/>
          <w:b/>
          <w:bCs/>
          <w:color w:val="auto"/>
          <w:sz w:val="21"/>
          <w:szCs w:val="21"/>
          <w:highlight w:val="none"/>
          <w:lang w:val="en-US" w:eastAsia="zh-CN"/>
        </w:rPr>
        <w:t>5.如为联合体的，联合体各方均需提供此证明。</w:t>
      </w:r>
    </w:p>
    <w:p w14:paraId="3FBF7D0C">
      <w:pPr>
        <w:widowControl w:val="0"/>
        <w:rPr>
          <w:rFonts w:ascii="仿宋" w:hAnsi="仿宋" w:eastAsia="仿宋" w:cs="仿宋"/>
          <w:color w:val="auto"/>
          <w:highlight w:val="none"/>
        </w:rPr>
      </w:pPr>
      <w:r>
        <w:rPr>
          <w:rFonts w:ascii="仿宋" w:hAnsi="仿宋" w:eastAsia="仿宋" w:cs="仿宋"/>
          <w:color w:val="auto"/>
          <w:highlight w:val="none"/>
        </w:rPr>
        <w:br w:type="page"/>
      </w:r>
    </w:p>
    <w:p w14:paraId="0452B2D6">
      <w:pPr>
        <w:widowControl w:val="0"/>
        <w:numPr>
          <w:ilvl w:val="0"/>
          <w:numId w:val="6"/>
        </w:numPr>
        <w:spacing w:line="500" w:lineRule="exact"/>
        <w:ind w:firstLine="606"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书面声明</w:t>
      </w:r>
    </w:p>
    <w:p w14:paraId="1A4DB72F">
      <w:pPr>
        <w:widowControl w:val="0"/>
        <w:spacing w:line="500" w:lineRule="exact"/>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书面声明</w:t>
      </w:r>
      <w:r>
        <w:rPr>
          <w:rFonts w:hint="eastAsia" w:cs="华文仿宋"/>
          <w:b/>
          <w:bCs/>
          <w:color w:val="auto"/>
          <w:sz w:val="30"/>
          <w:szCs w:val="30"/>
          <w:highlight w:val="none"/>
        </w:rPr>
        <w:t>（格式）</w:t>
      </w:r>
    </w:p>
    <w:p w14:paraId="2C77D29C">
      <w:pPr>
        <w:widowControl w:val="0"/>
        <w:spacing w:line="500" w:lineRule="exact"/>
        <w:rPr>
          <w:rFonts w:ascii="仿宋" w:hAnsi="仿宋" w:eastAsia="仿宋" w:cs="仿宋"/>
          <w:color w:val="auto"/>
          <w:highlight w:val="none"/>
        </w:rPr>
      </w:pPr>
      <w:r>
        <w:rPr>
          <w:rFonts w:hint="eastAsia" w:ascii="仿宋" w:hAnsi="仿宋" w:eastAsia="仿宋" w:cs="仿宋"/>
          <w:color w:val="auto"/>
          <w:highlight w:val="none"/>
        </w:rPr>
        <w:t>陕西省省级单位政府采购中心：</w:t>
      </w:r>
    </w:p>
    <w:p w14:paraId="2EFBAD63">
      <w:pPr>
        <w:widowControl w:val="0"/>
        <w:spacing w:line="500" w:lineRule="exact"/>
        <w:ind w:firstLine="566" w:firstLineChars="200"/>
        <w:rPr>
          <w:rFonts w:ascii="仿宋" w:hAnsi="仿宋" w:eastAsia="仿宋" w:cs="仿宋"/>
          <w:color w:val="auto"/>
          <w:highlight w:val="none"/>
        </w:rPr>
      </w:pPr>
      <w:r>
        <w:rPr>
          <w:rFonts w:hint="eastAsia" w:ascii="仿宋" w:hAnsi="仿宋" w:eastAsia="仿宋" w:cs="仿宋"/>
          <w:color w:val="auto"/>
          <w:highlight w:val="none"/>
        </w:rPr>
        <w:t>我方作为</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，在此郑重声明：</w:t>
      </w:r>
    </w:p>
    <w:p w14:paraId="6F61068A">
      <w:pPr>
        <w:widowControl w:val="0"/>
        <w:numPr>
          <w:ilvl w:val="0"/>
          <w:numId w:val="7"/>
        </w:numPr>
        <w:spacing w:line="500" w:lineRule="exact"/>
        <w:ind w:firstLine="566" w:firstLineChars="200"/>
        <w:rPr>
          <w:rFonts w:ascii="仿宋" w:hAnsi="仿宋" w:eastAsia="仿宋" w:cs="仿宋"/>
          <w:color w:val="auto"/>
          <w:highlight w:val="none"/>
        </w:rPr>
      </w:pPr>
      <w:r>
        <w:rPr>
          <w:rFonts w:hint="eastAsia" w:ascii="仿宋" w:hAnsi="仿宋" w:eastAsia="仿宋" w:cs="仿宋"/>
          <w:color w:val="auto"/>
          <w:highlight w:val="none"/>
        </w:rPr>
        <w:t>我方具备履行合同所必须的设备和专业技术能力。</w:t>
      </w:r>
    </w:p>
    <w:p w14:paraId="1DA21A2E">
      <w:pPr>
        <w:widowControl w:val="0"/>
        <w:spacing w:line="500" w:lineRule="exact"/>
        <w:ind w:firstLine="566" w:firstLineChars="200"/>
        <w:rPr>
          <w:rFonts w:ascii="仿宋" w:hAnsi="仿宋" w:eastAsia="仿宋" w:cs="仿宋"/>
          <w:color w:val="auto"/>
          <w:highlight w:val="none"/>
        </w:rPr>
      </w:pPr>
      <w:r>
        <w:rPr>
          <w:rFonts w:hint="eastAsia" w:ascii="仿宋" w:hAnsi="仿宋" w:eastAsia="仿宋" w:cs="仿宋"/>
          <w:color w:val="auto"/>
          <w:highlight w:val="none"/>
        </w:rPr>
        <w:t>2、我方未为本项目提供整体设计、规范编制或者项目管理、监理、检测等服务。</w:t>
      </w:r>
    </w:p>
    <w:p w14:paraId="2C7ADFAD">
      <w:pPr>
        <w:widowControl w:val="0"/>
        <w:spacing w:line="500" w:lineRule="exact"/>
        <w:ind w:firstLine="566" w:firstLineChars="200"/>
        <w:rPr>
          <w:rFonts w:ascii="仿宋" w:hAnsi="仿宋" w:eastAsia="仿宋" w:cs="仿宋"/>
          <w:color w:val="auto"/>
          <w:highlight w:val="none"/>
        </w:rPr>
      </w:pPr>
      <w:r>
        <w:rPr>
          <w:rFonts w:hint="eastAsia" w:ascii="仿宋" w:hAnsi="仿宋" w:eastAsia="仿宋" w:cs="仿宋"/>
          <w:color w:val="auto"/>
          <w:highlight w:val="none"/>
        </w:rPr>
        <w:t>如有不实，我方将无条件地退出本项目的采购活动，并遵照《政府采购法》有关“提供虚假材料的规定”接受处罚。</w:t>
      </w:r>
    </w:p>
    <w:p w14:paraId="15FB0563">
      <w:pPr>
        <w:widowControl w:val="0"/>
        <w:spacing w:line="500" w:lineRule="exact"/>
        <w:rPr>
          <w:rFonts w:ascii="仿宋" w:hAnsi="仿宋" w:eastAsia="仿宋" w:cs="仿宋"/>
          <w:color w:val="auto"/>
          <w:highlight w:val="none"/>
        </w:rPr>
      </w:pPr>
      <w:r>
        <w:rPr>
          <w:rFonts w:hint="eastAsia" w:ascii="仿宋" w:hAnsi="仿宋" w:eastAsia="仿宋" w:cs="仿宋"/>
          <w:color w:val="auto"/>
          <w:highlight w:val="none"/>
        </w:rPr>
        <w:t>特此声明。</w:t>
      </w:r>
    </w:p>
    <w:p w14:paraId="02103351">
      <w:pPr>
        <w:widowControl w:val="0"/>
        <w:spacing w:line="500" w:lineRule="exact"/>
        <w:ind w:firstLine="4528" w:firstLineChars="1600"/>
        <w:rPr>
          <w:rFonts w:ascii="仿宋" w:hAnsi="仿宋" w:eastAsia="仿宋" w:cs="仿宋"/>
          <w:color w:val="auto"/>
          <w:highlight w:val="none"/>
        </w:rPr>
      </w:pPr>
      <w:r>
        <w:rPr>
          <w:rFonts w:hint="eastAsia" w:eastAsia="仿宋" w:cs="华文仿宋"/>
          <w:color w:val="auto"/>
          <w:highlight w:val="none"/>
          <w:lang w:eastAsia="zh-CN"/>
        </w:rPr>
        <w:t>供应商</w:t>
      </w: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名称</w:t>
      </w:r>
      <w:r>
        <w:rPr>
          <w:rFonts w:hint="eastAsia" w:ascii="仿宋" w:hAnsi="仿宋" w:eastAsia="仿宋" w:cs="仿宋"/>
          <w:color w:val="auto"/>
          <w:highlight w:val="none"/>
        </w:rPr>
        <w:t>（加盖公章）</w:t>
      </w:r>
    </w:p>
    <w:p w14:paraId="7A7A85A9">
      <w:pPr>
        <w:widowControl w:val="0"/>
        <w:spacing w:line="500" w:lineRule="exact"/>
        <w:ind w:firstLine="4528" w:firstLineChars="1600"/>
        <w:rPr>
          <w:rFonts w:ascii="仿宋" w:hAnsi="仿宋" w:eastAsia="仿宋" w:cs="仿宋"/>
          <w:color w:val="auto"/>
          <w:highlight w:val="none"/>
        </w:rPr>
      </w:pPr>
      <w:r>
        <w:rPr>
          <w:rFonts w:hint="eastAsia" w:ascii="仿宋" w:hAnsi="仿宋" w:eastAsia="仿宋" w:cs="仿宋"/>
          <w:color w:val="auto"/>
          <w:highlight w:val="none"/>
        </w:rPr>
        <w:t>日期：  年  月  日</w:t>
      </w:r>
    </w:p>
    <w:p w14:paraId="7A33AF3A">
      <w:pPr>
        <w:pStyle w:val="8"/>
        <w:widowControl w:val="0"/>
        <w:rPr>
          <w:rFonts w:ascii="仿宋" w:hAnsi="仿宋" w:eastAsia="仿宋" w:cs="仿宋"/>
          <w:color w:val="auto"/>
          <w:highlight w:val="none"/>
        </w:rPr>
      </w:pPr>
    </w:p>
    <w:p w14:paraId="51027E36">
      <w:pPr>
        <w:pStyle w:val="8"/>
        <w:widowControl w:val="0"/>
        <w:rPr>
          <w:rFonts w:ascii="仿宋" w:hAnsi="仿宋" w:eastAsia="仿宋" w:cs="仿宋"/>
          <w:color w:val="auto"/>
          <w:highlight w:val="none"/>
        </w:rPr>
      </w:pPr>
    </w:p>
    <w:p w14:paraId="38D12235">
      <w:pPr>
        <w:widowControl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项目不分标段的，第</w:t>
      </w:r>
      <w:r>
        <w:rPr>
          <w:rFonts w:ascii="宋体" w:hAnsi="宋体" w:eastAsia="宋体" w:cs="宋体"/>
          <w:color w:val="auto"/>
          <w:sz w:val="21"/>
          <w:szCs w:val="21"/>
          <w:highlight w:val="none"/>
        </w:rPr>
        <w:t>___</w:t>
      </w:r>
      <w:r>
        <w:rPr>
          <w:rFonts w:hint="eastAsia" w:ascii="宋体" w:hAnsi="宋体" w:eastAsia="宋体" w:cs="宋体"/>
          <w:color w:val="auto"/>
          <w:sz w:val="21"/>
          <w:szCs w:val="21"/>
          <w:highlight w:val="none"/>
        </w:rPr>
        <w:t>标段空白处填写“/”。</w:t>
      </w:r>
    </w:p>
    <w:p w14:paraId="3EF42EF7">
      <w:pPr>
        <w:pStyle w:val="3"/>
        <w:ind w:firstLine="639" w:firstLineChars="300"/>
        <w:rPr>
          <w:rFonts w:hint="eastAsia" w:eastAsia="宋体"/>
          <w:b/>
          <w:bCs/>
          <w:highlight w:val="none"/>
          <w:lang w:val="en-US" w:eastAsia="zh-CN"/>
        </w:rPr>
      </w:pPr>
      <w:r>
        <w:rPr>
          <w:rFonts w:hint="eastAsia" w:ascii="宋体" w:hAnsi="宋体" w:eastAsia="宋体" w:cs="宋体"/>
          <w:b/>
          <w:bCs/>
          <w:color w:val="auto"/>
          <w:sz w:val="21"/>
          <w:szCs w:val="21"/>
          <w:highlight w:val="none"/>
          <w:lang w:val="en-US" w:eastAsia="zh-CN"/>
        </w:rPr>
        <w:t>2.如为联合体的，联合体各方均需提供此证明。</w:t>
      </w:r>
    </w:p>
    <w:p w14:paraId="5A93C40A">
      <w:pPr>
        <w:pStyle w:val="2"/>
        <w:rPr>
          <w:highlight w:val="none"/>
        </w:rPr>
      </w:pPr>
    </w:p>
    <w:p w14:paraId="36BFA9B7">
      <w:pPr>
        <w:widowControl w:val="0"/>
        <w:tabs>
          <w:tab w:val="right" w:pos="9070"/>
        </w:tabs>
        <w:spacing w:line="500" w:lineRule="exact"/>
        <w:rPr>
          <w:rFonts w:ascii="仿宋" w:hAnsi="仿宋" w:eastAsia="仿宋" w:cs="仿宋"/>
          <w:bCs/>
          <w:color w:val="auto"/>
          <w:highlight w:val="none"/>
        </w:rPr>
      </w:pPr>
      <w:r>
        <w:rPr>
          <w:rFonts w:hint="eastAsia" w:ascii="仿宋" w:hAnsi="仿宋" w:eastAsia="仿宋" w:cs="仿宋"/>
          <w:bCs/>
          <w:color w:val="auto"/>
          <w:highlight w:val="none"/>
        </w:rPr>
        <w:tab/>
      </w:r>
    </w:p>
    <w:p w14:paraId="5DDCFA3D">
      <w:pPr>
        <w:widowControl w:val="0"/>
        <w:tabs>
          <w:tab w:val="right" w:pos="9070"/>
        </w:tabs>
        <w:spacing w:line="500" w:lineRule="exact"/>
        <w:rPr>
          <w:rFonts w:ascii="仿宋" w:hAnsi="仿宋" w:eastAsia="仿宋" w:cs="仿宋"/>
          <w:bCs/>
          <w:color w:val="auto"/>
          <w:highlight w:val="none"/>
        </w:rPr>
      </w:pPr>
      <w:r>
        <w:rPr>
          <w:rFonts w:hint="eastAsia" w:ascii="仿宋" w:hAnsi="仿宋" w:eastAsia="仿宋" w:cs="仿宋"/>
          <w:bCs/>
          <w:color w:val="auto"/>
          <w:highlight w:val="none"/>
        </w:rPr>
        <w:tab/>
      </w:r>
    </w:p>
    <w:p w14:paraId="3A2B9EC2">
      <w:pPr>
        <w:pStyle w:val="47"/>
        <w:widowControl w:val="0"/>
        <w:spacing w:line="500" w:lineRule="exact"/>
        <w:ind w:firstLine="646" w:firstLineChars="200"/>
        <w:rPr>
          <w:rFonts w:cs="Times New Roman"/>
          <w:color w:val="auto"/>
          <w:highlight w:val="none"/>
        </w:rPr>
      </w:pPr>
      <w:r>
        <w:rPr>
          <w:rFonts w:hint="eastAsia" w:ascii="仿宋" w:hAnsi="仿宋" w:eastAsia="仿宋" w:cs="仿宋"/>
          <w:color w:val="auto"/>
          <w:highlight w:val="none"/>
        </w:rPr>
        <w:br w:type="page"/>
      </w:r>
      <w:bookmarkStart w:id="381" w:name="_Toc24934"/>
      <w:bookmarkStart w:id="382" w:name="_Toc4405"/>
      <w:bookmarkStart w:id="383" w:name="_Toc28669"/>
      <w:bookmarkStart w:id="384" w:name="_Toc21964"/>
      <w:bookmarkStart w:id="385" w:name="_Toc29668"/>
      <w:bookmarkStart w:id="386" w:name="_Toc22384"/>
      <w:r>
        <w:rPr>
          <w:rFonts w:hint="eastAsia" w:cs="华文仿宋"/>
          <w:color w:val="auto"/>
          <w:sz w:val="30"/>
          <w:szCs w:val="30"/>
          <w:highlight w:val="none"/>
        </w:rPr>
        <w:t>八、法定代表人授权委托书</w:t>
      </w:r>
      <w:bookmarkEnd w:id="381"/>
      <w:bookmarkEnd w:id="382"/>
      <w:bookmarkEnd w:id="383"/>
      <w:bookmarkEnd w:id="384"/>
      <w:bookmarkEnd w:id="385"/>
      <w:bookmarkEnd w:id="386"/>
    </w:p>
    <w:p w14:paraId="0135FF1F">
      <w:pPr>
        <w:pStyle w:val="47"/>
        <w:widowControl w:val="0"/>
        <w:jc w:val="center"/>
        <w:rPr>
          <w:rFonts w:cs="Times New Roman"/>
          <w:color w:val="auto"/>
          <w:sz w:val="30"/>
          <w:szCs w:val="30"/>
          <w:highlight w:val="none"/>
        </w:rPr>
      </w:pPr>
      <w:bookmarkStart w:id="387" w:name="_Toc12408"/>
      <w:bookmarkStart w:id="388" w:name="_Toc13312"/>
      <w:bookmarkStart w:id="389" w:name="_Toc17482"/>
      <w:bookmarkStart w:id="390" w:name="_Toc16636"/>
      <w:bookmarkStart w:id="391" w:name="_Toc1535"/>
      <w:bookmarkStart w:id="392" w:name="_Toc7695"/>
      <w:r>
        <w:rPr>
          <w:rFonts w:hint="eastAsia" w:cs="华文仿宋"/>
          <w:color w:val="auto"/>
          <w:sz w:val="30"/>
          <w:szCs w:val="30"/>
          <w:highlight w:val="none"/>
        </w:rPr>
        <w:t>法定代表人授权委托书</w:t>
      </w:r>
      <w:bookmarkEnd w:id="387"/>
      <w:bookmarkEnd w:id="388"/>
      <w:bookmarkEnd w:id="389"/>
      <w:r>
        <w:rPr>
          <w:rFonts w:hint="eastAsia" w:cs="华文仿宋"/>
          <w:color w:val="auto"/>
          <w:sz w:val="30"/>
          <w:szCs w:val="30"/>
          <w:highlight w:val="none"/>
        </w:rPr>
        <w:t>（格式）</w:t>
      </w:r>
      <w:bookmarkEnd w:id="390"/>
      <w:bookmarkEnd w:id="391"/>
      <w:bookmarkEnd w:id="392"/>
    </w:p>
    <w:p w14:paraId="6F67E2D6">
      <w:pPr>
        <w:widowControl w:val="0"/>
        <w:snapToGrid w:val="0"/>
        <w:spacing w:after="190" w:afterLines="50" w:line="500" w:lineRule="exact"/>
        <w:rPr>
          <w:rFonts w:ascii="华文仿宋" w:hAnsi="华文仿宋" w:cs="华文仿宋"/>
          <w:color w:val="auto"/>
          <w:highlight w:val="none"/>
        </w:rPr>
      </w:pPr>
      <w:r>
        <w:rPr>
          <w:rFonts w:hint="eastAsia" w:ascii="华文仿宋" w:hAnsi="华文仿宋" w:cs="华文仿宋"/>
          <w:color w:val="auto"/>
          <w:highlight w:val="none"/>
        </w:rPr>
        <w:t>陕西省省级单位政府采购中心：</w:t>
      </w:r>
    </w:p>
    <w:p w14:paraId="1FFB8231">
      <w:pPr>
        <w:widowControl w:val="0"/>
        <w:spacing w:line="460" w:lineRule="exact"/>
        <w:ind w:right="11" w:firstLine="566" w:firstLineChars="200"/>
        <w:rPr>
          <w:rFonts w:cs="Times New Roman"/>
          <w:color w:val="auto"/>
          <w:highlight w:val="none"/>
        </w:rPr>
      </w:pPr>
      <w:r>
        <w:rPr>
          <w:rFonts w:hint="eastAsia" w:cs="华文仿宋"/>
          <w:color w:val="auto"/>
          <w:highlight w:val="none"/>
        </w:rPr>
        <w:t>现委派（</w:t>
      </w:r>
      <w:r>
        <w:rPr>
          <w:rFonts w:hint="eastAsia" w:cs="华文仿宋"/>
          <w:color w:val="auto"/>
          <w:highlight w:val="none"/>
          <w:u w:val="single"/>
        </w:rPr>
        <w:t>被授权代表姓名</w:t>
      </w:r>
      <w:r>
        <w:rPr>
          <w:rFonts w:hint="eastAsia" w:cs="华文仿宋"/>
          <w:color w:val="auto"/>
          <w:highlight w:val="none"/>
        </w:rPr>
        <w:t>）（身份证号</w:t>
      </w:r>
      <w:r>
        <w:rPr>
          <w:rFonts w:hint="eastAsia" w:cs="华文仿宋"/>
          <w:color w:val="auto"/>
          <w:highlight w:val="none"/>
          <w:u w:val="single"/>
        </w:rPr>
        <w:t xml:space="preserve">：          </w:t>
      </w:r>
      <w:r>
        <w:rPr>
          <w:rFonts w:hint="eastAsia" w:cs="华文仿宋"/>
          <w:color w:val="auto"/>
          <w:highlight w:val="none"/>
        </w:rPr>
        <w:t>）为本公司的被授权代表，参加贵中心组织的</w:t>
      </w:r>
      <w:r>
        <w:rPr>
          <w:color w:val="auto"/>
          <w:highlight w:val="none"/>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3E81F64"/>
                        </w:txbxContent>
                      </wps:txbx>
                      <wps:bodyPr vert="horz" wrap="none" lIns="0" tIns="0" rIns="0" bIns="0" anchor="t" upright="1">
                        <a:spAutoFit/>
                      </wps:bodyPr>
                    </wps:wsp>
                  </a:graphicData>
                </a:graphic>
              </wp:anchor>
            </w:drawing>
          </mc:Choice>
          <mc:Fallback>
            <w:pict>
              <v:shape id="文本框 3"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CnVN0QAAAAMB&#10;AAAPAAAAAAAAAAEAIAAAACIAAABkcnMvZG93bnJldi54bWxQSwECFAAUAAAACACHTuJAYp7TiukB&#10;AADFAwAADgAAAAAAAAABACAAAAAgAQAAZHJzL2Uyb0RvYy54bWxQSwUGAAAAAAYABgBZAQAAewUA&#10;AAAA&#10;">
                <v:fill on="f" focussize="0,0"/>
                <v:stroke on="f" weight="0.5pt"/>
                <v:imagedata o:title=""/>
                <o:lock v:ext="edit" aspectratio="f"/>
                <v:textbox inset="0mm,0mm,0mm,0mm" style="mso-fit-shape-to-text:t;">
                  <w:txbxContent>
                    <w:p w14:paraId="33E81F64"/>
                  </w:txbxContent>
                </v:textbox>
              </v:shape>
            </w:pict>
          </mc:Fallback>
        </mc:AlternateContent>
      </w:r>
      <w:r>
        <w:rPr>
          <w:rFonts w:hint="eastAsia" w:cs="华文仿宋"/>
          <w:color w:val="auto"/>
          <w:highlight w:val="none"/>
          <w:u w:val="single"/>
        </w:rPr>
        <w:t>《</w:t>
      </w:r>
      <w:r>
        <w:rPr>
          <w:rFonts w:hint="eastAsia" w:ascii="华文仿宋" w:hAnsi="华文仿宋" w:cs="华文仿宋"/>
          <w:color w:val="auto"/>
          <w:highlight w:val="none"/>
          <w:u w:val="single"/>
        </w:rPr>
        <w:t>项目名称</w:t>
      </w:r>
      <w:r>
        <w:rPr>
          <w:rFonts w:hint="eastAsia" w:cs="华文仿宋"/>
          <w:color w:val="auto"/>
          <w:highlight w:val="none"/>
          <w:u w:val="single"/>
        </w:rPr>
        <w:t>》</w:t>
      </w:r>
      <w:r>
        <w:rPr>
          <w:rFonts w:hint="eastAsia" w:ascii="华文仿宋" w:hAnsi="华文仿宋" w:cs="华文仿宋"/>
          <w:color w:val="auto"/>
          <w:highlight w:val="none"/>
        </w:rPr>
        <w:t>（项目编号：</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）第</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标段</w:t>
      </w:r>
      <w:r>
        <w:rPr>
          <w:rFonts w:hint="eastAsia" w:cs="华文仿宋"/>
          <w:color w:val="auto"/>
          <w:highlight w:val="none"/>
        </w:rPr>
        <w:t>政府采购活动，就该项目的</w:t>
      </w:r>
      <w:r>
        <w:rPr>
          <w:rFonts w:hint="eastAsia" w:cs="华文仿宋"/>
          <w:color w:val="auto"/>
          <w:highlight w:val="none"/>
          <w:lang w:eastAsia="zh-CN"/>
        </w:rPr>
        <w:t>投标</w:t>
      </w:r>
      <w:r>
        <w:rPr>
          <w:rFonts w:hint="eastAsia" w:cs="华文仿宋"/>
          <w:color w:val="auto"/>
          <w:highlight w:val="none"/>
        </w:rPr>
        <w:t>及合同的执行和完成，以本公司的名义处理一切与之有关的事宜。本授权自开标之日起生效，有效期与</w:t>
      </w:r>
      <w:r>
        <w:rPr>
          <w:rFonts w:hint="eastAsia" w:cs="华文仿宋"/>
          <w:color w:val="auto"/>
          <w:highlight w:val="none"/>
          <w:lang w:eastAsia="zh-CN"/>
        </w:rPr>
        <w:t>响应文件</w:t>
      </w:r>
      <w:r>
        <w:rPr>
          <w:rFonts w:hint="eastAsia" w:cs="华文仿宋"/>
          <w:color w:val="auto"/>
          <w:highlight w:val="none"/>
        </w:rPr>
        <w:t>有效期一致。</w:t>
      </w:r>
    </w:p>
    <w:p w14:paraId="5DEA12BE">
      <w:pPr>
        <w:widowControl w:val="0"/>
        <w:tabs>
          <w:tab w:val="left" w:pos="5245"/>
        </w:tabs>
        <w:snapToGrid w:val="0"/>
        <w:ind w:firstLine="566" w:firstLineChars="200"/>
        <w:rPr>
          <w:rFonts w:ascii="华文仿宋" w:cs="Times New Roman"/>
          <w:color w:val="auto"/>
          <w:highlight w:val="none"/>
        </w:rPr>
      </w:pPr>
      <w:r>
        <w:rPr>
          <w:rFonts w:hint="eastAsia" w:ascii="华文仿宋" w:hAnsi="华文仿宋" w:cs="华文仿宋"/>
          <w:color w:val="auto"/>
          <w:highlight w:val="none"/>
        </w:rPr>
        <w:t>被授权代表姓名：</w:t>
      </w:r>
      <w:r>
        <w:rPr>
          <w:rFonts w:ascii="华文仿宋" w:hAnsi="华文仿宋" w:cs="华文仿宋"/>
          <w:color w:val="auto"/>
          <w:highlight w:val="none"/>
        </w:rPr>
        <w:t>______</w:t>
      </w:r>
      <w:r>
        <w:rPr>
          <w:rFonts w:hint="eastAsia" w:ascii="华文仿宋" w:hAnsi="华文仿宋" w:cs="华文仿宋"/>
          <w:color w:val="auto"/>
          <w:highlight w:val="none"/>
        </w:rPr>
        <w:t xml:space="preserve">       性别：</w:t>
      </w:r>
      <w:r>
        <w:rPr>
          <w:rFonts w:ascii="华文仿宋" w:hAnsi="华文仿宋" w:cs="华文仿宋"/>
          <w:color w:val="auto"/>
          <w:highlight w:val="none"/>
        </w:rPr>
        <w:t>________________</w:t>
      </w:r>
    </w:p>
    <w:p w14:paraId="61DE6D31">
      <w:pPr>
        <w:widowControl w:val="0"/>
        <w:tabs>
          <w:tab w:val="left" w:pos="5245"/>
        </w:tabs>
        <w:snapToGrid w:val="0"/>
        <w:ind w:firstLine="566" w:firstLineChars="200"/>
        <w:rPr>
          <w:rFonts w:ascii="华文仿宋" w:cs="Times New Roman"/>
          <w:color w:val="auto"/>
          <w:highlight w:val="none"/>
        </w:rPr>
      </w:pPr>
      <w:r>
        <w:rPr>
          <w:rFonts w:hint="eastAsia" w:ascii="华文仿宋" w:hAnsi="华文仿宋" w:cs="华文仿宋"/>
          <w:color w:val="auto"/>
          <w:highlight w:val="none"/>
        </w:rPr>
        <w:t>电话：</w:t>
      </w:r>
      <w:r>
        <w:rPr>
          <w:rFonts w:ascii="华文仿宋" w:hAnsi="华文仿宋" w:cs="华文仿宋"/>
          <w:color w:val="auto"/>
          <w:highlight w:val="none"/>
        </w:rPr>
        <w:t>__________</w:t>
      </w:r>
      <w:r>
        <w:rPr>
          <w:rFonts w:hint="eastAsia" w:ascii="华文仿宋" w:hAnsi="华文仿宋" w:cs="华文仿宋"/>
          <w:color w:val="auto"/>
          <w:highlight w:val="none"/>
        </w:rPr>
        <w:t>通讯地址：</w:t>
      </w:r>
      <w:r>
        <w:rPr>
          <w:rFonts w:ascii="华文仿宋" w:hAnsi="华文仿宋" w:cs="华文仿宋"/>
          <w:color w:val="auto"/>
          <w:highlight w:val="none"/>
        </w:rPr>
        <w:t>______________</w:t>
      </w:r>
    </w:p>
    <w:tbl>
      <w:tblPr>
        <w:tblStyle w:val="25"/>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689C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4072" w:type="dxa"/>
            <w:vAlign w:val="center"/>
          </w:tcPr>
          <w:p w14:paraId="78BE8FA8">
            <w:pPr>
              <w:widowControl w:val="0"/>
              <w:snapToGrid w:val="0"/>
              <w:jc w:val="center"/>
              <w:rPr>
                <w:rFonts w:cs="Times New Roman"/>
                <w:color w:val="auto"/>
                <w:highlight w:val="none"/>
              </w:rPr>
            </w:pPr>
            <w:r>
              <w:rPr>
                <w:rFonts w:hint="eastAsia" w:cs="华文仿宋"/>
                <w:color w:val="auto"/>
                <w:highlight w:val="none"/>
              </w:rPr>
              <w:t>法定代表人身份证复印件</w:t>
            </w:r>
          </w:p>
          <w:p w14:paraId="45F80740">
            <w:pPr>
              <w:widowControl w:val="0"/>
              <w:snapToGrid w:val="0"/>
              <w:jc w:val="center"/>
              <w:rPr>
                <w:rFonts w:cs="Times New Roman"/>
                <w:color w:val="auto"/>
                <w:highlight w:val="none"/>
              </w:rPr>
            </w:pPr>
            <w:r>
              <w:rPr>
                <w:rFonts w:hint="eastAsia" w:cs="华文仿宋"/>
                <w:color w:val="auto"/>
                <w:highlight w:val="none"/>
              </w:rPr>
              <w:t>（有人像面）</w:t>
            </w:r>
          </w:p>
        </w:tc>
        <w:tc>
          <w:tcPr>
            <w:tcW w:w="4098" w:type="dxa"/>
            <w:vAlign w:val="center"/>
          </w:tcPr>
          <w:p w14:paraId="032012A0">
            <w:pPr>
              <w:widowControl w:val="0"/>
              <w:snapToGrid w:val="0"/>
              <w:jc w:val="center"/>
              <w:rPr>
                <w:rFonts w:cs="Times New Roman"/>
                <w:color w:val="auto"/>
                <w:highlight w:val="none"/>
              </w:rPr>
            </w:pPr>
            <w:r>
              <w:rPr>
                <w:rFonts w:hint="eastAsia" w:ascii="华文仿宋" w:hAnsi="华文仿宋" w:cs="华文仿宋"/>
                <w:color w:val="auto"/>
                <w:highlight w:val="none"/>
              </w:rPr>
              <w:t>被</w:t>
            </w:r>
            <w:r>
              <w:rPr>
                <w:rFonts w:hint="eastAsia" w:cs="华文仿宋"/>
                <w:color w:val="auto"/>
                <w:highlight w:val="none"/>
              </w:rPr>
              <w:t>授权代表身份证复印件</w:t>
            </w:r>
          </w:p>
          <w:p w14:paraId="709F6EF3">
            <w:pPr>
              <w:widowControl w:val="0"/>
              <w:snapToGrid w:val="0"/>
              <w:jc w:val="center"/>
              <w:rPr>
                <w:rFonts w:cs="Times New Roman"/>
                <w:color w:val="auto"/>
                <w:highlight w:val="none"/>
              </w:rPr>
            </w:pPr>
            <w:r>
              <w:rPr>
                <w:rFonts w:hint="eastAsia" w:cs="华文仿宋"/>
                <w:color w:val="auto"/>
                <w:highlight w:val="none"/>
              </w:rPr>
              <w:t>（有人像面）</w:t>
            </w:r>
          </w:p>
        </w:tc>
      </w:tr>
      <w:tr w14:paraId="0252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4072" w:type="dxa"/>
            <w:vAlign w:val="center"/>
          </w:tcPr>
          <w:p w14:paraId="6E2217B2">
            <w:pPr>
              <w:widowControl w:val="0"/>
              <w:jc w:val="center"/>
              <w:rPr>
                <w:rFonts w:cs="Times New Roman"/>
                <w:color w:val="auto"/>
                <w:highlight w:val="none"/>
              </w:rPr>
            </w:pPr>
            <w:r>
              <w:rPr>
                <w:rFonts w:hint="eastAsia" w:cs="华文仿宋"/>
                <w:color w:val="auto"/>
                <w:highlight w:val="none"/>
              </w:rPr>
              <w:t>法定代表人身份证复印件</w:t>
            </w:r>
          </w:p>
          <w:p w14:paraId="24FFA0F4">
            <w:pPr>
              <w:widowControl w:val="0"/>
              <w:jc w:val="center"/>
              <w:rPr>
                <w:rFonts w:cs="Times New Roman"/>
                <w:color w:val="auto"/>
                <w:highlight w:val="none"/>
              </w:rPr>
            </w:pPr>
            <w:r>
              <w:rPr>
                <w:rFonts w:hint="eastAsia" w:cs="华文仿宋"/>
                <w:color w:val="auto"/>
                <w:highlight w:val="none"/>
              </w:rPr>
              <w:t>（有国徽面）</w:t>
            </w:r>
          </w:p>
        </w:tc>
        <w:tc>
          <w:tcPr>
            <w:tcW w:w="4098" w:type="dxa"/>
            <w:vAlign w:val="center"/>
          </w:tcPr>
          <w:p w14:paraId="3486E027">
            <w:pPr>
              <w:widowControl w:val="0"/>
              <w:jc w:val="center"/>
              <w:rPr>
                <w:rFonts w:cs="Times New Roman"/>
                <w:color w:val="auto"/>
                <w:highlight w:val="none"/>
              </w:rPr>
            </w:pPr>
            <w:r>
              <w:rPr>
                <w:rFonts w:hint="eastAsia" w:ascii="华文仿宋" w:hAnsi="华文仿宋" w:cs="华文仿宋"/>
                <w:color w:val="auto"/>
                <w:highlight w:val="none"/>
              </w:rPr>
              <w:t>被</w:t>
            </w:r>
            <w:r>
              <w:rPr>
                <w:rFonts w:hint="eastAsia" w:cs="华文仿宋"/>
                <w:color w:val="auto"/>
                <w:highlight w:val="none"/>
              </w:rPr>
              <w:t>授权代表身份证复印件</w:t>
            </w:r>
          </w:p>
          <w:p w14:paraId="433C1332">
            <w:pPr>
              <w:widowControl w:val="0"/>
              <w:jc w:val="center"/>
              <w:rPr>
                <w:rFonts w:cs="Times New Roman"/>
                <w:color w:val="auto"/>
                <w:highlight w:val="none"/>
              </w:rPr>
            </w:pPr>
            <w:r>
              <w:rPr>
                <w:rFonts w:hint="eastAsia" w:cs="华文仿宋"/>
                <w:color w:val="auto"/>
                <w:highlight w:val="none"/>
              </w:rPr>
              <w:t>（有国徽面）</w:t>
            </w:r>
          </w:p>
        </w:tc>
      </w:tr>
    </w:tbl>
    <w:p w14:paraId="6275CE18">
      <w:pPr>
        <w:widowControl w:val="0"/>
        <w:tabs>
          <w:tab w:val="right" w:pos="8931"/>
        </w:tabs>
        <w:ind w:firstLine="566" w:firstLineChars="200"/>
        <w:rPr>
          <w:rFonts w:cs="Times New Roman"/>
          <w:color w:val="auto"/>
          <w:highlight w:val="none"/>
        </w:rPr>
      </w:pPr>
      <w:r>
        <w:rPr>
          <w:rFonts w:hint="eastAsia" w:cs="华文仿宋"/>
          <w:color w:val="auto"/>
          <w:highlight w:val="none"/>
          <w:lang w:eastAsia="zh-CN"/>
        </w:rPr>
        <w:t>供应商</w:t>
      </w:r>
      <w:r>
        <w:rPr>
          <w:rFonts w:hint="eastAsia" w:cs="华文仿宋"/>
          <w:color w:val="auto"/>
          <w:highlight w:val="none"/>
        </w:rPr>
        <w:t>：</w:t>
      </w:r>
      <w:r>
        <w:rPr>
          <w:rFonts w:hint="eastAsia" w:cs="华文仿宋"/>
          <w:color w:val="auto"/>
          <w:highlight w:val="none"/>
          <w:u w:val="single"/>
        </w:rPr>
        <w:t>名称</w:t>
      </w:r>
      <w:r>
        <w:rPr>
          <w:rFonts w:hint="eastAsia" w:cs="华文仿宋"/>
          <w:color w:val="auto"/>
          <w:highlight w:val="none"/>
        </w:rPr>
        <w:t>（加盖公章）       法定代表人：（</w:t>
      </w:r>
      <w:r>
        <w:rPr>
          <w:rFonts w:hint="eastAsia" w:ascii="仿宋" w:hAnsi="仿宋" w:eastAsia="仿宋" w:cs="仿宋"/>
          <w:color w:val="auto"/>
          <w:highlight w:val="none"/>
        </w:rPr>
        <w:t>签字或</w:t>
      </w:r>
      <w:r>
        <w:rPr>
          <w:rFonts w:hint="eastAsia" w:cs="华文仿宋"/>
          <w:color w:val="auto"/>
          <w:highlight w:val="none"/>
        </w:rPr>
        <w:t>盖章）</w:t>
      </w:r>
    </w:p>
    <w:p w14:paraId="6E7A4D5C">
      <w:pPr>
        <w:widowControl w:val="0"/>
        <w:spacing w:line="440" w:lineRule="exact"/>
        <w:ind w:firstLine="5789" w:firstLineChars="2046"/>
        <w:rPr>
          <w:rFonts w:cs="Times New Roman"/>
          <w:color w:val="auto"/>
          <w:highlight w:val="none"/>
        </w:rPr>
      </w:pPr>
      <w:r>
        <w:rPr>
          <w:rFonts w:hint="eastAsia" w:cs="华文仿宋"/>
          <w:color w:val="auto"/>
          <w:highlight w:val="none"/>
        </w:rPr>
        <w:t>日期：　年　月　日</w:t>
      </w:r>
    </w:p>
    <w:p w14:paraId="3AEEA8A1">
      <w:pPr>
        <w:widowControl w:val="0"/>
        <w:spacing w:line="340" w:lineRule="exact"/>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备注：</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、项目不分标段的，第</w:t>
      </w:r>
      <w:r>
        <w:rPr>
          <w:rFonts w:ascii="宋体" w:hAnsi="宋体" w:eastAsia="宋体" w:cs="宋体"/>
          <w:color w:val="auto"/>
          <w:sz w:val="21"/>
          <w:szCs w:val="21"/>
          <w:highlight w:val="none"/>
        </w:rPr>
        <w:t>___</w:t>
      </w:r>
      <w:r>
        <w:rPr>
          <w:rFonts w:hint="eastAsia" w:ascii="宋体" w:hAnsi="宋体" w:eastAsia="宋体" w:cs="宋体"/>
          <w:color w:val="auto"/>
          <w:sz w:val="21"/>
          <w:szCs w:val="21"/>
          <w:highlight w:val="none"/>
        </w:rPr>
        <w:t>标段空白处填写“</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w:t>
      </w:r>
    </w:p>
    <w:p w14:paraId="04152DDB">
      <w:pPr>
        <w:pStyle w:val="2"/>
        <w:widowControl w:val="0"/>
        <w:spacing w:line="340" w:lineRule="exact"/>
        <w:ind w:firstLine="639" w:firstLineChars="300"/>
        <w:rPr>
          <w:rFonts w:ascii="宋体" w:hAnsi="宋体" w:eastAsia="宋体"/>
          <w:color w:val="auto"/>
          <w:sz w:val="21"/>
          <w:szCs w:val="21"/>
          <w:highlight w:val="none"/>
        </w:rPr>
      </w:pPr>
      <w:r>
        <w:rPr>
          <w:rFonts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、法定代表人亲自参加</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的，无需提供该委托授权书，但须提供法定代表人本人身份证（正反面）复印件，并在复印件中注明联系方式。</w:t>
      </w:r>
    </w:p>
    <w:p w14:paraId="6EB2E14F">
      <w:pPr>
        <w:pStyle w:val="2"/>
        <w:widowControl w:val="0"/>
        <w:spacing w:line="340" w:lineRule="exact"/>
        <w:ind w:firstLine="639" w:firstLineChars="3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、法定代表人签字或盖章可采用纸质签字或盖章后，上传至电子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，也可使用法定代表人</w:t>
      </w:r>
      <w:r>
        <w:rPr>
          <w:rFonts w:ascii="宋体" w:hAnsi="宋体" w:eastAsia="宋体" w:cs="宋体"/>
          <w:color w:val="auto"/>
          <w:sz w:val="21"/>
          <w:szCs w:val="21"/>
          <w:highlight w:val="none"/>
        </w:rPr>
        <w:t>CA</w:t>
      </w:r>
      <w:r>
        <w:rPr>
          <w:rFonts w:hint="eastAsia" w:ascii="宋体" w:hAnsi="宋体" w:eastAsia="宋体" w:cs="宋体"/>
          <w:color w:val="auto"/>
          <w:sz w:val="21"/>
          <w:szCs w:val="21"/>
          <w:highlight w:val="none"/>
        </w:rPr>
        <w:t>锁在电子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制作软件中签章。</w:t>
      </w:r>
    </w:p>
    <w:p w14:paraId="0B5F88F7">
      <w:pPr>
        <w:pStyle w:val="2"/>
        <w:widowControl w:val="0"/>
        <w:spacing w:line="340" w:lineRule="exact"/>
        <w:ind w:firstLine="639"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4、法人的分支机构参与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时，除提供《法定代表人授权委托书》外，还须同时提供法人给分支机构出具的授权书。授权书附此处。</w:t>
      </w:r>
    </w:p>
    <w:p w14:paraId="62B37978">
      <w:pPr>
        <w:ind w:firstLine="639" w:firstLineChars="300"/>
        <w:rPr>
          <w:b/>
          <w:bCs/>
          <w:highlight w:val="none"/>
        </w:rPr>
      </w:pPr>
      <w:r>
        <w:rPr>
          <w:rFonts w:hint="eastAsia" w:ascii="宋体" w:hAnsi="宋体" w:eastAsia="宋体" w:cs="宋体"/>
          <w:b/>
          <w:bCs/>
          <w:color w:val="auto"/>
          <w:kern w:val="2"/>
          <w:sz w:val="21"/>
          <w:szCs w:val="21"/>
          <w:highlight w:val="none"/>
          <w:lang w:val="en-US" w:eastAsia="zh-CN" w:bidi="ar-SA"/>
        </w:rPr>
        <w:t>5.本授权书由供应商或联合体牵头人出具</w:t>
      </w:r>
      <w:r>
        <w:rPr>
          <w:rFonts w:hint="eastAsia"/>
          <w:b/>
          <w:bCs/>
          <w:highlight w:val="none"/>
        </w:rPr>
        <w:t>。</w:t>
      </w:r>
    </w:p>
    <w:p w14:paraId="30AEAAF3">
      <w:pPr>
        <w:pStyle w:val="4"/>
        <w:rPr>
          <w:highlight w:val="none"/>
        </w:rPr>
      </w:pPr>
    </w:p>
    <w:bookmarkEnd w:id="355"/>
    <w:bookmarkEnd w:id="356"/>
    <w:bookmarkEnd w:id="363"/>
    <w:bookmarkEnd w:id="364"/>
    <w:bookmarkEnd w:id="365"/>
    <w:p w14:paraId="6247281C">
      <w:pPr>
        <w:widowControl w:val="0"/>
        <w:spacing w:line="340" w:lineRule="exact"/>
        <w:rPr>
          <w:rFonts w:cs="华文仿宋"/>
          <w:color w:val="auto"/>
          <w:highlight w:val="none"/>
        </w:rPr>
      </w:pPr>
      <w:bookmarkStart w:id="393" w:name="_Toc2556"/>
      <w:bookmarkStart w:id="394" w:name="_Toc7264"/>
      <w:bookmarkStart w:id="395" w:name="_Toc5624"/>
      <w:bookmarkStart w:id="396" w:name="_Toc14776"/>
      <w:r>
        <w:rPr>
          <w:rFonts w:hint="eastAsia" w:cs="华文仿宋"/>
          <w:color w:val="auto"/>
          <w:highlight w:val="none"/>
        </w:rPr>
        <w:br w:type="page"/>
      </w:r>
    </w:p>
    <w:p w14:paraId="0889DEB7">
      <w:pPr>
        <w:pStyle w:val="2"/>
        <w:widowControl w:val="0"/>
        <w:numPr>
          <w:ilvl w:val="255"/>
          <w:numId w:val="0"/>
        </w:numPr>
        <w:ind w:firstLine="606" w:firstLineChars="200"/>
        <w:rPr>
          <w:rFonts w:hint="eastAsia" w:cs="华文仿宋"/>
          <w:b/>
          <w:bCs/>
          <w:color w:val="auto"/>
          <w:sz w:val="30"/>
          <w:szCs w:val="30"/>
          <w:highlight w:val="none"/>
        </w:rPr>
        <w:sectPr>
          <w:headerReference r:id="rId9" w:type="default"/>
          <w:footerReference r:id="rId10" w:type="default"/>
          <w:pgSz w:w="11906" w:h="16838"/>
          <w:pgMar w:top="1417" w:right="1417" w:bottom="1417" w:left="1417" w:header="850" w:footer="794" w:gutter="0"/>
          <w:pgNumType w:chapStyle="1"/>
          <w:cols w:space="720" w:num="1"/>
          <w:docGrid w:type="linesAndChars" w:linePitch="381" w:charSpace="704"/>
        </w:sectPr>
      </w:pPr>
      <w:bookmarkStart w:id="397" w:name="_Toc9402"/>
      <w:bookmarkStart w:id="398" w:name="_Toc3866"/>
      <w:bookmarkStart w:id="399" w:name="_Toc1763"/>
    </w:p>
    <w:p w14:paraId="2392571C">
      <w:pPr>
        <w:pStyle w:val="2"/>
        <w:widowControl w:val="0"/>
        <w:numPr>
          <w:ilvl w:val="255"/>
          <w:numId w:val="0"/>
        </w:numPr>
        <w:ind w:firstLine="606" w:firstLineChars="200"/>
        <w:rPr>
          <w:rFonts w:cs="华文仿宋"/>
          <w:b/>
          <w:bCs/>
          <w:color w:val="auto"/>
          <w:sz w:val="30"/>
          <w:szCs w:val="30"/>
          <w:highlight w:val="none"/>
        </w:rPr>
      </w:pPr>
      <w:r>
        <w:rPr>
          <w:rFonts w:hint="eastAsia" w:ascii="Calibri Light" w:hAnsi="Calibri Light" w:eastAsia="华文仿宋" w:cs="华文仿宋"/>
          <w:b/>
          <w:bCs/>
          <w:color w:val="auto"/>
          <w:kern w:val="2"/>
          <w:sz w:val="30"/>
          <w:szCs w:val="30"/>
          <w:highlight w:val="none"/>
          <w:u w:val="none"/>
          <w:lang w:val="en-US" w:eastAsia="zh-CN" w:bidi="ar-SA"/>
        </w:rPr>
        <w:t>九、</w:t>
      </w:r>
      <w:r>
        <w:rPr>
          <w:rFonts w:hint="eastAsia" w:cs="华文仿宋"/>
          <w:b/>
          <w:bCs/>
          <w:color w:val="auto"/>
          <w:sz w:val="30"/>
          <w:szCs w:val="30"/>
          <w:highlight w:val="none"/>
        </w:rPr>
        <w:t>本项目接受联合体</w:t>
      </w:r>
      <w:r>
        <w:rPr>
          <w:rFonts w:hint="eastAsia" w:cs="华文仿宋"/>
          <w:b/>
          <w:bCs/>
          <w:color w:val="auto"/>
          <w:sz w:val="30"/>
          <w:szCs w:val="30"/>
          <w:highlight w:val="none"/>
          <w:lang w:eastAsia="zh-CN"/>
        </w:rPr>
        <w:t>投标</w:t>
      </w:r>
      <w:r>
        <w:rPr>
          <w:rFonts w:hint="eastAsia" w:cs="华文仿宋"/>
          <w:b/>
          <w:bCs/>
          <w:color w:val="auto"/>
          <w:sz w:val="30"/>
          <w:szCs w:val="30"/>
          <w:highlight w:val="none"/>
        </w:rPr>
        <w:t>，不允许分包</w:t>
      </w:r>
      <w:bookmarkEnd w:id="393"/>
      <w:bookmarkEnd w:id="394"/>
      <w:bookmarkEnd w:id="395"/>
      <w:bookmarkEnd w:id="397"/>
      <w:bookmarkEnd w:id="398"/>
      <w:bookmarkEnd w:id="399"/>
    </w:p>
    <w:p w14:paraId="40316603">
      <w:pPr>
        <w:widowControl w:val="0"/>
        <w:rPr>
          <w:rFonts w:ascii="华文仿宋" w:cs="Times New Roman"/>
          <w:color w:val="auto"/>
          <w:highlight w:val="none"/>
        </w:rPr>
      </w:pPr>
    </w:p>
    <w:p w14:paraId="33AC2B06">
      <w:pPr>
        <w:pStyle w:val="8"/>
        <w:widowControl w:val="0"/>
        <w:jc w:val="center"/>
        <w:rPr>
          <w:rFonts w:ascii="华文仿宋" w:hAnsi="华文仿宋" w:cs="华文仿宋"/>
          <w:b/>
          <w:bCs/>
          <w:color w:val="auto"/>
          <w:highlight w:val="none"/>
        </w:rPr>
      </w:pPr>
      <w:r>
        <w:rPr>
          <w:rFonts w:hint="eastAsia" w:ascii="华文仿宋" w:hAnsi="华文仿宋" w:cs="华文仿宋"/>
          <w:b/>
          <w:bCs/>
          <w:color w:val="auto"/>
          <w:highlight w:val="none"/>
        </w:rPr>
        <w:t>不分包</w:t>
      </w:r>
      <w:r>
        <w:rPr>
          <w:rFonts w:hint="eastAsia" w:ascii="华文仿宋" w:hAnsi="华文仿宋" w:cs="华文仿宋"/>
          <w:b/>
          <w:bCs/>
          <w:color w:val="auto"/>
          <w:highlight w:val="none"/>
          <w:lang w:eastAsia="zh-CN"/>
        </w:rPr>
        <w:t>投标</w:t>
      </w:r>
      <w:r>
        <w:rPr>
          <w:rFonts w:hint="eastAsia" w:ascii="华文仿宋" w:hAnsi="华文仿宋" w:cs="华文仿宋"/>
          <w:b/>
          <w:bCs/>
          <w:color w:val="auto"/>
          <w:highlight w:val="none"/>
        </w:rPr>
        <w:t>声明（格式）</w:t>
      </w:r>
    </w:p>
    <w:p w14:paraId="2E371164">
      <w:pPr>
        <w:widowControl w:val="0"/>
        <w:spacing w:line="500" w:lineRule="exact"/>
        <w:ind w:firstLine="566" w:firstLineChars="200"/>
        <w:rPr>
          <w:rFonts w:ascii="华文仿宋" w:hAnsi="华文仿宋" w:cs="华文仿宋"/>
          <w:color w:val="auto"/>
          <w:highlight w:val="none"/>
        </w:rPr>
      </w:pPr>
    </w:p>
    <w:p w14:paraId="4343DF6A">
      <w:pPr>
        <w:widowControl w:val="0"/>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本单位郑重声明，参加陕西省省级单位政府采购中心的</w:t>
      </w:r>
      <w:r>
        <w:rPr>
          <w:rFonts w:hint="eastAsia" w:ascii="华文仿宋" w:hAnsi="华文仿宋" w:cs="华文仿宋"/>
          <w:color w:val="auto"/>
          <w:highlight w:val="none"/>
          <w:u w:val="single"/>
        </w:rPr>
        <w:t>项目名称</w:t>
      </w:r>
      <w:r>
        <w:rPr>
          <w:rFonts w:hint="eastAsia" w:ascii="华文仿宋" w:hAnsi="华文仿宋" w:cs="华文仿宋"/>
          <w:color w:val="auto"/>
          <w:highlight w:val="none"/>
        </w:rPr>
        <w:t>（项目编号：</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）第</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标段采购活动，本项目实施过程由本单位独立承担。</w:t>
      </w:r>
    </w:p>
    <w:p w14:paraId="04BB03F5">
      <w:pPr>
        <w:widowControl w:val="0"/>
        <w:spacing w:line="500" w:lineRule="exact"/>
        <w:ind w:firstLine="566" w:firstLineChars="200"/>
        <w:jc w:val="left"/>
        <w:rPr>
          <w:rFonts w:ascii="华文仿宋" w:hAnsi="华文仿宋" w:cs="华文仿宋"/>
          <w:color w:val="auto"/>
          <w:highlight w:val="none"/>
        </w:rPr>
      </w:pPr>
      <w:r>
        <w:rPr>
          <w:rFonts w:hint="eastAsia" w:ascii="华文仿宋" w:hAnsi="华文仿宋" w:cs="华文仿宋"/>
          <w:color w:val="auto"/>
          <w:highlight w:val="none"/>
        </w:rPr>
        <w:t>本单位对上述声明的真实性负责。如有虚假，将依法承担相应责任。</w:t>
      </w:r>
    </w:p>
    <w:p w14:paraId="756DE74E">
      <w:pPr>
        <w:widowControl w:val="0"/>
        <w:spacing w:line="500" w:lineRule="exact"/>
        <w:ind w:firstLine="566" w:firstLineChars="200"/>
        <w:jc w:val="left"/>
        <w:rPr>
          <w:rFonts w:ascii="华文仿宋" w:hAnsi="华文仿宋" w:cs="华文仿宋"/>
          <w:color w:val="auto"/>
          <w:highlight w:val="none"/>
        </w:rPr>
      </w:pPr>
    </w:p>
    <w:p w14:paraId="57F4523E">
      <w:pPr>
        <w:pStyle w:val="8"/>
        <w:widowControl w:val="0"/>
        <w:rPr>
          <w:rFonts w:ascii="华文仿宋" w:hAnsi="华文仿宋" w:cs="华文仿宋"/>
          <w:color w:val="auto"/>
          <w:highlight w:val="none"/>
        </w:rPr>
      </w:pPr>
    </w:p>
    <w:p w14:paraId="1C253991">
      <w:pPr>
        <w:widowControl w:val="0"/>
        <w:spacing w:line="500" w:lineRule="exact"/>
        <w:ind w:firstLine="5094" w:firstLineChars="1800"/>
        <w:rPr>
          <w:rFonts w:ascii="华文仿宋" w:hAnsi="华文仿宋" w:cs="华文仿宋"/>
          <w:color w:val="auto"/>
          <w:highlight w:val="none"/>
        </w:rPr>
      </w:pPr>
      <w:r>
        <w:rPr>
          <w:rFonts w:hint="eastAsia" w:cs="华文仿宋"/>
          <w:color w:val="auto"/>
          <w:highlight w:val="none"/>
          <w:lang w:eastAsia="zh-CN"/>
        </w:rPr>
        <w:t>供应商</w:t>
      </w:r>
      <w:r>
        <w:rPr>
          <w:rFonts w:hint="eastAsia" w:ascii="华文仿宋" w:hAnsi="华文仿宋" w:cs="华文仿宋"/>
          <w:color w:val="auto"/>
          <w:highlight w:val="none"/>
        </w:rPr>
        <w:t>：</w:t>
      </w:r>
      <w:r>
        <w:rPr>
          <w:rFonts w:hint="eastAsia" w:ascii="华文仿宋" w:hAnsi="华文仿宋" w:cs="华文仿宋"/>
          <w:color w:val="auto"/>
          <w:highlight w:val="none"/>
          <w:u w:val="single"/>
        </w:rPr>
        <w:t>名称</w:t>
      </w:r>
      <w:r>
        <w:rPr>
          <w:rFonts w:hint="eastAsia" w:ascii="华文仿宋" w:hAnsi="华文仿宋" w:cs="华文仿宋"/>
          <w:color w:val="auto"/>
          <w:highlight w:val="none"/>
        </w:rPr>
        <w:t>（加盖公章）</w:t>
      </w:r>
    </w:p>
    <w:p w14:paraId="4AABC07D">
      <w:pPr>
        <w:widowControl w:val="0"/>
        <w:tabs>
          <w:tab w:val="left" w:pos="5670"/>
        </w:tabs>
        <w:spacing w:line="500" w:lineRule="exact"/>
        <w:ind w:firstLine="5377" w:firstLineChars="1900"/>
        <w:jc w:val="left"/>
        <w:rPr>
          <w:rFonts w:ascii="华文仿宋" w:hAnsi="华文仿宋" w:cs="华文仿宋"/>
          <w:color w:val="auto"/>
          <w:highlight w:val="none"/>
        </w:rPr>
      </w:pPr>
      <w:r>
        <w:rPr>
          <w:rFonts w:hint="eastAsia" w:ascii="华文仿宋" w:hAnsi="华文仿宋" w:cs="华文仿宋"/>
          <w:color w:val="auto"/>
          <w:highlight w:val="none"/>
        </w:rPr>
        <w:t>日期：　　年　月　日</w:t>
      </w:r>
    </w:p>
    <w:p w14:paraId="5D08C87F">
      <w:pPr>
        <w:pStyle w:val="2"/>
        <w:widowControl w:val="0"/>
        <w:ind w:firstLine="183"/>
        <w:rPr>
          <w:rFonts w:ascii="华文仿宋"/>
          <w:color w:val="auto"/>
          <w:highlight w:val="none"/>
        </w:rPr>
      </w:pPr>
    </w:p>
    <w:p w14:paraId="601614A3">
      <w:pPr>
        <w:widowControl w:val="0"/>
        <w:rPr>
          <w:rFonts w:ascii="华文仿宋" w:cs="Times New Roman"/>
          <w:color w:val="auto"/>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项目不分标段的，第___标段空白处填写“/”。</w:t>
      </w:r>
    </w:p>
    <w:p w14:paraId="6B3E428E">
      <w:pPr>
        <w:tabs>
          <w:tab w:val="left" w:pos="5670"/>
        </w:tabs>
        <w:spacing w:line="240" w:lineRule="auto"/>
        <w:ind w:firstLine="639" w:firstLineChars="30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如为联合体的，联合体各方均需提供此证明。</w:t>
      </w:r>
    </w:p>
    <w:p w14:paraId="0EFE508B">
      <w:pPr>
        <w:pStyle w:val="2"/>
        <w:widowControl w:val="0"/>
        <w:ind w:firstLine="183"/>
        <w:rPr>
          <w:rFonts w:ascii="华文仿宋"/>
          <w:color w:val="auto"/>
          <w:highlight w:val="none"/>
        </w:rPr>
      </w:pPr>
    </w:p>
    <w:p w14:paraId="509B23A9">
      <w:pPr>
        <w:pStyle w:val="2"/>
        <w:widowControl w:val="0"/>
        <w:ind w:firstLine="183"/>
        <w:rPr>
          <w:rFonts w:ascii="华文仿宋"/>
          <w:color w:val="auto"/>
          <w:highlight w:val="none"/>
        </w:rPr>
      </w:pPr>
    </w:p>
    <w:p w14:paraId="1F20E29D">
      <w:pPr>
        <w:rPr>
          <w:rFonts w:hint="eastAsia" w:ascii="华文仿宋" w:hAnsi="华文仿宋" w:cs="华文仿宋"/>
          <w:b/>
          <w:bCs/>
          <w:color w:val="auto"/>
          <w:highlight w:val="none"/>
          <w:lang w:val="en-US" w:eastAsia="zh-CN"/>
        </w:rPr>
      </w:pPr>
      <w:r>
        <w:rPr>
          <w:rFonts w:hint="eastAsia" w:ascii="华文仿宋" w:hAnsi="华文仿宋" w:cs="华文仿宋"/>
          <w:b/>
          <w:bCs/>
          <w:color w:val="auto"/>
          <w:highlight w:val="none"/>
          <w:lang w:val="en-US" w:eastAsia="zh-CN"/>
        </w:rPr>
        <w:br w:type="page"/>
      </w:r>
    </w:p>
    <w:p w14:paraId="7312A778">
      <w:pPr>
        <w:pStyle w:val="8"/>
        <w:jc w:val="center"/>
        <w:rPr>
          <w:rFonts w:ascii="华文仿宋" w:hAnsi="华文仿宋" w:cs="华文仿宋"/>
          <w:b/>
          <w:bCs/>
          <w:color w:val="auto"/>
          <w:highlight w:val="none"/>
        </w:rPr>
      </w:pPr>
      <w:r>
        <w:rPr>
          <w:rFonts w:hint="eastAsia" w:ascii="华文仿宋" w:hAnsi="华文仿宋" w:cs="华文仿宋"/>
          <w:b/>
          <w:bCs/>
          <w:color w:val="auto"/>
          <w:highlight w:val="none"/>
          <w:lang w:val="en-US" w:eastAsia="zh-CN"/>
        </w:rPr>
        <w:t>联合体协议书</w:t>
      </w:r>
      <w:r>
        <w:rPr>
          <w:rFonts w:hint="eastAsia" w:ascii="华文仿宋" w:hAnsi="华文仿宋" w:cs="华文仿宋"/>
          <w:b/>
          <w:bCs/>
          <w:color w:val="auto"/>
          <w:highlight w:val="none"/>
        </w:rPr>
        <w:t>（</w:t>
      </w:r>
      <w:r>
        <w:rPr>
          <w:rFonts w:hint="eastAsia" w:ascii="华文仿宋" w:hAnsi="华文仿宋" w:cs="华文仿宋"/>
          <w:b/>
          <w:bCs/>
          <w:color w:val="auto"/>
          <w:highlight w:val="none"/>
          <w:lang w:val="en-US" w:eastAsia="zh-CN"/>
        </w:rPr>
        <w:t>联合体须提供</w:t>
      </w:r>
      <w:r>
        <w:rPr>
          <w:rFonts w:hint="eastAsia" w:ascii="华文仿宋" w:hAnsi="华文仿宋" w:cs="华文仿宋"/>
          <w:b/>
          <w:bCs/>
          <w:color w:val="auto"/>
          <w:highlight w:val="none"/>
        </w:rPr>
        <w:t>）</w:t>
      </w:r>
    </w:p>
    <w:p w14:paraId="3EA51975">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（所有成员单位名称）自愿组成联合体，共同参加</w:t>
      </w:r>
      <w:r>
        <w:rPr>
          <w:color w:val="auto"/>
          <w:highlight w:val="non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7950" cy="161925"/>
                <wp:effectExtent l="0" t="0" r="0" b="0"/>
                <wp:wrapNone/>
                <wp:docPr id="3" name="文本框 2"/>
                <wp:cNvGraphicFramePr/>
                <a:graphic xmlns:a="http://schemas.openxmlformats.org/drawingml/2006/main">
                  <a:graphicData uri="http://schemas.microsoft.com/office/word/2010/wordprocessingShape">
                    <wps:wsp>
                      <wps:cNvSpPr/>
                      <wps:spPr>
                        <a:xfrm>
                          <a:off x="0" y="0"/>
                          <a:ext cx="107950" cy="161925"/>
                        </a:xfrm>
                        <a:prstGeom prst="rect">
                          <a:avLst/>
                        </a:prstGeom>
                        <a:noFill/>
                        <a:ln>
                          <a:noFill/>
                        </a:ln>
                        <a:effectLst/>
                      </wps:spPr>
                      <wps:txbx>
                        <w:txbxContent>
                          <w:p w14:paraId="501CC061">
                            <w:pPr>
                              <w:pStyle w:val="19"/>
                            </w:pP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2.75pt;width:8.5pt;mso-position-horizontal:center;mso-position-horizontal-relative:margin;mso-wrap-style:none;z-index:251661312;mso-width-relative:page;mso-height-relative:page;" filled="f" stroked="f" coordsize="21600,21600" o:gfxdata="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acb60QAAAAMBAAAPAAAAAAAAAAEA&#10;IAAAACIAAABkcnMvZG93bnJldi54bWxQSwECFAAUAAAACACHTuJAy/v5Rt0BAACyAwAADgAAAAAA&#10;AAABACAAAAAgAQAAZHJzL2Uyb0RvYy54bWxQSwUGAAAAAAYABgBZAQAAbwUAAAAA&#10;">
                <v:fill on="f" focussize="0,0"/>
                <v:stroke on="f"/>
                <v:imagedata o:title=""/>
                <o:lock v:ext="edit" aspectratio="f"/>
                <v:textbox inset="0mm,0mm,0mm,0mm" style="mso-fit-shape-to-text:t;">
                  <w:txbxContent>
                    <w:p w14:paraId="501CC061">
                      <w:pPr>
                        <w:pStyle w:val="19"/>
                      </w:pPr>
                    </w:p>
                  </w:txbxContent>
                </v:textbox>
              </v:rect>
            </w:pict>
          </mc:Fallback>
        </mc:AlternateContent>
      </w:r>
      <w:r>
        <w:rPr>
          <w:rFonts w:hint="eastAsia" w:cs="华文仿宋"/>
          <w:color w:val="auto"/>
          <w:highlight w:val="none"/>
        </w:rPr>
        <w:t>《</w:t>
      </w:r>
      <w:r>
        <w:rPr>
          <w:rFonts w:hint="eastAsia" w:ascii="华文仿宋" w:hAnsi="华文仿宋" w:cs="华文仿宋"/>
          <w:color w:val="auto"/>
          <w:highlight w:val="none"/>
          <w:u w:val="single"/>
        </w:rPr>
        <w:t>项目名称</w:t>
      </w:r>
      <w:r>
        <w:rPr>
          <w:rFonts w:hint="eastAsia" w:cs="华文仿宋"/>
          <w:color w:val="auto"/>
          <w:highlight w:val="none"/>
        </w:rPr>
        <w:t>》</w:t>
      </w:r>
      <w:r>
        <w:rPr>
          <w:rFonts w:hint="eastAsia" w:ascii="华文仿宋" w:hAnsi="华文仿宋" w:cs="华文仿宋"/>
          <w:color w:val="auto"/>
          <w:highlight w:val="none"/>
        </w:rPr>
        <w:t>（项目编号：</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w:t>
      </w:r>
      <w:r>
        <w:rPr>
          <w:rFonts w:hint="eastAsia" w:ascii="华文仿宋" w:hAnsi="华文仿宋" w:cs="华文仿宋"/>
          <w:color w:val="auto"/>
          <w:highlight w:val="none"/>
          <w:lang w:val="en-US" w:eastAsia="zh-CN"/>
        </w:rPr>
        <w:t>的</w:t>
      </w:r>
      <w:r>
        <w:rPr>
          <w:rFonts w:hint="eastAsia" w:ascii="仿宋" w:hAnsi="仿宋" w:cs="华文仿宋"/>
          <w:b w:val="0"/>
          <w:bCs w:val="0"/>
          <w:color w:val="auto"/>
          <w:highlight w:val="none"/>
          <w:lang w:val="en-US" w:eastAsia="zh-CN"/>
        </w:rPr>
        <w:t>政府采购投标活动</w:t>
      </w:r>
      <w:r>
        <w:rPr>
          <w:rFonts w:hint="eastAsia" w:ascii="仿宋" w:hAnsi="仿宋" w:cs="华文仿宋"/>
          <w:b w:val="0"/>
          <w:bCs w:val="0"/>
          <w:color w:val="auto"/>
          <w:highlight w:val="none"/>
        </w:rPr>
        <w:t>。现就联合体</w:t>
      </w:r>
      <w:r>
        <w:rPr>
          <w:rFonts w:hint="eastAsia" w:ascii="仿宋" w:hAnsi="仿宋" w:cs="华文仿宋"/>
          <w:b w:val="0"/>
          <w:bCs w:val="0"/>
          <w:color w:val="auto"/>
          <w:highlight w:val="none"/>
          <w:lang w:eastAsia="zh-CN"/>
        </w:rPr>
        <w:t>投标</w:t>
      </w:r>
      <w:r>
        <w:rPr>
          <w:rFonts w:hint="eastAsia" w:ascii="仿宋" w:hAnsi="仿宋" w:cs="华文仿宋"/>
          <w:b w:val="0"/>
          <w:bCs w:val="0"/>
          <w:color w:val="auto"/>
          <w:highlight w:val="none"/>
        </w:rPr>
        <w:t>事宜订立如下协议。</w:t>
      </w:r>
    </w:p>
    <w:p w14:paraId="5F060DA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rPr>
        <w:t>1、</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（某成员单位名称）为</w:t>
      </w:r>
      <w:r>
        <w:rPr>
          <w:rFonts w:hint="eastAsia" w:ascii="仿宋" w:hAnsi="仿宋" w:cs="华文仿宋"/>
          <w:b w:val="0"/>
          <w:bCs w:val="0"/>
          <w:color w:val="auto"/>
          <w:highlight w:val="none"/>
          <w:u w:val="none"/>
          <w:lang w:val="en-US" w:eastAsia="zh-CN"/>
        </w:rPr>
        <w:t>本项目联合体</w:t>
      </w:r>
      <w:r>
        <w:rPr>
          <w:rFonts w:hint="eastAsia" w:ascii="仿宋" w:hAnsi="仿宋" w:cs="华文仿宋"/>
          <w:b w:val="0"/>
          <w:bCs w:val="0"/>
          <w:color w:val="auto"/>
          <w:highlight w:val="none"/>
        </w:rPr>
        <w:t>牵头人。</w:t>
      </w:r>
    </w:p>
    <w:p w14:paraId="00D21EF1">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rPr>
        <w:t>2、联合体牵头人合法代表联合体各成员负责本项目</w:t>
      </w:r>
      <w:r>
        <w:rPr>
          <w:rFonts w:hint="eastAsia" w:ascii="仿宋" w:hAnsi="仿宋" w:cs="华文仿宋"/>
          <w:b w:val="0"/>
          <w:bCs w:val="0"/>
          <w:color w:val="auto"/>
          <w:highlight w:val="none"/>
          <w:lang w:eastAsia="zh-CN"/>
        </w:rPr>
        <w:t>响应文件</w:t>
      </w:r>
      <w:r>
        <w:rPr>
          <w:rFonts w:hint="eastAsia" w:ascii="仿宋" w:hAnsi="仿宋" w:cs="华文仿宋"/>
          <w:b w:val="0"/>
          <w:bCs w:val="0"/>
          <w:color w:val="auto"/>
          <w:highlight w:val="none"/>
        </w:rPr>
        <w:t>编制和合同谈判活动，并代表联合体提交和接收相关的资料、信息及指示，并处理与之有关的一切事务，负责合同实施阶段的主办、组织和协调工作。</w:t>
      </w:r>
    </w:p>
    <w:p w14:paraId="0B245DCC">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rPr>
        <w:t>3、联合体将严格按照</w:t>
      </w:r>
      <w:r>
        <w:rPr>
          <w:rFonts w:hint="eastAsia" w:ascii="仿宋" w:hAnsi="仿宋" w:cs="华文仿宋"/>
          <w:b w:val="0"/>
          <w:bCs w:val="0"/>
          <w:color w:val="auto"/>
          <w:highlight w:val="none"/>
          <w:lang w:eastAsia="zh-CN"/>
        </w:rPr>
        <w:t>磋商</w:t>
      </w:r>
      <w:r>
        <w:rPr>
          <w:rFonts w:hint="eastAsia" w:ascii="仿宋" w:hAnsi="仿宋" w:cs="华文仿宋"/>
          <w:b w:val="0"/>
          <w:bCs w:val="0"/>
          <w:color w:val="auto"/>
          <w:highlight w:val="none"/>
        </w:rPr>
        <w:t>文件的各项要求，递交</w:t>
      </w:r>
      <w:r>
        <w:rPr>
          <w:rFonts w:hint="eastAsia" w:ascii="仿宋" w:hAnsi="仿宋" w:cs="华文仿宋"/>
          <w:b w:val="0"/>
          <w:bCs w:val="0"/>
          <w:color w:val="auto"/>
          <w:highlight w:val="none"/>
          <w:lang w:eastAsia="zh-CN"/>
        </w:rPr>
        <w:t>响应</w:t>
      </w:r>
      <w:r>
        <w:rPr>
          <w:rFonts w:hint="eastAsia" w:ascii="仿宋" w:hAnsi="仿宋" w:cs="华文仿宋"/>
          <w:b w:val="0"/>
          <w:bCs w:val="0"/>
          <w:color w:val="auto"/>
          <w:highlight w:val="none"/>
        </w:rPr>
        <w:t>文件，履行合同，并对外承担连带责任。</w:t>
      </w:r>
    </w:p>
    <w:p w14:paraId="34425ACF">
      <w:pPr>
        <w:pStyle w:val="8"/>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rPr>
          <w:rFonts w:hint="eastAsia"/>
          <w:highlight w:val="none"/>
        </w:rPr>
      </w:pPr>
      <w:r>
        <w:rPr>
          <w:rFonts w:hint="eastAsia" w:ascii="仿宋" w:hAnsi="仿宋" w:eastAsia="华文仿宋" w:cs="华文仿宋"/>
          <w:b w:val="0"/>
          <w:bCs w:val="0"/>
          <w:color w:val="auto"/>
          <w:kern w:val="2"/>
          <w:sz w:val="28"/>
          <w:szCs w:val="28"/>
          <w:highlight w:val="none"/>
          <w:lang w:val="en-US" w:eastAsia="zh-CN" w:bidi="ar-SA"/>
        </w:rPr>
        <w:t>4、如</w:t>
      </w:r>
      <w:r>
        <w:rPr>
          <w:rFonts w:hint="eastAsia" w:ascii="仿宋" w:hAnsi="仿宋" w:cs="华文仿宋"/>
          <w:b w:val="0"/>
          <w:bCs w:val="0"/>
          <w:color w:val="auto"/>
          <w:kern w:val="2"/>
          <w:sz w:val="28"/>
          <w:szCs w:val="28"/>
          <w:highlight w:val="none"/>
          <w:lang w:val="en-US" w:eastAsia="zh-CN" w:bidi="ar-SA"/>
        </w:rPr>
        <w:t>成交</w:t>
      </w:r>
      <w:r>
        <w:rPr>
          <w:rFonts w:hint="eastAsia" w:ascii="仿宋" w:hAnsi="仿宋" w:eastAsia="华文仿宋" w:cs="华文仿宋"/>
          <w:b w:val="0"/>
          <w:bCs w:val="0"/>
          <w:color w:val="auto"/>
          <w:kern w:val="2"/>
          <w:sz w:val="28"/>
          <w:szCs w:val="28"/>
          <w:highlight w:val="none"/>
          <w:lang w:val="en-US" w:eastAsia="zh-CN" w:bidi="ar-SA"/>
        </w:rPr>
        <w:t>，</w:t>
      </w:r>
      <w:r>
        <w:rPr>
          <w:rFonts w:hint="eastAsia"/>
          <w:highlight w:val="none"/>
        </w:rPr>
        <w:t>联合体内部将遵守以下规定：</w:t>
      </w:r>
    </w:p>
    <w:p w14:paraId="7FF9515C">
      <w:pPr>
        <w:pStyle w:val="8"/>
        <w:keepNext w:val="0"/>
        <w:keepLines w:val="0"/>
        <w:pageBreakBefore w:val="0"/>
        <w:widowControl/>
        <w:kinsoku/>
        <w:wordWrap/>
        <w:overflowPunct/>
        <w:topLinePunct w:val="0"/>
        <w:autoSpaceDE/>
        <w:autoSpaceDN/>
        <w:bidi w:val="0"/>
        <w:adjustRightInd/>
        <w:snapToGrid/>
        <w:spacing w:line="500" w:lineRule="exact"/>
        <w:textAlignment w:val="auto"/>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联合体牵头人和成员共同与</w:t>
      </w:r>
      <w:r>
        <w:rPr>
          <w:rFonts w:hint="eastAsia"/>
          <w:highlight w:val="none"/>
          <w:lang w:eastAsia="zh-CN"/>
        </w:rPr>
        <w:t>采购</w:t>
      </w:r>
      <w:r>
        <w:rPr>
          <w:rFonts w:hint="eastAsia"/>
          <w:highlight w:val="none"/>
        </w:rPr>
        <w:t>人签订合同，并就</w:t>
      </w:r>
      <w:r>
        <w:rPr>
          <w:rFonts w:hint="eastAsia"/>
          <w:highlight w:val="none"/>
          <w:lang w:eastAsia="zh-CN"/>
        </w:rPr>
        <w:t>成交</w:t>
      </w:r>
      <w:r>
        <w:rPr>
          <w:rFonts w:hint="eastAsia"/>
          <w:highlight w:val="none"/>
        </w:rPr>
        <w:t>项目向</w:t>
      </w:r>
      <w:r>
        <w:rPr>
          <w:rFonts w:hint="eastAsia"/>
          <w:highlight w:val="none"/>
          <w:lang w:eastAsia="zh-CN"/>
        </w:rPr>
        <w:t>采购</w:t>
      </w:r>
      <w:r>
        <w:rPr>
          <w:rFonts w:hint="eastAsia"/>
          <w:highlight w:val="none"/>
        </w:rPr>
        <w:t>人负责有连带的和各自的法律责任；</w:t>
      </w:r>
    </w:p>
    <w:p w14:paraId="36B158F7">
      <w:pPr>
        <w:pStyle w:val="8"/>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华文仿宋"/>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联合体牵头人代表联合体成员承担责任和接受</w:t>
      </w:r>
      <w:r>
        <w:rPr>
          <w:rFonts w:hint="eastAsia"/>
          <w:highlight w:val="none"/>
          <w:lang w:eastAsia="zh-CN"/>
        </w:rPr>
        <w:t>采购人</w:t>
      </w:r>
      <w:r>
        <w:rPr>
          <w:rFonts w:hint="eastAsia"/>
          <w:highlight w:val="none"/>
        </w:rPr>
        <w:t>的指令、指示和通知，并且在整个合同实施过程中的全部事宜（包括价款支付）均由联合体牵头人负责</w:t>
      </w:r>
      <w:r>
        <w:rPr>
          <w:rFonts w:hint="eastAsia"/>
          <w:highlight w:val="none"/>
          <w:lang w:eastAsia="zh-CN"/>
        </w:rPr>
        <w:t>。</w:t>
      </w:r>
    </w:p>
    <w:p w14:paraId="0BC63CD6">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lang w:val="en-US" w:eastAsia="zh-CN"/>
        </w:rPr>
        <w:t>5</w:t>
      </w:r>
      <w:r>
        <w:rPr>
          <w:rFonts w:hint="eastAsia" w:ascii="仿宋" w:hAnsi="仿宋" w:cs="华文仿宋"/>
          <w:b w:val="0"/>
          <w:bCs w:val="0"/>
          <w:color w:val="auto"/>
          <w:highlight w:val="none"/>
        </w:rPr>
        <w:t>、联合体各成员单位内部的职责分工如下：</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w:t>
      </w:r>
    </w:p>
    <w:p w14:paraId="0719778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lang w:val="en-US" w:eastAsia="zh-CN"/>
        </w:rPr>
        <w:t>6</w:t>
      </w:r>
      <w:r>
        <w:rPr>
          <w:rFonts w:hint="eastAsia" w:ascii="仿宋" w:hAnsi="仿宋" w:cs="华文仿宋"/>
          <w:b w:val="0"/>
          <w:bCs w:val="0"/>
          <w:color w:val="auto"/>
          <w:highlight w:val="none"/>
        </w:rPr>
        <w:t>、本协议书自签署之日起生效，合同履行完毕后自动失效。</w:t>
      </w:r>
    </w:p>
    <w:p w14:paraId="328A9C4C">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lang w:val="en-US" w:eastAsia="zh-CN"/>
        </w:rPr>
        <w:t>7</w:t>
      </w:r>
      <w:r>
        <w:rPr>
          <w:rFonts w:hint="eastAsia" w:ascii="仿宋" w:hAnsi="仿宋" w:cs="华文仿宋"/>
          <w:b w:val="0"/>
          <w:bCs w:val="0"/>
          <w:color w:val="auto"/>
          <w:highlight w:val="none"/>
        </w:rPr>
        <w:t>、本协议书一式</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份，联合体成员和采购人各执一份。</w:t>
      </w:r>
    </w:p>
    <w:p w14:paraId="659241A7">
      <w:pPr>
        <w:keepNext w:val="0"/>
        <w:keepLines w:val="0"/>
        <w:pageBreakBefore w:val="0"/>
        <w:widowControl/>
        <w:kinsoku/>
        <w:wordWrap/>
        <w:overflowPunct/>
        <w:topLinePunct w:val="0"/>
        <w:autoSpaceDE/>
        <w:autoSpaceDN/>
        <w:bidi w:val="0"/>
        <w:adjustRightInd/>
        <w:snapToGrid/>
        <w:spacing w:before="500"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lang w:eastAsia="zh-CN"/>
        </w:rPr>
        <w:t>联合体</w:t>
      </w:r>
      <w:r>
        <w:rPr>
          <w:rFonts w:hint="eastAsia" w:ascii="仿宋" w:hAnsi="仿宋" w:cs="华文仿宋"/>
          <w:b w:val="0"/>
          <w:bCs w:val="0"/>
          <w:color w:val="auto"/>
          <w:highlight w:val="none"/>
        </w:rPr>
        <w:t>牵头人名称：</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（盖单位章）</w:t>
      </w:r>
    </w:p>
    <w:p w14:paraId="6B6B245E">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rPr>
        <w:t>法定代表人或其委托代理人：</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（签字或盖章）</w:t>
      </w:r>
    </w:p>
    <w:p w14:paraId="07354392">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p>
    <w:p w14:paraId="5231FF0E">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lang w:eastAsia="zh-CN"/>
        </w:rPr>
        <w:t>联合体</w:t>
      </w:r>
      <w:r>
        <w:rPr>
          <w:rFonts w:hint="eastAsia" w:ascii="仿宋" w:hAnsi="仿宋" w:cs="华文仿宋"/>
          <w:b w:val="0"/>
          <w:bCs w:val="0"/>
          <w:color w:val="auto"/>
          <w:highlight w:val="none"/>
        </w:rPr>
        <w:t>成员名称：</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（盖单位章）</w:t>
      </w:r>
    </w:p>
    <w:p w14:paraId="72A231E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cs="华文仿宋"/>
          <w:b w:val="0"/>
          <w:bCs w:val="0"/>
          <w:color w:val="auto"/>
          <w:highlight w:val="none"/>
        </w:rPr>
      </w:pPr>
      <w:r>
        <w:rPr>
          <w:rFonts w:hint="eastAsia" w:ascii="仿宋" w:hAnsi="仿宋" w:cs="华文仿宋"/>
          <w:b w:val="0"/>
          <w:bCs w:val="0"/>
          <w:color w:val="auto"/>
          <w:highlight w:val="none"/>
        </w:rPr>
        <w:t>法定代表人或其委托代理人：</w:t>
      </w:r>
      <w:r>
        <w:rPr>
          <w:rFonts w:hint="eastAsia" w:ascii="仿宋" w:hAnsi="仿宋" w:cs="华文仿宋"/>
          <w:b w:val="0"/>
          <w:bCs w:val="0"/>
          <w:color w:val="auto"/>
          <w:highlight w:val="none"/>
          <w:u w:val="single"/>
        </w:rPr>
        <w:t xml:space="preserve">                </w:t>
      </w:r>
      <w:r>
        <w:rPr>
          <w:rFonts w:hint="eastAsia" w:ascii="仿宋" w:hAnsi="仿宋" w:cs="华文仿宋"/>
          <w:b w:val="0"/>
          <w:bCs w:val="0"/>
          <w:color w:val="auto"/>
          <w:highlight w:val="none"/>
        </w:rPr>
        <w:t>（签字或盖章）</w:t>
      </w:r>
    </w:p>
    <w:p w14:paraId="6D16B34A">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仿宋" w:hAnsi="仿宋" w:eastAsia="华文仿宋" w:cs="华文仿宋"/>
          <w:b w:val="0"/>
          <w:bCs w:val="0"/>
          <w:color w:val="auto"/>
          <w:highlight w:val="none"/>
          <w:lang w:val="en-US" w:eastAsia="zh-CN"/>
        </w:rPr>
      </w:pPr>
      <w:r>
        <w:rPr>
          <w:rFonts w:hint="eastAsia" w:ascii="仿宋" w:hAnsi="仿宋" w:cs="华文仿宋"/>
          <w:b w:val="0"/>
          <w:bCs w:val="0"/>
          <w:color w:val="auto"/>
          <w:highlight w:val="none"/>
          <w:lang w:val="en-US" w:eastAsia="zh-CN"/>
        </w:rPr>
        <w:t>......</w:t>
      </w:r>
    </w:p>
    <w:p w14:paraId="0AE54B41">
      <w:pPr>
        <w:keepNext w:val="0"/>
        <w:keepLines w:val="0"/>
        <w:pageBreakBefore w:val="0"/>
        <w:widowControl/>
        <w:kinsoku/>
        <w:wordWrap/>
        <w:overflowPunct/>
        <w:topLinePunct w:val="0"/>
        <w:autoSpaceDE/>
        <w:autoSpaceDN/>
        <w:bidi w:val="0"/>
        <w:adjustRightInd/>
        <w:snapToGrid/>
        <w:spacing w:line="500" w:lineRule="exact"/>
        <w:ind w:firstLine="7075" w:firstLineChars="2500"/>
        <w:textAlignment w:val="auto"/>
        <w:rPr>
          <w:rFonts w:ascii="华文仿宋"/>
          <w:color w:val="auto"/>
          <w:highlight w:val="none"/>
        </w:rPr>
      </w:pPr>
      <w:r>
        <w:rPr>
          <w:rFonts w:hint="eastAsia" w:ascii="仿宋" w:hAnsi="仿宋" w:cs="华文仿宋"/>
          <w:b w:val="0"/>
          <w:bCs w:val="0"/>
          <w:color w:val="auto"/>
          <w:highlight w:val="none"/>
        </w:rPr>
        <w:t>年   月   日</w:t>
      </w:r>
    </w:p>
    <w:p w14:paraId="6127C6EC">
      <w:pPr>
        <w:pStyle w:val="2"/>
        <w:widowControl w:val="0"/>
        <w:ind w:firstLine="183"/>
        <w:rPr>
          <w:rFonts w:ascii="华文仿宋"/>
          <w:color w:val="auto"/>
          <w:highlight w:val="none"/>
        </w:rPr>
      </w:pPr>
    </w:p>
    <w:p w14:paraId="7874B607">
      <w:pPr>
        <w:pStyle w:val="46"/>
        <w:widowControl w:val="0"/>
        <w:spacing w:line="500" w:lineRule="exact"/>
        <w:rPr>
          <w:rFonts w:ascii="黑体" w:hAnsi="黑体" w:eastAsia="黑体" w:cs="Times New Roman"/>
          <w:b w:val="0"/>
          <w:bCs w:val="0"/>
          <w:color w:val="auto"/>
          <w:highlight w:val="none"/>
        </w:rPr>
      </w:pPr>
      <w:bookmarkStart w:id="400" w:name="_Toc23551"/>
      <w:bookmarkStart w:id="401" w:name="_Toc25329"/>
      <w:r>
        <w:rPr>
          <w:rFonts w:hint="eastAsia" w:ascii="黑体" w:hAnsi="黑体" w:eastAsia="黑体" w:cs="黑体"/>
          <w:b w:val="0"/>
          <w:bCs w:val="0"/>
          <w:color w:val="auto"/>
          <w:highlight w:val="none"/>
        </w:rPr>
        <w:t>第二部分  符合性证明文件</w:t>
      </w:r>
      <w:bookmarkEnd w:id="396"/>
      <w:bookmarkEnd w:id="400"/>
      <w:bookmarkEnd w:id="401"/>
    </w:p>
    <w:p w14:paraId="6238C12A">
      <w:pPr>
        <w:pStyle w:val="46"/>
        <w:widowControl w:val="0"/>
        <w:spacing w:before="192" w:beforeLines="50" w:line="500" w:lineRule="exact"/>
        <w:ind w:firstLine="606" w:firstLineChars="200"/>
        <w:jc w:val="both"/>
        <w:rPr>
          <w:rFonts w:ascii="仿宋" w:hAnsi="仿宋" w:eastAsia="仿宋" w:cs="Times New Roman"/>
          <w:color w:val="auto"/>
          <w:highlight w:val="none"/>
        </w:rPr>
      </w:pPr>
      <w:bookmarkStart w:id="402" w:name="_Toc17687"/>
      <w:bookmarkStart w:id="403" w:name="_Toc1167"/>
      <w:bookmarkStart w:id="404" w:name="_Toc32108"/>
      <w:bookmarkStart w:id="405" w:name="_Toc16590"/>
      <w:bookmarkStart w:id="406" w:name="_Toc26064"/>
      <w:bookmarkStart w:id="407" w:name="_Toc4366"/>
      <w:bookmarkStart w:id="408" w:name="_Toc31044"/>
      <w:bookmarkStart w:id="409" w:name="_Toc30414"/>
      <w:bookmarkStart w:id="410" w:name="_Toc30709"/>
      <w:bookmarkStart w:id="411" w:name="_Toc26252"/>
      <w:bookmarkStart w:id="412" w:name="_Toc4834"/>
      <w:bookmarkStart w:id="413" w:name="_Toc5204"/>
      <w:bookmarkStart w:id="414" w:name="_Toc9124"/>
      <w:bookmarkStart w:id="415" w:name="_Toc23035"/>
      <w:r>
        <w:rPr>
          <w:rFonts w:hint="eastAsia" w:ascii="仿宋" w:hAnsi="仿宋" w:eastAsia="仿宋" w:cs="仿宋"/>
          <w:color w:val="auto"/>
          <w:sz w:val="30"/>
          <w:szCs w:val="30"/>
          <w:highlight w:val="none"/>
        </w:rPr>
        <w:t>一、</w:t>
      </w:r>
      <w:r>
        <w:rPr>
          <w:rFonts w:hint="eastAsia" w:ascii="仿宋" w:hAnsi="仿宋" w:eastAsia="仿宋" w:cs="仿宋"/>
          <w:color w:val="auto"/>
          <w:sz w:val="30"/>
          <w:szCs w:val="30"/>
          <w:highlight w:val="none"/>
          <w:lang w:eastAsia="zh-CN"/>
        </w:rPr>
        <w:t>响应</w:t>
      </w:r>
      <w:r>
        <w:rPr>
          <w:rFonts w:hint="eastAsia" w:ascii="仿宋" w:hAnsi="仿宋" w:eastAsia="仿宋" w:cs="仿宋"/>
          <w:color w:val="auto"/>
          <w:sz w:val="30"/>
          <w:szCs w:val="30"/>
          <w:highlight w:val="none"/>
        </w:rPr>
        <w:t>函格式</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086E614">
      <w:pPr>
        <w:pStyle w:val="46"/>
        <w:widowControl w:val="0"/>
        <w:spacing w:line="500" w:lineRule="exact"/>
        <w:outlineLvl w:val="9"/>
        <w:rPr>
          <w:rFonts w:ascii="黑体" w:hAnsi="黑体" w:eastAsia="黑体" w:cs="Times New Roman"/>
          <w:b w:val="0"/>
          <w:bCs w:val="0"/>
          <w:color w:val="auto"/>
          <w:highlight w:val="none"/>
        </w:rPr>
      </w:pPr>
      <w:bookmarkStart w:id="416" w:name="_Toc528596088"/>
      <w:bookmarkStart w:id="417" w:name="_Toc18135"/>
      <w:bookmarkStart w:id="418" w:name="_Toc6798"/>
      <w:bookmarkStart w:id="419" w:name="_Toc30597"/>
      <w:bookmarkStart w:id="420" w:name="_Toc29087"/>
      <w:bookmarkStart w:id="421" w:name="_Toc5467"/>
      <w:bookmarkStart w:id="422" w:name="_Toc16608"/>
      <w:bookmarkStart w:id="423" w:name="_Toc23313"/>
      <w:bookmarkStart w:id="424" w:name="_Toc18782"/>
      <w:bookmarkStart w:id="425" w:name="_Toc2848"/>
      <w:bookmarkStart w:id="426" w:name="_Toc19672"/>
      <w:bookmarkStart w:id="427" w:name="_Toc17151"/>
      <w:bookmarkStart w:id="428" w:name="_Toc12334"/>
      <w:bookmarkStart w:id="429" w:name="_Toc16759"/>
      <w:bookmarkStart w:id="430" w:name="_Toc20547"/>
      <w:bookmarkStart w:id="431" w:name="_Toc23615"/>
      <w:bookmarkStart w:id="432" w:name="_Toc21850"/>
      <w:r>
        <w:rPr>
          <w:rFonts w:hint="eastAsia" w:ascii="黑体" w:hAnsi="黑体" w:eastAsia="黑体" w:cs="黑体"/>
          <w:b w:val="0"/>
          <w:bCs w:val="0"/>
          <w:color w:val="auto"/>
          <w:highlight w:val="none"/>
          <w:lang w:eastAsia="zh-CN"/>
        </w:rPr>
        <w:t>响应</w:t>
      </w:r>
      <w:r>
        <w:rPr>
          <w:rFonts w:hint="eastAsia" w:ascii="黑体" w:hAnsi="黑体" w:eastAsia="黑体" w:cs="黑体"/>
          <w:b w:val="0"/>
          <w:bCs w:val="0"/>
          <w:color w:val="auto"/>
          <w:highlight w:val="none"/>
        </w:rPr>
        <w:t>函</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A488C49">
      <w:pPr>
        <w:pStyle w:val="44"/>
        <w:widowControl w:val="0"/>
        <w:spacing w:line="500" w:lineRule="exact"/>
        <w:ind w:firstLine="0" w:firstLineChars="0"/>
        <w:rPr>
          <w:rFonts w:ascii="仿宋" w:hAnsi="仿宋" w:eastAsia="仿宋" w:cs="Times New Roman"/>
          <w:color w:val="auto"/>
          <w:highlight w:val="none"/>
          <w:lang w:val="zh-CN"/>
        </w:rPr>
      </w:pPr>
      <w:r>
        <w:rPr>
          <w:rFonts w:hint="eastAsia" w:ascii="仿宋" w:hAnsi="仿宋" w:eastAsia="仿宋" w:cs="仿宋"/>
          <w:color w:val="auto"/>
          <w:highlight w:val="none"/>
        </w:rPr>
        <w:t>陕西省省级单位政府采购中心</w:t>
      </w:r>
      <w:r>
        <w:rPr>
          <w:rFonts w:hint="eastAsia" w:ascii="仿宋" w:hAnsi="仿宋" w:eastAsia="仿宋" w:cs="仿宋"/>
          <w:color w:val="auto"/>
          <w:highlight w:val="none"/>
          <w:lang w:val="zh-CN"/>
        </w:rPr>
        <w:t>：</w:t>
      </w:r>
    </w:p>
    <w:p w14:paraId="4EE98D30">
      <w:pPr>
        <w:widowControl w:val="0"/>
        <w:spacing w:line="500" w:lineRule="exact"/>
        <w:ind w:right="11" w:firstLine="566" w:firstLineChars="200"/>
        <w:rPr>
          <w:rFonts w:ascii="仿宋" w:hAnsi="仿宋" w:eastAsia="仿宋" w:cs="Times New Roman"/>
          <w:color w:val="auto"/>
          <w:highlight w:val="none"/>
        </w:rPr>
      </w:pPr>
      <w:r>
        <w:rPr>
          <w:rFonts w:hint="eastAsia" w:ascii="仿宋" w:hAnsi="仿宋" w:eastAsia="仿宋" w:cs="仿宋"/>
          <w:color w:val="auto"/>
          <w:highlight w:val="none"/>
        </w:rPr>
        <w:t>我方收到贵中心发布的</w:t>
      </w:r>
      <w:r>
        <w:rPr>
          <w:rFonts w:hint="eastAsia" w:ascii="华文仿宋" w:hAnsi="华文仿宋" w:cs="华文仿宋"/>
          <w:color w:val="auto"/>
          <w:highlight w:val="none"/>
        </w:rPr>
        <w:t>《</w:t>
      </w:r>
      <w:r>
        <w:rPr>
          <w:rFonts w:hint="eastAsia" w:ascii="华文仿宋" w:hAnsi="华文仿宋" w:cs="华文仿宋"/>
          <w:color w:val="auto"/>
          <w:highlight w:val="none"/>
          <w:u w:val="single"/>
        </w:rPr>
        <w:t>项目名称</w:t>
      </w:r>
      <w:r>
        <w:rPr>
          <w:rFonts w:hint="eastAsia" w:ascii="华文仿宋" w:hAnsi="华文仿宋" w:cs="华文仿宋"/>
          <w:color w:val="auto"/>
          <w:highlight w:val="none"/>
        </w:rPr>
        <w:t>》（项目编号：</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）第</w:t>
      </w:r>
      <w:r>
        <w:rPr>
          <w:rFonts w:hint="eastAsia" w:ascii="华文仿宋" w:hAnsi="华文仿宋" w:cs="华文仿宋"/>
          <w:color w:val="auto"/>
          <w:highlight w:val="none"/>
          <w:u w:val="single"/>
        </w:rPr>
        <w:t xml:space="preserve">  </w:t>
      </w:r>
      <w:r>
        <w:rPr>
          <w:rFonts w:hint="eastAsia" w:ascii="华文仿宋" w:hAnsi="华文仿宋" w:cs="华文仿宋"/>
          <w:color w:val="auto"/>
          <w:highlight w:val="none"/>
        </w:rPr>
        <w:t>标段</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，经详细研究，我方决定参加该项目第</w:t>
      </w:r>
      <w:r>
        <w:rPr>
          <w:rFonts w:hint="eastAsia" w:ascii="华文仿宋" w:hAnsi="华文仿宋" w:cs="华文仿宋"/>
          <w:color w:val="auto"/>
          <w:highlight w:val="none"/>
          <w:u w:val="single"/>
        </w:rPr>
        <w:t xml:space="preserve">  </w:t>
      </w:r>
      <w:r>
        <w:rPr>
          <w:rFonts w:hint="eastAsia" w:ascii="仿宋" w:hAnsi="仿宋" w:eastAsia="仿宋" w:cs="仿宋"/>
          <w:color w:val="auto"/>
          <w:highlight w:val="none"/>
        </w:rPr>
        <w:t>标段</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rPr>
        <w:t>活动。为此，我方郑重声明以下诸点，并负法律责任。</w:t>
      </w:r>
    </w:p>
    <w:p w14:paraId="303BE2F2">
      <w:pPr>
        <w:pStyle w:val="44"/>
        <w:widowControl w:val="0"/>
        <w:spacing w:line="500" w:lineRule="exact"/>
        <w:ind w:firstLine="567"/>
        <w:rPr>
          <w:rFonts w:cs="Times New Roman"/>
          <w:color w:val="auto"/>
          <w:highlight w:val="none"/>
        </w:rPr>
      </w:pPr>
      <w:r>
        <w:rPr>
          <w:rFonts w:hint="eastAsia" w:cs="华文仿宋"/>
          <w:color w:val="auto"/>
          <w:highlight w:val="none"/>
        </w:rPr>
        <w:t>一、我方已详细阅读了</w:t>
      </w:r>
      <w:r>
        <w:rPr>
          <w:rFonts w:hint="eastAsia" w:cs="华文仿宋"/>
          <w:color w:val="auto"/>
          <w:highlight w:val="none"/>
          <w:lang w:eastAsia="zh-CN"/>
        </w:rPr>
        <w:t>磋商文件</w:t>
      </w:r>
      <w:r>
        <w:rPr>
          <w:rFonts w:hint="eastAsia" w:cs="华文仿宋"/>
          <w:color w:val="auto"/>
          <w:highlight w:val="none"/>
        </w:rPr>
        <w:t>，完全理解并同意</w:t>
      </w:r>
      <w:r>
        <w:rPr>
          <w:rFonts w:hint="eastAsia" w:cs="华文仿宋"/>
          <w:color w:val="auto"/>
          <w:highlight w:val="none"/>
          <w:lang w:eastAsia="zh-CN"/>
        </w:rPr>
        <w:t>磋商文件</w:t>
      </w:r>
      <w:r>
        <w:rPr>
          <w:rFonts w:hint="eastAsia" w:cs="华文仿宋"/>
          <w:color w:val="auto"/>
          <w:highlight w:val="none"/>
        </w:rPr>
        <w:t>的所有事项及内容。</w:t>
      </w:r>
    </w:p>
    <w:p w14:paraId="5DD464B4">
      <w:pPr>
        <w:pStyle w:val="44"/>
        <w:widowControl w:val="0"/>
        <w:spacing w:line="500" w:lineRule="exact"/>
        <w:ind w:firstLine="567"/>
        <w:rPr>
          <w:rFonts w:ascii="仿宋" w:hAnsi="仿宋" w:eastAsia="仿宋" w:cs="Times New Roman"/>
          <w:color w:val="auto"/>
          <w:highlight w:val="none"/>
        </w:rPr>
      </w:pPr>
      <w:r>
        <w:rPr>
          <w:rFonts w:hint="eastAsia" w:ascii="仿宋" w:hAnsi="仿宋" w:eastAsia="仿宋" w:cs="仿宋"/>
          <w:color w:val="auto"/>
          <w:highlight w:val="none"/>
        </w:rPr>
        <w:t>二、我方已悉知并关注了贵方在政府采购信息发布媒体（详见</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第二章第三条中的“</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的修改、澄清”）上发布的关于本项目的有关变更公告（包括但不限于对</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做出的修改或澄清、答疑纪要，以及项目暂停、重启、延期、终止等）。</w:t>
      </w:r>
    </w:p>
    <w:p w14:paraId="087EE547">
      <w:pPr>
        <w:pStyle w:val="44"/>
        <w:widowControl w:val="0"/>
        <w:spacing w:line="500" w:lineRule="exact"/>
        <w:ind w:firstLine="567"/>
        <w:rPr>
          <w:rFonts w:hint="eastAsia" w:ascii="仿宋" w:hAnsi="仿宋" w:eastAsia="仿宋" w:cs="仿宋"/>
          <w:color w:val="auto"/>
          <w:highlight w:val="none"/>
        </w:rPr>
      </w:pPr>
      <w:r>
        <w:rPr>
          <w:rFonts w:hint="eastAsia" w:cs="华文仿宋"/>
          <w:color w:val="auto"/>
          <w:highlight w:val="none"/>
        </w:rPr>
        <w:t>三、</w:t>
      </w:r>
      <w:r>
        <w:rPr>
          <w:rFonts w:hint="eastAsia" w:ascii="仿宋" w:hAnsi="仿宋" w:eastAsia="仿宋" w:cs="仿宋"/>
          <w:color w:val="auto"/>
          <w:highlight w:val="none"/>
        </w:rPr>
        <w:t>我方</w:t>
      </w:r>
      <w:r>
        <w:rPr>
          <w:rFonts w:hint="eastAsia" w:cs="华文仿宋"/>
          <w:color w:val="auto"/>
          <w:highlight w:val="none"/>
        </w:rPr>
        <w:t>同意向贵方提供与本</w:t>
      </w:r>
      <w:r>
        <w:rPr>
          <w:rFonts w:hint="eastAsia" w:cs="华文仿宋"/>
          <w:color w:val="auto"/>
          <w:highlight w:val="none"/>
          <w:lang w:eastAsia="zh-CN"/>
        </w:rPr>
        <w:t>磋商</w:t>
      </w:r>
      <w:r>
        <w:rPr>
          <w:rFonts w:hint="eastAsia" w:cs="华文仿宋"/>
          <w:color w:val="auto"/>
          <w:highlight w:val="none"/>
        </w:rPr>
        <w:t>有关的任何证明材料，保证所提交的证明材料真实、合法、有效。我方理解最低价不是中标的唯一条件，并尊</w:t>
      </w:r>
      <w:r>
        <w:rPr>
          <w:rFonts w:hint="eastAsia" w:ascii="仿宋" w:hAnsi="仿宋" w:eastAsia="仿宋" w:cs="仿宋"/>
          <w:color w:val="auto"/>
          <w:highlight w:val="none"/>
        </w:rPr>
        <w:t>重</w:t>
      </w:r>
      <w:r>
        <w:rPr>
          <w:rFonts w:hint="eastAsia" w:ascii="仿宋" w:hAnsi="仿宋" w:eastAsia="仿宋" w:cs="仿宋"/>
          <w:color w:val="auto"/>
          <w:highlight w:val="none"/>
          <w:lang w:eastAsia="zh-CN"/>
        </w:rPr>
        <w:t>磋商小组</w:t>
      </w:r>
      <w:r>
        <w:rPr>
          <w:rFonts w:hint="eastAsia" w:ascii="仿宋" w:hAnsi="仿宋" w:eastAsia="仿宋" w:cs="仿宋"/>
          <w:color w:val="auto"/>
          <w:highlight w:val="none"/>
        </w:rPr>
        <w:t>的评审结果。</w:t>
      </w:r>
    </w:p>
    <w:p w14:paraId="0102263F">
      <w:pPr>
        <w:pStyle w:val="44"/>
        <w:widowControl w:val="0"/>
        <w:spacing w:line="500" w:lineRule="exact"/>
        <w:ind w:firstLine="567"/>
        <w:rPr>
          <w:rFonts w:hint="eastAsia" w:ascii="仿宋" w:hAnsi="仿宋" w:eastAsia="仿宋" w:cs="仿宋"/>
          <w:color w:val="auto"/>
          <w:highlight w:val="none"/>
        </w:rPr>
      </w:pPr>
      <w:r>
        <w:rPr>
          <w:rFonts w:hint="eastAsia" w:ascii="仿宋" w:hAnsi="仿宋" w:eastAsia="仿宋" w:cs="仿宋"/>
          <w:color w:val="auto"/>
          <w:highlight w:val="none"/>
        </w:rPr>
        <w:t>四、我方愿意按照</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中的一切要求，完成本项目合同责任和义务。</w:t>
      </w:r>
    </w:p>
    <w:p w14:paraId="0881F0ED">
      <w:pPr>
        <w:pStyle w:val="44"/>
        <w:widowControl w:val="0"/>
        <w:spacing w:line="500" w:lineRule="exact"/>
        <w:ind w:firstLine="567"/>
        <w:rPr>
          <w:rFonts w:cs="Times New Roman"/>
          <w:color w:val="auto"/>
          <w:kern w:val="2"/>
          <w:sz w:val="28"/>
          <w:szCs w:val="28"/>
          <w:highlight w:val="none"/>
        </w:rPr>
      </w:pPr>
      <w:r>
        <w:rPr>
          <w:rFonts w:hint="eastAsia" w:ascii="仿宋" w:hAnsi="仿宋" w:eastAsia="仿宋" w:cs="仿宋"/>
          <w:color w:val="auto"/>
          <w:highlight w:val="none"/>
        </w:rPr>
        <w:t>五、</w:t>
      </w:r>
      <w:r>
        <w:rPr>
          <w:rFonts w:hint="eastAsia" w:cs="华文仿宋"/>
          <w:color w:val="auto"/>
          <w:kern w:val="2"/>
          <w:sz w:val="28"/>
          <w:szCs w:val="28"/>
          <w:highlight w:val="none"/>
        </w:rPr>
        <w:t>我方提交的</w:t>
      </w:r>
      <w:r>
        <w:rPr>
          <w:rFonts w:hint="eastAsia" w:cs="华文仿宋"/>
          <w:b/>
          <w:bCs/>
          <w:color w:val="auto"/>
          <w:kern w:val="2"/>
          <w:sz w:val="28"/>
          <w:szCs w:val="28"/>
          <w:highlight w:val="none"/>
        </w:rPr>
        <w:t>电子</w:t>
      </w:r>
      <w:r>
        <w:rPr>
          <w:rFonts w:hint="eastAsia" w:cs="华文仿宋"/>
          <w:b/>
          <w:bCs/>
          <w:color w:val="auto"/>
          <w:kern w:val="2"/>
          <w:sz w:val="28"/>
          <w:szCs w:val="28"/>
          <w:highlight w:val="none"/>
          <w:lang w:eastAsia="zh-CN"/>
        </w:rPr>
        <w:t>响应文件</w:t>
      </w:r>
      <w:r>
        <w:rPr>
          <w:rFonts w:hint="eastAsia" w:cs="华文仿宋"/>
          <w:b/>
          <w:bCs/>
          <w:color w:val="auto"/>
          <w:kern w:val="2"/>
          <w:sz w:val="28"/>
          <w:szCs w:val="28"/>
          <w:highlight w:val="none"/>
          <w:u w:val="single"/>
        </w:rPr>
        <w:t>1</w:t>
      </w:r>
      <w:r>
        <w:rPr>
          <w:rFonts w:hint="eastAsia" w:cs="华文仿宋"/>
          <w:b/>
          <w:bCs/>
          <w:color w:val="auto"/>
          <w:kern w:val="2"/>
          <w:sz w:val="28"/>
          <w:szCs w:val="28"/>
          <w:highlight w:val="none"/>
        </w:rPr>
        <w:t>份</w:t>
      </w:r>
      <w:r>
        <w:rPr>
          <w:rFonts w:hint="eastAsia" w:cs="华文仿宋"/>
          <w:color w:val="auto"/>
          <w:kern w:val="2"/>
          <w:sz w:val="28"/>
          <w:szCs w:val="28"/>
          <w:highlight w:val="none"/>
        </w:rPr>
        <w:t>。</w:t>
      </w:r>
    </w:p>
    <w:p w14:paraId="1376FE5A">
      <w:pPr>
        <w:pStyle w:val="44"/>
        <w:widowControl w:val="0"/>
        <w:spacing w:line="500" w:lineRule="exact"/>
        <w:ind w:firstLine="567"/>
        <w:rPr>
          <w:rFonts w:cs="Times New Roman"/>
          <w:color w:val="auto"/>
          <w:highlight w:val="none"/>
        </w:rPr>
      </w:pPr>
      <w:r>
        <w:rPr>
          <w:rFonts w:hint="eastAsia" w:cs="华文仿宋"/>
          <w:color w:val="auto"/>
          <w:highlight w:val="none"/>
        </w:rPr>
        <w:t>七、开标后在规定的</w:t>
      </w:r>
      <w:r>
        <w:rPr>
          <w:rFonts w:hint="eastAsia" w:cs="华文仿宋"/>
          <w:color w:val="auto"/>
          <w:highlight w:val="none"/>
          <w:lang w:eastAsia="zh-CN"/>
        </w:rPr>
        <w:t>投标</w:t>
      </w:r>
      <w:r>
        <w:rPr>
          <w:rFonts w:hint="eastAsia" w:cs="华文仿宋"/>
          <w:color w:val="auto"/>
          <w:highlight w:val="none"/>
        </w:rPr>
        <w:t>有效期内撤回</w:t>
      </w:r>
      <w:r>
        <w:rPr>
          <w:rFonts w:hint="eastAsia" w:cs="华文仿宋"/>
          <w:color w:val="auto"/>
          <w:highlight w:val="none"/>
          <w:lang w:eastAsia="zh-CN"/>
        </w:rPr>
        <w:t>投标</w:t>
      </w:r>
      <w:r>
        <w:rPr>
          <w:rFonts w:hint="eastAsia" w:cs="华文仿宋"/>
          <w:color w:val="auto"/>
          <w:highlight w:val="none"/>
        </w:rPr>
        <w:t>，我们愿接受政府采购的有关处罚决定。</w:t>
      </w:r>
    </w:p>
    <w:p w14:paraId="5AF05D99">
      <w:pPr>
        <w:widowControl w:val="0"/>
        <w:autoSpaceDE w:val="0"/>
        <w:autoSpaceDN w:val="0"/>
        <w:adjustRightInd w:val="0"/>
        <w:spacing w:line="500" w:lineRule="exact"/>
        <w:ind w:firstLine="566" w:firstLineChars="200"/>
        <w:rPr>
          <w:rFonts w:cs="Times New Roman"/>
          <w:color w:val="auto"/>
          <w:highlight w:val="none"/>
        </w:rPr>
      </w:pPr>
      <w:r>
        <w:rPr>
          <w:rFonts w:hint="eastAsia" w:cs="华文仿宋"/>
          <w:color w:val="auto"/>
          <w:highlight w:val="none"/>
        </w:rPr>
        <w:t>八、我方的</w:t>
      </w:r>
      <w:r>
        <w:rPr>
          <w:rFonts w:hint="eastAsia" w:cs="华文仿宋"/>
          <w:color w:val="auto"/>
          <w:highlight w:val="none"/>
          <w:lang w:eastAsia="zh-CN"/>
        </w:rPr>
        <w:t>响应文件</w:t>
      </w:r>
      <w:r>
        <w:rPr>
          <w:rFonts w:hint="eastAsia" w:cs="华文仿宋"/>
          <w:color w:val="auto"/>
          <w:highlight w:val="none"/>
        </w:rPr>
        <w:t>在开标之日起</w:t>
      </w:r>
      <w:r>
        <w:rPr>
          <w:rFonts w:hint="eastAsia" w:ascii="仿宋" w:hAnsi="仿宋" w:eastAsia="仿宋" w:cs="仿宋"/>
          <w:b/>
          <w:bCs/>
          <w:color w:val="auto"/>
          <w:highlight w:val="none"/>
          <w:u w:val="single"/>
        </w:rPr>
        <w:t>90</w:t>
      </w:r>
      <w:r>
        <w:rPr>
          <w:rFonts w:hint="eastAsia" w:cs="华文仿宋"/>
          <w:color w:val="auto"/>
          <w:highlight w:val="none"/>
        </w:rPr>
        <w:t>个日历日内有效，如</w:t>
      </w:r>
      <w:r>
        <w:rPr>
          <w:rFonts w:hint="eastAsia" w:cs="华文仿宋"/>
          <w:color w:val="auto"/>
          <w:highlight w:val="none"/>
          <w:lang w:eastAsia="zh-CN"/>
        </w:rPr>
        <w:t>成交</w:t>
      </w:r>
      <w:r>
        <w:rPr>
          <w:rFonts w:hint="eastAsia" w:cs="华文仿宋"/>
          <w:color w:val="auto"/>
          <w:highlight w:val="none"/>
        </w:rPr>
        <w:t>，延长至合同执行完毕时止。</w:t>
      </w:r>
    </w:p>
    <w:p w14:paraId="2FFFABD1">
      <w:pPr>
        <w:pStyle w:val="44"/>
        <w:widowControl w:val="0"/>
        <w:spacing w:line="500" w:lineRule="exact"/>
        <w:ind w:firstLine="567"/>
        <w:rPr>
          <w:rFonts w:cs="Times New Roman"/>
          <w:color w:val="auto"/>
          <w:highlight w:val="none"/>
        </w:rPr>
      </w:pPr>
      <w:r>
        <w:rPr>
          <w:rFonts w:hint="eastAsia" w:cs="华文仿宋"/>
          <w:color w:val="auto"/>
          <w:highlight w:val="none"/>
        </w:rPr>
        <w:t>九、所有关于此次</w:t>
      </w:r>
      <w:r>
        <w:rPr>
          <w:rFonts w:hint="eastAsia" w:cs="华文仿宋"/>
          <w:color w:val="auto"/>
          <w:highlight w:val="none"/>
          <w:lang w:eastAsia="zh-CN"/>
        </w:rPr>
        <w:t>磋商</w:t>
      </w:r>
      <w:r>
        <w:rPr>
          <w:rFonts w:hint="eastAsia" w:cs="华文仿宋"/>
          <w:color w:val="auto"/>
          <w:highlight w:val="none"/>
        </w:rPr>
        <w:t>活动的函电，请按下列地址联系：</w:t>
      </w:r>
    </w:p>
    <w:p w14:paraId="298E239F">
      <w:pPr>
        <w:pStyle w:val="44"/>
        <w:widowControl w:val="0"/>
        <w:spacing w:line="500" w:lineRule="exact"/>
        <w:ind w:firstLine="567"/>
        <w:rPr>
          <w:rFonts w:cs="Times New Roman"/>
          <w:color w:val="auto"/>
          <w:highlight w:val="none"/>
        </w:rPr>
      </w:pPr>
    </w:p>
    <w:p w14:paraId="2A99C95A">
      <w:pPr>
        <w:pStyle w:val="44"/>
        <w:widowControl w:val="0"/>
        <w:spacing w:line="500" w:lineRule="exact"/>
        <w:ind w:firstLine="567"/>
        <w:rPr>
          <w:rFonts w:cs="Times New Roman"/>
          <w:color w:val="auto"/>
          <w:highlight w:val="none"/>
        </w:rPr>
      </w:pPr>
      <w:r>
        <w:rPr>
          <w:rFonts w:hint="eastAsia" w:cs="华文仿宋"/>
          <w:color w:val="auto"/>
          <w:highlight w:val="none"/>
          <w:lang w:eastAsia="zh-CN"/>
        </w:rPr>
        <w:t>供应商</w:t>
      </w:r>
      <w:r>
        <w:rPr>
          <w:rFonts w:hint="eastAsia" w:ascii="华文仿宋" w:hAnsi="华文仿宋" w:cs="华文仿宋"/>
          <w:color w:val="auto"/>
          <w:highlight w:val="none"/>
          <w:lang w:val="en-US" w:eastAsia="zh-CN"/>
        </w:rPr>
        <w:t>或联合体牵头人</w:t>
      </w:r>
      <w:r>
        <w:rPr>
          <w:rFonts w:hint="eastAsia" w:cs="华文仿宋"/>
          <w:color w:val="auto"/>
          <w:highlight w:val="none"/>
        </w:rPr>
        <w:t>：</w:t>
      </w:r>
      <w:r>
        <w:rPr>
          <w:rFonts w:hint="eastAsia" w:cs="华文仿宋"/>
          <w:color w:val="auto"/>
          <w:highlight w:val="none"/>
          <w:u w:val="single"/>
        </w:rPr>
        <w:t>名称</w:t>
      </w:r>
      <w:r>
        <w:rPr>
          <w:rFonts w:hint="eastAsia" w:cs="华文仿宋"/>
          <w:color w:val="auto"/>
          <w:highlight w:val="none"/>
        </w:rPr>
        <w:t>（加盖公章）</w:t>
      </w:r>
    </w:p>
    <w:p w14:paraId="13DE18A5">
      <w:pPr>
        <w:pStyle w:val="44"/>
        <w:widowControl w:val="0"/>
        <w:spacing w:line="500" w:lineRule="exact"/>
        <w:ind w:firstLine="567"/>
        <w:rPr>
          <w:rFonts w:cs="Times New Roman"/>
          <w:color w:val="auto"/>
          <w:highlight w:val="none"/>
        </w:rPr>
      </w:pPr>
      <w:r>
        <w:rPr>
          <w:rFonts w:hint="eastAsia" w:cs="华文仿宋"/>
          <w:color w:val="auto"/>
          <w:highlight w:val="none"/>
        </w:rPr>
        <w:t>地址：</w:t>
      </w:r>
    </w:p>
    <w:p w14:paraId="6774BE33">
      <w:pPr>
        <w:pStyle w:val="44"/>
        <w:widowControl w:val="0"/>
        <w:spacing w:line="500" w:lineRule="exact"/>
        <w:ind w:firstLine="567"/>
        <w:rPr>
          <w:rFonts w:cs="Times New Roman"/>
          <w:color w:val="auto"/>
          <w:highlight w:val="none"/>
        </w:rPr>
      </w:pPr>
      <w:r>
        <w:rPr>
          <w:rFonts w:hint="eastAsia" w:cs="华文仿宋"/>
          <w:color w:val="auto"/>
          <w:highlight w:val="none"/>
        </w:rPr>
        <w:t>开户银行：</w:t>
      </w:r>
    </w:p>
    <w:p w14:paraId="07671603">
      <w:pPr>
        <w:pStyle w:val="44"/>
        <w:widowControl w:val="0"/>
        <w:spacing w:line="500" w:lineRule="exact"/>
        <w:ind w:firstLine="567"/>
        <w:rPr>
          <w:rFonts w:cs="Times New Roman"/>
          <w:color w:val="auto"/>
          <w:highlight w:val="none"/>
        </w:rPr>
      </w:pPr>
      <w:r>
        <w:rPr>
          <w:rFonts w:hint="eastAsia" w:cs="华文仿宋"/>
          <w:color w:val="auto"/>
          <w:highlight w:val="none"/>
        </w:rPr>
        <w:t>账号：</w:t>
      </w:r>
    </w:p>
    <w:p w14:paraId="093EB9A3">
      <w:pPr>
        <w:pStyle w:val="44"/>
        <w:widowControl w:val="0"/>
        <w:spacing w:line="500" w:lineRule="exact"/>
        <w:ind w:firstLine="567"/>
        <w:rPr>
          <w:rFonts w:cs="Times New Roman"/>
          <w:color w:val="auto"/>
          <w:highlight w:val="none"/>
        </w:rPr>
      </w:pPr>
      <w:r>
        <w:rPr>
          <w:rFonts w:hint="eastAsia" w:cs="华文仿宋"/>
          <w:color w:val="auto"/>
          <w:highlight w:val="none"/>
        </w:rPr>
        <w:t>电话：</w:t>
      </w:r>
    </w:p>
    <w:p w14:paraId="3B3574B3">
      <w:pPr>
        <w:pStyle w:val="44"/>
        <w:widowControl w:val="0"/>
        <w:spacing w:line="500" w:lineRule="exact"/>
        <w:ind w:firstLine="567"/>
        <w:rPr>
          <w:rFonts w:cs="Times New Roman"/>
          <w:color w:val="auto"/>
          <w:highlight w:val="none"/>
        </w:rPr>
      </w:pPr>
      <w:r>
        <w:rPr>
          <w:rFonts w:hint="eastAsia" w:cs="华文仿宋"/>
          <w:color w:val="auto"/>
          <w:highlight w:val="none"/>
        </w:rPr>
        <w:t>传真：</w:t>
      </w:r>
    </w:p>
    <w:p w14:paraId="387630AA">
      <w:pPr>
        <w:pStyle w:val="44"/>
        <w:widowControl w:val="0"/>
        <w:spacing w:line="500" w:lineRule="exact"/>
        <w:ind w:firstLine="567"/>
        <w:rPr>
          <w:rFonts w:cs="Times New Roman"/>
          <w:color w:val="auto"/>
          <w:highlight w:val="none"/>
        </w:rPr>
      </w:pPr>
      <w:r>
        <w:rPr>
          <w:rFonts w:hint="eastAsia" w:cs="华文仿宋"/>
          <w:color w:val="auto"/>
          <w:highlight w:val="none"/>
        </w:rPr>
        <w:t>邮编：</w:t>
      </w:r>
    </w:p>
    <w:p w14:paraId="49392EAA">
      <w:pPr>
        <w:pStyle w:val="44"/>
        <w:widowControl w:val="0"/>
        <w:spacing w:line="500" w:lineRule="exact"/>
        <w:ind w:firstLine="567"/>
        <w:rPr>
          <w:rFonts w:cs="Times New Roman"/>
          <w:color w:val="auto"/>
          <w:highlight w:val="none"/>
        </w:rPr>
      </w:pPr>
      <w:r>
        <w:rPr>
          <w:rFonts w:hint="eastAsia" w:cs="华文仿宋"/>
          <w:color w:val="auto"/>
          <w:highlight w:val="none"/>
        </w:rPr>
        <w:t>电子邮箱：</w:t>
      </w:r>
    </w:p>
    <w:p w14:paraId="4D232A2D">
      <w:pPr>
        <w:pStyle w:val="44"/>
        <w:widowControl w:val="0"/>
        <w:spacing w:line="500" w:lineRule="exact"/>
        <w:ind w:firstLine="567"/>
        <w:rPr>
          <w:rFonts w:cs="Times New Roman"/>
          <w:color w:val="auto"/>
          <w:highlight w:val="none"/>
        </w:rPr>
      </w:pPr>
      <w:r>
        <w:rPr>
          <w:rFonts w:hint="eastAsia" w:cs="华文仿宋"/>
          <w:color w:val="auto"/>
          <w:highlight w:val="none"/>
        </w:rPr>
        <w:t>日期：　　年　月　日</w:t>
      </w:r>
    </w:p>
    <w:p w14:paraId="35AAFD11">
      <w:pPr>
        <w:pStyle w:val="44"/>
        <w:widowControl w:val="0"/>
        <w:ind w:firstLine="0" w:firstLineChars="0"/>
        <w:rPr>
          <w:rFonts w:cs="Times New Roman"/>
          <w:color w:val="auto"/>
          <w:sz w:val="36"/>
          <w:szCs w:val="36"/>
          <w:highlight w:val="none"/>
        </w:rPr>
      </w:pPr>
    </w:p>
    <w:p w14:paraId="0D1153C7">
      <w:pPr>
        <w:pStyle w:val="44"/>
        <w:widowControl w:val="0"/>
        <w:ind w:firstLine="0" w:firstLineChars="0"/>
        <w:rPr>
          <w:rFonts w:cs="Times New Roman"/>
          <w:color w:val="auto"/>
          <w:sz w:val="36"/>
          <w:szCs w:val="36"/>
          <w:highlight w:val="none"/>
        </w:rPr>
      </w:pPr>
    </w:p>
    <w:p w14:paraId="353BCE50">
      <w:pPr>
        <w:pStyle w:val="44"/>
        <w:widowControl w:val="0"/>
        <w:ind w:firstLine="0" w:firstLineChars="0"/>
        <w:rPr>
          <w:rFonts w:cs="Times New Roman"/>
          <w:color w:val="auto"/>
          <w:sz w:val="36"/>
          <w:szCs w:val="36"/>
          <w:highlight w:val="none"/>
        </w:rPr>
      </w:pPr>
    </w:p>
    <w:p w14:paraId="3E41D619">
      <w:pPr>
        <w:pStyle w:val="44"/>
        <w:widowControl w:val="0"/>
        <w:ind w:firstLine="0" w:firstLineChars="0"/>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备注：</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、项目不分标段的，第</w:t>
      </w:r>
      <w:r>
        <w:rPr>
          <w:rFonts w:ascii="宋体" w:hAnsi="宋体" w:eastAsia="宋体" w:cs="宋体"/>
          <w:color w:val="auto"/>
          <w:sz w:val="21"/>
          <w:szCs w:val="21"/>
          <w:highlight w:val="none"/>
        </w:rPr>
        <w:t>___</w:t>
      </w:r>
      <w:r>
        <w:rPr>
          <w:rFonts w:hint="eastAsia" w:ascii="宋体" w:hAnsi="宋体" w:eastAsia="宋体" w:cs="宋体"/>
          <w:color w:val="auto"/>
          <w:sz w:val="21"/>
          <w:szCs w:val="21"/>
          <w:highlight w:val="none"/>
        </w:rPr>
        <w:t>标段空白处填写“</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w:t>
      </w:r>
    </w:p>
    <w:p w14:paraId="32F952D5">
      <w:pPr>
        <w:pStyle w:val="44"/>
        <w:widowControl w:val="0"/>
        <w:ind w:firstLine="639" w:firstLineChars="300"/>
        <w:rPr>
          <w:rFonts w:ascii="宋体" w:hAnsi="宋体" w:eastAsia="宋体" w:cs="Times New Roman"/>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、除可填报项目外，对本</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函的任何实质性内容修改将被视为非实质性响应，在评审时将其视为无效响应。</w:t>
      </w:r>
    </w:p>
    <w:p w14:paraId="6905C390">
      <w:pPr>
        <w:pStyle w:val="44"/>
        <w:widowControl w:val="0"/>
        <w:ind w:firstLine="0" w:firstLineChars="0"/>
        <w:rPr>
          <w:rFonts w:ascii="宋体" w:hAnsi="宋体" w:eastAsia="宋体" w:cs="Times New Roman"/>
          <w:b/>
          <w:bCs/>
          <w:color w:val="auto"/>
          <w:sz w:val="21"/>
          <w:szCs w:val="21"/>
          <w:highlight w:val="none"/>
        </w:rPr>
      </w:pPr>
    </w:p>
    <w:p w14:paraId="20A99F50">
      <w:pPr>
        <w:pStyle w:val="44"/>
        <w:widowControl w:val="0"/>
        <w:ind w:firstLine="0" w:firstLineChars="0"/>
        <w:rPr>
          <w:rFonts w:ascii="黑体" w:hAnsi="黑体" w:eastAsia="黑体" w:cs="Times New Roman"/>
          <w:color w:val="auto"/>
          <w:sz w:val="32"/>
          <w:szCs w:val="32"/>
          <w:highlight w:val="none"/>
        </w:rPr>
      </w:pPr>
    </w:p>
    <w:p w14:paraId="07A361BE">
      <w:pPr>
        <w:pStyle w:val="44"/>
        <w:widowControl w:val="0"/>
        <w:ind w:firstLine="0" w:firstLineChars="0"/>
        <w:rPr>
          <w:rFonts w:ascii="黑体" w:hAnsi="黑体" w:eastAsia="黑体" w:cs="Times New Roman"/>
          <w:color w:val="auto"/>
          <w:sz w:val="32"/>
          <w:szCs w:val="32"/>
          <w:highlight w:val="none"/>
        </w:rPr>
      </w:pPr>
    </w:p>
    <w:p w14:paraId="123D6732">
      <w:pPr>
        <w:pStyle w:val="44"/>
        <w:widowControl w:val="0"/>
        <w:ind w:firstLine="0" w:firstLineChars="0"/>
        <w:rPr>
          <w:rFonts w:ascii="黑体" w:hAnsi="黑体" w:eastAsia="黑体" w:cs="Times New Roman"/>
          <w:color w:val="auto"/>
          <w:sz w:val="32"/>
          <w:szCs w:val="32"/>
          <w:highlight w:val="none"/>
        </w:rPr>
      </w:pPr>
    </w:p>
    <w:p w14:paraId="0F285C90">
      <w:pPr>
        <w:pStyle w:val="44"/>
        <w:widowControl w:val="0"/>
        <w:ind w:firstLine="0" w:firstLineChars="0"/>
        <w:rPr>
          <w:rFonts w:ascii="黑体" w:hAnsi="黑体" w:eastAsia="黑体" w:cs="Times New Roman"/>
          <w:color w:val="auto"/>
          <w:sz w:val="32"/>
          <w:szCs w:val="32"/>
          <w:highlight w:val="none"/>
        </w:rPr>
      </w:pPr>
    </w:p>
    <w:p w14:paraId="121771FC">
      <w:pPr>
        <w:pStyle w:val="44"/>
        <w:widowControl w:val="0"/>
        <w:ind w:firstLine="0" w:firstLineChars="0"/>
        <w:rPr>
          <w:rFonts w:ascii="黑体" w:hAnsi="黑体" w:eastAsia="黑体" w:cs="Times New Roman"/>
          <w:color w:val="auto"/>
          <w:sz w:val="32"/>
          <w:szCs w:val="32"/>
          <w:highlight w:val="none"/>
        </w:rPr>
      </w:pPr>
    </w:p>
    <w:p w14:paraId="6B304D83">
      <w:pPr>
        <w:pStyle w:val="44"/>
        <w:widowControl w:val="0"/>
        <w:ind w:firstLine="0" w:firstLineChars="0"/>
        <w:rPr>
          <w:rFonts w:ascii="黑体" w:hAnsi="黑体" w:eastAsia="黑体" w:cs="Times New Roman"/>
          <w:color w:val="auto"/>
          <w:sz w:val="32"/>
          <w:szCs w:val="32"/>
          <w:highlight w:val="none"/>
        </w:rPr>
      </w:pPr>
    </w:p>
    <w:p w14:paraId="4BFE3893">
      <w:pPr>
        <w:pStyle w:val="44"/>
        <w:widowControl w:val="0"/>
        <w:ind w:firstLine="0" w:firstLineChars="0"/>
        <w:rPr>
          <w:rFonts w:ascii="黑体" w:hAnsi="黑体" w:eastAsia="黑体" w:cs="Times New Roman"/>
          <w:color w:val="auto"/>
          <w:sz w:val="32"/>
          <w:szCs w:val="32"/>
          <w:highlight w:val="none"/>
        </w:rPr>
      </w:pPr>
    </w:p>
    <w:p w14:paraId="4B4386AF">
      <w:pPr>
        <w:pStyle w:val="44"/>
        <w:widowControl w:val="0"/>
        <w:ind w:firstLine="0" w:firstLineChars="0"/>
        <w:rPr>
          <w:rFonts w:ascii="黑体" w:hAnsi="黑体" w:eastAsia="黑体" w:cs="Times New Roman"/>
          <w:color w:val="auto"/>
          <w:sz w:val="32"/>
          <w:szCs w:val="32"/>
          <w:highlight w:val="none"/>
        </w:rPr>
      </w:pPr>
    </w:p>
    <w:p w14:paraId="5F29917F">
      <w:pPr>
        <w:pStyle w:val="44"/>
        <w:widowControl w:val="0"/>
        <w:ind w:firstLine="0" w:firstLineChars="0"/>
        <w:rPr>
          <w:rFonts w:ascii="黑体" w:hAnsi="黑体" w:eastAsia="黑体" w:cs="Times New Roman"/>
          <w:color w:val="auto"/>
          <w:sz w:val="32"/>
          <w:szCs w:val="32"/>
          <w:highlight w:val="none"/>
        </w:rPr>
      </w:pPr>
    </w:p>
    <w:p w14:paraId="46695D10">
      <w:pPr>
        <w:pStyle w:val="44"/>
        <w:widowControl w:val="0"/>
        <w:ind w:firstLine="0" w:firstLineChars="0"/>
        <w:rPr>
          <w:rFonts w:ascii="黑体" w:hAnsi="黑体" w:eastAsia="黑体" w:cs="Times New Roman"/>
          <w:color w:val="auto"/>
          <w:sz w:val="32"/>
          <w:szCs w:val="32"/>
          <w:highlight w:val="none"/>
        </w:rPr>
      </w:pPr>
    </w:p>
    <w:p w14:paraId="38E15545">
      <w:pPr>
        <w:pStyle w:val="44"/>
        <w:widowControl w:val="0"/>
        <w:ind w:firstLine="0" w:firstLineChars="0"/>
        <w:rPr>
          <w:rFonts w:ascii="黑体" w:hAnsi="黑体" w:eastAsia="黑体" w:cs="Times New Roman"/>
          <w:color w:val="auto"/>
          <w:sz w:val="32"/>
          <w:szCs w:val="32"/>
          <w:highlight w:val="none"/>
        </w:rPr>
      </w:pPr>
    </w:p>
    <w:p w14:paraId="4E9FA965">
      <w:pPr>
        <w:pStyle w:val="44"/>
        <w:widowControl w:val="0"/>
        <w:ind w:firstLine="0" w:firstLineChars="0"/>
        <w:rPr>
          <w:rFonts w:ascii="黑体" w:hAnsi="黑体" w:eastAsia="黑体" w:cs="Times New Roman"/>
          <w:color w:val="auto"/>
          <w:sz w:val="32"/>
          <w:szCs w:val="32"/>
          <w:highlight w:val="none"/>
        </w:rPr>
      </w:pPr>
    </w:p>
    <w:p w14:paraId="6471E025">
      <w:pPr>
        <w:pStyle w:val="44"/>
        <w:widowControl w:val="0"/>
        <w:ind w:firstLine="0" w:firstLineChars="0"/>
        <w:rPr>
          <w:rFonts w:ascii="黑体" w:hAnsi="黑体" w:eastAsia="黑体" w:cs="Times New Roman"/>
          <w:color w:val="auto"/>
          <w:sz w:val="32"/>
          <w:szCs w:val="32"/>
          <w:highlight w:val="none"/>
        </w:rPr>
      </w:pPr>
    </w:p>
    <w:p w14:paraId="790FFB42">
      <w:pPr>
        <w:widowControl w:val="0"/>
        <w:rPr>
          <w:rFonts w:ascii="仿宋" w:hAnsi="仿宋" w:eastAsia="仿宋" w:cs="仿宋"/>
          <w:color w:val="auto"/>
          <w:highlight w:val="none"/>
        </w:rPr>
      </w:pPr>
      <w:bookmarkStart w:id="433" w:name="_Toc940"/>
      <w:bookmarkStart w:id="434" w:name="_Toc23720"/>
      <w:bookmarkStart w:id="435" w:name="_Toc27965"/>
      <w:bookmarkStart w:id="436" w:name="_Toc5710"/>
      <w:bookmarkStart w:id="437" w:name="_Toc6164"/>
      <w:bookmarkStart w:id="438" w:name="_Toc28380"/>
      <w:bookmarkStart w:id="439" w:name="_Toc6674"/>
      <w:bookmarkStart w:id="440" w:name="_Toc28620"/>
      <w:bookmarkStart w:id="441" w:name="_Toc15271"/>
      <w:bookmarkStart w:id="442" w:name="_Toc26017"/>
      <w:bookmarkStart w:id="443" w:name="_Toc28505"/>
      <w:bookmarkStart w:id="444" w:name="_Toc8061"/>
      <w:bookmarkStart w:id="445" w:name="_Toc14393"/>
      <w:bookmarkStart w:id="446" w:name="_Toc28261"/>
      <w:r>
        <w:rPr>
          <w:rFonts w:hint="eastAsia" w:ascii="仿宋" w:hAnsi="仿宋" w:eastAsia="仿宋" w:cs="仿宋"/>
          <w:color w:val="auto"/>
          <w:highlight w:val="none"/>
        </w:rPr>
        <w:br w:type="page"/>
      </w:r>
    </w:p>
    <w:p w14:paraId="345335C1">
      <w:pPr>
        <w:widowControl w:val="0"/>
        <w:tabs>
          <w:tab w:val="left" w:pos="5670"/>
        </w:tabs>
        <w:spacing w:line="500" w:lineRule="exact"/>
        <w:ind w:firstLine="606" w:firstLineChars="200"/>
        <w:jc w:val="left"/>
        <w:rPr>
          <w:rFonts w:hint="eastAsia" w:ascii="仿宋" w:hAnsi="仿宋" w:eastAsia="仿宋" w:cs="Times New Roman"/>
          <w:b/>
          <w:bCs/>
          <w:color w:val="auto"/>
          <w:highlight w:val="none"/>
          <w:lang w:eastAsia="zh-CN"/>
        </w:rPr>
      </w:pPr>
      <w:r>
        <w:rPr>
          <w:rFonts w:hint="eastAsia" w:ascii="仿宋" w:hAnsi="仿宋" w:eastAsia="仿宋" w:cs="仿宋"/>
          <w:b/>
          <w:bCs/>
          <w:color w:val="auto"/>
          <w:sz w:val="30"/>
          <w:szCs w:val="30"/>
          <w:highlight w:val="none"/>
        </w:rPr>
        <w:t>二、</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仿宋" w:hAnsi="仿宋" w:eastAsia="仿宋" w:cs="仿宋"/>
          <w:b/>
          <w:bCs/>
          <w:color w:val="auto"/>
          <w:sz w:val="30"/>
          <w:szCs w:val="30"/>
          <w:highlight w:val="none"/>
          <w:lang w:eastAsia="zh-CN"/>
        </w:rPr>
        <w:t>第一次磋商报价表</w:t>
      </w:r>
    </w:p>
    <w:p w14:paraId="09908878">
      <w:pPr>
        <w:widowControl w:val="0"/>
        <w:spacing w:line="600" w:lineRule="exact"/>
        <w:ind w:firstLine="283" w:firstLineChars="100"/>
        <w:jc w:val="left"/>
        <w:rPr>
          <w:rFonts w:cs="Times New Roman"/>
          <w:color w:val="auto"/>
          <w:highlight w:val="none"/>
        </w:rPr>
      </w:pPr>
      <w:r>
        <w:rPr>
          <w:rFonts w:hint="eastAsia" w:cs="华文仿宋"/>
          <w:color w:val="auto"/>
          <w:highlight w:val="none"/>
        </w:rPr>
        <w:t>项目编号：</w:t>
      </w:r>
    </w:p>
    <w:p w14:paraId="0D048AC4">
      <w:pPr>
        <w:widowControl w:val="0"/>
        <w:spacing w:line="600" w:lineRule="exact"/>
        <w:ind w:firstLine="283" w:firstLineChars="100"/>
        <w:jc w:val="left"/>
        <w:rPr>
          <w:rFonts w:cs="华文仿宋"/>
          <w:color w:val="auto"/>
          <w:highlight w:val="none"/>
        </w:rPr>
      </w:pPr>
      <w:r>
        <w:rPr>
          <w:rFonts w:hint="eastAsia" w:cs="华文仿宋"/>
          <w:color w:val="auto"/>
          <w:highlight w:val="none"/>
        </w:rPr>
        <w:t>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14:paraId="4510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Merge w:val="restart"/>
            <w:noWrap/>
            <w:vAlign w:val="center"/>
          </w:tcPr>
          <w:p w14:paraId="5310E2FA">
            <w:pPr>
              <w:pStyle w:val="8"/>
              <w:spacing w:line="360" w:lineRule="auto"/>
              <w:ind w:firstLine="0"/>
              <w:jc w:val="center"/>
              <w:rPr>
                <w:rFonts w:ascii="仿宋" w:hAnsi="仿宋" w:eastAsia="仿宋" w:cs="仿宋"/>
                <w:color w:val="auto"/>
                <w:szCs w:val="24"/>
                <w:highlight w:val="none"/>
              </w:rPr>
            </w:pPr>
            <w:r>
              <w:rPr>
                <w:rFonts w:hint="eastAsia" w:ascii="仿宋" w:hAnsi="仿宋" w:eastAsia="仿宋" w:cs="仿宋"/>
                <w:color w:val="auto"/>
                <w:szCs w:val="24"/>
                <w:highlight w:val="none"/>
              </w:rPr>
              <w:t>磋商报价</w:t>
            </w:r>
          </w:p>
        </w:tc>
        <w:tc>
          <w:tcPr>
            <w:tcW w:w="5752" w:type="dxa"/>
            <w:noWrap/>
            <w:vAlign w:val="center"/>
          </w:tcPr>
          <w:p w14:paraId="3D615CDF">
            <w:pPr>
              <w:spacing w:line="44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内容</w:t>
            </w:r>
          </w:p>
        </w:tc>
      </w:tr>
      <w:tr w14:paraId="6B51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Merge w:val="continue"/>
            <w:noWrap/>
            <w:vAlign w:val="center"/>
          </w:tcPr>
          <w:p w14:paraId="2E4E7A0B">
            <w:pPr>
              <w:pStyle w:val="8"/>
              <w:spacing w:line="360" w:lineRule="auto"/>
              <w:ind w:firstLine="0"/>
              <w:jc w:val="center"/>
              <w:rPr>
                <w:rFonts w:ascii="仿宋" w:hAnsi="仿宋" w:eastAsia="仿宋" w:cs="仿宋"/>
                <w:color w:val="auto"/>
                <w:szCs w:val="24"/>
                <w:highlight w:val="none"/>
              </w:rPr>
            </w:pPr>
          </w:p>
        </w:tc>
        <w:tc>
          <w:tcPr>
            <w:tcW w:w="5752" w:type="dxa"/>
            <w:noWrap/>
            <w:vAlign w:val="center"/>
          </w:tcPr>
          <w:p w14:paraId="1C676054">
            <w:pPr>
              <w:autoSpaceDE w:val="0"/>
              <w:autoSpaceDN w:val="0"/>
              <w:spacing w:line="360" w:lineRule="auto"/>
              <w:rPr>
                <w:rFonts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小写：</w:t>
            </w:r>
          </w:p>
          <w:p w14:paraId="39AF5E75">
            <w:pPr>
              <w:pStyle w:val="2"/>
              <w:ind w:firstLine="0" w:firstLineChars="0"/>
              <w:rPr>
                <w:rFonts w:ascii="仿宋" w:hAnsi="仿宋" w:eastAsia="仿宋" w:cs="仿宋"/>
                <w:color w:val="auto"/>
                <w:kern w:val="0"/>
                <w:sz w:val="28"/>
                <w:szCs w:val="24"/>
                <w:highlight w:val="none"/>
                <w:lang w:val="zh-CN"/>
              </w:rPr>
            </w:pPr>
          </w:p>
          <w:p w14:paraId="52DA013B">
            <w:pPr>
              <w:pStyle w:val="2"/>
              <w:ind w:firstLine="0" w:firstLineChars="0"/>
              <w:rPr>
                <w:rFonts w:ascii="仿宋" w:hAnsi="仿宋" w:eastAsia="仿宋" w:cs="仿宋"/>
                <w:color w:val="auto"/>
                <w:kern w:val="0"/>
                <w:sz w:val="28"/>
                <w:szCs w:val="24"/>
                <w:highlight w:val="none"/>
                <w:lang w:val="zh-CN"/>
              </w:rPr>
            </w:pPr>
            <w:r>
              <w:rPr>
                <w:rFonts w:hint="eastAsia" w:ascii="仿宋" w:hAnsi="仿宋" w:eastAsia="仿宋" w:cs="仿宋"/>
                <w:color w:val="auto"/>
                <w:kern w:val="0"/>
                <w:sz w:val="28"/>
                <w:szCs w:val="24"/>
                <w:highlight w:val="none"/>
                <w:lang w:val="zh-CN"/>
              </w:rPr>
              <w:t>大写：</w:t>
            </w:r>
          </w:p>
          <w:p w14:paraId="40828847">
            <w:pPr>
              <w:autoSpaceDE w:val="0"/>
              <w:autoSpaceDN w:val="0"/>
              <w:spacing w:line="360" w:lineRule="auto"/>
              <w:rPr>
                <w:rFonts w:ascii="仿宋" w:hAnsi="仿宋" w:eastAsia="仿宋" w:cs="仿宋"/>
                <w:color w:val="auto"/>
                <w:highlight w:val="none"/>
              </w:rPr>
            </w:pPr>
            <w:r>
              <w:rPr>
                <w:rFonts w:hint="eastAsia" w:ascii="仿宋" w:hAnsi="仿宋" w:eastAsia="仿宋" w:cs="仿宋"/>
                <w:color w:val="auto"/>
                <w:sz w:val="24"/>
                <w:szCs w:val="24"/>
                <w:highlight w:val="none"/>
              </w:rPr>
              <w:t xml:space="preserve">                       单位：元（保留到元）</w:t>
            </w:r>
          </w:p>
        </w:tc>
      </w:tr>
    </w:tbl>
    <w:p w14:paraId="2900ADEE">
      <w:pPr>
        <w:widowControl w:val="0"/>
        <w:autoSpaceDE w:val="0"/>
        <w:autoSpaceDN w:val="0"/>
        <w:spacing w:line="240" w:lineRule="auto"/>
        <w:ind w:firstLine="213" w:firstLineChars="100"/>
        <w:rPr>
          <w:rFonts w:ascii="宋体" w:hAnsi="宋体" w:eastAsia="宋体" w:cs="Times New Roman"/>
          <w:color w:val="auto"/>
          <w:sz w:val="21"/>
          <w:szCs w:val="21"/>
          <w:highlight w:val="none"/>
        </w:rPr>
      </w:pPr>
      <w:r>
        <w:rPr>
          <w:rFonts w:hint="eastAsia" w:ascii="宋体" w:hAnsi="宋体" w:eastAsia="宋体" w:cs="宋体"/>
          <w:color w:val="auto"/>
          <w:kern w:val="0"/>
          <w:sz w:val="21"/>
          <w:szCs w:val="21"/>
          <w:highlight w:val="none"/>
        </w:rPr>
        <w:t>备注</w:t>
      </w:r>
      <w:r>
        <w:rPr>
          <w:rFonts w:hint="eastAsia" w:ascii="宋体" w:hAnsi="宋体" w:eastAsia="宋体" w:cs="宋体"/>
          <w:color w:val="auto"/>
          <w:kern w:val="0"/>
          <w:sz w:val="21"/>
          <w:szCs w:val="21"/>
          <w:highlight w:val="none"/>
          <w:lang w:val="zh-CN"/>
        </w:rPr>
        <w:t>：“磋商报价”为</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总价</w:t>
      </w:r>
      <w:r>
        <w:rPr>
          <w:rFonts w:hint="eastAsia" w:ascii="宋体" w:hAnsi="宋体" w:eastAsia="宋体" w:cs="宋体"/>
          <w:color w:val="auto"/>
          <w:kern w:val="0"/>
          <w:sz w:val="21"/>
          <w:szCs w:val="21"/>
          <w:highlight w:val="none"/>
          <w:lang w:val="zh-CN"/>
        </w:rPr>
        <w:t>。</w:t>
      </w:r>
      <w:bookmarkStart w:id="447" w:name="_Toc26334"/>
      <w:bookmarkStart w:id="448" w:name="_Toc29740_WPSOffice_Level2"/>
      <w:bookmarkStart w:id="449" w:name="_Toc25597_WPSOffice_Level2"/>
      <w:bookmarkStart w:id="450" w:name="_Toc24699_WPSOffice_Level2"/>
      <w:bookmarkStart w:id="451" w:name="_Toc8006"/>
      <w:bookmarkStart w:id="452" w:name="_Toc29232"/>
      <w:bookmarkStart w:id="453" w:name="_Toc31114"/>
      <w:bookmarkStart w:id="454" w:name="_Toc5592"/>
      <w:r>
        <w:rPr>
          <w:rFonts w:hint="eastAsia" w:ascii="宋体" w:hAnsi="宋体" w:eastAsia="宋体" w:cs="宋体"/>
          <w:color w:val="auto"/>
          <w:kern w:val="0"/>
          <w:sz w:val="21"/>
          <w:szCs w:val="21"/>
          <w:highlight w:val="none"/>
          <w:lang w:val="zh-CN"/>
        </w:rPr>
        <w:t>磋商</w:t>
      </w:r>
      <w:r>
        <w:rPr>
          <w:rFonts w:ascii="宋体" w:hAnsi="宋体" w:eastAsia="宋体" w:cs="宋体"/>
          <w:color w:val="auto"/>
          <w:kern w:val="0"/>
          <w:sz w:val="21"/>
          <w:szCs w:val="21"/>
          <w:highlight w:val="none"/>
          <w:lang w:val="zh-CN"/>
        </w:rPr>
        <w:t>报价必须包括</w:t>
      </w:r>
      <w:r>
        <w:rPr>
          <w:rFonts w:hint="eastAsia" w:ascii="宋体" w:hAnsi="宋体" w:eastAsia="宋体" w:cs="宋体"/>
          <w:color w:val="auto"/>
          <w:kern w:val="0"/>
          <w:sz w:val="21"/>
          <w:szCs w:val="21"/>
          <w:highlight w:val="none"/>
          <w:lang w:val="zh-CN"/>
        </w:rPr>
        <w:t>本项目所需</w:t>
      </w:r>
      <w:r>
        <w:rPr>
          <w:rFonts w:ascii="宋体" w:hAnsi="宋体" w:eastAsia="宋体" w:cs="宋体"/>
          <w:color w:val="auto"/>
          <w:kern w:val="0"/>
          <w:sz w:val="21"/>
          <w:szCs w:val="21"/>
          <w:highlight w:val="none"/>
          <w:lang w:val="zh-CN"/>
        </w:rPr>
        <w:t>全部费用</w:t>
      </w:r>
      <w:r>
        <w:rPr>
          <w:rFonts w:hint="eastAsia" w:ascii="宋体" w:hAnsi="宋体" w:eastAsia="宋体" w:cs="宋体"/>
          <w:color w:val="auto"/>
          <w:kern w:val="0"/>
          <w:sz w:val="21"/>
          <w:szCs w:val="21"/>
          <w:highlight w:val="none"/>
          <w:lang w:val="zh-CN"/>
        </w:rPr>
        <w:t>。</w:t>
      </w:r>
    </w:p>
    <w:bookmarkEnd w:id="447"/>
    <w:bookmarkEnd w:id="448"/>
    <w:bookmarkEnd w:id="449"/>
    <w:bookmarkEnd w:id="450"/>
    <w:bookmarkEnd w:id="451"/>
    <w:bookmarkEnd w:id="452"/>
    <w:bookmarkEnd w:id="453"/>
    <w:p w14:paraId="2DAB5BF4">
      <w:pPr>
        <w:widowControl w:val="0"/>
        <w:autoSpaceDE w:val="0"/>
        <w:autoSpaceDN w:val="0"/>
        <w:spacing w:before="190" w:beforeLines="50" w:line="500" w:lineRule="exact"/>
        <w:ind w:firstLine="5377" w:firstLineChars="1900"/>
        <w:rPr>
          <w:rFonts w:ascii="华文仿宋" w:hAnsi="华文仿宋" w:cs="华文仿宋"/>
          <w:color w:val="auto"/>
          <w:highlight w:val="none"/>
        </w:rPr>
      </w:pPr>
    </w:p>
    <w:p w14:paraId="7515E5D9">
      <w:pPr>
        <w:widowControl w:val="0"/>
        <w:autoSpaceDE w:val="0"/>
        <w:autoSpaceDN w:val="0"/>
        <w:spacing w:before="190" w:beforeLines="50" w:line="500" w:lineRule="exact"/>
        <w:ind w:firstLine="3679" w:firstLineChars="1300"/>
        <w:rPr>
          <w:rFonts w:ascii="华文仿宋" w:cs="Times New Roman"/>
          <w:color w:val="auto"/>
          <w:highlight w:val="none"/>
        </w:rPr>
      </w:pPr>
      <w:r>
        <w:rPr>
          <w:rFonts w:hint="eastAsia" w:cs="华文仿宋"/>
          <w:color w:val="auto"/>
          <w:highlight w:val="none"/>
          <w:lang w:eastAsia="zh-CN"/>
        </w:rPr>
        <w:t>供应商</w:t>
      </w:r>
      <w:r>
        <w:rPr>
          <w:rFonts w:hint="eastAsia" w:ascii="华文仿宋" w:hAnsi="华文仿宋" w:cs="华文仿宋"/>
          <w:color w:val="auto"/>
          <w:highlight w:val="none"/>
          <w:lang w:val="en-US" w:eastAsia="zh-CN"/>
        </w:rPr>
        <w:t>或联合体牵头人</w:t>
      </w:r>
      <w:r>
        <w:rPr>
          <w:rFonts w:hint="eastAsia" w:ascii="华文仿宋" w:hAnsi="华文仿宋" w:cs="华文仿宋"/>
          <w:color w:val="auto"/>
          <w:highlight w:val="none"/>
        </w:rPr>
        <w:t>：</w:t>
      </w:r>
      <w:r>
        <w:rPr>
          <w:rFonts w:hint="eastAsia" w:ascii="华文仿宋" w:hAnsi="华文仿宋" w:cs="华文仿宋"/>
          <w:color w:val="auto"/>
          <w:highlight w:val="none"/>
          <w:u w:val="single"/>
        </w:rPr>
        <w:t>名称</w:t>
      </w:r>
      <w:r>
        <w:rPr>
          <w:rFonts w:hint="eastAsia" w:ascii="华文仿宋" w:hAnsi="华文仿宋" w:cs="华文仿宋"/>
          <w:color w:val="auto"/>
          <w:highlight w:val="none"/>
        </w:rPr>
        <w:t>（加盖公章）</w:t>
      </w:r>
    </w:p>
    <w:p w14:paraId="21904CC9">
      <w:pPr>
        <w:widowControl w:val="0"/>
        <w:spacing w:line="500" w:lineRule="exact"/>
        <w:ind w:firstLine="5660" w:firstLineChars="2000"/>
        <w:rPr>
          <w:rFonts w:cs="Times New Roman"/>
          <w:color w:val="auto"/>
          <w:highlight w:val="none"/>
        </w:rPr>
      </w:pPr>
      <w:r>
        <w:rPr>
          <w:rFonts w:hint="eastAsia" w:cs="华文仿宋"/>
          <w:color w:val="auto"/>
          <w:highlight w:val="none"/>
        </w:rPr>
        <w:t>日期：　年　月　日</w:t>
      </w:r>
    </w:p>
    <w:p w14:paraId="21ADC0D6">
      <w:pPr>
        <w:widowControl w:val="0"/>
        <w:spacing w:after="190" w:afterLines="50" w:line="500" w:lineRule="exact"/>
        <w:jc w:val="center"/>
        <w:rPr>
          <w:rFonts w:ascii="华文仿宋" w:hAnsi="华文仿宋" w:cs="华文仿宋"/>
          <w:b/>
          <w:color w:val="auto"/>
          <w:highlight w:val="none"/>
        </w:rPr>
        <w:sectPr>
          <w:pgSz w:w="11906" w:h="16838"/>
          <w:pgMar w:top="1417" w:right="1417" w:bottom="1417" w:left="1417" w:header="850" w:footer="794" w:gutter="0"/>
          <w:pgNumType w:chapStyle="1"/>
          <w:cols w:space="720" w:num="1"/>
          <w:docGrid w:type="linesAndChars" w:linePitch="381" w:charSpace="704"/>
        </w:sectPr>
      </w:pPr>
    </w:p>
    <w:p w14:paraId="56E6CB93">
      <w:pPr>
        <w:widowControl w:val="0"/>
        <w:spacing w:after="190" w:afterLines="50" w:line="500" w:lineRule="exact"/>
        <w:jc w:val="center"/>
        <w:rPr>
          <w:rFonts w:ascii="仿宋" w:hAnsi="仿宋"/>
          <w:b/>
          <w:bCs/>
          <w:color w:val="auto"/>
          <w:sz w:val="32"/>
          <w:szCs w:val="32"/>
          <w:highlight w:val="none"/>
        </w:rPr>
      </w:pPr>
      <w:r>
        <w:rPr>
          <w:rFonts w:hint="eastAsia" w:ascii="华文仿宋" w:hAnsi="华文仿宋" w:cs="华文仿宋"/>
          <w:b/>
          <w:color w:val="auto"/>
          <w:highlight w:val="none"/>
        </w:rPr>
        <w:t>分项报价表</w:t>
      </w:r>
    </w:p>
    <w:tbl>
      <w:tblPr>
        <w:tblStyle w:val="25"/>
        <w:tblW w:w="8854" w:type="dxa"/>
        <w:jc w:val="center"/>
        <w:tblLayout w:type="fixed"/>
        <w:tblCellMar>
          <w:top w:w="0" w:type="dxa"/>
          <w:left w:w="28" w:type="dxa"/>
          <w:bottom w:w="0" w:type="dxa"/>
          <w:right w:w="28" w:type="dxa"/>
        </w:tblCellMar>
      </w:tblPr>
      <w:tblGrid>
        <w:gridCol w:w="713"/>
        <w:gridCol w:w="1250"/>
        <w:gridCol w:w="1681"/>
        <w:gridCol w:w="1840"/>
        <w:gridCol w:w="1270"/>
        <w:gridCol w:w="1334"/>
        <w:gridCol w:w="766"/>
      </w:tblGrid>
      <w:tr w14:paraId="52634134">
        <w:tblPrEx>
          <w:tblCellMar>
            <w:top w:w="0" w:type="dxa"/>
            <w:left w:w="28" w:type="dxa"/>
            <w:bottom w:w="0" w:type="dxa"/>
            <w:right w:w="28" w:type="dxa"/>
          </w:tblCellMar>
        </w:tblPrEx>
        <w:trPr>
          <w:trHeight w:val="1274" w:hRule="atLeast"/>
          <w:jc w:val="center"/>
        </w:trPr>
        <w:tc>
          <w:tcPr>
            <w:tcW w:w="713" w:type="dxa"/>
            <w:tcBorders>
              <w:top w:val="single" w:color="000000" w:sz="8" w:space="0"/>
              <w:left w:val="single" w:color="000000" w:sz="8" w:space="0"/>
              <w:bottom w:val="single" w:color="000000" w:sz="6" w:space="0"/>
              <w:right w:val="single" w:color="000000" w:sz="6" w:space="0"/>
            </w:tcBorders>
            <w:noWrap/>
            <w:vAlign w:val="center"/>
          </w:tcPr>
          <w:p w14:paraId="202DAFD5">
            <w:pPr>
              <w:widowControl w:val="0"/>
              <w:autoSpaceDE w:val="0"/>
              <w:autoSpaceDN w:val="0"/>
              <w:spacing w:line="24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序号</w:t>
            </w:r>
          </w:p>
        </w:tc>
        <w:tc>
          <w:tcPr>
            <w:tcW w:w="1250" w:type="dxa"/>
            <w:tcBorders>
              <w:top w:val="single" w:color="000000" w:sz="8" w:space="0"/>
              <w:left w:val="single" w:color="000000" w:sz="6" w:space="0"/>
              <w:bottom w:val="single" w:color="000000" w:sz="6" w:space="0"/>
              <w:right w:val="single" w:color="000000" w:sz="6" w:space="0"/>
            </w:tcBorders>
            <w:noWrap/>
            <w:vAlign w:val="center"/>
          </w:tcPr>
          <w:p w14:paraId="001B8BD4">
            <w:pPr>
              <w:widowControl w:val="0"/>
              <w:autoSpaceDE w:val="0"/>
              <w:autoSpaceDN w:val="0"/>
              <w:spacing w:line="240" w:lineRule="auto"/>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服务名称</w:t>
            </w:r>
          </w:p>
        </w:tc>
        <w:tc>
          <w:tcPr>
            <w:tcW w:w="1681" w:type="dxa"/>
            <w:tcBorders>
              <w:top w:val="single" w:color="000000" w:sz="8" w:space="0"/>
              <w:left w:val="single" w:color="000000" w:sz="6" w:space="0"/>
              <w:bottom w:val="single" w:color="000000" w:sz="6" w:space="0"/>
              <w:right w:val="single" w:color="000000" w:sz="6" w:space="0"/>
            </w:tcBorders>
            <w:noWrap/>
            <w:vAlign w:val="center"/>
          </w:tcPr>
          <w:p w14:paraId="3025759A">
            <w:pPr>
              <w:pStyle w:val="46"/>
              <w:widowControl w:val="0"/>
              <w:rPr>
                <w:rFonts w:ascii="仿宋" w:hAnsi="仿宋" w:eastAsia="仿宋" w:cs="仿宋"/>
                <w:b w:val="0"/>
                <w:bCs w:val="0"/>
                <w:kern w:val="0"/>
                <w:sz w:val="24"/>
                <w:szCs w:val="24"/>
                <w:highlight w:val="none"/>
              </w:rPr>
            </w:pPr>
            <w:bookmarkStart w:id="455" w:name="_Toc28616"/>
            <w:bookmarkStart w:id="456" w:name="_Toc16359"/>
            <w:bookmarkStart w:id="457" w:name="_Toc16202"/>
            <w:bookmarkStart w:id="458" w:name="_Toc32559"/>
            <w:r>
              <w:rPr>
                <w:rFonts w:hint="eastAsia" w:ascii="仿宋" w:hAnsi="仿宋" w:eastAsia="仿宋" w:cs="仿宋"/>
                <w:bCs w:val="0"/>
                <w:sz w:val="24"/>
                <w:szCs w:val="24"/>
                <w:highlight w:val="none"/>
              </w:rPr>
              <w:t>计量单位</w:t>
            </w:r>
            <w:bookmarkEnd w:id="455"/>
            <w:bookmarkEnd w:id="456"/>
            <w:bookmarkEnd w:id="457"/>
            <w:bookmarkEnd w:id="458"/>
          </w:p>
        </w:tc>
        <w:tc>
          <w:tcPr>
            <w:tcW w:w="1840" w:type="dxa"/>
            <w:tcBorders>
              <w:top w:val="single" w:color="000000" w:sz="8" w:space="0"/>
              <w:left w:val="single" w:color="000000" w:sz="6" w:space="0"/>
              <w:bottom w:val="single" w:color="000000" w:sz="6" w:space="0"/>
              <w:right w:val="single" w:color="000000" w:sz="6" w:space="0"/>
            </w:tcBorders>
            <w:noWrap/>
            <w:vAlign w:val="center"/>
          </w:tcPr>
          <w:p w14:paraId="4577F510">
            <w:pPr>
              <w:pStyle w:val="46"/>
              <w:widowControl w:val="0"/>
              <w:rPr>
                <w:rFonts w:ascii="仿宋" w:hAnsi="仿宋" w:eastAsia="仿宋" w:cs="仿宋"/>
                <w:b w:val="0"/>
                <w:bCs w:val="0"/>
                <w:kern w:val="0"/>
                <w:sz w:val="24"/>
                <w:szCs w:val="24"/>
                <w:highlight w:val="none"/>
                <w:lang w:val="zh-CN"/>
              </w:rPr>
            </w:pPr>
            <w:bookmarkStart w:id="459" w:name="_Toc5340"/>
            <w:bookmarkStart w:id="460" w:name="_Toc4371"/>
            <w:bookmarkStart w:id="461" w:name="_Toc29236"/>
            <w:bookmarkStart w:id="462" w:name="_Toc26417"/>
            <w:r>
              <w:rPr>
                <w:rFonts w:hint="eastAsia" w:ascii="仿宋" w:hAnsi="仿宋" w:eastAsia="仿宋" w:cs="仿宋"/>
                <w:bCs w:val="0"/>
                <w:sz w:val="24"/>
                <w:szCs w:val="24"/>
                <w:highlight w:val="none"/>
              </w:rPr>
              <w:t>具体要求说明</w:t>
            </w:r>
            <w:bookmarkEnd w:id="459"/>
            <w:bookmarkEnd w:id="460"/>
            <w:bookmarkEnd w:id="461"/>
            <w:bookmarkEnd w:id="462"/>
          </w:p>
        </w:tc>
        <w:tc>
          <w:tcPr>
            <w:tcW w:w="1270" w:type="dxa"/>
            <w:tcBorders>
              <w:top w:val="single" w:color="000000" w:sz="8" w:space="0"/>
              <w:left w:val="single" w:color="000000" w:sz="6" w:space="0"/>
              <w:bottom w:val="single" w:color="000000" w:sz="6" w:space="0"/>
              <w:right w:val="single" w:color="auto" w:sz="4" w:space="0"/>
            </w:tcBorders>
            <w:noWrap/>
            <w:vAlign w:val="center"/>
          </w:tcPr>
          <w:p w14:paraId="67A11FED">
            <w:pPr>
              <w:pStyle w:val="46"/>
              <w:widowControl w:val="0"/>
              <w:rPr>
                <w:rFonts w:ascii="仿宋" w:hAnsi="仿宋" w:eastAsia="仿宋" w:cs="仿宋"/>
                <w:bCs w:val="0"/>
                <w:sz w:val="24"/>
                <w:szCs w:val="24"/>
                <w:highlight w:val="none"/>
              </w:rPr>
            </w:pPr>
            <w:bookmarkStart w:id="463" w:name="_Toc9206"/>
            <w:bookmarkStart w:id="464" w:name="_Toc14670"/>
            <w:bookmarkStart w:id="465" w:name="_Toc18908"/>
            <w:bookmarkStart w:id="466" w:name="_Toc24317"/>
            <w:r>
              <w:rPr>
                <w:rFonts w:hint="eastAsia" w:ascii="仿宋" w:hAnsi="仿宋" w:eastAsia="仿宋" w:cs="仿宋"/>
                <w:bCs w:val="0"/>
                <w:sz w:val="24"/>
                <w:szCs w:val="24"/>
                <w:highlight w:val="none"/>
              </w:rPr>
              <w:t>数量</w:t>
            </w:r>
          </w:p>
        </w:tc>
        <w:tc>
          <w:tcPr>
            <w:tcW w:w="1334" w:type="dxa"/>
            <w:tcBorders>
              <w:top w:val="single" w:color="000000" w:sz="8" w:space="0"/>
              <w:left w:val="single" w:color="auto" w:sz="4" w:space="0"/>
              <w:bottom w:val="single" w:color="000000" w:sz="6" w:space="0"/>
              <w:right w:val="single" w:color="000000" w:sz="6" w:space="0"/>
            </w:tcBorders>
            <w:noWrap/>
            <w:vAlign w:val="center"/>
          </w:tcPr>
          <w:p w14:paraId="0893D08B">
            <w:pPr>
              <w:pStyle w:val="46"/>
              <w:widowControl w:val="0"/>
              <w:rPr>
                <w:rFonts w:ascii="仿宋" w:hAnsi="仿宋" w:eastAsia="仿宋" w:cs="仿宋"/>
                <w:bCs w:val="0"/>
                <w:sz w:val="24"/>
                <w:szCs w:val="24"/>
                <w:highlight w:val="none"/>
              </w:rPr>
            </w:pPr>
            <w:r>
              <w:rPr>
                <w:rFonts w:hint="eastAsia" w:ascii="仿宋" w:hAnsi="仿宋" w:eastAsia="仿宋" w:cs="仿宋"/>
                <w:bCs w:val="0"/>
                <w:sz w:val="24"/>
                <w:szCs w:val="24"/>
                <w:highlight w:val="none"/>
              </w:rPr>
              <w:t>金额</w:t>
            </w:r>
          </w:p>
        </w:tc>
        <w:tc>
          <w:tcPr>
            <w:tcW w:w="766" w:type="dxa"/>
            <w:tcBorders>
              <w:top w:val="single" w:color="000000" w:sz="8" w:space="0"/>
              <w:left w:val="single" w:color="000000" w:sz="6" w:space="0"/>
              <w:bottom w:val="single" w:color="000000" w:sz="6" w:space="0"/>
              <w:right w:val="single" w:color="000000" w:sz="8" w:space="0"/>
            </w:tcBorders>
            <w:noWrap/>
            <w:vAlign w:val="center"/>
          </w:tcPr>
          <w:p w14:paraId="24F91CF1">
            <w:pPr>
              <w:pStyle w:val="46"/>
              <w:widowControl w:val="0"/>
              <w:rPr>
                <w:rFonts w:ascii="仿宋" w:hAnsi="仿宋" w:eastAsia="仿宋" w:cs="仿宋"/>
                <w:b w:val="0"/>
                <w:bCs w:val="0"/>
                <w:sz w:val="24"/>
                <w:szCs w:val="24"/>
                <w:highlight w:val="none"/>
              </w:rPr>
            </w:pPr>
            <w:r>
              <w:rPr>
                <w:rFonts w:hint="eastAsia" w:ascii="仿宋" w:hAnsi="仿宋" w:eastAsia="仿宋" w:cs="仿宋"/>
                <w:bCs w:val="0"/>
                <w:sz w:val="24"/>
                <w:szCs w:val="24"/>
                <w:highlight w:val="none"/>
              </w:rPr>
              <w:t>备注</w:t>
            </w:r>
            <w:bookmarkEnd w:id="463"/>
            <w:bookmarkEnd w:id="464"/>
            <w:bookmarkEnd w:id="465"/>
            <w:bookmarkEnd w:id="466"/>
          </w:p>
        </w:tc>
      </w:tr>
      <w:tr w14:paraId="28D27A84">
        <w:tblPrEx>
          <w:tblCellMar>
            <w:top w:w="0" w:type="dxa"/>
            <w:left w:w="28" w:type="dxa"/>
            <w:bottom w:w="0" w:type="dxa"/>
            <w:right w:w="28" w:type="dxa"/>
          </w:tblCellMar>
        </w:tblPrEx>
        <w:trPr>
          <w:trHeight w:val="393" w:hRule="atLeast"/>
          <w:jc w:val="center"/>
        </w:trPr>
        <w:tc>
          <w:tcPr>
            <w:tcW w:w="713" w:type="dxa"/>
            <w:vMerge w:val="restart"/>
            <w:tcBorders>
              <w:top w:val="single" w:color="000000" w:sz="6" w:space="0"/>
              <w:left w:val="single" w:color="000000" w:sz="8" w:space="0"/>
              <w:right w:val="single" w:color="000000" w:sz="6" w:space="0"/>
            </w:tcBorders>
            <w:noWrap/>
            <w:vAlign w:val="center"/>
          </w:tcPr>
          <w:p w14:paraId="385B4800">
            <w:pPr>
              <w:widowControl w:val="0"/>
              <w:autoSpaceDE w:val="0"/>
              <w:autoSpaceDN w:val="0"/>
              <w:spacing w:line="24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1250" w:type="dxa"/>
            <w:vMerge w:val="restart"/>
            <w:tcBorders>
              <w:top w:val="single" w:color="000000" w:sz="6" w:space="0"/>
              <w:left w:val="single" w:color="000000" w:sz="6" w:space="0"/>
              <w:right w:val="single" w:color="000000" w:sz="6" w:space="0"/>
            </w:tcBorders>
            <w:noWrap/>
            <w:vAlign w:val="center"/>
          </w:tcPr>
          <w:p w14:paraId="63D42A7F">
            <w:pPr>
              <w:widowControl w:val="0"/>
              <w:autoSpaceDE w:val="0"/>
              <w:autoSpaceDN w:val="0"/>
              <w:spacing w:line="240" w:lineRule="auto"/>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实施方</w:t>
            </w:r>
          </w:p>
          <w:p w14:paraId="5FA6DF21">
            <w:pPr>
              <w:widowControl w:val="0"/>
              <w:autoSpaceDE w:val="0"/>
              <w:autoSpaceDN w:val="0"/>
              <w:spacing w:line="240" w:lineRule="auto"/>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案编制</w:t>
            </w:r>
          </w:p>
          <w:p w14:paraId="27615BE3">
            <w:pPr>
              <w:widowControl w:val="0"/>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服务</w:t>
            </w: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3EA54D48">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4881AB3B">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23716BB8">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24075395">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47E49355">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20A0AE80">
        <w:tblPrEx>
          <w:tblCellMar>
            <w:top w:w="0" w:type="dxa"/>
            <w:left w:w="28" w:type="dxa"/>
            <w:bottom w:w="0" w:type="dxa"/>
            <w:right w:w="28" w:type="dxa"/>
          </w:tblCellMar>
        </w:tblPrEx>
        <w:trPr>
          <w:trHeight w:val="375" w:hRule="atLeast"/>
          <w:jc w:val="center"/>
        </w:trPr>
        <w:tc>
          <w:tcPr>
            <w:tcW w:w="713" w:type="dxa"/>
            <w:vMerge w:val="continue"/>
            <w:tcBorders>
              <w:left w:val="single" w:color="000000" w:sz="8" w:space="0"/>
              <w:right w:val="single" w:color="000000" w:sz="6" w:space="0"/>
            </w:tcBorders>
            <w:noWrap/>
            <w:vAlign w:val="center"/>
          </w:tcPr>
          <w:p w14:paraId="328BB8B1">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50" w:type="dxa"/>
            <w:vMerge w:val="continue"/>
            <w:tcBorders>
              <w:left w:val="single" w:color="000000" w:sz="6" w:space="0"/>
              <w:right w:val="single" w:color="000000" w:sz="6" w:space="0"/>
            </w:tcBorders>
            <w:noWrap/>
            <w:vAlign w:val="center"/>
          </w:tcPr>
          <w:p w14:paraId="147843A9">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273ACE7D">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17A3F94B">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3EF1698E">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395EDC2B">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6EAFE8B0">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663B7C75">
        <w:tblPrEx>
          <w:tblCellMar>
            <w:top w:w="0" w:type="dxa"/>
            <w:left w:w="28" w:type="dxa"/>
            <w:bottom w:w="0" w:type="dxa"/>
            <w:right w:w="28" w:type="dxa"/>
          </w:tblCellMar>
        </w:tblPrEx>
        <w:trPr>
          <w:trHeight w:val="219" w:hRule="atLeast"/>
          <w:jc w:val="center"/>
        </w:trPr>
        <w:tc>
          <w:tcPr>
            <w:tcW w:w="713" w:type="dxa"/>
            <w:vMerge w:val="continue"/>
            <w:tcBorders>
              <w:left w:val="single" w:color="000000" w:sz="8" w:space="0"/>
              <w:bottom w:val="single" w:color="000000" w:sz="6" w:space="0"/>
              <w:right w:val="single" w:color="000000" w:sz="6" w:space="0"/>
            </w:tcBorders>
            <w:noWrap/>
            <w:vAlign w:val="center"/>
          </w:tcPr>
          <w:p w14:paraId="18654D1D">
            <w:pPr>
              <w:widowControl w:val="0"/>
              <w:autoSpaceDE w:val="0"/>
              <w:autoSpaceDN w:val="0"/>
              <w:spacing w:line="240" w:lineRule="auto"/>
              <w:jc w:val="center"/>
              <w:rPr>
                <w:rFonts w:ascii="仿宋" w:hAnsi="仿宋" w:eastAsia="仿宋" w:cs="仿宋"/>
                <w:kern w:val="0"/>
                <w:sz w:val="24"/>
                <w:szCs w:val="24"/>
                <w:highlight w:val="none"/>
              </w:rPr>
            </w:pPr>
          </w:p>
        </w:tc>
        <w:tc>
          <w:tcPr>
            <w:tcW w:w="1250" w:type="dxa"/>
            <w:vMerge w:val="continue"/>
            <w:tcBorders>
              <w:left w:val="single" w:color="000000" w:sz="6" w:space="0"/>
              <w:bottom w:val="single" w:color="000000" w:sz="6" w:space="0"/>
              <w:right w:val="single" w:color="000000" w:sz="6" w:space="0"/>
            </w:tcBorders>
            <w:noWrap/>
            <w:vAlign w:val="center"/>
          </w:tcPr>
          <w:p w14:paraId="5FB9E424">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4F22378B">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3E07B1C5">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0188CD8B">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60BB5F1B">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170127B4">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686F7308">
        <w:tblPrEx>
          <w:tblCellMar>
            <w:top w:w="0" w:type="dxa"/>
            <w:left w:w="28" w:type="dxa"/>
            <w:bottom w:w="0" w:type="dxa"/>
            <w:right w:w="28" w:type="dxa"/>
          </w:tblCellMar>
        </w:tblPrEx>
        <w:trPr>
          <w:trHeight w:val="219" w:hRule="atLeast"/>
          <w:jc w:val="center"/>
        </w:trPr>
        <w:tc>
          <w:tcPr>
            <w:tcW w:w="713" w:type="dxa"/>
            <w:vMerge w:val="restart"/>
            <w:tcBorders>
              <w:top w:val="single" w:color="000000" w:sz="6" w:space="0"/>
              <w:left w:val="single" w:color="000000" w:sz="8" w:space="0"/>
              <w:right w:val="single" w:color="000000" w:sz="6" w:space="0"/>
            </w:tcBorders>
            <w:noWrap/>
            <w:vAlign w:val="center"/>
          </w:tcPr>
          <w:p w14:paraId="62B87516">
            <w:pPr>
              <w:widowControl w:val="0"/>
              <w:autoSpaceDE w:val="0"/>
              <w:autoSpaceDN w:val="0"/>
              <w:spacing w:line="240" w:lineRule="auto"/>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w:t>
            </w:r>
          </w:p>
        </w:tc>
        <w:tc>
          <w:tcPr>
            <w:tcW w:w="1250" w:type="dxa"/>
            <w:vMerge w:val="restart"/>
            <w:tcBorders>
              <w:left w:val="single" w:color="000000" w:sz="6" w:space="0"/>
              <w:right w:val="single" w:color="000000" w:sz="6" w:space="0"/>
            </w:tcBorders>
            <w:noWrap/>
            <w:vAlign w:val="center"/>
          </w:tcPr>
          <w:p w14:paraId="1C3943E8">
            <w:pPr>
              <w:widowControl w:val="0"/>
              <w:autoSpaceDE w:val="0"/>
              <w:autoSpaceDN w:val="0"/>
              <w:spacing w:line="240" w:lineRule="auto"/>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信息化</w:t>
            </w:r>
          </w:p>
          <w:p w14:paraId="3092056C">
            <w:pPr>
              <w:widowControl w:val="0"/>
              <w:autoSpaceDE w:val="0"/>
              <w:autoSpaceDN w:val="0"/>
              <w:spacing w:line="240" w:lineRule="auto"/>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工程监</w:t>
            </w:r>
          </w:p>
          <w:p w14:paraId="6FF04212">
            <w:pPr>
              <w:widowControl w:val="0"/>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理服务</w:t>
            </w: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483F2BEF">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746D3089">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6D097BEC">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7D702294">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7DEC10A9">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3E051F52">
        <w:tblPrEx>
          <w:tblCellMar>
            <w:top w:w="0" w:type="dxa"/>
            <w:left w:w="28" w:type="dxa"/>
            <w:bottom w:w="0" w:type="dxa"/>
            <w:right w:w="28" w:type="dxa"/>
          </w:tblCellMar>
        </w:tblPrEx>
        <w:trPr>
          <w:trHeight w:val="219" w:hRule="atLeast"/>
          <w:jc w:val="center"/>
        </w:trPr>
        <w:tc>
          <w:tcPr>
            <w:tcW w:w="713" w:type="dxa"/>
            <w:vMerge w:val="continue"/>
            <w:tcBorders>
              <w:left w:val="single" w:color="000000" w:sz="8" w:space="0"/>
              <w:right w:val="single" w:color="000000" w:sz="6" w:space="0"/>
            </w:tcBorders>
            <w:noWrap/>
            <w:vAlign w:val="center"/>
          </w:tcPr>
          <w:p w14:paraId="3E2864EE">
            <w:pPr>
              <w:widowControl w:val="0"/>
              <w:autoSpaceDE w:val="0"/>
              <w:autoSpaceDN w:val="0"/>
              <w:spacing w:line="240" w:lineRule="auto"/>
              <w:jc w:val="center"/>
              <w:rPr>
                <w:rFonts w:hint="eastAsia" w:ascii="仿宋" w:hAnsi="仿宋" w:eastAsia="仿宋" w:cs="仿宋"/>
                <w:kern w:val="0"/>
                <w:sz w:val="21"/>
                <w:szCs w:val="21"/>
                <w:highlight w:val="none"/>
                <w:lang w:val="zh-CN"/>
              </w:rPr>
            </w:pPr>
          </w:p>
        </w:tc>
        <w:tc>
          <w:tcPr>
            <w:tcW w:w="1250" w:type="dxa"/>
            <w:vMerge w:val="continue"/>
            <w:tcBorders>
              <w:left w:val="single" w:color="000000" w:sz="6" w:space="0"/>
              <w:right w:val="single" w:color="000000" w:sz="6" w:space="0"/>
            </w:tcBorders>
            <w:noWrap/>
            <w:vAlign w:val="center"/>
          </w:tcPr>
          <w:p w14:paraId="3521E485">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73E1A701">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519839C3">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01E093B3">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40DB7EF0">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377E92E9">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671518DB">
        <w:tblPrEx>
          <w:tblCellMar>
            <w:top w:w="0" w:type="dxa"/>
            <w:left w:w="28" w:type="dxa"/>
            <w:bottom w:w="0" w:type="dxa"/>
            <w:right w:w="28" w:type="dxa"/>
          </w:tblCellMar>
        </w:tblPrEx>
        <w:trPr>
          <w:trHeight w:val="219" w:hRule="atLeast"/>
          <w:jc w:val="center"/>
        </w:trPr>
        <w:tc>
          <w:tcPr>
            <w:tcW w:w="713" w:type="dxa"/>
            <w:vMerge w:val="continue"/>
            <w:tcBorders>
              <w:left w:val="single" w:color="000000" w:sz="8" w:space="0"/>
              <w:bottom w:val="single" w:color="000000" w:sz="6" w:space="0"/>
              <w:right w:val="single" w:color="000000" w:sz="6" w:space="0"/>
            </w:tcBorders>
            <w:noWrap/>
            <w:vAlign w:val="center"/>
          </w:tcPr>
          <w:p w14:paraId="6A8A135E">
            <w:pPr>
              <w:widowControl w:val="0"/>
              <w:autoSpaceDE w:val="0"/>
              <w:autoSpaceDN w:val="0"/>
              <w:spacing w:line="240" w:lineRule="auto"/>
              <w:jc w:val="center"/>
              <w:rPr>
                <w:rFonts w:hint="eastAsia" w:ascii="仿宋" w:hAnsi="仿宋" w:eastAsia="仿宋" w:cs="仿宋"/>
                <w:kern w:val="0"/>
                <w:sz w:val="21"/>
                <w:szCs w:val="21"/>
                <w:highlight w:val="none"/>
                <w:lang w:val="zh-CN"/>
              </w:rPr>
            </w:pPr>
          </w:p>
        </w:tc>
        <w:tc>
          <w:tcPr>
            <w:tcW w:w="1250" w:type="dxa"/>
            <w:vMerge w:val="continue"/>
            <w:tcBorders>
              <w:left w:val="single" w:color="000000" w:sz="6" w:space="0"/>
              <w:bottom w:val="single" w:color="000000" w:sz="6" w:space="0"/>
              <w:right w:val="single" w:color="000000" w:sz="6" w:space="0"/>
            </w:tcBorders>
            <w:noWrap/>
            <w:vAlign w:val="center"/>
          </w:tcPr>
          <w:p w14:paraId="48EF6FC9">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15D1B824">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5D0D7FCB">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4E38FD1D">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408FB126">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630AFC11">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119B57A8">
        <w:tblPrEx>
          <w:tblCellMar>
            <w:top w:w="0" w:type="dxa"/>
            <w:left w:w="28" w:type="dxa"/>
            <w:bottom w:w="0" w:type="dxa"/>
            <w:right w:w="28" w:type="dxa"/>
          </w:tblCellMar>
        </w:tblPrEx>
        <w:trPr>
          <w:trHeight w:val="219" w:hRule="atLeast"/>
          <w:jc w:val="center"/>
        </w:trPr>
        <w:tc>
          <w:tcPr>
            <w:tcW w:w="713" w:type="dxa"/>
            <w:vMerge w:val="restart"/>
            <w:tcBorders>
              <w:top w:val="single" w:color="000000" w:sz="6" w:space="0"/>
              <w:left w:val="single" w:color="000000" w:sz="8" w:space="0"/>
              <w:right w:val="single" w:color="000000" w:sz="6" w:space="0"/>
            </w:tcBorders>
            <w:noWrap/>
            <w:vAlign w:val="center"/>
          </w:tcPr>
          <w:p w14:paraId="73C65E46">
            <w:pPr>
              <w:widowControl w:val="0"/>
              <w:autoSpaceDE w:val="0"/>
              <w:autoSpaceDN w:val="0"/>
              <w:spacing w:line="240" w:lineRule="auto"/>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w:t>
            </w:r>
          </w:p>
        </w:tc>
        <w:tc>
          <w:tcPr>
            <w:tcW w:w="1250" w:type="dxa"/>
            <w:vMerge w:val="restart"/>
            <w:tcBorders>
              <w:left w:val="single" w:color="000000" w:sz="6" w:space="0"/>
              <w:right w:val="single" w:color="000000" w:sz="6" w:space="0"/>
            </w:tcBorders>
            <w:noWrap/>
            <w:vAlign w:val="center"/>
          </w:tcPr>
          <w:p w14:paraId="51CE3414">
            <w:pPr>
              <w:widowControl w:val="0"/>
              <w:autoSpaceDE w:val="0"/>
              <w:autoSpaceDN w:val="0"/>
              <w:spacing w:line="240" w:lineRule="auto"/>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第三方</w:t>
            </w:r>
          </w:p>
          <w:p w14:paraId="4B780FBA">
            <w:pPr>
              <w:widowControl w:val="0"/>
              <w:autoSpaceDE w:val="0"/>
              <w:autoSpaceDN w:val="0"/>
              <w:spacing w:line="240" w:lineRule="auto"/>
              <w:jc w:val="cente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结算审</w:t>
            </w:r>
          </w:p>
          <w:p w14:paraId="3A6B63B4">
            <w:pPr>
              <w:widowControl w:val="0"/>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核服务</w:t>
            </w: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1A95068F">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374AC954">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0BAEEB39">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23A49FFA">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586726B7">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72C62B43">
        <w:tblPrEx>
          <w:tblCellMar>
            <w:top w:w="0" w:type="dxa"/>
            <w:left w:w="28" w:type="dxa"/>
            <w:bottom w:w="0" w:type="dxa"/>
            <w:right w:w="28" w:type="dxa"/>
          </w:tblCellMar>
        </w:tblPrEx>
        <w:trPr>
          <w:trHeight w:val="219" w:hRule="atLeast"/>
          <w:jc w:val="center"/>
        </w:trPr>
        <w:tc>
          <w:tcPr>
            <w:tcW w:w="713" w:type="dxa"/>
            <w:vMerge w:val="continue"/>
            <w:tcBorders>
              <w:left w:val="single" w:color="000000" w:sz="8" w:space="0"/>
              <w:right w:val="single" w:color="000000" w:sz="6" w:space="0"/>
            </w:tcBorders>
            <w:noWrap/>
            <w:vAlign w:val="center"/>
          </w:tcPr>
          <w:p w14:paraId="7455070C">
            <w:pPr>
              <w:widowControl w:val="0"/>
              <w:autoSpaceDE w:val="0"/>
              <w:autoSpaceDN w:val="0"/>
              <w:spacing w:line="240" w:lineRule="auto"/>
              <w:jc w:val="center"/>
              <w:rPr>
                <w:rFonts w:hint="eastAsia" w:ascii="仿宋" w:hAnsi="仿宋" w:eastAsia="仿宋" w:cs="仿宋"/>
                <w:kern w:val="0"/>
                <w:sz w:val="21"/>
                <w:szCs w:val="21"/>
                <w:highlight w:val="none"/>
                <w:lang w:val="zh-CN"/>
              </w:rPr>
            </w:pPr>
          </w:p>
        </w:tc>
        <w:tc>
          <w:tcPr>
            <w:tcW w:w="1250" w:type="dxa"/>
            <w:vMerge w:val="continue"/>
            <w:tcBorders>
              <w:left w:val="single" w:color="000000" w:sz="6" w:space="0"/>
              <w:right w:val="single" w:color="000000" w:sz="6" w:space="0"/>
            </w:tcBorders>
            <w:noWrap/>
            <w:vAlign w:val="center"/>
          </w:tcPr>
          <w:p w14:paraId="763605F2">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3937A2B9">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736C9C59">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26A47AB8">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595DFFB6">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7DA4431B">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3CA25C59">
        <w:tblPrEx>
          <w:tblCellMar>
            <w:top w:w="0" w:type="dxa"/>
            <w:left w:w="28" w:type="dxa"/>
            <w:bottom w:w="0" w:type="dxa"/>
            <w:right w:w="28" w:type="dxa"/>
          </w:tblCellMar>
        </w:tblPrEx>
        <w:trPr>
          <w:trHeight w:val="219" w:hRule="atLeast"/>
          <w:jc w:val="center"/>
        </w:trPr>
        <w:tc>
          <w:tcPr>
            <w:tcW w:w="713" w:type="dxa"/>
            <w:vMerge w:val="continue"/>
            <w:tcBorders>
              <w:left w:val="single" w:color="000000" w:sz="8" w:space="0"/>
              <w:bottom w:val="single" w:color="000000" w:sz="6" w:space="0"/>
              <w:right w:val="single" w:color="000000" w:sz="6" w:space="0"/>
            </w:tcBorders>
            <w:noWrap/>
            <w:vAlign w:val="center"/>
          </w:tcPr>
          <w:p w14:paraId="660F16AB">
            <w:pPr>
              <w:widowControl w:val="0"/>
              <w:autoSpaceDE w:val="0"/>
              <w:autoSpaceDN w:val="0"/>
              <w:spacing w:line="240" w:lineRule="auto"/>
              <w:jc w:val="center"/>
              <w:rPr>
                <w:rFonts w:hint="eastAsia" w:ascii="仿宋" w:hAnsi="仿宋" w:eastAsia="仿宋" w:cs="仿宋"/>
                <w:kern w:val="0"/>
                <w:sz w:val="21"/>
                <w:szCs w:val="21"/>
                <w:highlight w:val="none"/>
                <w:lang w:val="zh-CN"/>
              </w:rPr>
            </w:pPr>
          </w:p>
        </w:tc>
        <w:tc>
          <w:tcPr>
            <w:tcW w:w="1250" w:type="dxa"/>
            <w:vMerge w:val="continue"/>
            <w:tcBorders>
              <w:left w:val="single" w:color="000000" w:sz="6" w:space="0"/>
              <w:bottom w:val="single" w:color="000000" w:sz="6" w:space="0"/>
              <w:right w:val="single" w:color="000000" w:sz="6" w:space="0"/>
            </w:tcBorders>
            <w:noWrap/>
            <w:vAlign w:val="center"/>
          </w:tcPr>
          <w:p w14:paraId="41A5B40A">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681" w:type="dxa"/>
            <w:tcBorders>
              <w:top w:val="single" w:color="000000" w:sz="6" w:space="0"/>
              <w:left w:val="single" w:color="000000" w:sz="6" w:space="0"/>
              <w:bottom w:val="single" w:color="000000" w:sz="6" w:space="0"/>
              <w:right w:val="single" w:color="000000" w:sz="6" w:space="0"/>
            </w:tcBorders>
            <w:noWrap/>
            <w:vAlign w:val="center"/>
          </w:tcPr>
          <w:p w14:paraId="037C951F">
            <w:pPr>
              <w:widowControl w:val="0"/>
              <w:autoSpaceDE w:val="0"/>
              <w:autoSpaceDN w:val="0"/>
              <w:spacing w:line="240" w:lineRule="auto"/>
              <w:jc w:val="center"/>
              <w:rPr>
                <w:rFonts w:ascii="仿宋" w:hAnsi="仿宋" w:eastAsia="仿宋" w:cs="仿宋"/>
                <w:kern w:val="0"/>
                <w:sz w:val="24"/>
                <w:szCs w:val="24"/>
                <w:highlight w:val="none"/>
              </w:rPr>
            </w:pPr>
          </w:p>
        </w:tc>
        <w:tc>
          <w:tcPr>
            <w:tcW w:w="1840" w:type="dxa"/>
            <w:tcBorders>
              <w:top w:val="single" w:color="000000" w:sz="6" w:space="0"/>
              <w:left w:val="single" w:color="000000" w:sz="6" w:space="0"/>
              <w:bottom w:val="single" w:color="000000" w:sz="6" w:space="0"/>
              <w:right w:val="single" w:color="000000" w:sz="6" w:space="0"/>
            </w:tcBorders>
            <w:noWrap/>
            <w:vAlign w:val="center"/>
          </w:tcPr>
          <w:p w14:paraId="0A105F2B">
            <w:pPr>
              <w:widowControl w:val="0"/>
              <w:autoSpaceDE w:val="0"/>
              <w:autoSpaceDN w:val="0"/>
              <w:spacing w:line="240" w:lineRule="auto"/>
              <w:jc w:val="center"/>
              <w:rPr>
                <w:rFonts w:ascii="仿宋" w:hAnsi="仿宋" w:eastAsia="仿宋" w:cs="仿宋"/>
                <w:kern w:val="0"/>
                <w:sz w:val="24"/>
                <w:szCs w:val="24"/>
                <w:highlight w:val="none"/>
                <w:lang w:val="zh-CN"/>
              </w:rPr>
            </w:pPr>
          </w:p>
        </w:tc>
        <w:tc>
          <w:tcPr>
            <w:tcW w:w="1270" w:type="dxa"/>
            <w:tcBorders>
              <w:top w:val="single" w:color="000000" w:sz="6" w:space="0"/>
              <w:left w:val="single" w:color="000000" w:sz="6" w:space="0"/>
              <w:bottom w:val="single" w:color="000000" w:sz="6" w:space="0"/>
              <w:right w:val="single" w:color="auto" w:sz="4" w:space="0"/>
            </w:tcBorders>
            <w:noWrap/>
            <w:vAlign w:val="center"/>
          </w:tcPr>
          <w:p w14:paraId="6C743241">
            <w:pPr>
              <w:widowControl w:val="0"/>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14:paraId="3E3B94D7">
            <w:pPr>
              <w:widowControl w:val="0"/>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14:paraId="0F64D1D2">
            <w:pPr>
              <w:widowControl w:val="0"/>
              <w:autoSpaceDE w:val="0"/>
              <w:autoSpaceDN w:val="0"/>
              <w:spacing w:line="240" w:lineRule="auto"/>
              <w:jc w:val="center"/>
              <w:rPr>
                <w:rFonts w:ascii="仿宋" w:hAnsi="仿宋" w:eastAsia="仿宋" w:cs="仿宋"/>
                <w:kern w:val="0"/>
                <w:sz w:val="24"/>
                <w:szCs w:val="24"/>
                <w:highlight w:val="none"/>
                <w:lang w:val="zh-CN"/>
              </w:rPr>
            </w:pPr>
          </w:p>
        </w:tc>
      </w:tr>
      <w:tr w14:paraId="096D6353">
        <w:tblPrEx>
          <w:tblCellMar>
            <w:top w:w="0" w:type="dxa"/>
            <w:left w:w="28" w:type="dxa"/>
            <w:bottom w:w="0" w:type="dxa"/>
            <w:right w:w="28" w:type="dxa"/>
          </w:tblCellMar>
        </w:tblPrEx>
        <w:trPr>
          <w:trHeight w:val="801" w:hRule="atLeast"/>
          <w:jc w:val="center"/>
        </w:trPr>
        <w:tc>
          <w:tcPr>
            <w:tcW w:w="8854" w:type="dxa"/>
            <w:gridSpan w:val="7"/>
            <w:tcBorders>
              <w:top w:val="single" w:color="000000" w:sz="6" w:space="0"/>
              <w:left w:val="single" w:color="000000" w:sz="8" w:space="0"/>
              <w:bottom w:val="single" w:color="000000" w:sz="6" w:space="0"/>
              <w:right w:val="single" w:color="000000" w:sz="8" w:space="0"/>
            </w:tcBorders>
            <w:noWrap/>
            <w:vAlign w:val="center"/>
          </w:tcPr>
          <w:p w14:paraId="32012809">
            <w:pPr>
              <w:widowControl w:val="0"/>
              <w:autoSpaceDE w:val="0"/>
              <w:autoSpaceDN w:val="0"/>
              <w:spacing w:line="240" w:lineRule="auto"/>
              <w:jc w:val="left"/>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合计（元）：</w:t>
            </w:r>
          </w:p>
        </w:tc>
      </w:tr>
      <w:tr w14:paraId="51D848C5">
        <w:tblPrEx>
          <w:tblCellMar>
            <w:top w:w="0" w:type="dxa"/>
            <w:left w:w="28" w:type="dxa"/>
            <w:bottom w:w="0" w:type="dxa"/>
            <w:right w:w="28" w:type="dxa"/>
          </w:tblCellMar>
        </w:tblPrEx>
        <w:trPr>
          <w:trHeight w:val="1570" w:hRule="atLeast"/>
          <w:jc w:val="center"/>
        </w:trPr>
        <w:tc>
          <w:tcPr>
            <w:tcW w:w="1963" w:type="dxa"/>
            <w:gridSpan w:val="2"/>
            <w:tcBorders>
              <w:top w:val="single" w:color="000000" w:sz="6" w:space="0"/>
              <w:left w:val="single" w:color="000000" w:sz="8" w:space="0"/>
              <w:bottom w:val="single" w:color="000000" w:sz="6" w:space="0"/>
              <w:right w:val="single" w:color="000000" w:sz="6" w:space="0"/>
            </w:tcBorders>
            <w:noWrap/>
            <w:vAlign w:val="center"/>
          </w:tcPr>
          <w:p w14:paraId="5594D715">
            <w:pPr>
              <w:widowControl w:val="0"/>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投标报价</w:t>
            </w:r>
          </w:p>
        </w:tc>
        <w:tc>
          <w:tcPr>
            <w:tcW w:w="6891" w:type="dxa"/>
            <w:gridSpan w:val="5"/>
            <w:tcBorders>
              <w:top w:val="single" w:color="000000" w:sz="6" w:space="0"/>
              <w:left w:val="single" w:color="000000" w:sz="6" w:space="0"/>
              <w:bottom w:val="single" w:color="000000" w:sz="6" w:space="0"/>
              <w:right w:val="single" w:color="000000" w:sz="8" w:space="0"/>
            </w:tcBorders>
            <w:noWrap/>
            <w:vAlign w:val="center"/>
          </w:tcPr>
          <w:p w14:paraId="2FC1BE10">
            <w:pPr>
              <w:widowControl w:val="0"/>
              <w:autoSpaceDE w:val="0"/>
              <w:autoSpaceDN w:val="0"/>
              <w:spacing w:before="190" w:beforeLines="50" w:line="240" w:lineRule="auto"/>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小写：</w:t>
            </w:r>
          </w:p>
          <w:p w14:paraId="41B1FEF6">
            <w:pPr>
              <w:widowControl w:val="0"/>
              <w:autoSpaceDE w:val="0"/>
              <w:autoSpaceDN w:val="0"/>
              <w:spacing w:line="240" w:lineRule="auto"/>
              <w:jc w:val="right"/>
              <w:rPr>
                <w:rFonts w:ascii="仿宋" w:hAnsi="仿宋" w:eastAsia="仿宋" w:cs="仿宋"/>
                <w:kern w:val="0"/>
                <w:sz w:val="24"/>
                <w:szCs w:val="24"/>
                <w:highlight w:val="none"/>
              </w:rPr>
            </w:pPr>
            <w:r>
              <w:rPr>
                <w:rFonts w:hint="eastAsia" w:ascii="仿宋" w:hAnsi="仿宋" w:eastAsia="仿宋" w:cs="仿宋"/>
                <w:sz w:val="24"/>
                <w:szCs w:val="24"/>
                <w:highlight w:val="none"/>
              </w:rPr>
              <w:t>单位：元（保留到元）</w:t>
            </w:r>
          </w:p>
        </w:tc>
      </w:tr>
    </w:tbl>
    <w:p w14:paraId="29740679">
      <w:pPr>
        <w:tabs>
          <w:tab w:val="right" w:pos="9072"/>
        </w:tabs>
        <w:ind w:firstLine="426"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p w14:paraId="0F9A8DB0">
      <w:pPr>
        <w:tabs>
          <w:tab w:val="right" w:pos="9072"/>
        </w:tabs>
        <w:ind w:firstLine="426" w:firstLineChars="200"/>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方案编制服务预算金额为</w:t>
      </w:r>
      <w:r>
        <w:rPr>
          <w:rFonts w:hint="eastAsia" w:ascii="宋体" w:hAnsi="宋体" w:eastAsia="宋体" w:cs="宋体"/>
          <w:color w:val="auto"/>
          <w:sz w:val="21"/>
          <w:szCs w:val="21"/>
          <w:highlight w:val="none"/>
          <w:lang w:val="en-US" w:eastAsia="zh-CN"/>
        </w:rPr>
        <w:t>26万元；信息化工程监理服务预算金额为23.73万元；第三方结算审核服务预算金额</w:t>
      </w:r>
      <w:bookmarkStart w:id="512" w:name="_GoBack"/>
      <w:bookmarkEnd w:id="512"/>
      <w:r>
        <w:rPr>
          <w:rFonts w:hint="eastAsia" w:ascii="宋体" w:hAnsi="宋体" w:eastAsia="宋体" w:cs="宋体"/>
          <w:color w:val="auto"/>
          <w:sz w:val="21"/>
          <w:szCs w:val="21"/>
          <w:highlight w:val="none"/>
          <w:lang w:val="en-US" w:eastAsia="zh-CN"/>
        </w:rPr>
        <w:t>为6.18万元；</w:t>
      </w:r>
    </w:p>
    <w:p w14:paraId="1A761FD5">
      <w:pPr>
        <w:keepNext w:val="0"/>
        <w:keepLines w:val="0"/>
        <w:pageBreakBefore w:val="0"/>
        <w:widowControl/>
        <w:tabs>
          <w:tab w:val="right" w:pos="9072"/>
        </w:tabs>
        <w:kinsoku/>
        <w:wordWrap/>
        <w:overflowPunct/>
        <w:topLinePunct w:val="0"/>
        <w:autoSpaceDE/>
        <w:autoSpaceDN/>
        <w:bidi w:val="0"/>
        <w:adjustRightInd/>
        <w:snapToGrid/>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2、供应商报价均不应超过各单项采购预算金额，合计总价不超过最高限价，否则按无效响应处理；</w:t>
      </w:r>
    </w:p>
    <w:p w14:paraId="6210377F">
      <w:pPr>
        <w:keepNext w:val="0"/>
        <w:keepLines w:val="0"/>
        <w:pageBreakBefore w:val="0"/>
        <w:widowControl/>
        <w:tabs>
          <w:tab w:val="right" w:pos="9072"/>
        </w:tabs>
        <w:kinsoku/>
        <w:wordWrap/>
        <w:overflowPunct/>
        <w:topLinePunct w:val="0"/>
        <w:autoSpaceDE/>
        <w:autoSpaceDN/>
        <w:bidi w:val="0"/>
        <w:adjustRightInd/>
        <w:snapToGrid/>
        <w:ind w:firstLine="426" w:firstLineChars="200"/>
        <w:textAlignment w:val="auto"/>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本表“磋商报价”金额应与“第一次磋商报价表”中的“磋商报价”一致；</w:t>
      </w:r>
    </w:p>
    <w:p w14:paraId="5C75B707">
      <w:pPr>
        <w:pStyle w:val="13"/>
        <w:rPr>
          <w:color w:val="auto"/>
          <w:highlight w:val="none"/>
        </w:rPr>
      </w:pPr>
    </w:p>
    <w:p w14:paraId="43C41E2B">
      <w:pPr>
        <w:widowControl w:val="0"/>
        <w:tabs>
          <w:tab w:val="right" w:pos="9072"/>
        </w:tabs>
        <w:ind w:firstLine="1981" w:firstLineChars="700"/>
        <w:rPr>
          <w:rFonts w:eastAsia="宋体"/>
          <w:color w:val="auto"/>
          <w:highlight w:val="none"/>
        </w:rPr>
      </w:pPr>
    </w:p>
    <w:p w14:paraId="35996BB9">
      <w:pPr>
        <w:widowControl w:val="0"/>
        <w:spacing w:line="500" w:lineRule="exact"/>
        <w:ind w:firstLine="3679" w:firstLineChars="1300"/>
        <w:jc w:val="both"/>
        <w:rPr>
          <w:rFonts w:ascii="仿宋" w:hAnsi="仿宋" w:eastAsia="仿宋" w:cs="仿宋"/>
          <w:color w:val="auto"/>
          <w:highlight w:val="none"/>
        </w:rPr>
      </w:pPr>
      <w:r>
        <w:rPr>
          <w:rFonts w:hint="eastAsia" w:ascii="仿宋" w:hAnsi="仿宋" w:eastAsia="仿宋" w:cs="仿宋"/>
          <w:color w:val="auto"/>
          <w:highlight w:val="none"/>
          <w:lang w:eastAsia="zh-CN"/>
        </w:rPr>
        <w:t>供应商</w:t>
      </w:r>
      <w:r>
        <w:rPr>
          <w:rFonts w:hint="eastAsia" w:ascii="华文仿宋" w:hAnsi="华文仿宋" w:cs="华文仿宋"/>
          <w:color w:val="auto"/>
          <w:highlight w:val="none"/>
          <w:lang w:val="en-US" w:eastAsia="zh-CN"/>
        </w:rPr>
        <w:t>或联合体牵头人</w:t>
      </w:r>
      <w:r>
        <w:rPr>
          <w:rFonts w:hint="eastAsia" w:ascii="仿宋" w:hAnsi="仿宋" w:eastAsia="仿宋" w:cs="仿宋"/>
          <w:color w:val="auto"/>
          <w:highlight w:val="none"/>
        </w:rPr>
        <w:t>：</w:t>
      </w:r>
      <w:r>
        <w:rPr>
          <w:rFonts w:hint="eastAsia" w:ascii="仿宋" w:hAnsi="仿宋" w:eastAsia="仿宋" w:cs="仿宋"/>
          <w:color w:val="auto"/>
          <w:highlight w:val="none"/>
          <w:u w:val="single"/>
        </w:rPr>
        <w:t>名称</w:t>
      </w:r>
      <w:r>
        <w:rPr>
          <w:rFonts w:hint="eastAsia" w:ascii="仿宋" w:hAnsi="仿宋" w:eastAsia="仿宋" w:cs="仿宋"/>
          <w:color w:val="auto"/>
          <w:highlight w:val="none"/>
        </w:rPr>
        <w:t>（加盖公章）</w:t>
      </w:r>
    </w:p>
    <w:p w14:paraId="4FBD8968">
      <w:pPr>
        <w:pStyle w:val="3"/>
        <w:widowControl w:val="0"/>
        <w:spacing w:after="190"/>
        <w:ind w:firstLine="5660" w:firstLineChars="2000"/>
        <w:rPr>
          <w:rFonts w:cs="Times New Roman"/>
          <w:color w:val="auto"/>
          <w:highlight w:val="none"/>
        </w:rPr>
        <w:sectPr>
          <w:pgSz w:w="11906" w:h="16838"/>
          <w:pgMar w:top="1304" w:right="1417" w:bottom="1304" w:left="1417" w:header="850" w:footer="992" w:gutter="0"/>
          <w:pgNumType w:chapStyle="1"/>
          <w:cols w:space="720" w:num="1"/>
          <w:docGrid w:type="linesAndChars" w:linePitch="381" w:charSpace="704"/>
        </w:sectPr>
      </w:pPr>
      <w:r>
        <w:rPr>
          <w:rFonts w:hint="eastAsia" w:ascii="仿宋" w:hAnsi="仿宋" w:eastAsia="仿宋" w:cs="仿宋"/>
          <w:color w:val="auto"/>
          <w:sz w:val="28"/>
          <w:szCs w:val="28"/>
          <w:highlight w:val="none"/>
        </w:rPr>
        <w:t>日期：　　年　月　日</w:t>
      </w:r>
    </w:p>
    <w:bookmarkEnd w:id="454"/>
    <w:p w14:paraId="517E85F3">
      <w:pPr>
        <w:pStyle w:val="46"/>
        <w:widowControl w:val="0"/>
        <w:spacing w:line="500" w:lineRule="exact"/>
        <w:ind w:firstLine="606" w:firstLineChars="200"/>
        <w:jc w:val="left"/>
        <w:rPr>
          <w:rFonts w:ascii="仿宋" w:hAnsi="仿宋" w:eastAsia="仿宋" w:cs="Times New Roman"/>
          <w:color w:val="auto"/>
          <w:sz w:val="30"/>
          <w:szCs w:val="30"/>
          <w:highlight w:val="none"/>
        </w:rPr>
      </w:pPr>
      <w:bookmarkStart w:id="467" w:name="_Toc15442"/>
      <w:bookmarkStart w:id="468" w:name="_Toc30708"/>
      <w:bookmarkStart w:id="469" w:name="_Toc32030"/>
      <w:bookmarkStart w:id="470" w:name="_Toc27481"/>
      <w:bookmarkStart w:id="471" w:name="_Toc6005"/>
      <w:bookmarkStart w:id="472" w:name="_Toc10991"/>
      <w:bookmarkStart w:id="473" w:name="_Toc21044"/>
      <w:bookmarkStart w:id="474" w:name="_Toc27127"/>
      <w:bookmarkStart w:id="475" w:name="_Toc2012"/>
      <w:bookmarkStart w:id="476" w:name="_Toc4946"/>
      <w:bookmarkStart w:id="477" w:name="_Toc9028"/>
      <w:r>
        <w:rPr>
          <w:rFonts w:hint="eastAsia" w:ascii="仿宋" w:hAnsi="仿宋" w:eastAsia="仿宋" w:cs="仿宋"/>
          <w:color w:val="auto"/>
          <w:sz w:val="30"/>
          <w:szCs w:val="30"/>
          <w:highlight w:val="none"/>
        </w:rPr>
        <w:t>三、</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承诺书</w:t>
      </w:r>
      <w:bookmarkEnd w:id="467"/>
      <w:bookmarkEnd w:id="468"/>
      <w:bookmarkEnd w:id="469"/>
      <w:bookmarkEnd w:id="470"/>
      <w:bookmarkEnd w:id="471"/>
      <w:bookmarkEnd w:id="472"/>
      <w:bookmarkEnd w:id="473"/>
      <w:bookmarkEnd w:id="474"/>
      <w:bookmarkEnd w:id="475"/>
      <w:bookmarkEnd w:id="476"/>
      <w:bookmarkEnd w:id="477"/>
    </w:p>
    <w:p w14:paraId="72478BEA">
      <w:pPr>
        <w:widowControl w:val="0"/>
        <w:spacing w:line="500" w:lineRule="exact"/>
        <w:ind w:firstLine="566" w:firstLineChars="200"/>
        <w:rPr>
          <w:rFonts w:cs="Times New Roman"/>
          <w:color w:val="auto"/>
          <w:highlight w:val="none"/>
        </w:rPr>
      </w:pPr>
      <w:r>
        <w:rPr>
          <w:rFonts w:hint="eastAsia" w:cs="华文仿宋"/>
          <w:color w:val="auto"/>
          <w:highlight w:val="none"/>
        </w:rPr>
        <w:t>未签署下列承诺书的，其责任由</w:t>
      </w:r>
      <w:r>
        <w:rPr>
          <w:rFonts w:hint="eastAsia" w:cs="华文仿宋"/>
          <w:color w:val="auto"/>
          <w:highlight w:val="none"/>
          <w:lang w:eastAsia="zh-CN"/>
        </w:rPr>
        <w:t>供应商</w:t>
      </w:r>
      <w:r>
        <w:rPr>
          <w:rFonts w:hint="eastAsia" w:cs="华文仿宋"/>
          <w:color w:val="auto"/>
          <w:highlight w:val="none"/>
        </w:rPr>
        <w:t>自行承担。</w:t>
      </w:r>
    </w:p>
    <w:p w14:paraId="57B324C8">
      <w:pPr>
        <w:widowControl w:val="0"/>
        <w:spacing w:line="500" w:lineRule="exact"/>
        <w:ind w:firstLine="566" w:firstLineChars="200"/>
        <w:rPr>
          <w:rFonts w:cs="Times New Roman"/>
          <w:b/>
          <w:bCs/>
          <w:color w:val="auto"/>
          <w:highlight w:val="none"/>
        </w:rPr>
      </w:pPr>
      <w:r>
        <w:rPr>
          <w:rFonts w:hint="eastAsia" w:cs="华文仿宋"/>
          <w:b/>
          <w:bCs/>
          <w:color w:val="auto"/>
          <w:highlight w:val="none"/>
        </w:rPr>
        <w:t>（一）质量安全责任承诺书</w:t>
      </w:r>
    </w:p>
    <w:p w14:paraId="6BE7EE3C">
      <w:pPr>
        <w:widowControl w:val="0"/>
        <w:spacing w:line="500" w:lineRule="exact"/>
        <w:ind w:firstLine="566" w:firstLineChars="200"/>
        <w:rPr>
          <w:rFonts w:cs="Times New Roman"/>
          <w:color w:val="auto"/>
          <w:highlight w:val="none"/>
        </w:rPr>
      </w:pPr>
      <w:r>
        <w:rPr>
          <w:rFonts w:hint="eastAsia" w:cs="华文仿宋"/>
          <w:color w:val="auto"/>
          <w:highlight w:val="none"/>
        </w:rPr>
        <w:t>为保证本采购项目顺利进行，作为</w:t>
      </w:r>
      <w:r>
        <w:rPr>
          <w:rFonts w:hint="eastAsia" w:cs="华文仿宋"/>
          <w:color w:val="auto"/>
          <w:highlight w:val="none"/>
          <w:lang w:eastAsia="zh-CN"/>
        </w:rPr>
        <w:t>供应商</w:t>
      </w:r>
      <w:r>
        <w:rPr>
          <w:rFonts w:hint="eastAsia" w:cs="华文仿宋"/>
          <w:color w:val="auto"/>
          <w:highlight w:val="none"/>
        </w:rPr>
        <w:t>，现郑重承诺：</w:t>
      </w:r>
    </w:p>
    <w:p w14:paraId="7B03898E">
      <w:pPr>
        <w:spacing w:line="500" w:lineRule="exact"/>
        <w:ind w:firstLine="566" w:firstLineChars="20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1、我方所投产品的生产（包括设计、制造、安装、改造、维修等）、投入使用的材料等均完全符合国家现行质量、安全、环保标准和要求。</w:t>
      </w:r>
    </w:p>
    <w:p w14:paraId="164B6BC5">
      <w:pPr>
        <w:spacing w:line="500" w:lineRule="exact"/>
        <w:ind w:firstLine="566" w:firstLineChars="20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2、我方将严格按照国家现行相关储存、运输、安装调试技术标准及规范、服务标准及规范、施工标准及规范，在规定的时限内，保质、保量完成项目全部内容，并向采购人交付合格产品。</w:t>
      </w:r>
    </w:p>
    <w:p w14:paraId="3025237A">
      <w:pPr>
        <w:spacing w:line="500" w:lineRule="exact"/>
        <w:ind w:firstLine="566" w:firstLineChars="20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3、对于因产品生产质量以及储存、运输、安装调试、服务、施工等过程中产生的任何安全事故，我方承担全部责任。</w:t>
      </w:r>
    </w:p>
    <w:p w14:paraId="3089281B">
      <w:pPr>
        <w:spacing w:line="500" w:lineRule="exact"/>
        <w:ind w:firstLine="566" w:firstLineChars="200"/>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4、我方提供的货物、工程、服务等符合现行的国家、行业、地区、</w:t>
      </w:r>
      <w:r>
        <w:rPr>
          <w:rFonts w:hint="eastAsia" w:ascii="华文仿宋" w:hAnsi="华文仿宋" w:cs="华文仿宋"/>
          <w:color w:val="auto"/>
          <w:sz w:val="28"/>
          <w:szCs w:val="28"/>
          <w:highlight w:val="none"/>
          <w:lang w:eastAsia="zh-CN"/>
        </w:rPr>
        <w:t>企业</w:t>
      </w:r>
      <w:r>
        <w:rPr>
          <w:rFonts w:hint="eastAsia" w:ascii="华文仿宋" w:hAnsi="华文仿宋" w:eastAsia="华文仿宋" w:cs="华文仿宋"/>
          <w:color w:val="auto"/>
          <w:sz w:val="28"/>
          <w:szCs w:val="28"/>
          <w:highlight w:val="none"/>
        </w:rPr>
        <w:t>标准及要求，标准不一致的，以更为严格的为准，我方对提供的货物、工程、服务等的质量、安全、环保等承担全部责任。</w:t>
      </w:r>
    </w:p>
    <w:p w14:paraId="2C6FC248">
      <w:pPr>
        <w:widowControl w:val="0"/>
        <w:spacing w:line="500" w:lineRule="exact"/>
        <w:rPr>
          <w:rFonts w:cs="Times New Roman"/>
          <w:color w:val="auto"/>
          <w:highlight w:val="none"/>
        </w:rPr>
      </w:pPr>
    </w:p>
    <w:p w14:paraId="0D83C06F">
      <w:pPr>
        <w:widowControl w:val="0"/>
        <w:spacing w:line="500" w:lineRule="exact"/>
        <w:ind w:firstLine="566" w:firstLineChars="200"/>
        <w:rPr>
          <w:rFonts w:cs="Times New Roman"/>
          <w:color w:val="auto"/>
          <w:highlight w:val="none"/>
        </w:rPr>
      </w:pPr>
    </w:p>
    <w:p w14:paraId="3F3168E8">
      <w:pPr>
        <w:widowControl w:val="0"/>
        <w:spacing w:line="500" w:lineRule="exact"/>
        <w:ind w:firstLine="5094" w:firstLineChars="1800"/>
        <w:rPr>
          <w:rFonts w:cs="Times New Roman"/>
          <w:color w:val="auto"/>
          <w:highlight w:val="none"/>
        </w:rPr>
      </w:pPr>
      <w:r>
        <w:rPr>
          <w:rFonts w:hint="eastAsia" w:cs="华文仿宋"/>
          <w:color w:val="auto"/>
          <w:highlight w:val="none"/>
          <w:lang w:eastAsia="zh-CN"/>
        </w:rPr>
        <w:t>供应商</w:t>
      </w:r>
      <w:r>
        <w:rPr>
          <w:rFonts w:hint="eastAsia" w:cs="华文仿宋"/>
          <w:color w:val="auto"/>
          <w:highlight w:val="none"/>
        </w:rPr>
        <w:t>：</w:t>
      </w:r>
      <w:r>
        <w:rPr>
          <w:rFonts w:hint="eastAsia" w:cs="华文仿宋"/>
          <w:color w:val="auto"/>
          <w:highlight w:val="none"/>
          <w:u w:val="single"/>
        </w:rPr>
        <w:t>名称</w:t>
      </w:r>
      <w:r>
        <w:rPr>
          <w:rFonts w:hint="eastAsia" w:cs="华文仿宋"/>
          <w:color w:val="auto"/>
          <w:highlight w:val="none"/>
        </w:rPr>
        <w:t>（加盖公章）</w:t>
      </w:r>
    </w:p>
    <w:p w14:paraId="08B00ADE">
      <w:pPr>
        <w:widowControl w:val="0"/>
        <w:spacing w:line="500" w:lineRule="exact"/>
        <w:ind w:firstLine="5377" w:firstLineChars="1900"/>
        <w:rPr>
          <w:rFonts w:cs="Times New Roman"/>
          <w:color w:val="auto"/>
          <w:highlight w:val="none"/>
        </w:rPr>
      </w:pPr>
      <w:r>
        <w:rPr>
          <w:rFonts w:hint="eastAsia" w:cs="华文仿宋"/>
          <w:color w:val="auto"/>
          <w:highlight w:val="none"/>
        </w:rPr>
        <w:t>日期：　年　月　日</w:t>
      </w:r>
    </w:p>
    <w:p w14:paraId="63401148">
      <w:pPr>
        <w:widowControl w:val="0"/>
        <w:spacing w:line="500" w:lineRule="exact"/>
        <w:rPr>
          <w:rFonts w:cs="Times New Roman"/>
          <w:color w:val="auto"/>
          <w:highlight w:val="none"/>
        </w:rPr>
      </w:pPr>
    </w:p>
    <w:p w14:paraId="3449299A">
      <w:pPr>
        <w:widowControl w:val="0"/>
        <w:spacing w:line="500" w:lineRule="exact"/>
        <w:rPr>
          <w:rFonts w:cs="Times New Roman"/>
          <w:color w:val="auto"/>
          <w:highlight w:val="none"/>
        </w:rPr>
      </w:pPr>
    </w:p>
    <w:p w14:paraId="04A59F97">
      <w:pPr>
        <w:widowControl w:val="0"/>
        <w:numPr>
          <w:ilvl w:val="255"/>
          <w:numId w:val="0"/>
        </w:numPr>
        <w:ind w:firstLine="42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rPr>
        <w:t>：如为联合体的，联合体各方均需提供此证明。</w:t>
      </w:r>
    </w:p>
    <w:p w14:paraId="07C5D55E">
      <w:pPr>
        <w:widowControl w:val="0"/>
        <w:spacing w:line="500" w:lineRule="exact"/>
        <w:rPr>
          <w:rFonts w:cs="Times New Roman"/>
          <w:color w:val="auto"/>
          <w:highlight w:val="none"/>
        </w:rPr>
      </w:pPr>
    </w:p>
    <w:p w14:paraId="40A9C3D9">
      <w:pPr>
        <w:pStyle w:val="2"/>
        <w:widowControl w:val="0"/>
        <w:ind w:firstLine="183"/>
        <w:rPr>
          <w:color w:val="auto"/>
          <w:highlight w:val="none"/>
        </w:rPr>
      </w:pPr>
    </w:p>
    <w:p w14:paraId="0E66F18C">
      <w:pPr>
        <w:pStyle w:val="2"/>
        <w:widowControl w:val="0"/>
        <w:ind w:firstLine="183"/>
        <w:rPr>
          <w:color w:val="auto"/>
          <w:highlight w:val="none"/>
        </w:rPr>
      </w:pPr>
    </w:p>
    <w:p w14:paraId="34BCF244">
      <w:pPr>
        <w:widowControl w:val="0"/>
        <w:spacing w:line="500" w:lineRule="exact"/>
        <w:rPr>
          <w:rFonts w:cs="Times New Roman"/>
          <w:color w:val="auto"/>
          <w:highlight w:val="none"/>
        </w:rPr>
      </w:pPr>
    </w:p>
    <w:p w14:paraId="74DF86B5">
      <w:pPr>
        <w:pStyle w:val="2"/>
        <w:widowControl w:val="0"/>
        <w:ind w:firstLine="183"/>
        <w:rPr>
          <w:color w:val="auto"/>
          <w:highlight w:val="none"/>
        </w:rPr>
      </w:pPr>
    </w:p>
    <w:p w14:paraId="78682767">
      <w:pPr>
        <w:widowControl w:val="0"/>
        <w:spacing w:before="190" w:beforeLines="50" w:line="500" w:lineRule="exact"/>
        <w:ind w:firstLine="566" w:firstLineChars="200"/>
        <w:rPr>
          <w:rFonts w:cs="Times New Roman"/>
          <w:b/>
          <w:bCs/>
          <w:color w:val="auto"/>
          <w:highlight w:val="none"/>
        </w:rPr>
      </w:pPr>
    </w:p>
    <w:p w14:paraId="7DA9C344">
      <w:pPr>
        <w:pStyle w:val="2"/>
        <w:rPr>
          <w:highlight w:val="none"/>
        </w:rPr>
      </w:pPr>
    </w:p>
    <w:p w14:paraId="57B18FFC">
      <w:pPr>
        <w:widowControl w:val="0"/>
        <w:spacing w:before="190" w:beforeLines="50" w:line="500" w:lineRule="exact"/>
        <w:ind w:firstLine="566" w:firstLineChars="200"/>
        <w:rPr>
          <w:rFonts w:cs="Times New Roman"/>
          <w:b/>
          <w:bCs/>
          <w:color w:val="auto"/>
          <w:highlight w:val="none"/>
        </w:rPr>
      </w:pPr>
      <w:r>
        <w:rPr>
          <w:rFonts w:hint="eastAsia" w:cs="华文仿宋"/>
          <w:b/>
          <w:bCs/>
          <w:color w:val="auto"/>
          <w:highlight w:val="none"/>
        </w:rPr>
        <w:t>（二）拒绝政府采购领域商业贿赂承诺书</w:t>
      </w:r>
    </w:p>
    <w:p w14:paraId="6E363EB1">
      <w:pPr>
        <w:widowControl w:val="0"/>
        <w:overflowPunct w:val="0"/>
        <w:topLinePunct/>
        <w:spacing w:line="440" w:lineRule="exact"/>
        <w:jc w:val="center"/>
        <w:rPr>
          <w:rFonts w:cs="Times New Roman"/>
          <w:color w:val="auto"/>
          <w:highlight w:val="none"/>
        </w:rPr>
      </w:pPr>
      <w:r>
        <w:rPr>
          <w:rFonts w:hint="eastAsia" w:cs="华文仿宋"/>
          <w:color w:val="auto"/>
          <w:highlight w:val="none"/>
        </w:rPr>
        <w:t>（执行陕财办采管</w:t>
      </w:r>
      <w:r>
        <w:rPr>
          <w:rFonts w:ascii="仿宋" w:hAnsi="仿宋" w:eastAsia="仿宋" w:cs="仿宋"/>
          <w:color w:val="auto"/>
          <w:highlight w:val="none"/>
        </w:rPr>
        <w:t>[2006]21</w:t>
      </w:r>
      <w:r>
        <w:rPr>
          <w:rFonts w:hint="eastAsia" w:cs="华文仿宋"/>
          <w:color w:val="auto"/>
          <w:highlight w:val="none"/>
        </w:rPr>
        <w:t>号文件）</w:t>
      </w:r>
    </w:p>
    <w:p w14:paraId="7A8916C5">
      <w:pPr>
        <w:widowControl w:val="0"/>
        <w:spacing w:line="500" w:lineRule="exact"/>
        <w:ind w:firstLine="566" w:firstLineChars="200"/>
        <w:rPr>
          <w:rFonts w:cs="Times New Roman"/>
          <w:color w:val="auto"/>
          <w:highlight w:val="none"/>
        </w:rPr>
      </w:pPr>
      <w:r>
        <w:rPr>
          <w:rFonts w:hint="eastAsia" w:cs="华文仿宋"/>
          <w:color w:val="auto"/>
          <w:highlight w:val="none"/>
        </w:rPr>
        <w:t>为响应党中央、国务院关于治理政府采购领域商业贿赂行为的号召，我公司在此庄严承诺：</w:t>
      </w:r>
    </w:p>
    <w:p w14:paraId="2EA62691">
      <w:pPr>
        <w:widowControl w:val="0"/>
        <w:spacing w:line="500" w:lineRule="exact"/>
        <w:ind w:firstLine="566" w:firstLineChars="200"/>
        <w:rPr>
          <w:rFonts w:cs="Times New Roman"/>
          <w:color w:val="auto"/>
          <w:highlight w:val="none"/>
        </w:rPr>
      </w:pPr>
      <w:r>
        <w:rPr>
          <w:color w:val="auto"/>
          <w:highlight w:val="none"/>
        </w:rPr>
        <w:t>1</w:t>
      </w:r>
      <w:r>
        <w:rPr>
          <w:rFonts w:hint="eastAsia" w:cs="华文仿宋"/>
          <w:color w:val="auto"/>
          <w:highlight w:val="none"/>
        </w:rPr>
        <w:t>、在参与政府采购活动中遵纪守法、诚信经营、公平竞标。</w:t>
      </w:r>
    </w:p>
    <w:p w14:paraId="2427791D">
      <w:pPr>
        <w:widowControl w:val="0"/>
        <w:spacing w:line="500" w:lineRule="exact"/>
        <w:ind w:firstLine="566" w:firstLineChars="200"/>
        <w:rPr>
          <w:rFonts w:cs="Times New Roman"/>
          <w:color w:val="auto"/>
          <w:highlight w:val="none"/>
        </w:rPr>
      </w:pPr>
      <w:r>
        <w:rPr>
          <w:color w:val="auto"/>
          <w:highlight w:val="none"/>
        </w:rPr>
        <w:t>2</w:t>
      </w:r>
      <w:r>
        <w:rPr>
          <w:rFonts w:hint="eastAsia" w:cs="华文仿宋"/>
          <w:color w:val="auto"/>
          <w:highlight w:val="none"/>
        </w:rPr>
        <w:t>、不向政府采购人、采购代理机构和政府采购评审专家进行任何形式的商业贿赂以谋取交易机会。</w:t>
      </w:r>
    </w:p>
    <w:p w14:paraId="5D031C40">
      <w:pPr>
        <w:widowControl w:val="0"/>
        <w:spacing w:line="500" w:lineRule="exact"/>
        <w:ind w:firstLine="566" w:firstLineChars="200"/>
        <w:rPr>
          <w:rFonts w:cs="Times New Roman"/>
          <w:color w:val="auto"/>
          <w:highlight w:val="none"/>
        </w:rPr>
      </w:pPr>
      <w:r>
        <w:rPr>
          <w:color w:val="auto"/>
          <w:highlight w:val="none"/>
        </w:rPr>
        <w:t>3</w:t>
      </w:r>
      <w:r>
        <w:rPr>
          <w:rFonts w:hint="eastAsia" w:cs="华文仿宋"/>
          <w:color w:val="auto"/>
          <w:highlight w:val="none"/>
        </w:rPr>
        <w:t>、不向政府采购代理机构和采购人提供虚假资质文件或采用虚假应标方式参与政府采购市场竞争并谋取中标、成交。</w:t>
      </w:r>
    </w:p>
    <w:p w14:paraId="245CDF9F">
      <w:pPr>
        <w:widowControl w:val="0"/>
        <w:spacing w:line="500" w:lineRule="exact"/>
        <w:ind w:firstLine="566" w:firstLineChars="200"/>
        <w:rPr>
          <w:rFonts w:cs="Times New Roman"/>
          <w:color w:val="auto"/>
          <w:highlight w:val="none"/>
        </w:rPr>
      </w:pPr>
      <w:r>
        <w:rPr>
          <w:color w:val="auto"/>
          <w:highlight w:val="none"/>
        </w:rPr>
        <w:t>4</w:t>
      </w:r>
      <w:r>
        <w:rPr>
          <w:rFonts w:hint="eastAsia" w:cs="华文仿宋"/>
          <w:color w:val="auto"/>
          <w:highlight w:val="none"/>
        </w:rPr>
        <w:t>、不采取“围标、陪标”等商业欺诈手段获得政府采购定单。</w:t>
      </w:r>
    </w:p>
    <w:p w14:paraId="13016543">
      <w:pPr>
        <w:widowControl w:val="0"/>
        <w:spacing w:line="500" w:lineRule="exact"/>
        <w:ind w:firstLine="566" w:firstLineChars="200"/>
        <w:rPr>
          <w:rFonts w:cs="Times New Roman"/>
          <w:color w:val="auto"/>
          <w:highlight w:val="none"/>
        </w:rPr>
      </w:pPr>
      <w:r>
        <w:rPr>
          <w:color w:val="auto"/>
          <w:highlight w:val="none"/>
        </w:rPr>
        <w:t>5</w:t>
      </w:r>
      <w:r>
        <w:rPr>
          <w:rFonts w:hint="eastAsia" w:cs="华文仿宋"/>
          <w:color w:val="auto"/>
          <w:highlight w:val="none"/>
        </w:rPr>
        <w:t>、不采取不正当手段诋毁、排挤其他</w:t>
      </w:r>
      <w:r>
        <w:rPr>
          <w:rFonts w:hint="eastAsia" w:cs="华文仿宋"/>
          <w:color w:val="auto"/>
          <w:highlight w:val="none"/>
          <w:lang w:eastAsia="zh-CN"/>
        </w:rPr>
        <w:t>供应商</w:t>
      </w:r>
      <w:r>
        <w:rPr>
          <w:rFonts w:hint="eastAsia" w:cs="华文仿宋"/>
          <w:color w:val="auto"/>
          <w:highlight w:val="none"/>
        </w:rPr>
        <w:t>。</w:t>
      </w:r>
    </w:p>
    <w:p w14:paraId="230B47D6">
      <w:pPr>
        <w:widowControl w:val="0"/>
        <w:spacing w:line="500" w:lineRule="exact"/>
        <w:ind w:firstLine="566" w:firstLineChars="200"/>
        <w:rPr>
          <w:rFonts w:cs="Times New Roman"/>
          <w:color w:val="auto"/>
          <w:highlight w:val="none"/>
        </w:rPr>
      </w:pPr>
      <w:r>
        <w:rPr>
          <w:color w:val="auto"/>
          <w:highlight w:val="none"/>
        </w:rPr>
        <w:t>6</w:t>
      </w:r>
      <w:r>
        <w:rPr>
          <w:rFonts w:hint="eastAsia" w:cs="华文仿宋"/>
          <w:color w:val="auto"/>
          <w:highlight w:val="none"/>
        </w:rPr>
        <w:t>、不在提供商品和服务时“偷梁换柱、以次充好”损害采购人的合法权益。</w:t>
      </w:r>
    </w:p>
    <w:p w14:paraId="7CAD3E81">
      <w:pPr>
        <w:widowControl w:val="0"/>
        <w:spacing w:line="500" w:lineRule="exact"/>
        <w:ind w:firstLine="566" w:firstLineChars="200"/>
        <w:rPr>
          <w:rFonts w:cs="Times New Roman"/>
          <w:color w:val="auto"/>
          <w:highlight w:val="none"/>
        </w:rPr>
      </w:pPr>
      <w:r>
        <w:rPr>
          <w:color w:val="auto"/>
          <w:highlight w:val="none"/>
        </w:rPr>
        <w:t>7</w:t>
      </w:r>
      <w:r>
        <w:rPr>
          <w:rFonts w:hint="eastAsia" w:cs="华文仿宋"/>
          <w:color w:val="auto"/>
          <w:highlight w:val="none"/>
        </w:rPr>
        <w:t>、不与采购人、采购代理机构政府采购评审专家或其它</w:t>
      </w:r>
      <w:r>
        <w:rPr>
          <w:rFonts w:hint="eastAsia" w:cs="华文仿宋"/>
          <w:color w:val="auto"/>
          <w:highlight w:val="none"/>
          <w:lang w:eastAsia="zh-CN"/>
        </w:rPr>
        <w:t>供应商</w:t>
      </w:r>
      <w:r>
        <w:rPr>
          <w:rFonts w:hint="eastAsia" w:cs="华文仿宋"/>
          <w:color w:val="auto"/>
          <w:highlight w:val="none"/>
        </w:rPr>
        <w:t>恶意串通，进行质疑和投诉，维护政府采购市场秩序。</w:t>
      </w:r>
    </w:p>
    <w:p w14:paraId="16DF5484">
      <w:pPr>
        <w:widowControl w:val="0"/>
        <w:spacing w:line="500" w:lineRule="exact"/>
        <w:ind w:firstLine="566" w:firstLineChars="200"/>
        <w:rPr>
          <w:rFonts w:cs="Times New Roman"/>
          <w:color w:val="auto"/>
          <w:highlight w:val="none"/>
        </w:rPr>
      </w:pPr>
      <w:r>
        <w:rPr>
          <w:color w:val="auto"/>
          <w:highlight w:val="none"/>
        </w:rPr>
        <w:t>8</w:t>
      </w:r>
      <w:r>
        <w:rPr>
          <w:rFonts w:hint="eastAsia" w:cs="华文仿宋"/>
          <w:color w:val="auto"/>
          <w:highlight w:val="none"/>
        </w:rPr>
        <w:t>、尊重和接受政府采购监督管理部门的监督和政府采购代理机构招标采购要求，承担因违约行为给采购人造成的损失。</w:t>
      </w:r>
    </w:p>
    <w:p w14:paraId="014CA9FF">
      <w:pPr>
        <w:widowControl w:val="0"/>
        <w:spacing w:line="500" w:lineRule="exact"/>
        <w:ind w:firstLine="566" w:firstLineChars="200"/>
        <w:rPr>
          <w:rFonts w:cs="Times New Roman"/>
          <w:color w:val="auto"/>
          <w:highlight w:val="none"/>
        </w:rPr>
      </w:pPr>
      <w:r>
        <w:rPr>
          <w:color w:val="auto"/>
          <w:highlight w:val="none"/>
        </w:rPr>
        <w:t>9</w:t>
      </w:r>
      <w:r>
        <w:rPr>
          <w:rFonts w:hint="eastAsia" w:cs="华文仿宋"/>
          <w:color w:val="auto"/>
          <w:highlight w:val="none"/>
        </w:rPr>
        <w:t>、不发生其他有悖于政府采购公开、公平、公正和诚信原则的行为。</w:t>
      </w:r>
    </w:p>
    <w:p w14:paraId="340CD803">
      <w:pPr>
        <w:widowControl w:val="0"/>
        <w:spacing w:line="500" w:lineRule="exact"/>
        <w:rPr>
          <w:rFonts w:cs="Times New Roman"/>
          <w:color w:val="auto"/>
          <w:highlight w:val="none"/>
        </w:rPr>
      </w:pPr>
    </w:p>
    <w:p w14:paraId="0D46AFB5">
      <w:pPr>
        <w:widowControl w:val="0"/>
        <w:spacing w:line="500" w:lineRule="exact"/>
        <w:ind w:firstLine="5094" w:firstLineChars="1800"/>
        <w:rPr>
          <w:rFonts w:cs="Times New Roman"/>
          <w:color w:val="auto"/>
          <w:highlight w:val="none"/>
        </w:rPr>
      </w:pPr>
      <w:r>
        <w:rPr>
          <w:rFonts w:hint="eastAsia" w:cs="华文仿宋"/>
          <w:color w:val="auto"/>
          <w:highlight w:val="none"/>
          <w:lang w:eastAsia="zh-CN"/>
        </w:rPr>
        <w:t>供应商</w:t>
      </w:r>
      <w:r>
        <w:rPr>
          <w:rFonts w:hint="eastAsia" w:cs="华文仿宋"/>
          <w:color w:val="auto"/>
          <w:highlight w:val="none"/>
        </w:rPr>
        <w:t>：</w:t>
      </w:r>
      <w:r>
        <w:rPr>
          <w:rFonts w:hint="eastAsia" w:cs="华文仿宋"/>
          <w:color w:val="auto"/>
          <w:highlight w:val="none"/>
          <w:u w:val="single"/>
        </w:rPr>
        <w:t>名称</w:t>
      </w:r>
      <w:r>
        <w:rPr>
          <w:rFonts w:hint="eastAsia" w:cs="华文仿宋"/>
          <w:color w:val="auto"/>
          <w:highlight w:val="none"/>
        </w:rPr>
        <w:t>（加盖公章）</w:t>
      </w:r>
    </w:p>
    <w:p w14:paraId="531813FF">
      <w:pPr>
        <w:widowControl w:val="0"/>
        <w:spacing w:line="500" w:lineRule="exact"/>
        <w:ind w:firstLine="5377" w:firstLineChars="1900"/>
        <w:rPr>
          <w:rFonts w:cs="Times New Roman"/>
          <w:color w:val="auto"/>
          <w:highlight w:val="none"/>
        </w:rPr>
      </w:pPr>
      <w:r>
        <w:rPr>
          <w:rFonts w:hint="eastAsia" w:cs="华文仿宋"/>
          <w:color w:val="auto"/>
          <w:highlight w:val="none"/>
        </w:rPr>
        <w:t>日期：　年　月　日</w:t>
      </w:r>
    </w:p>
    <w:p w14:paraId="226E71A4">
      <w:pPr>
        <w:widowControl w:val="0"/>
        <w:numPr>
          <w:ilvl w:val="255"/>
          <w:numId w:val="0"/>
        </w:numPr>
        <w:ind w:firstLine="426" w:firstLineChars="200"/>
        <w:rPr>
          <w:rFonts w:hint="eastAsia" w:ascii="宋体" w:hAnsi="宋体" w:eastAsia="宋体" w:cs="宋体"/>
          <w:b/>
          <w:bCs/>
          <w:color w:val="auto"/>
          <w:sz w:val="21"/>
          <w:szCs w:val="21"/>
          <w:highlight w:val="none"/>
          <w:lang w:val="en-US" w:eastAsia="zh-CN"/>
        </w:rPr>
      </w:pPr>
    </w:p>
    <w:p w14:paraId="7926569F">
      <w:pPr>
        <w:widowControl w:val="0"/>
        <w:numPr>
          <w:ilvl w:val="255"/>
          <w:numId w:val="0"/>
        </w:numPr>
        <w:ind w:firstLine="426" w:firstLineChars="200"/>
        <w:rPr>
          <w:rFonts w:hint="eastAsia" w:ascii="宋体" w:hAnsi="宋体" w:eastAsia="宋体" w:cs="宋体"/>
          <w:b/>
          <w:bCs/>
          <w:color w:val="auto"/>
          <w:sz w:val="21"/>
          <w:szCs w:val="21"/>
          <w:highlight w:val="none"/>
          <w:lang w:val="en-US" w:eastAsia="zh-CN"/>
        </w:rPr>
      </w:pPr>
    </w:p>
    <w:p w14:paraId="307BF07A">
      <w:pPr>
        <w:widowControl w:val="0"/>
        <w:numPr>
          <w:ilvl w:val="255"/>
          <w:numId w:val="0"/>
        </w:numPr>
        <w:ind w:firstLine="426" w:firstLineChars="200"/>
        <w:rPr>
          <w:rFonts w:hint="eastAsia" w:ascii="宋体" w:hAnsi="宋体" w:eastAsia="宋体" w:cs="宋体"/>
          <w:b/>
          <w:bCs/>
          <w:color w:val="auto"/>
          <w:sz w:val="21"/>
          <w:szCs w:val="21"/>
          <w:highlight w:val="none"/>
          <w:lang w:val="en-US" w:eastAsia="zh-CN"/>
        </w:rPr>
      </w:pPr>
    </w:p>
    <w:p w14:paraId="6D993EFB">
      <w:pPr>
        <w:widowControl w:val="0"/>
        <w:numPr>
          <w:ilvl w:val="255"/>
          <w:numId w:val="0"/>
        </w:numPr>
        <w:ind w:firstLine="42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rPr>
        <w:t>：如为联合体的，联合体各方均需提供此证明。</w:t>
      </w:r>
    </w:p>
    <w:p w14:paraId="1CA8D980">
      <w:pPr>
        <w:widowControl w:val="0"/>
        <w:spacing w:line="500" w:lineRule="exact"/>
        <w:ind w:firstLine="566" w:firstLineChars="200"/>
        <w:jc w:val="left"/>
        <w:rPr>
          <w:rFonts w:hint="eastAsia" w:ascii="华文仿宋" w:hAnsi="华文仿宋" w:eastAsia="仿宋" w:cs="华文仿宋"/>
          <w:b/>
          <w:bCs/>
          <w:color w:val="auto"/>
          <w:sz w:val="32"/>
          <w:szCs w:val="32"/>
          <w:highlight w:val="none"/>
          <w:lang w:eastAsia="zh-CN"/>
        </w:rPr>
      </w:pPr>
      <w:r>
        <w:rPr>
          <w:rFonts w:cs="Times New Roman"/>
          <w:color w:val="auto"/>
          <w:highlight w:val="none"/>
        </w:rPr>
        <w:br w:type="page"/>
      </w:r>
      <w:r>
        <w:rPr>
          <w:rFonts w:hint="eastAsia" w:ascii="仿宋" w:hAnsi="仿宋" w:eastAsia="仿宋" w:cs="仿宋"/>
          <w:b/>
          <w:bCs/>
          <w:color w:val="auto"/>
          <w:sz w:val="30"/>
          <w:szCs w:val="30"/>
          <w:highlight w:val="none"/>
        </w:rPr>
        <w:t>四、</w:t>
      </w:r>
      <w:r>
        <w:rPr>
          <w:rFonts w:hint="eastAsia" w:ascii="仿宋" w:hAnsi="仿宋" w:eastAsia="仿宋" w:cs="仿宋"/>
          <w:b/>
          <w:bCs/>
          <w:color w:val="auto"/>
          <w:sz w:val="30"/>
          <w:szCs w:val="30"/>
          <w:highlight w:val="none"/>
          <w:lang w:eastAsia="zh-CN"/>
        </w:rPr>
        <w:t>实质性条款响应</w:t>
      </w:r>
    </w:p>
    <w:p w14:paraId="38E68054">
      <w:pPr>
        <w:tabs>
          <w:tab w:val="right" w:pos="9070"/>
        </w:tabs>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（一）按照</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第</w:t>
      </w:r>
      <w:r>
        <w:rPr>
          <w:rFonts w:hint="eastAsia" w:ascii="华文仿宋" w:hAnsi="华文仿宋" w:cs="华文仿宋"/>
          <w:color w:val="auto"/>
          <w:highlight w:val="none"/>
          <w:lang w:eastAsia="zh-CN"/>
        </w:rPr>
        <w:t>三</w:t>
      </w:r>
      <w:r>
        <w:rPr>
          <w:rFonts w:hint="eastAsia" w:ascii="华文仿宋" w:hAnsi="华文仿宋" w:cs="华文仿宋"/>
          <w:color w:val="auto"/>
          <w:highlight w:val="none"/>
        </w:rPr>
        <w:t>章“</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内容及采购要求”中“★”内容要求，提供相关承诺函（</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将承诺函附至此处）。</w:t>
      </w:r>
    </w:p>
    <w:p w14:paraId="7FA1F07F">
      <w:pPr>
        <w:pStyle w:val="3"/>
        <w:spacing w:after="190" w:line="500" w:lineRule="exact"/>
        <w:rPr>
          <w:rFonts w:ascii="华文仿宋" w:hAnsi="华文仿宋" w:cs="华文仿宋"/>
          <w:color w:val="auto"/>
          <w:highlight w:val="none"/>
        </w:rPr>
      </w:pPr>
    </w:p>
    <w:p w14:paraId="0CB44422">
      <w:pPr>
        <w:tabs>
          <w:tab w:val="right" w:pos="9070"/>
        </w:tabs>
        <w:spacing w:line="500" w:lineRule="exact"/>
        <w:ind w:firstLine="5660" w:firstLineChars="2000"/>
        <w:jc w:val="right"/>
        <w:rPr>
          <w:rFonts w:ascii="仿宋" w:hAnsi="仿宋" w:eastAsia="仿宋" w:cs="Times New Roman"/>
          <w:color w:val="auto"/>
          <w:highlight w:val="none"/>
        </w:rPr>
      </w:pPr>
      <w:r>
        <w:rPr>
          <w:rFonts w:ascii="仿宋" w:hAnsi="仿宋" w:eastAsia="仿宋" w:cs="Times New Roman"/>
          <w:color w:val="auto"/>
          <w:highlight w:val="none"/>
        </w:rPr>
        <w:tab/>
      </w:r>
    </w:p>
    <w:p w14:paraId="5E71C059">
      <w:pPr>
        <w:tabs>
          <w:tab w:val="right" w:pos="9070"/>
        </w:tabs>
        <w:spacing w:line="500" w:lineRule="exact"/>
        <w:ind w:firstLine="566" w:firstLineChars="200"/>
        <w:rPr>
          <w:rFonts w:ascii="仿宋" w:hAnsi="仿宋" w:eastAsia="仿宋" w:cs="Times New Roman"/>
          <w:color w:val="auto"/>
          <w:highlight w:val="none"/>
        </w:rPr>
      </w:pPr>
    </w:p>
    <w:p w14:paraId="6205CA44">
      <w:pPr>
        <w:pStyle w:val="3"/>
        <w:spacing w:after="190"/>
        <w:rPr>
          <w:color w:val="auto"/>
          <w:highlight w:val="none"/>
        </w:rPr>
      </w:pPr>
    </w:p>
    <w:p w14:paraId="439813C6">
      <w:pPr>
        <w:widowControl w:val="0"/>
        <w:numPr>
          <w:ilvl w:val="0"/>
          <w:numId w:val="8"/>
        </w:numPr>
        <w:spacing w:line="500" w:lineRule="exact"/>
        <w:ind w:firstLine="566" w:firstLineChars="200"/>
        <w:rPr>
          <w:rFonts w:ascii="华文仿宋" w:hAnsi="华文仿宋" w:cs="华文仿宋"/>
          <w:color w:val="auto"/>
          <w:highlight w:val="none"/>
        </w:rPr>
      </w:pPr>
      <w:r>
        <w:rPr>
          <w:rFonts w:hint="eastAsia" w:ascii="华文仿宋" w:hAnsi="华文仿宋" w:cs="华文仿宋"/>
          <w:color w:val="auto"/>
          <w:highlight w:val="none"/>
        </w:rPr>
        <w:t>按照</w:t>
      </w:r>
      <w:r>
        <w:rPr>
          <w:rFonts w:hint="eastAsia" w:ascii="华文仿宋" w:hAnsi="华文仿宋" w:cs="华文仿宋"/>
          <w:color w:val="auto"/>
          <w:highlight w:val="none"/>
          <w:lang w:eastAsia="zh-CN"/>
        </w:rPr>
        <w:t>磋商文件</w:t>
      </w:r>
      <w:r>
        <w:rPr>
          <w:rFonts w:hint="eastAsia" w:ascii="华文仿宋" w:hAnsi="华文仿宋" w:cs="华文仿宋"/>
          <w:color w:val="auto"/>
          <w:highlight w:val="none"/>
        </w:rPr>
        <w:t>第</w:t>
      </w:r>
      <w:r>
        <w:rPr>
          <w:rFonts w:hint="eastAsia" w:ascii="华文仿宋" w:hAnsi="华文仿宋" w:cs="华文仿宋"/>
          <w:color w:val="auto"/>
          <w:highlight w:val="none"/>
          <w:lang w:eastAsia="zh-CN"/>
        </w:rPr>
        <w:t>三</w:t>
      </w:r>
      <w:r>
        <w:rPr>
          <w:rFonts w:hint="eastAsia" w:ascii="华文仿宋" w:hAnsi="华文仿宋" w:cs="华文仿宋"/>
          <w:color w:val="auto"/>
          <w:highlight w:val="none"/>
        </w:rPr>
        <w:t>章“</w:t>
      </w:r>
      <w:r>
        <w:rPr>
          <w:rFonts w:hint="eastAsia" w:ascii="华文仿宋" w:hAnsi="华文仿宋" w:cs="华文仿宋"/>
          <w:color w:val="auto"/>
          <w:highlight w:val="none"/>
          <w:lang w:eastAsia="zh-CN"/>
        </w:rPr>
        <w:t>磋商</w:t>
      </w:r>
      <w:r>
        <w:rPr>
          <w:rFonts w:hint="eastAsia" w:ascii="华文仿宋" w:hAnsi="华文仿宋" w:cs="华文仿宋"/>
          <w:color w:val="auto"/>
          <w:highlight w:val="none"/>
        </w:rPr>
        <w:t>内容及采购要求”中“★”内容要求，提供证书复印件等相关证明材料（</w:t>
      </w:r>
      <w:r>
        <w:rPr>
          <w:rFonts w:hint="eastAsia" w:ascii="华文仿宋" w:hAnsi="华文仿宋" w:cs="华文仿宋"/>
          <w:color w:val="auto"/>
          <w:highlight w:val="none"/>
          <w:lang w:eastAsia="zh-CN"/>
        </w:rPr>
        <w:t>供应商</w:t>
      </w:r>
      <w:r>
        <w:rPr>
          <w:rFonts w:hint="eastAsia" w:ascii="华文仿宋" w:hAnsi="华文仿宋" w:cs="华文仿宋"/>
          <w:color w:val="auto"/>
          <w:highlight w:val="none"/>
        </w:rPr>
        <w:t>将证书复印件附至此处）。</w:t>
      </w:r>
    </w:p>
    <w:p w14:paraId="5557561B">
      <w:pPr>
        <w:widowControl w:val="0"/>
        <w:spacing w:line="500" w:lineRule="exact"/>
        <w:rPr>
          <w:rFonts w:ascii="宋体" w:hAnsi="宋体" w:eastAsia="宋体" w:cs="宋体"/>
          <w:b/>
          <w:bCs/>
          <w:color w:val="auto"/>
          <w:sz w:val="21"/>
          <w:szCs w:val="21"/>
          <w:highlight w:val="none"/>
        </w:rPr>
      </w:pPr>
    </w:p>
    <w:p w14:paraId="7064777B">
      <w:pPr>
        <w:pStyle w:val="3"/>
        <w:spacing w:after="190"/>
        <w:rPr>
          <w:rFonts w:eastAsia="宋体"/>
          <w:b/>
          <w:bCs/>
          <w:color w:val="auto"/>
          <w:sz w:val="21"/>
          <w:szCs w:val="21"/>
          <w:highlight w:val="none"/>
        </w:rPr>
      </w:pPr>
    </w:p>
    <w:p w14:paraId="101B07F8">
      <w:pPr>
        <w:rPr>
          <w:color w:val="auto"/>
          <w:highlight w:val="none"/>
        </w:rPr>
      </w:pPr>
    </w:p>
    <w:p w14:paraId="7A2BBFED">
      <w:pPr>
        <w:ind w:firstLine="426"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52448E4C">
      <w:pPr>
        <w:widowControl w:val="0"/>
        <w:spacing w:line="400" w:lineRule="exact"/>
        <w:ind w:firstLine="426" w:firstLineChars="200"/>
        <w:jc w:val="left"/>
        <w:rPr>
          <w:rFonts w:ascii="宋体" w:hAnsi="宋体" w:eastAsia="宋体" w:cs="宋体"/>
          <w:b/>
          <w:color w:val="auto"/>
          <w:sz w:val="21"/>
          <w:szCs w:val="21"/>
          <w:highlight w:val="none"/>
        </w:rPr>
      </w:pPr>
      <w:r>
        <w:rPr>
          <w:rFonts w:hint="eastAsia" w:eastAsia="宋体" w:cs="宋体"/>
          <w:b/>
          <w:color w:val="auto"/>
          <w:sz w:val="21"/>
          <w:szCs w:val="21"/>
          <w:highlight w:val="none"/>
        </w:rPr>
        <w:t>1、</w:t>
      </w:r>
      <w:r>
        <w:rPr>
          <w:rFonts w:hint="eastAsia"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填写须以第</w:t>
      </w:r>
      <w:r>
        <w:rPr>
          <w:rFonts w:hint="eastAsia" w:eastAsia="宋体" w:cs="宋体"/>
          <w:b/>
          <w:color w:val="auto"/>
          <w:sz w:val="21"/>
          <w:szCs w:val="21"/>
          <w:highlight w:val="none"/>
          <w:lang w:eastAsia="zh-CN"/>
        </w:rPr>
        <w:t>三</w:t>
      </w:r>
      <w:r>
        <w:rPr>
          <w:rFonts w:hint="eastAsia" w:ascii="宋体" w:hAnsi="宋体" w:eastAsia="宋体" w:cs="宋体"/>
          <w:b/>
          <w:color w:val="auto"/>
          <w:sz w:val="21"/>
          <w:szCs w:val="21"/>
          <w:highlight w:val="none"/>
        </w:rPr>
        <w:t>章“</w:t>
      </w:r>
      <w:r>
        <w:rPr>
          <w:rFonts w:hint="eastAsia"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内容及</w:t>
      </w:r>
      <w:r>
        <w:rPr>
          <w:rFonts w:hint="eastAsia" w:eastAsia="宋体" w:cs="宋体"/>
          <w:b/>
          <w:color w:val="auto"/>
          <w:sz w:val="21"/>
          <w:szCs w:val="21"/>
          <w:highlight w:val="none"/>
        </w:rPr>
        <w:t>采购</w:t>
      </w:r>
      <w:r>
        <w:rPr>
          <w:rFonts w:hint="eastAsia" w:ascii="宋体" w:hAnsi="宋体" w:eastAsia="宋体" w:cs="宋体"/>
          <w:b/>
          <w:color w:val="auto"/>
          <w:sz w:val="21"/>
          <w:szCs w:val="21"/>
          <w:highlight w:val="none"/>
        </w:rPr>
        <w:t>要求”中“★”内容项为基本响应要求，须逐条响应，未逐条响应、有缺漏将视为无效</w:t>
      </w:r>
      <w:r>
        <w:rPr>
          <w:rFonts w:hint="eastAsia"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p>
    <w:p w14:paraId="5B47238C">
      <w:pPr>
        <w:widowControl w:val="0"/>
        <w:spacing w:line="400" w:lineRule="exact"/>
        <w:ind w:firstLine="426" w:firstLineChars="200"/>
        <w:jc w:val="left"/>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2、承诺函、证书复印件等相关证明材料均须加盖</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lang w:val="en-US" w:eastAsia="zh-CN"/>
        </w:rPr>
        <w:t>/联合体牵头人</w:t>
      </w:r>
      <w:r>
        <w:rPr>
          <w:rFonts w:hint="eastAsia" w:ascii="宋体" w:hAnsi="宋体" w:eastAsia="宋体" w:cs="宋体"/>
          <w:b/>
          <w:color w:val="auto"/>
          <w:sz w:val="21"/>
          <w:szCs w:val="21"/>
          <w:highlight w:val="none"/>
        </w:rPr>
        <w:t>公章。</w:t>
      </w:r>
      <w:r>
        <w:rPr>
          <w:rFonts w:hint="eastAsia" w:ascii="宋体" w:hAnsi="宋体" w:eastAsia="宋体" w:cs="宋体"/>
          <w:color w:val="auto"/>
          <w:sz w:val="21"/>
          <w:szCs w:val="21"/>
          <w:highlight w:val="none"/>
        </w:rPr>
        <w:tab/>
      </w:r>
    </w:p>
    <w:p w14:paraId="1EA33CEF">
      <w:pPr>
        <w:widowControl w:val="0"/>
        <w:spacing w:line="500" w:lineRule="exact"/>
        <w:ind w:firstLine="566" w:firstLineChars="200"/>
        <w:rPr>
          <w:rFonts w:ascii="华文仿宋" w:hAnsi="华文仿宋" w:cs="华文仿宋"/>
          <w:color w:val="auto"/>
          <w:highlight w:val="none"/>
        </w:rPr>
      </w:pPr>
    </w:p>
    <w:p w14:paraId="1C1742BA">
      <w:pPr>
        <w:widowControl w:val="0"/>
        <w:spacing w:line="5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5E881B5F">
      <w:pPr>
        <w:widowControl w:val="0"/>
        <w:spacing w:line="500" w:lineRule="exact"/>
        <w:ind w:firstLine="606" w:firstLineChars="200"/>
        <w:rPr>
          <w:rFonts w:ascii="仿宋" w:hAnsi="仿宋" w:eastAsia="仿宋" w:cs="Times New Roman"/>
          <w:b/>
          <w:bCs/>
          <w:color w:val="auto"/>
          <w:sz w:val="30"/>
          <w:szCs w:val="30"/>
          <w:highlight w:val="none"/>
        </w:rPr>
      </w:pPr>
      <w:r>
        <w:rPr>
          <w:rFonts w:hint="eastAsia" w:ascii="仿宋" w:hAnsi="仿宋" w:eastAsia="仿宋" w:cs="仿宋"/>
          <w:b/>
          <w:bCs/>
          <w:color w:val="auto"/>
          <w:sz w:val="30"/>
          <w:szCs w:val="30"/>
          <w:highlight w:val="none"/>
        </w:rPr>
        <w:t>五、合同</w:t>
      </w:r>
      <w:r>
        <w:rPr>
          <w:rFonts w:hint="eastAsia" w:ascii="仿宋" w:hAnsi="仿宋" w:eastAsia="仿宋" w:cs="仿宋"/>
          <w:b/>
          <w:bCs/>
          <w:color w:val="auto"/>
          <w:sz w:val="30"/>
          <w:szCs w:val="30"/>
          <w:highlight w:val="none"/>
          <w:lang w:eastAsia="zh-CN"/>
        </w:rPr>
        <w:t>草案</w:t>
      </w:r>
      <w:r>
        <w:rPr>
          <w:rFonts w:hint="eastAsia" w:ascii="仿宋" w:hAnsi="仿宋" w:eastAsia="仿宋" w:cs="仿宋"/>
          <w:b/>
          <w:bCs/>
          <w:color w:val="auto"/>
          <w:sz w:val="30"/>
          <w:szCs w:val="30"/>
          <w:highlight w:val="none"/>
        </w:rPr>
        <w:t>条款响应</w:t>
      </w:r>
    </w:p>
    <w:p w14:paraId="5257DF13">
      <w:pPr>
        <w:widowControl w:val="0"/>
        <w:spacing w:line="500" w:lineRule="exact"/>
        <w:ind w:firstLine="566" w:firstLineChars="200"/>
        <w:rPr>
          <w:rFonts w:cs="Times New Roman"/>
          <w:color w:val="auto"/>
          <w:highlight w:val="none"/>
        </w:rPr>
      </w:pPr>
      <w:r>
        <w:rPr>
          <w:rFonts w:hint="eastAsia" w:cs="华文仿宋"/>
          <w:color w:val="auto"/>
          <w:highlight w:val="none"/>
        </w:rPr>
        <w:t>完全理解并接受</w:t>
      </w:r>
      <w:r>
        <w:rPr>
          <w:rFonts w:hint="eastAsia" w:cs="华文仿宋"/>
          <w:color w:val="auto"/>
          <w:highlight w:val="none"/>
          <w:lang w:eastAsia="zh-CN"/>
        </w:rPr>
        <w:t>磋商文件</w:t>
      </w:r>
      <w:r>
        <w:rPr>
          <w:rFonts w:hint="eastAsia" w:cs="华文仿宋"/>
          <w:color w:val="auto"/>
          <w:highlight w:val="none"/>
        </w:rPr>
        <w:t>中“合同</w:t>
      </w:r>
      <w:r>
        <w:rPr>
          <w:rFonts w:hint="eastAsia" w:cs="华文仿宋"/>
          <w:color w:val="auto"/>
          <w:highlight w:val="none"/>
          <w:lang w:eastAsia="zh-CN"/>
        </w:rPr>
        <w:t>草案</w:t>
      </w:r>
      <w:r>
        <w:rPr>
          <w:rFonts w:hint="eastAsia" w:cs="华文仿宋"/>
          <w:color w:val="auto"/>
          <w:highlight w:val="none"/>
        </w:rPr>
        <w:t>条款”要求。</w:t>
      </w:r>
    </w:p>
    <w:p w14:paraId="27ADD530">
      <w:pPr>
        <w:widowControl w:val="0"/>
        <w:spacing w:line="500" w:lineRule="exact"/>
        <w:ind w:firstLine="4811" w:firstLineChars="1700"/>
        <w:rPr>
          <w:rFonts w:ascii="仿宋" w:hAnsi="仿宋" w:eastAsia="仿宋" w:cs="Times New Roman"/>
          <w:color w:val="auto"/>
          <w:highlight w:val="none"/>
        </w:rPr>
      </w:pPr>
    </w:p>
    <w:p w14:paraId="0A0C6AB1">
      <w:pPr>
        <w:pStyle w:val="3"/>
        <w:widowControl w:val="0"/>
        <w:spacing w:after="190"/>
        <w:rPr>
          <w:rFonts w:cs="Times New Roman"/>
          <w:color w:val="auto"/>
          <w:highlight w:val="none"/>
        </w:rPr>
      </w:pPr>
    </w:p>
    <w:p w14:paraId="06E7B1F4">
      <w:pPr>
        <w:pStyle w:val="3"/>
        <w:widowControl w:val="0"/>
        <w:spacing w:afterLines="0" w:line="500" w:lineRule="exact"/>
        <w:ind w:firstLine="3679" w:firstLineChars="1300"/>
        <w:rPr>
          <w:rFonts w:ascii="仿宋" w:hAnsi="仿宋" w:eastAsia="仿宋" w:cs="Times New Roman"/>
          <w:color w:val="auto"/>
          <w:highlight w:val="none"/>
        </w:rPr>
      </w:pPr>
      <w:r>
        <w:rPr>
          <w:rFonts w:hint="eastAsia" w:ascii="华文仿宋" w:hAnsi="华文仿宋" w:cs="华文仿宋"/>
          <w:color w:val="auto"/>
          <w:sz w:val="28"/>
          <w:szCs w:val="28"/>
          <w:highlight w:val="none"/>
          <w:lang w:eastAsia="zh-CN"/>
        </w:rPr>
        <w:t>供应商</w:t>
      </w:r>
      <w:r>
        <w:rPr>
          <w:rFonts w:hint="eastAsia" w:ascii="华文仿宋" w:hAnsi="华文仿宋" w:cs="华文仿宋"/>
          <w:color w:val="auto"/>
          <w:sz w:val="28"/>
          <w:szCs w:val="28"/>
          <w:highlight w:val="none"/>
          <w:lang w:val="en-US" w:eastAsia="zh-CN"/>
        </w:rPr>
        <w:t>或联合体牵头人</w:t>
      </w:r>
      <w:r>
        <w:rPr>
          <w:rFonts w:hint="eastAsia" w:ascii="华文仿宋" w:hAnsi="华文仿宋" w:cs="华文仿宋"/>
          <w:color w:val="auto"/>
          <w:sz w:val="28"/>
          <w:szCs w:val="28"/>
          <w:highlight w:val="none"/>
        </w:rPr>
        <w:t>：</w:t>
      </w:r>
      <w:r>
        <w:rPr>
          <w:rFonts w:hint="eastAsia" w:ascii="华文仿宋" w:hAnsi="华文仿宋" w:cs="华文仿宋"/>
          <w:color w:val="auto"/>
          <w:sz w:val="28"/>
          <w:szCs w:val="28"/>
          <w:highlight w:val="none"/>
          <w:u w:val="single"/>
        </w:rPr>
        <w:t>名称</w:t>
      </w:r>
      <w:r>
        <w:rPr>
          <w:rFonts w:hint="eastAsia" w:ascii="华文仿宋" w:hAnsi="华文仿宋" w:cs="华文仿宋"/>
          <w:color w:val="auto"/>
          <w:sz w:val="28"/>
          <w:szCs w:val="28"/>
          <w:highlight w:val="none"/>
        </w:rPr>
        <w:t>（加盖公章）</w:t>
      </w:r>
    </w:p>
    <w:p w14:paraId="1BE33C32">
      <w:pPr>
        <w:pStyle w:val="2"/>
        <w:widowControl w:val="0"/>
        <w:spacing w:line="500" w:lineRule="exact"/>
        <w:ind w:firstLine="5660" w:firstLineChars="2000"/>
        <w:rPr>
          <w:rFonts w:ascii="华文仿宋"/>
          <w:color w:val="auto"/>
          <w:sz w:val="28"/>
          <w:szCs w:val="28"/>
          <w:highlight w:val="none"/>
        </w:rPr>
      </w:pPr>
      <w:r>
        <w:rPr>
          <w:rFonts w:hint="eastAsia" w:ascii="华文仿宋" w:hAnsi="华文仿宋" w:cs="华文仿宋"/>
          <w:color w:val="auto"/>
          <w:sz w:val="28"/>
          <w:szCs w:val="28"/>
          <w:highlight w:val="none"/>
        </w:rPr>
        <w:t>日期：　年　月　日</w:t>
      </w:r>
    </w:p>
    <w:p w14:paraId="349A471A">
      <w:pPr>
        <w:pStyle w:val="2"/>
        <w:widowControl w:val="0"/>
        <w:ind w:firstLine="183"/>
        <w:rPr>
          <w:rFonts w:ascii="仿宋" w:hAnsi="仿宋" w:eastAsia="仿宋"/>
          <w:color w:val="auto"/>
          <w:highlight w:val="none"/>
        </w:rPr>
      </w:pPr>
    </w:p>
    <w:p w14:paraId="65FAA115">
      <w:pPr>
        <w:pStyle w:val="2"/>
        <w:widowControl w:val="0"/>
        <w:ind w:firstLine="183"/>
        <w:rPr>
          <w:rFonts w:ascii="仿宋" w:hAnsi="仿宋" w:eastAsia="仿宋"/>
          <w:color w:val="auto"/>
          <w:highlight w:val="none"/>
        </w:rPr>
      </w:pPr>
    </w:p>
    <w:p w14:paraId="012C6A98">
      <w:pPr>
        <w:pStyle w:val="2"/>
        <w:widowControl w:val="0"/>
        <w:ind w:firstLine="183"/>
        <w:rPr>
          <w:rFonts w:ascii="仿宋" w:hAnsi="仿宋" w:eastAsia="仿宋"/>
          <w:color w:val="auto"/>
          <w:highlight w:val="none"/>
        </w:rPr>
      </w:pPr>
    </w:p>
    <w:p w14:paraId="09486A54">
      <w:pPr>
        <w:pStyle w:val="2"/>
        <w:widowControl w:val="0"/>
        <w:ind w:firstLine="183"/>
        <w:rPr>
          <w:rFonts w:ascii="仿宋" w:hAnsi="仿宋" w:eastAsia="仿宋"/>
          <w:color w:val="auto"/>
          <w:highlight w:val="none"/>
        </w:rPr>
      </w:pPr>
    </w:p>
    <w:p w14:paraId="5362240D">
      <w:pPr>
        <w:pStyle w:val="2"/>
        <w:widowControl w:val="0"/>
        <w:ind w:firstLine="183"/>
        <w:rPr>
          <w:rFonts w:ascii="仿宋" w:hAnsi="仿宋" w:eastAsia="仿宋"/>
          <w:color w:val="auto"/>
          <w:highlight w:val="none"/>
        </w:rPr>
      </w:pPr>
    </w:p>
    <w:p w14:paraId="33B37C79">
      <w:pPr>
        <w:pStyle w:val="2"/>
        <w:widowControl w:val="0"/>
        <w:ind w:firstLine="183"/>
        <w:rPr>
          <w:rFonts w:ascii="仿宋" w:hAnsi="仿宋" w:eastAsia="仿宋"/>
          <w:color w:val="auto"/>
          <w:highlight w:val="none"/>
        </w:rPr>
      </w:pPr>
    </w:p>
    <w:p w14:paraId="22948BB6">
      <w:pPr>
        <w:pStyle w:val="2"/>
        <w:widowControl w:val="0"/>
        <w:ind w:firstLine="183"/>
        <w:rPr>
          <w:rFonts w:ascii="仿宋" w:hAnsi="仿宋" w:eastAsia="仿宋"/>
          <w:color w:val="auto"/>
          <w:highlight w:val="none"/>
        </w:rPr>
      </w:pPr>
    </w:p>
    <w:p w14:paraId="58C28F1D">
      <w:pPr>
        <w:pStyle w:val="2"/>
        <w:widowControl w:val="0"/>
        <w:ind w:firstLine="183"/>
        <w:rPr>
          <w:rFonts w:ascii="仿宋" w:hAnsi="仿宋" w:eastAsia="仿宋"/>
          <w:color w:val="auto"/>
          <w:highlight w:val="none"/>
        </w:rPr>
      </w:pPr>
    </w:p>
    <w:p w14:paraId="7D04CD73">
      <w:pPr>
        <w:pStyle w:val="2"/>
        <w:widowControl w:val="0"/>
        <w:ind w:firstLine="183"/>
        <w:rPr>
          <w:rFonts w:ascii="仿宋" w:hAnsi="仿宋" w:eastAsia="仿宋"/>
          <w:color w:val="auto"/>
          <w:highlight w:val="none"/>
        </w:rPr>
      </w:pPr>
    </w:p>
    <w:p w14:paraId="276A2B00">
      <w:pPr>
        <w:pStyle w:val="2"/>
        <w:widowControl w:val="0"/>
        <w:ind w:firstLine="183"/>
        <w:rPr>
          <w:rFonts w:ascii="仿宋" w:hAnsi="仿宋" w:eastAsia="仿宋"/>
          <w:color w:val="auto"/>
          <w:highlight w:val="none"/>
        </w:rPr>
      </w:pPr>
    </w:p>
    <w:p w14:paraId="53F6FB5A">
      <w:pPr>
        <w:pStyle w:val="2"/>
        <w:widowControl w:val="0"/>
        <w:ind w:firstLine="183"/>
        <w:rPr>
          <w:rFonts w:ascii="仿宋" w:hAnsi="仿宋" w:eastAsia="仿宋"/>
          <w:color w:val="auto"/>
          <w:highlight w:val="none"/>
        </w:rPr>
      </w:pPr>
    </w:p>
    <w:p w14:paraId="5802B78F">
      <w:pPr>
        <w:pStyle w:val="2"/>
        <w:widowControl w:val="0"/>
        <w:ind w:firstLine="183"/>
        <w:rPr>
          <w:rFonts w:ascii="仿宋" w:hAnsi="仿宋" w:eastAsia="仿宋"/>
          <w:color w:val="auto"/>
          <w:highlight w:val="none"/>
        </w:rPr>
      </w:pPr>
    </w:p>
    <w:p w14:paraId="11B11E92">
      <w:pPr>
        <w:pStyle w:val="2"/>
        <w:widowControl w:val="0"/>
        <w:ind w:firstLine="183"/>
        <w:rPr>
          <w:rFonts w:ascii="仿宋" w:hAnsi="仿宋" w:eastAsia="仿宋"/>
          <w:color w:val="auto"/>
          <w:highlight w:val="none"/>
        </w:rPr>
      </w:pPr>
    </w:p>
    <w:p w14:paraId="13E668F4">
      <w:pPr>
        <w:pStyle w:val="2"/>
        <w:widowControl w:val="0"/>
        <w:ind w:firstLine="183"/>
        <w:rPr>
          <w:rFonts w:ascii="仿宋" w:hAnsi="仿宋" w:eastAsia="仿宋"/>
          <w:color w:val="auto"/>
          <w:highlight w:val="none"/>
        </w:rPr>
      </w:pPr>
    </w:p>
    <w:p w14:paraId="27365E88">
      <w:pPr>
        <w:pStyle w:val="2"/>
        <w:widowControl w:val="0"/>
        <w:ind w:firstLine="183"/>
        <w:rPr>
          <w:rFonts w:ascii="仿宋" w:hAnsi="仿宋" w:eastAsia="仿宋"/>
          <w:color w:val="auto"/>
          <w:highlight w:val="none"/>
        </w:rPr>
      </w:pPr>
    </w:p>
    <w:p w14:paraId="429467C9">
      <w:pPr>
        <w:pStyle w:val="2"/>
        <w:widowControl w:val="0"/>
        <w:ind w:firstLine="183"/>
        <w:rPr>
          <w:rFonts w:ascii="仿宋" w:hAnsi="仿宋" w:eastAsia="仿宋"/>
          <w:color w:val="auto"/>
          <w:highlight w:val="none"/>
        </w:rPr>
      </w:pPr>
    </w:p>
    <w:p w14:paraId="4975ED42">
      <w:pPr>
        <w:pStyle w:val="2"/>
        <w:widowControl w:val="0"/>
        <w:ind w:firstLine="183"/>
        <w:rPr>
          <w:rFonts w:ascii="仿宋" w:hAnsi="仿宋" w:eastAsia="仿宋"/>
          <w:color w:val="auto"/>
          <w:highlight w:val="none"/>
        </w:rPr>
      </w:pPr>
    </w:p>
    <w:p w14:paraId="0FFA8768">
      <w:pPr>
        <w:pStyle w:val="46"/>
        <w:widowControl w:val="0"/>
        <w:spacing w:line="200" w:lineRule="atLeast"/>
        <w:jc w:val="both"/>
        <w:rPr>
          <w:rFonts w:ascii="黑体" w:hAnsi="黑体" w:eastAsia="黑体" w:cs="Times New Roman"/>
          <w:b w:val="0"/>
          <w:bCs w:val="0"/>
          <w:color w:val="auto"/>
          <w:highlight w:val="none"/>
        </w:rPr>
      </w:pPr>
    </w:p>
    <w:p w14:paraId="2C882E0D">
      <w:pPr>
        <w:pStyle w:val="46"/>
        <w:widowControl w:val="0"/>
        <w:spacing w:line="240" w:lineRule="exact"/>
        <w:jc w:val="both"/>
        <w:rPr>
          <w:rFonts w:ascii="黑体" w:hAnsi="黑体" w:eastAsia="黑体" w:cs="Times New Roman"/>
          <w:b w:val="0"/>
          <w:bCs w:val="0"/>
          <w:color w:val="auto"/>
          <w:highlight w:val="none"/>
        </w:rPr>
      </w:pPr>
    </w:p>
    <w:p w14:paraId="6F1BD702">
      <w:pPr>
        <w:pStyle w:val="46"/>
        <w:widowControl w:val="0"/>
        <w:spacing w:line="240" w:lineRule="exact"/>
        <w:jc w:val="both"/>
        <w:rPr>
          <w:rFonts w:ascii="黑体" w:hAnsi="黑体" w:eastAsia="黑体" w:cs="Times New Roman"/>
          <w:b w:val="0"/>
          <w:bCs w:val="0"/>
          <w:color w:val="auto"/>
          <w:highlight w:val="none"/>
        </w:rPr>
      </w:pPr>
    </w:p>
    <w:p w14:paraId="351648F6">
      <w:pPr>
        <w:pStyle w:val="46"/>
        <w:widowControl w:val="0"/>
        <w:spacing w:line="240" w:lineRule="exact"/>
        <w:jc w:val="both"/>
        <w:rPr>
          <w:rFonts w:ascii="黑体" w:hAnsi="黑体" w:eastAsia="黑体" w:cs="Times New Roman"/>
          <w:b w:val="0"/>
          <w:bCs w:val="0"/>
          <w:color w:val="auto"/>
          <w:highlight w:val="none"/>
        </w:rPr>
      </w:pPr>
    </w:p>
    <w:p w14:paraId="69DD09AA">
      <w:pPr>
        <w:pStyle w:val="46"/>
        <w:widowControl w:val="0"/>
        <w:spacing w:line="240" w:lineRule="exact"/>
        <w:jc w:val="both"/>
        <w:rPr>
          <w:rFonts w:ascii="黑体" w:hAnsi="黑体" w:eastAsia="黑体" w:cs="Times New Roman"/>
          <w:b w:val="0"/>
          <w:bCs w:val="0"/>
          <w:color w:val="auto"/>
          <w:highlight w:val="none"/>
        </w:rPr>
      </w:pPr>
    </w:p>
    <w:p w14:paraId="439865D4">
      <w:pPr>
        <w:pStyle w:val="46"/>
        <w:widowControl w:val="0"/>
        <w:spacing w:line="240" w:lineRule="exact"/>
        <w:jc w:val="both"/>
        <w:rPr>
          <w:rFonts w:ascii="黑体" w:hAnsi="黑体" w:eastAsia="黑体" w:cs="Times New Roman"/>
          <w:b w:val="0"/>
          <w:bCs w:val="0"/>
          <w:color w:val="auto"/>
          <w:highlight w:val="none"/>
        </w:rPr>
      </w:pPr>
    </w:p>
    <w:p w14:paraId="35C7AAEA">
      <w:pPr>
        <w:pStyle w:val="46"/>
        <w:widowControl w:val="0"/>
        <w:spacing w:line="240" w:lineRule="exact"/>
        <w:jc w:val="both"/>
        <w:rPr>
          <w:rFonts w:ascii="黑体" w:hAnsi="黑体" w:eastAsia="黑体" w:cs="Times New Roman"/>
          <w:b w:val="0"/>
          <w:bCs w:val="0"/>
          <w:color w:val="auto"/>
          <w:highlight w:val="none"/>
        </w:rPr>
      </w:pPr>
    </w:p>
    <w:p w14:paraId="53EB1457">
      <w:pPr>
        <w:pStyle w:val="44"/>
        <w:widowControl w:val="0"/>
        <w:ind w:firstLine="567"/>
        <w:rPr>
          <w:rFonts w:cs="Times New Roman"/>
          <w:color w:val="auto"/>
          <w:highlight w:val="none"/>
        </w:rPr>
      </w:pPr>
    </w:p>
    <w:p w14:paraId="4D248F5C">
      <w:pPr>
        <w:pStyle w:val="44"/>
        <w:widowControl w:val="0"/>
        <w:ind w:firstLine="567"/>
        <w:rPr>
          <w:rFonts w:cs="Times New Roman"/>
          <w:color w:val="auto"/>
          <w:highlight w:val="none"/>
        </w:rPr>
      </w:pPr>
    </w:p>
    <w:p w14:paraId="6DB35412">
      <w:pPr>
        <w:pStyle w:val="44"/>
        <w:widowControl w:val="0"/>
        <w:ind w:firstLine="567"/>
        <w:rPr>
          <w:rFonts w:cs="Times New Roman"/>
          <w:color w:val="auto"/>
          <w:highlight w:val="none"/>
        </w:rPr>
      </w:pPr>
    </w:p>
    <w:p w14:paraId="40E4D26E">
      <w:pPr>
        <w:pStyle w:val="44"/>
        <w:widowControl w:val="0"/>
        <w:ind w:firstLine="567"/>
        <w:rPr>
          <w:rFonts w:cs="Times New Roman"/>
          <w:color w:val="auto"/>
          <w:highlight w:val="none"/>
        </w:rPr>
      </w:pPr>
    </w:p>
    <w:p w14:paraId="5EA22DF0">
      <w:pPr>
        <w:pStyle w:val="44"/>
        <w:widowControl w:val="0"/>
        <w:ind w:firstLine="567"/>
        <w:rPr>
          <w:rFonts w:cs="Times New Roman"/>
          <w:color w:val="auto"/>
          <w:highlight w:val="none"/>
        </w:rPr>
      </w:pPr>
    </w:p>
    <w:p w14:paraId="0CE939A8">
      <w:pPr>
        <w:pStyle w:val="46"/>
        <w:widowControl w:val="0"/>
        <w:rPr>
          <w:rFonts w:ascii="黑体" w:hAnsi="黑体" w:eastAsia="黑体" w:cs="Times New Roman"/>
          <w:b w:val="0"/>
          <w:bCs w:val="0"/>
          <w:color w:val="auto"/>
          <w:highlight w:val="none"/>
        </w:rPr>
      </w:pPr>
      <w:bookmarkStart w:id="478" w:name="_Toc20524"/>
      <w:bookmarkStart w:id="479" w:name="_Toc26612"/>
      <w:bookmarkStart w:id="480" w:name="_Toc13676"/>
      <w:r>
        <w:rPr>
          <w:rFonts w:hint="eastAsia" w:ascii="黑体" w:hAnsi="黑体" w:eastAsia="黑体" w:cs="黑体"/>
          <w:b w:val="0"/>
          <w:bCs w:val="0"/>
          <w:color w:val="auto"/>
          <w:highlight w:val="none"/>
        </w:rPr>
        <w:t xml:space="preserve">第三部分  </w:t>
      </w:r>
      <w:r>
        <w:rPr>
          <w:rFonts w:hint="eastAsia" w:ascii="黑体" w:hAnsi="黑体" w:eastAsia="黑体" w:cs="黑体"/>
          <w:b w:val="0"/>
          <w:bCs w:val="0"/>
          <w:color w:val="auto"/>
          <w:highlight w:val="none"/>
          <w:lang w:eastAsia="zh-CN"/>
        </w:rPr>
        <w:t>响应</w:t>
      </w:r>
      <w:r>
        <w:rPr>
          <w:rFonts w:hint="eastAsia" w:ascii="黑体" w:hAnsi="黑体" w:eastAsia="黑体" w:cs="黑体"/>
          <w:b w:val="0"/>
          <w:bCs w:val="0"/>
          <w:color w:val="auto"/>
          <w:highlight w:val="none"/>
        </w:rPr>
        <w:t>方案</w:t>
      </w:r>
      <w:bookmarkEnd w:id="478"/>
      <w:bookmarkEnd w:id="479"/>
      <w:bookmarkEnd w:id="480"/>
    </w:p>
    <w:p w14:paraId="4A64A43A">
      <w:pPr>
        <w:pStyle w:val="46"/>
        <w:spacing w:line="500" w:lineRule="exact"/>
        <w:ind w:firstLine="606" w:firstLineChars="200"/>
        <w:jc w:val="both"/>
        <w:outlineLvl w:val="2"/>
        <w:rPr>
          <w:rFonts w:hint="eastAsia" w:ascii="仿宋" w:hAnsi="仿宋" w:eastAsia="仿宋" w:cs="仿宋"/>
          <w:color w:val="000000" w:themeColor="text1"/>
          <w:sz w:val="28"/>
          <w:szCs w:val="28"/>
          <w:highlight w:val="none"/>
          <w14:textFill>
            <w14:solidFill>
              <w14:schemeClr w14:val="tx1"/>
            </w14:solidFill>
          </w14:textFill>
        </w:rPr>
      </w:pPr>
      <w:bookmarkStart w:id="481" w:name="_Toc9795"/>
      <w:bookmarkStart w:id="482" w:name="_Toc30676"/>
      <w:bookmarkStart w:id="483" w:name="_Toc59"/>
      <w:bookmarkStart w:id="484" w:name="_Toc5596"/>
      <w:bookmarkStart w:id="485" w:name="_Toc21184"/>
      <w:bookmarkStart w:id="486" w:name="_Toc11877"/>
      <w:bookmarkStart w:id="487" w:name="_Toc9535"/>
      <w:bookmarkStart w:id="488" w:name="_Toc22123"/>
      <w:bookmarkStart w:id="489" w:name="_Toc11480"/>
      <w:bookmarkStart w:id="490" w:name="_Toc26478"/>
      <w:bookmarkStart w:id="491" w:name="_Toc7814"/>
      <w:bookmarkStart w:id="492" w:name="_Toc31882"/>
      <w:bookmarkStart w:id="493" w:name="_Toc23944"/>
      <w:bookmarkStart w:id="494" w:name="_Toc4666"/>
      <w:bookmarkStart w:id="495" w:name="_Toc32512"/>
      <w:bookmarkStart w:id="496" w:name="_Toc17436"/>
      <w:bookmarkStart w:id="497" w:name="_Toc4295"/>
      <w:bookmarkStart w:id="498" w:name="_Toc15509"/>
      <w:bookmarkStart w:id="499" w:name="_Toc4085"/>
      <w:bookmarkStart w:id="500" w:name="_Toc1568"/>
      <w:bookmarkStart w:id="501" w:name="_Toc14867"/>
      <w:bookmarkStart w:id="502" w:name="_Toc13373"/>
      <w:bookmarkStart w:id="503" w:name="_Toc9336"/>
      <w:bookmarkStart w:id="504" w:name="_Toc12342"/>
      <w:bookmarkStart w:id="505" w:name="_Toc3411"/>
      <w:bookmarkStart w:id="506" w:name="_Toc24226"/>
      <w:bookmarkStart w:id="507" w:name="_Toc6405"/>
      <w:bookmarkStart w:id="508" w:name="_Toc17171"/>
      <w:bookmarkStart w:id="509" w:name="_Toc2826"/>
      <w:bookmarkStart w:id="510" w:name="_Toc26403"/>
      <w:r>
        <w:rPr>
          <w:rFonts w:hint="eastAsia" w:ascii="仿宋" w:hAnsi="仿宋" w:eastAsia="仿宋" w:cs="仿宋"/>
          <w:color w:val="000000" w:themeColor="text1"/>
          <w:sz w:val="30"/>
          <w:szCs w:val="30"/>
          <w:highlight w:val="none"/>
          <w14:textFill>
            <w14:solidFill>
              <w14:schemeClr w14:val="tx1"/>
            </w14:solidFill>
          </w14:textFill>
        </w:rPr>
        <w:t>一、</w:t>
      </w:r>
      <w:r>
        <w:rPr>
          <w:rFonts w:hint="eastAsia" w:ascii="仿宋" w:hAnsi="仿宋" w:eastAsia="仿宋" w:cs="仿宋"/>
          <w:color w:val="000000" w:themeColor="text1"/>
          <w:sz w:val="30"/>
          <w:szCs w:val="30"/>
          <w:highlight w:val="none"/>
          <w:lang w:eastAsia="zh-CN"/>
          <w14:textFill>
            <w14:solidFill>
              <w14:schemeClr w14:val="tx1"/>
            </w14:solidFill>
          </w14:textFill>
        </w:rPr>
        <w:t>供应商</w:t>
      </w:r>
      <w:r>
        <w:rPr>
          <w:rFonts w:hint="eastAsia" w:ascii="仿宋" w:hAnsi="仿宋" w:eastAsia="仿宋" w:cs="仿宋"/>
          <w:color w:val="000000" w:themeColor="text1"/>
          <w:sz w:val="30"/>
          <w:szCs w:val="30"/>
          <w:highlight w:val="none"/>
          <w14:textFill>
            <w14:solidFill>
              <w14:schemeClr w14:val="tx1"/>
            </w14:solidFill>
          </w14:textFill>
        </w:rPr>
        <w:t>性质及概况</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57C82CAF">
      <w:pPr>
        <w:spacing w:line="500" w:lineRule="exact"/>
        <w:ind w:firstLine="566" w:firstLineChars="200"/>
        <w:jc w:val="lef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（一）</w:t>
      </w:r>
      <w:r>
        <w:rPr>
          <w:rFonts w:hint="eastAsia" w:ascii="仿宋" w:hAnsi="仿宋" w:eastAsia="仿宋" w:cs="仿宋"/>
          <w:b/>
          <w:bCs/>
          <w:color w:val="000000" w:themeColor="text1"/>
          <w:highlight w:val="none"/>
          <w:lang w:eastAsia="zh-CN"/>
          <w14:textFill>
            <w14:solidFill>
              <w14:schemeClr w14:val="tx1"/>
            </w14:solidFill>
          </w14:textFill>
        </w:rPr>
        <w:t>供应商</w:t>
      </w:r>
      <w:r>
        <w:rPr>
          <w:rFonts w:hint="eastAsia" w:ascii="仿宋" w:hAnsi="仿宋" w:eastAsia="仿宋" w:cs="仿宋"/>
          <w:b/>
          <w:bCs/>
          <w:color w:val="000000" w:themeColor="text1"/>
          <w:highlight w:val="none"/>
          <w14:textFill>
            <w14:solidFill>
              <w14:schemeClr w14:val="tx1"/>
            </w14:solidFill>
          </w14:textFill>
        </w:rPr>
        <w:t>性质</w:t>
      </w:r>
    </w:p>
    <w:p w14:paraId="4A23A07F">
      <w:pPr>
        <w:pStyle w:val="47"/>
        <w:spacing w:line="500" w:lineRule="exact"/>
        <w:ind w:firstLine="566" w:firstLineChars="200"/>
        <w:jc w:val="both"/>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本项目为非专门面向中小企业项目。供应商</w:t>
      </w:r>
      <w:r>
        <w:rPr>
          <w:rFonts w:hint="eastAsia" w:ascii="仿宋" w:hAnsi="仿宋" w:eastAsia="仿宋" w:cs="仿宋"/>
          <w:b w:val="0"/>
          <w:bCs w:val="0"/>
          <w:color w:val="000000" w:themeColor="text1"/>
          <w:sz w:val="28"/>
          <w:szCs w:val="28"/>
          <w:highlight w:val="none"/>
          <w14:textFill>
            <w14:solidFill>
              <w14:schemeClr w14:val="tx1"/>
            </w14:solidFill>
          </w14:textFill>
        </w:rPr>
        <w:t>为小型、微型企业的提供《</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小微</w:t>
      </w:r>
      <w:r>
        <w:rPr>
          <w:rFonts w:hint="eastAsia" w:ascii="仿宋" w:hAnsi="仿宋" w:eastAsia="仿宋" w:cs="仿宋"/>
          <w:b w:val="0"/>
          <w:bCs w:val="0"/>
          <w:color w:val="000000" w:themeColor="text1"/>
          <w:sz w:val="28"/>
          <w:szCs w:val="28"/>
          <w:highlight w:val="none"/>
          <w14:textFill>
            <w14:solidFill>
              <w14:schemeClr w14:val="tx1"/>
            </w14:solidFill>
          </w14:textFill>
        </w:rPr>
        <w:t>企业声明函》，且小型、微型企业的划分标准所属行业为</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软件和信息技术服务业</w:t>
      </w:r>
      <w:r>
        <w:rPr>
          <w:rFonts w:hint="eastAsia" w:ascii="仿宋" w:hAnsi="仿宋" w:eastAsia="仿宋" w:cs="仿宋"/>
          <w:b w:val="0"/>
          <w:bCs w:val="0"/>
          <w:color w:val="000000" w:themeColor="text1"/>
          <w:sz w:val="28"/>
          <w:szCs w:val="28"/>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供应商</w:t>
      </w:r>
      <w:r>
        <w:rPr>
          <w:rFonts w:hint="eastAsia" w:ascii="仿宋" w:hAnsi="仿宋" w:eastAsia="仿宋" w:cs="仿宋"/>
          <w:b w:val="0"/>
          <w:bCs w:val="0"/>
          <w:color w:val="000000" w:themeColor="text1"/>
          <w:sz w:val="28"/>
          <w:szCs w:val="28"/>
          <w:highlight w:val="none"/>
          <w14:textFill>
            <w14:solidFill>
              <w14:schemeClr w14:val="tx1"/>
            </w14:solidFill>
          </w14:textFill>
        </w:rPr>
        <w:t>为监狱企业的，应提供监狱企业的证明文件；</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供应商</w:t>
      </w:r>
      <w:r>
        <w:rPr>
          <w:rFonts w:hint="eastAsia" w:ascii="仿宋" w:hAnsi="仿宋" w:eastAsia="仿宋" w:cs="仿宋"/>
          <w:b w:val="0"/>
          <w:bCs w:val="0"/>
          <w:color w:val="000000" w:themeColor="text1"/>
          <w:sz w:val="28"/>
          <w:szCs w:val="28"/>
          <w:highlight w:val="none"/>
          <w14:textFill>
            <w14:solidFill>
              <w14:schemeClr w14:val="tx1"/>
            </w14:solidFill>
          </w14:textFill>
        </w:rPr>
        <w:t>为残疾人福利性单位的，应提供《残疾人福利性单位声明函》。未提供相关证明文件的不能享受</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磋商</w:t>
      </w:r>
      <w:r>
        <w:rPr>
          <w:rFonts w:hint="eastAsia" w:ascii="仿宋" w:hAnsi="仿宋" w:eastAsia="仿宋" w:cs="仿宋"/>
          <w:b w:val="0"/>
          <w:bCs w:val="0"/>
          <w:color w:val="000000" w:themeColor="text1"/>
          <w:sz w:val="28"/>
          <w:szCs w:val="28"/>
          <w:highlight w:val="none"/>
          <w14:textFill>
            <w14:solidFill>
              <w14:schemeClr w14:val="tx1"/>
            </w14:solidFill>
          </w14:textFill>
        </w:rPr>
        <w:t>文件规定的价格扣除。</w:t>
      </w:r>
    </w:p>
    <w:p w14:paraId="5030BD94">
      <w:pPr>
        <w:spacing w:line="500" w:lineRule="exact"/>
        <w:ind w:firstLine="566" w:firstLineChars="200"/>
        <w:rPr>
          <w:rFonts w:cs="Times New Roman"/>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特别提醒：</w:t>
      </w:r>
      <w:r>
        <w:rPr>
          <w:rFonts w:hint="eastAsia" w:ascii="仿宋" w:hAnsi="仿宋" w:eastAsia="仿宋" w:cs="仿宋"/>
          <w:b/>
          <w:bCs/>
          <w:color w:val="000000" w:themeColor="text1"/>
          <w:highlight w:val="none"/>
          <w:lang w:eastAsia="zh-CN"/>
          <w14:textFill>
            <w14:solidFill>
              <w14:schemeClr w14:val="tx1"/>
            </w14:solidFill>
          </w14:textFill>
        </w:rPr>
        <w:t>成交供应商</w:t>
      </w:r>
      <w:r>
        <w:rPr>
          <w:rFonts w:hint="eastAsia" w:ascii="仿宋" w:hAnsi="仿宋" w:eastAsia="仿宋" w:cs="仿宋"/>
          <w:b/>
          <w:bCs/>
          <w:color w:val="000000" w:themeColor="text1"/>
          <w:highlight w:val="none"/>
          <w14:textFill>
            <w14:solidFill>
              <w14:schemeClr w14:val="tx1"/>
            </w14:solidFill>
          </w14:textFill>
        </w:rPr>
        <w:t>享受小</w:t>
      </w:r>
      <w:r>
        <w:rPr>
          <w:rFonts w:hint="eastAsia" w:ascii="仿宋" w:hAnsi="仿宋" w:eastAsia="仿宋" w:cs="仿宋"/>
          <w:b/>
          <w:bCs/>
          <w:color w:val="000000" w:themeColor="text1"/>
          <w:highlight w:val="none"/>
          <w:lang w:val="en-US" w:eastAsia="zh-CN"/>
          <w14:textFill>
            <w14:solidFill>
              <w14:schemeClr w14:val="tx1"/>
            </w14:solidFill>
          </w14:textFill>
        </w:rPr>
        <w:t>微</w:t>
      </w:r>
      <w:r>
        <w:rPr>
          <w:rFonts w:hint="eastAsia" w:ascii="仿宋" w:hAnsi="仿宋" w:eastAsia="仿宋" w:cs="仿宋"/>
          <w:b/>
          <w:bCs/>
          <w:color w:val="000000" w:themeColor="text1"/>
          <w:highlight w:val="none"/>
          <w14:textFill>
            <w14:solidFill>
              <w14:schemeClr w14:val="tx1"/>
            </w14:solidFill>
          </w14:textFill>
        </w:rPr>
        <w:t>企业扶持政策的，</w:t>
      </w:r>
      <w:r>
        <w:rPr>
          <w:rFonts w:hint="eastAsia" w:ascii="仿宋" w:hAnsi="仿宋" w:eastAsia="仿宋" w:cs="仿宋"/>
          <w:b/>
          <w:bCs/>
          <w:color w:val="000000" w:themeColor="text1"/>
          <w:highlight w:val="none"/>
          <w:lang w:eastAsia="zh-CN"/>
          <w14:textFill>
            <w14:solidFill>
              <w14:schemeClr w14:val="tx1"/>
            </w14:solidFill>
          </w14:textFill>
        </w:rPr>
        <w:t>成交供应商</w:t>
      </w:r>
      <w:r>
        <w:rPr>
          <w:rFonts w:hint="eastAsia" w:ascii="仿宋" w:hAnsi="仿宋" w:eastAsia="仿宋" w:cs="仿宋"/>
          <w:b/>
          <w:bCs/>
          <w:color w:val="000000" w:themeColor="text1"/>
          <w:highlight w:val="none"/>
          <w14:textFill>
            <w14:solidFill>
              <w14:schemeClr w14:val="tx1"/>
            </w14:solidFill>
          </w14:textFill>
        </w:rPr>
        <w:t>的《</w:t>
      </w:r>
      <w:r>
        <w:rPr>
          <w:rFonts w:hint="eastAsia" w:ascii="仿宋" w:hAnsi="仿宋" w:eastAsia="仿宋" w:cs="仿宋"/>
          <w:b/>
          <w:bCs/>
          <w:color w:val="000000" w:themeColor="text1"/>
          <w:highlight w:val="none"/>
          <w:lang w:val="en-US" w:eastAsia="zh-CN"/>
          <w14:textFill>
            <w14:solidFill>
              <w14:schemeClr w14:val="tx1"/>
            </w14:solidFill>
          </w14:textFill>
        </w:rPr>
        <w:t>小微</w:t>
      </w:r>
      <w:r>
        <w:rPr>
          <w:rFonts w:hint="eastAsia" w:ascii="仿宋" w:hAnsi="仿宋" w:eastAsia="仿宋" w:cs="仿宋"/>
          <w:b/>
          <w:bCs/>
          <w:color w:val="000000" w:themeColor="text1"/>
          <w:highlight w:val="none"/>
          <w14:textFill>
            <w14:solidFill>
              <w14:schemeClr w14:val="tx1"/>
            </w14:solidFill>
          </w14:textFill>
        </w:rPr>
        <w:t>企业声明函》</w:t>
      </w:r>
      <w:r>
        <w:rPr>
          <w:rFonts w:hint="eastAsia" w:ascii="仿宋" w:hAnsi="仿宋" w:eastAsia="仿宋" w:cs="仿宋"/>
          <w:b/>
          <w:bCs/>
          <w:color w:val="000000" w:themeColor="text1"/>
          <w:highlight w:val="none"/>
          <w:lang w:eastAsia="zh-CN"/>
          <w14:textFill>
            <w14:solidFill>
              <w14:schemeClr w14:val="tx1"/>
            </w14:solidFill>
          </w14:textFill>
        </w:rPr>
        <w:t>或</w:t>
      </w:r>
      <w:r>
        <w:rPr>
          <w:rFonts w:hint="eastAsia" w:ascii="仿宋" w:hAnsi="仿宋" w:eastAsia="仿宋" w:cs="仿宋"/>
          <w:b/>
          <w:bCs/>
          <w:color w:val="000000" w:themeColor="text1"/>
          <w:highlight w:val="none"/>
          <w14:textFill>
            <w14:solidFill>
              <w14:schemeClr w14:val="tx1"/>
            </w14:solidFill>
          </w14:textFill>
        </w:rPr>
        <w:t>《残疾人福利性单位声明函》或监狱企业证明文件将随</w:t>
      </w:r>
      <w:r>
        <w:rPr>
          <w:rFonts w:hint="eastAsia" w:ascii="仿宋" w:hAnsi="仿宋" w:eastAsia="仿宋" w:cs="仿宋"/>
          <w:b/>
          <w:bCs/>
          <w:color w:val="000000" w:themeColor="text1"/>
          <w:highlight w:val="none"/>
          <w:lang w:eastAsia="zh-CN"/>
          <w14:textFill>
            <w14:solidFill>
              <w14:schemeClr w14:val="tx1"/>
            </w14:solidFill>
          </w14:textFill>
        </w:rPr>
        <w:t>成交</w:t>
      </w:r>
      <w:r>
        <w:rPr>
          <w:rFonts w:hint="eastAsia" w:ascii="仿宋" w:hAnsi="仿宋" w:eastAsia="仿宋" w:cs="仿宋"/>
          <w:b/>
          <w:bCs/>
          <w:color w:val="000000" w:themeColor="text1"/>
          <w:highlight w:val="none"/>
          <w14:textFill>
            <w14:solidFill>
              <w14:schemeClr w14:val="tx1"/>
            </w14:solidFill>
          </w14:textFill>
        </w:rPr>
        <w:t>结果公告一同公布，接受社会监督。</w:t>
      </w:r>
    </w:p>
    <w:p w14:paraId="06805C55">
      <w:pPr>
        <w:spacing w:line="500" w:lineRule="exact"/>
        <w:ind w:firstLine="426" w:firstLineChars="200"/>
        <w:rPr>
          <w:rFonts w:hint="eastAsia" w:ascii="宋体" w:hAnsi="宋体" w:eastAsia="宋体" w:cs="宋体"/>
          <w:color w:val="000000" w:themeColor="text1"/>
          <w:sz w:val="21"/>
          <w:szCs w:val="21"/>
          <w:highlight w:val="none"/>
          <w14:textFill>
            <w14:solidFill>
              <w14:schemeClr w14:val="tx1"/>
            </w14:solidFill>
          </w14:textFill>
        </w:rPr>
      </w:pPr>
    </w:p>
    <w:p w14:paraId="4DD35996">
      <w:pPr>
        <w:spacing w:line="500" w:lineRule="exact"/>
        <w:ind w:firstLine="426"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可根据企业从业人员、营业收入、资产总额等指标，按照招标文件约定的采购标的对应的中小企业划分标准所属行业和《中小企业划型标准规定》（工信部联企业〔2011〕300号）进行自测，判断属于小型还是微型企业。也可在微信小程序中搜索中小企业规模类型自测小程序进行测算。</w:t>
      </w:r>
    </w:p>
    <w:p w14:paraId="65A8B666">
      <w:pPr>
        <w:spacing w:line="500" w:lineRule="exact"/>
        <w:ind w:firstLine="566" w:firstLineChars="200"/>
        <w:rPr>
          <w:rFonts w:hint="eastAsia" w:ascii="仿宋" w:hAnsi="仿宋" w:eastAsia="仿宋" w:cs="仿宋"/>
          <w:b/>
          <w:bCs/>
          <w:color w:val="000000" w:themeColor="text1"/>
          <w:highlight w:val="none"/>
          <w14:textFill>
            <w14:solidFill>
              <w14:schemeClr w14:val="tx1"/>
            </w14:solidFill>
          </w14:textFill>
        </w:rPr>
      </w:pPr>
    </w:p>
    <w:p w14:paraId="74384E61">
      <w:pPr>
        <w:spacing w:line="500" w:lineRule="exact"/>
        <w:rPr>
          <w:rFonts w:cs="Times New Roman"/>
          <w:b/>
          <w:bCs/>
          <w:color w:val="000000" w:themeColor="text1"/>
          <w:highlight w:val="none"/>
          <w14:textFill>
            <w14:solidFill>
              <w14:schemeClr w14:val="tx1"/>
            </w14:solidFill>
          </w14:textFill>
        </w:rPr>
      </w:pPr>
    </w:p>
    <w:p w14:paraId="635AB5FD">
      <w:pPr>
        <w:spacing w:line="500" w:lineRule="exact"/>
        <w:rPr>
          <w:rFonts w:cs="Times New Roman"/>
          <w:b/>
          <w:bCs/>
          <w:color w:val="000000" w:themeColor="text1"/>
          <w:highlight w:val="none"/>
          <w14:textFill>
            <w14:solidFill>
              <w14:schemeClr w14:val="tx1"/>
            </w14:solidFill>
          </w14:textFill>
        </w:rPr>
      </w:pPr>
    </w:p>
    <w:p w14:paraId="69562229">
      <w:pPr>
        <w:rPr>
          <w:rFonts w:ascii="华文仿宋" w:hAnsi="华文仿宋" w:cs="华文仿宋"/>
          <w:b/>
          <w:color w:val="000000" w:themeColor="text1"/>
          <w:kern w:val="0"/>
          <w:highlight w:val="none"/>
          <w14:textFill>
            <w14:solidFill>
              <w14:schemeClr w14:val="tx1"/>
            </w14:solidFill>
          </w14:textFill>
        </w:rPr>
      </w:pPr>
      <w:r>
        <w:rPr>
          <w:rFonts w:hint="eastAsia" w:ascii="华文仿宋" w:hAnsi="华文仿宋" w:cs="华文仿宋"/>
          <w:b/>
          <w:color w:val="000000" w:themeColor="text1"/>
          <w:kern w:val="0"/>
          <w:highlight w:val="none"/>
          <w14:textFill>
            <w14:solidFill>
              <w14:schemeClr w14:val="tx1"/>
            </w14:solidFill>
          </w14:textFill>
        </w:rPr>
        <w:br w:type="page"/>
      </w:r>
    </w:p>
    <w:p w14:paraId="49304EB8">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lang w:val="en-US" w:eastAsia="zh-CN"/>
          <w14:textFill>
            <w14:solidFill>
              <w14:schemeClr w14:val="tx1"/>
            </w14:solidFill>
          </w14:textFill>
        </w:rPr>
        <w:t>小微</w:t>
      </w:r>
      <w:r>
        <w:rPr>
          <w:rFonts w:hint="eastAsia" w:ascii="仿宋" w:hAnsi="仿宋" w:eastAsia="仿宋" w:cs="仿宋"/>
          <w:b/>
          <w:color w:val="000000" w:themeColor="text1"/>
          <w:kern w:val="0"/>
          <w:highlight w:val="none"/>
          <w14:textFill>
            <w14:solidFill>
              <w14:schemeClr w14:val="tx1"/>
            </w14:solidFill>
          </w14:textFill>
        </w:rPr>
        <w:t>企业声明函</w:t>
      </w:r>
    </w:p>
    <w:p w14:paraId="14AFFFE1">
      <w:pPr>
        <w:spacing w:line="500" w:lineRule="exact"/>
        <w:ind w:firstLine="566"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color w:val="000000" w:themeColor="text1"/>
          <w:kern w:val="0"/>
          <w:highlight w:val="none"/>
          <w:u w:val="none"/>
          <w14:textFill>
            <w14:solidFill>
              <w14:schemeClr w14:val="tx1"/>
            </w14:solidFill>
          </w14:textFill>
        </w:rPr>
        <w:t>陕西省省级单位政府采购中心</w:t>
      </w:r>
      <w:r>
        <w:rPr>
          <w:rFonts w:hint="eastAsia" w:ascii="仿宋" w:hAnsi="仿宋" w:eastAsia="仿宋" w:cs="仿宋"/>
          <w:color w:val="000000" w:themeColor="text1"/>
          <w:kern w:val="0"/>
          <w:highlight w:val="none"/>
          <w14:textFill>
            <w14:solidFill>
              <w14:schemeClr w14:val="tx1"/>
            </w14:solidFill>
          </w14:textFill>
        </w:rPr>
        <w:t>组织的</w:t>
      </w:r>
      <w:r>
        <w:rPr>
          <w:rFonts w:hint="eastAsia" w:ascii="仿宋" w:hAnsi="仿宋" w:eastAsia="仿宋" w:cs="仿宋"/>
          <w:iCs/>
          <w:color w:val="000000" w:themeColor="text1"/>
          <w:kern w:val="0"/>
          <w:highlight w:val="none"/>
          <w:u w:val="single"/>
          <w14:textFill>
            <w14:solidFill>
              <w14:schemeClr w14:val="tx1"/>
            </w14:solidFill>
          </w14:textFill>
        </w:rPr>
        <w:t>（项目名称）</w:t>
      </w:r>
      <w:r>
        <w:rPr>
          <w:rFonts w:hint="eastAsia" w:ascii="仿宋" w:hAnsi="仿宋" w:eastAsia="仿宋" w:cs="仿宋"/>
          <w:color w:val="000000" w:themeColor="text1"/>
          <w:kern w:val="0"/>
          <w:highlight w:val="none"/>
          <w14:textFill>
            <w14:solidFill>
              <w14:schemeClr w14:val="tx1"/>
            </w14:solidFill>
          </w14:textFill>
        </w:rPr>
        <w:t>采购活动，服务全部由符合政策要求的</w:t>
      </w:r>
      <w:r>
        <w:rPr>
          <w:rFonts w:hint="eastAsia" w:ascii="仿宋" w:hAnsi="仿宋" w:eastAsia="仿宋" w:cs="仿宋"/>
          <w:color w:val="000000" w:themeColor="text1"/>
          <w:kern w:val="0"/>
          <w:highlight w:val="none"/>
          <w:lang w:val="en-US" w:eastAsia="zh-CN"/>
          <w14:textFill>
            <w14:solidFill>
              <w14:schemeClr w14:val="tx1"/>
            </w14:solidFill>
          </w14:textFill>
        </w:rPr>
        <w:t>小微</w:t>
      </w:r>
      <w:r>
        <w:rPr>
          <w:rFonts w:hint="eastAsia" w:ascii="仿宋" w:hAnsi="仿宋" w:eastAsia="仿宋" w:cs="仿宋"/>
          <w:color w:val="000000" w:themeColor="text1"/>
          <w:kern w:val="0"/>
          <w:highlight w:val="none"/>
          <w14:textFill>
            <w14:solidFill>
              <w14:schemeClr w14:val="tx1"/>
            </w14:solidFill>
          </w14:textFill>
        </w:rPr>
        <w:t>企业承接。相关企业的具体情况如下：</w:t>
      </w:r>
    </w:p>
    <w:p w14:paraId="174C3595">
      <w:pPr>
        <w:spacing w:line="500" w:lineRule="exact"/>
        <w:ind w:firstLine="566" w:firstLineChars="200"/>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u w:val="single"/>
          <w14:textFill>
            <w14:solidFill>
              <w14:schemeClr w14:val="tx1"/>
            </w14:solidFill>
          </w14:textFill>
        </w:rPr>
        <w:t>（项目名称）</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eastAsia="zh-CN"/>
          <w14:textFill>
            <w14:solidFill>
              <w14:schemeClr w14:val="tx1"/>
            </w14:solidFill>
          </w14:textFill>
        </w:rPr>
        <w:t>磋商</w:t>
      </w:r>
      <w:r>
        <w:rPr>
          <w:rFonts w:hint="eastAsia" w:ascii="仿宋" w:hAnsi="仿宋" w:eastAsia="仿宋" w:cs="仿宋"/>
          <w:color w:val="000000" w:themeColor="text1"/>
          <w:kern w:val="0"/>
          <w:highlight w:val="none"/>
          <w14:textFill>
            <w14:solidFill>
              <w14:schemeClr w14:val="tx1"/>
            </w14:solidFill>
          </w14:textFill>
        </w:rPr>
        <w:t>文件中明确的所属行业）；承接企业为</w:t>
      </w:r>
      <w:r>
        <w:rPr>
          <w:rFonts w:hint="eastAsia" w:ascii="仿宋" w:hAnsi="仿宋" w:eastAsia="仿宋" w:cs="仿宋"/>
          <w:color w:val="000000" w:themeColor="text1"/>
          <w:kern w:val="0"/>
          <w:highlight w:val="none"/>
          <w:u w:val="single"/>
          <w14:textFill>
            <w14:solidFill>
              <w14:schemeClr w14:val="tx1"/>
            </w14:solidFill>
          </w14:textFill>
        </w:rPr>
        <w:t>（企业名称）</w:t>
      </w:r>
      <w:r>
        <w:rPr>
          <w:rFonts w:hint="eastAsia" w:ascii="仿宋" w:hAnsi="仿宋" w:eastAsia="仿宋" w:cs="仿宋"/>
          <w:color w:val="000000" w:themeColor="text1"/>
          <w:kern w:val="0"/>
          <w:highlight w:val="none"/>
          <w14:textFill>
            <w14:solidFill>
              <w14:schemeClr w14:val="tx1"/>
            </w14:solidFill>
          </w14:textFill>
        </w:rPr>
        <w:t>，从业人员</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人，营业收入为</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万元，资产总额为</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万元，属于</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（小型企业、微型企业）。</w:t>
      </w:r>
    </w:p>
    <w:p w14:paraId="67B2F6BF">
      <w:pPr>
        <w:spacing w:line="500" w:lineRule="exact"/>
        <w:ind w:firstLine="566" w:firstLineChars="200"/>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以上企业，不属于大企业的分支机构，不存在控股股东为大企业的情形，也不存在与大企业的负责人为同一人的情形。</w:t>
      </w:r>
    </w:p>
    <w:p w14:paraId="37FE8A8C">
      <w:pPr>
        <w:spacing w:line="500" w:lineRule="exact"/>
        <w:ind w:firstLine="566" w:firstLineChars="200"/>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xml:space="preserve">本企业对上述声明内容的真实性负责。如有虚假，将依法承担相应责任。 </w:t>
      </w:r>
    </w:p>
    <w:p w14:paraId="3C8CC90A">
      <w:pPr>
        <w:pStyle w:val="8"/>
        <w:rPr>
          <w:rFonts w:hint="eastAsia" w:ascii="仿宋" w:hAnsi="仿宋" w:eastAsia="仿宋" w:cs="仿宋"/>
          <w:color w:val="000000" w:themeColor="text1"/>
          <w:highlight w:val="none"/>
          <w14:textFill>
            <w14:solidFill>
              <w14:schemeClr w14:val="tx1"/>
            </w14:solidFill>
          </w14:textFill>
        </w:rPr>
      </w:pPr>
    </w:p>
    <w:p w14:paraId="1D04AD72">
      <w:pPr>
        <w:spacing w:line="50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u w:val="single"/>
          <w14:textFill>
            <w14:solidFill>
              <w14:schemeClr w14:val="tx1"/>
            </w14:solidFill>
          </w14:textFill>
        </w:rPr>
        <w:t>名称</w:t>
      </w:r>
      <w:r>
        <w:rPr>
          <w:rFonts w:hint="eastAsia" w:ascii="仿宋" w:hAnsi="仿宋" w:eastAsia="仿宋" w:cs="仿宋"/>
          <w:color w:val="000000" w:themeColor="text1"/>
          <w:kern w:val="0"/>
          <w:highlight w:val="none"/>
          <w14:textFill>
            <w14:solidFill>
              <w14:schemeClr w14:val="tx1"/>
            </w14:solidFill>
          </w14:textFill>
        </w:rPr>
        <w:t>（加盖公章）</w:t>
      </w:r>
    </w:p>
    <w:p w14:paraId="5FA54BF1">
      <w:pPr>
        <w:spacing w:line="500" w:lineRule="exact"/>
        <w:ind w:firstLine="566" w:firstLineChars="200"/>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xml:space="preserve">                      日期：    年  月  日</w:t>
      </w:r>
    </w:p>
    <w:p w14:paraId="476A0D7D">
      <w:pPr>
        <w:ind w:firstLine="426" w:firstLineChars="200"/>
        <w:rPr>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备注：</w:t>
      </w:r>
      <w:r>
        <w:rPr>
          <w:rFonts w:hint="eastAsia" w:ascii="宋体" w:hAnsi="宋体" w:eastAsia="宋体" w:cs="宋体"/>
          <w:color w:val="000000" w:themeColor="text1"/>
          <w:kern w:val="0"/>
          <w:sz w:val="21"/>
          <w:szCs w:val="21"/>
          <w:highlight w:val="none"/>
          <w14:textFill>
            <w14:solidFill>
              <w14:schemeClr w14:val="tx1"/>
            </w14:solidFill>
          </w14:textFill>
        </w:rPr>
        <w:t>1、填写前请认真阅读《工业和信息化部、国家统计局、国家发展和改革委员会、财政</w:t>
      </w:r>
    </w:p>
    <w:p w14:paraId="60245154">
      <w:pPr>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部关于印发中小企业划型标准规定的通知》（工信部联企业[2011]300号）和财政部、工业和信息化部关于印发《政府采购促进中小企业发展管理办法》的通知(财库[2020]46号)相关规定。</w:t>
      </w:r>
    </w:p>
    <w:p w14:paraId="2264853D">
      <w:pPr>
        <w:ind w:firstLine="426" w:firstLineChars="200"/>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2、从业人员、营业收入、资产总额填报上一年度数据，无上一年度数据的新成立企业可不填</w:t>
      </w:r>
    </w:p>
    <w:p w14:paraId="6EA254F9">
      <w:pPr>
        <w:rPr>
          <w:rFonts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w:t>
      </w:r>
    </w:p>
    <w:p w14:paraId="6FB7C094">
      <w:pPr>
        <w:ind w:firstLine="426" w:firstLineChars="200"/>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3、非小微企业不用填写此表。</w:t>
      </w:r>
    </w:p>
    <w:p w14:paraId="21BEAC40">
      <w:pPr>
        <w:ind w:firstLine="426" w:firstLineChars="200"/>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、根据《工业和信息化部、国家统计局、国家发展和改革委员会、财政部关于印发中小企业</w:t>
      </w:r>
    </w:p>
    <w:p w14:paraId="5F665FAA">
      <w:pPr>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划型标准规定的通知》（工信部联企业[2011]300号），本项目所属行业中小企业划型标准具体如</w:t>
      </w:r>
    </w:p>
    <w:p w14:paraId="1B838931">
      <w:pPr>
        <w:tabs>
          <w:tab w:val="left" w:pos="5670"/>
        </w:tabs>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下：</w:t>
      </w:r>
      <w:r>
        <w:rPr>
          <w:rFonts w:hint="eastAsia" w:ascii="宋体" w:hAnsi="宋体" w:eastAsia="宋体" w:cs="宋体"/>
          <w:color w:val="000000" w:themeColor="text1"/>
          <w:sz w:val="21"/>
          <w:szCs w:val="21"/>
          <w:highlight w:val="none"/>
          <w:lang w:eastAsia="zh-CN"/>
          <w14:textFill>
            <w14:solidFill>
              <w14:schemeClr w14:val="tx1"/>
            </w14:solidFill>
          </w14:textFill>
        </w:rPr>
        <w:t>软件和信息技术服务业</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sz w:val="21"/>
          <w:szCs w:val="21"/>
          <w:highlight w:val="none"/>
          <w:lang w:eastAsia="zh-CN"/>
        </w:rPr>
        <w:t>。</w:t>
      </w:r>
    </w:p>
    <w:p w14:paraId="4C93E3B6">
      <w:pPr>
        <w:pStyle w:val="44"/>
        <w:ind w:firstLine="426"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如为联合体的，联合体各方均需提供此证明。</w:t>
      </w:r>
    </w:p>
    <w:p w14:paraId="2D3AD1AE">
      <w:pPr>
        <w:rPr>
          <w:color w:val="000000" w:themeColor="text1"/>
          <w:highlight w:val="none"/>
          <w14:textFill>
            <w14:solidFill>
              <w14:schemeClr w14:val="tx1"/>
            </w14:solidFill>
          </w14:textFill>
        </w:rPr>
      </w:pPr>
    </w:p>
    <w:p w14:paraId="728B8C20">
      <w:pPr>
        <w:spacing w:line="240" w:lineRule="auto"/>
        <w:jc w:val="lef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br w:type="page"/>
      </w:r>
    </w:p>
    <w:p w14:paraId="2EAAD2BE">
      <w:pPr>
        <w:tabs>
          <w:tab w:val="left" w:pos="5670"/>
        </w:tabs>
        <w:spacing w:line="5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监狱企业证明函</w:t>
      </w:r>
    </w:p>
    <w:p w14:paraId="01529F65">
      <w:pPr>
        <w:tabs>
          <w:tab w:val="left" w:pos="5670"/>
        </w:tabs>
        <w:spacing w:line="500" w:lineRule="exact"/>
        <w:ind w:firstLine="566"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09788D">
      <w:pPr>
        <w:spacing w:line="500" w:lineRule="exact"/>
        <w:ind w:firstLine="566" w:firstLineChars="200"/>
        <w:jc w:val="left"/>
        <w:rPr>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监狱企业参加政府采购活动时，应当提供由省级以上监狱管理局、戒毒管理局（含新疆生产建设兵团）出具的属于监狱企业的证明文件</w:t>
      </w:r>
      <w:r>
        <w:rPr>
          <w:rFonts w:hint="eastAsia"/>
          <w:color w:val="000000" w:themeColor="text1"/>
          <w:highlight w:val="none"/>
          <w14:textFill>
            <w14:solidFill>
              <w14:schemeClr w14:val="tx1"/>
            </w14:solidFill>
          </w14:textFill>
        </w:rPr>
        <w:t>。</w:t>
      </w:r>
    </w:p>
    <w:p w14:paraId="0FA4E0E9">
      <w:pPr>
        <w:pStyle w:val="2"/>
        <w:ind w:firstLine="639" w:firstLineChars="300"/>
        <w:rPr>
          <w:rFonts w:ascii="宋体" w:hAnsi="宋体" w:eastAsia="宋体"/>
          <w:color w:val="000000" w:themeColor="text1"/>
          <w:sz w:val="21"/>
          <w:szCs w:val="21"/>
          <w:highlight w:val="none"/>
          <w14:textFill>
            <w14:solidFill>
              <w14:schemeClr w14:val="tx1"/>
            </w14:solidFill>
          </w14:textFill>
        </w:rPr>
      </w:pPr>
    </w:p>
    <w:p w14:paraId="66AAFEE0">
      <w:pPr>
        <w:pStyle w:val="4"/>
        <w:rPr>
          <w:rFonts w:ascii="宋体" w:hAnsi="宋体" w:eastAsia="宋体"/>
          <w:color w:val="000000" w:themeColor="text1"/>
          <w:sz w:val="21"/>
          <w:szCs w:val="21"/>
          <w:highlight w:val="none"/>
          <w14:textFill>
            <w14:solidFill>
              <w14:schemeClr w14:val="tx1"/>
            </w14:solidFill>
          </w14:textFill>
        </w:rPr>
      </w:pPr>
    </w:p>
    <w:p w14:paraId="00A87DFF">
      <w:pPr>
        <w:pStyle w:val="44"/>
        <w:ind w:firstLine="426"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rPr>
        <w:t>如为联合体的，联合体各方均需提供此证明。</w:t>
      </w:r>
    </w:p>
    <w:p w14:paraId="0B47E8A7">
      <w:pPr>
        <w:rPr>
          <w:highlight w:val="none"/>
        </w:rPr>
      </w:pPr>
    </w:p>
    <w:p w14:paraId="0737E633">
      <w:pPr>
        <w:tabs>
          <w:tab w:val="left" w:pos="5670"/>
        </w:tabs>
        <w:spacing w:line="500" w:lineRule="exact"/>
        <w:ind w:firstLine="426" w:firstLineChars="200"/>
        <w:jc w:val="left"/>
        <w:rPr>
          <w:color w:val="000000" w:themeColor="text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br w:type="page"/>
      </w:r>
    </w:p>
    <w:p w14:paraId="2A6CB1E6">
      <w:pPr>
        <w:tabs>
          <w:tab w:val="left" w:pos="5670"/>
        </w:tabs>
        <w:spacing w:after="190" w:afterLines="50" w:line="500" w:lineRule="exact"/>
        <w:jc w:val="center"/>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残疾人福利性单位声明函（格式）</w:t>
      </w:r>
    </w:p>
    <w:p w14:paraId="7BCFAA42">
      <w:pPr>
        <w:spacing w:line="500" w:lineRule="exact"/>
        <w:ind w:firstLine="566" w:firstLineChars="2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highlight w:val="none"/>
          <w:u w:val="single"/>
          <w14:textFill>
            <w14:solidFill>
              <w14:schemeClr w14:val="tx1"/>
            </w14:solidFill>
          </w14:textFill>
        </w:rPr>
        <w:t>（项目名称）</w:t>
      </w:r>
      <w:r>
        <w:rPr>
          <w:rFonts w:hint="eastAsia" w:ascii="仿宋" w:hAnsi="仿宋" w:eastAsia="仿宋" w:cs="仿宋"/>
          <w:color w:val="000000" w:themeColor="text1"/>
          <w:highlight w:val="none"/>
          <w14:textFill>
            <w14:solidFill>
              <w14:schemeClr w14:val="tx1"/>
            </w14:solidFill>
          </w14:textFill>
        </w:rPr>
        <w:t>（项目编号：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）第___标段采购活动提供本单位制造的货物（由本单位承担工程/提供服务），或者提供其他残疾人福利性单位制造的货物（不包括使用非残疾人福利性单位注册商标的货物）。</w:t>
      </w:r>
    </w:p>
    <w:p w14:paraId="181EBF3F">
      <w:pPr>
        <w:spacing w:line="500" w:lineRule="exact"/>
        <w:ind w:firstLine="566" w:firstLineChars="2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本单位对上述声明的真实性负责。如有虚假，将依法承担相应责任。</w:t>
      </w:r>
    </w:p>
    <w:p w14:paraId="4CE7CA23">
      <w:pPr>
        <w:spacing w:line="500" w:lineRule="exact"/>
        <w:ind w:firstLine="566" w:firstLineChars="200"/>
        <w:jc w:val="left"/>
        <w:rPr>
          <w:rFonts w:hint="eastAsia" w:ascii="仿宋" w:hAnsi="仿宋" w:eastAsia="仿宋" w:cs="仿宋"/>
          <w:color w:val="000000" w:themeColor="text1"/>
          <w:highlight w:val="none"/>
          <w14:textFill>
            <w14:solidFill>
              <w14:schemeClr w14:val="tx1"/>
            </w14:solidFill>
          </w14:textFill>
        </w:rPr>
      </w:pPr>
    </w:p>
    <w:p w14:paraId="745B23CE">
      <w:pPr>
        <w:spacing w:line="500" w:lineRule="exact"/>
        <w:ind w:firstLine="5094" w:firstLineChars="18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名称</w:t>
      </w:r>
      <w:r>
        <w:rPr>
          <w:rFonts w:hint="eastAsia" w:ascii="仿宋" w:hAnsi="仿宋" w:eastAsia="仿宋" w:cs="仿宋"/>
          <w:color w:val="000000" w:themeColor="text1"/>
          <w:highlight w:val="none"/>
          <w14:textFill>
            <w14:solidFill>
              <w14:schemeClr w14:val="tx1"/>
            </w14:solidFill>
          </w14:textFill>
        </w:rPr>
        <w:t>（加盖公章）</w:t>
      </w:r>
    </w:p>
    <w:p w14:paraId="23368F25">
      <w:pPr>
        <w:tabs>
          <w:tab w:val="left" w:pos="5670"/>
        </w:tabs>
        <w:spacing w:line="500" w:lineRule="exact"/>
        <w:ind w:firstLine="5377" w:firstLineChars="19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　　年　月　日</w:t>
      </w:r>
    </w:p>
    <w:p w14:paraId="0C09AE29">
      <w:pPr>
        <w:tabs>
          <w:tab w:val="left" w:pos="5670"/>
        </w:tabs>
        <w:spacing w:line="240" w:lineRule="auto"/>
        <w:ind w:firstLine="566"/>
        <w:jc w:val="left"/>
        <w:rPr>
          <w:rFonts w:ascii="宋体" w:hAnsi="宋体" w:eastAsia="宋体" w:cs="宋体"/>
          <w:b/>
          <w:bCs/>
          <w:color w:val="000000" w:themeColor="text1"/>
          <w:sz w:val="21"/>
          <w:szCs w:val="21"/>
          <w:highlight w:val="none"/>
          <w14:textFill>
            <w14:solidFill>
              <w14:schemeClr w14:val="tx1"/>
            </w14:solidFill>
          </w14:textFill>
        </w:rPr>
      </w:pPr>
    </w:p>
    <w:p w14:paraId="765C2851">
      <w:pPr>
        <w:tabs>
          <w:tab w:val="left" w:pos="5670"/>
        </w:tabs>
        <w:spacing w:line="240" w:lineRule="auto"/>
        <w:ind w:firstLine="566"/>
        <w:jc w:val="left"/>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备注：非残疾人福利性单位不用填写此表。</w:t>
      </w:r>
    </w:p>
    <w:p w14:paraId="4E38CC9D">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项目不分标段的，第___标段空白处填写“/”。</w:t>
      </w:r>
    </w:p>
    <w:p w14:paraId="3077BC1F">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根据《财政部 民政部 中国残疾人联合会关于促进残疾人就业政府采购政策的通知》（财库〔2017〕141号）的规定：</w:t>
      </w:r>
    </w:p>
    <w:p w14:paraId="17F338FB">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一、享受政府采购支持政策的残疾人福利性单位应当同时满足以下条件：</w:t>
      </w:r>
    </w:p>
    <w:p w14:paraId="04FE4DEF">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（一）安置的残疾人占本单位在职职工人数的比例不低于</w:t>
      </w:r>
      <w:r>
        <w:rPr>
          <w:rFonts w:hint="eastAsia" w:ascii="仿宋" w:hAnsi="仿宋" w:cs="仿宋"/>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%（含</w:t>
      </w:r>
      <w:r>
        <w:rPr>
          <w:rFonts w:hint="eastAsia" w:ascii="仿宋" w:hAnsi="仿宋" w:cs="仿宋"/>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%），并且安置的残疾人人数不少于10人（含10人）；</w:t>
      </w:r>
    </w:p>
    <w:p w14:paraId="23A1449F">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（二）依法与安置的每位残疾人签订了一年以上（含一年）的劳动合同或服务协议；</w:t>
      </w:r>
    </w:p>
    <w:p w14:paraId="56515246">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5A7A81DA">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5AC2B9AE">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256E66F7">
      <w:pPr>
        <w:tabs>
          <w:tab w:val="left" w:pos="5670"/>
        </w:tabs>
        <w:spacing w:line="240" w:lineRule="auto"/>
        <w:ind w:firstLine="566"/>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644BE6">
      <w:pPr>
        <w:pStyle w:val="2"/>
        <w:numPr>
          <w:ilvl w:val="255"/>
          <w:numId w:val="0"/>
        </w:numPr>
        <w:ind w:firstLine="426"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二、中标、</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为残疾人福利性单位的，采购人或者其委托的采购代理机构应当随中标、成交结果同时公告其《残疾人福利性单位声明函》，接受社会监督。</w:t>
      </w:r>
    </w:p>
    <w:p w14:paraId="303453C3">
      <w:pPr>
        <w:numPr>
          <w:ilvl w:val="255"/>
          <w:numId w:val="0"/>
        </w:numPr>
        <w:ind w:firstLine="426"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如为联合体的，联合体各方均需提供此证明。</w:t>
      </w:r>
      <w:r>
        <w:rPr>
          <w:rFonts w:hint="eastAsia" w:ascii="宋体" w:hAnsi="宋体" w:eastAsia="宋体" w:cs="宋体"/>
          <w:color w:val="000000" w:themeColor="text1"/>
          <w:sz w:val="21"/>
          <w:szCs w:val="21"/>
          <w:highlight w:val="none"/>
          <w14:textFill>
            <w14:solidFill>
              <w14:schemeClr w14:val="tx1"/>
            </w14:solidFill>
          </w14:textFill>
        </w:rPr>
        <w:br w:type="page"/>
      </w:r>
    </w:p>
    <w:p w14:paraId="61888C33">
      <w:pPr>
        <w:spacing w:line="500" w:lineRule="exact"/>
        <w:ind w:firstLine="566"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（二）</w:t>
      </w:r>
      <w:r>
        <w:rPr>
          <w:rFonts w:hint="eastAsia" w:ascii="仿宋" w:hAnsi="仿宋" w:eastAsia="仿宋" w:cs="仿宋"/>
          <w:b/>
          <w:bCs/>
          <w:color w:val="000000" w:themeColor="text1"/>
          <w:highlight w:val="none"/>
          <w:lang w:eastAsia="zh-CN"/>
          <w14:textFill>
            <w14:solidFill>
              <w14:schemeClr w14:val="tx1"/>
            </w14:solidFill>
          </w14:textFill>
        </w:rPr>
        <w:t>供应商</w:t>
      </w:r>
      <w:r>
        <w:rPr>
          <w:rFonts w:hint="eastAsia" w:ascii="仿宋" w:hAnsi="仿宋" w:eastAsia="仿宋" w:cs="仿宋"/>
          <w:b/>
          <w:bCs/>
          <w:color w:val="000000" w:themeColor="text1"/>
          <w:highlight w:val="none"/>
          <w14:textFill>
            <w14:solidFill>
              <w14:schemeClr w14:val="tx1"/>
            </w14:solidFill>
          </w14:textFill>
        </w:rPr>
        <w:t>概况</w:t>
      </w:r>
    </w:p>
    <w:p w14:paraId="7F4A6320">
      <w:pPr>
        <w:spacing w:line="500" w:lineRule="exact"/>
        <w:ind w:firstLine="566" w:firstLineChars="200"/>
        <w:jc w:val="lef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包括但不限于成立时间、经营范围、股权变更、总公司分公司分布及经营状况、管理制度、人员配备、用户评价、正在实施的项目，评优获奖情况</w:t>
      </w:r>
      <w:r>
        <w:rPr>
          <w:rFonts w:hint="eastAsia"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以及</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认为有利于中标的其他情况说明。</w:t>
      </w:r>
    </w:p>
    <w:p w14:paraId="7FD9B92E">
      <w:pPr>
        <w:widowControl w:val="0"/>
        <w:spacing w:line="500" w:lineRule="exact"/>
        <w:ind w:firstLine="566" w:firstLineChars="200"/>
        <w:jc w:val="left"/>
        <w:rPr>
          <w:rFonts w:cs="华文仿宋"/>
          <w:b/>
          <w:bCs/>
          <w:color w:val="auto"/>
          <w:highlight w:val="none"/>
        </w:rPr>
      </w:pPr>
    </w:p>
    <w:p w14:paraId="7571F03D">
      <w:pPr>
        <w:widowControl w:val="0"/>
        <w:rPr>
          <w:rFonts w:cs="华文仿宋"/>
          <w:color w:val="auto"/>
          <w:highlight w:val="none"/>
        </w:rPr>
      </w:pPr>
      <w:r>
        <w:rPr>
          <w:rFonts w:hint="eastAsia" w:ascii="华文仿宋" w:hAnsi="华文仿宋" w:cs="华文仿宋"/>
          <w:color w:val="auto"/>
          <w:highlight w:val="none"/>
        </w:rPr>
        <w:br w:type="page"/>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7C0283A">
      <w:pPr>
        <w:pStyle w:val="46"/>
        <w:widowControl w:val="0"/>
        <w:spacing w:line="500" w:lineRule="exact"/>
        <w:ind w:firstLine="606" w:firstLineChars="200"/>
        <w:jc w:val="both"/>
        <w:outlineLvl w:val="2"/>
        <w:rPr>
          <w:rFonts w:ascii="华文仿宋" w:cs="Times New Roman"/>
          <w:color w:val="auto"/>
          <w:highlight w:val="none"/>
        </w:rPr>
      </w:pPr>
      <w:r>
        <w:rPr>
          <w:rFonts w:hint="eastAsia" w:ascii="仿宋" w:hAnsi="仿宋" w:eastAsia="仿宋" w:cs="仿宋"/>
          <w:color w:val="auto"/>
          <w:sz w:val="30"/>
          <w:szCs w:val="30"/>
          <w:highlight w:val="none"/>
        </w:rPr>
        <w:t>二、</w:t>
      </w:r>
      <w:bookmarkStart w:id="511" w:name="_Toc13262"/>
      <w:r>
        <w:rPr>
          <w:rFonts w:hint="eastAsia" w:ascii="华文仿宋" w:hAnsi="华文仿宋" w:eastAsia="仿宋" w:cs="华文仿宋"/>
          <w:color w:val="auto"/>
          <w:highlight w:val="none"/>
          <w:lang w:eastAsia="zh-CN"/>
        </w:rPr>
        <w:t>响应</w:t>
      </w:r>
      <w:r>
        <w:rPr>
          <w:rFonts w:hint="eastAsia" w:ascii="华文仿宋" w:hAnsi="华文仿宋" w:cs="华文仿宋"/>
          <w:color w:val="auto"/>
          <w:highlight w:val="none"/>
        </w:rPr>
        <w:t>方案</w:t>
      </w:r>
      <w:bookmarkEnd w:id="511"/>
    </w:p>
    <w:p w14:paraId="2C4600A3">
      <w:pPr>
        <w:widowControl w:val="0"/>
        <w:spacing w:line="500" w:lineRule="exact"/>
        <w:ind w:firstLine="566" w:firstLineChars="200"/>
        <w:rPr>
          <w:rFonts w:cs="Times New Roman"/>
          <w:b/>
          <w:bCs/>
          <w:color w:val="auto"/>
          <w:highlight w:val="none"/>
        </w:rPr>
      </w:pPr>
      <w:r>
        <w:rPr>
          <w:rFonts w:hint="eastAsia" w:cs="华文仿宋"/>
          <w:color w:val="auto"/>
          <w:highlight w:val="none"/>
        </w:rPr>
        <w:t>参照</w:t>
      </w:r>
      <w:r>
        <w:rPr>
          <w:rFonts w:hint="eastAsia" w:cs="华文仿宋"/>
          <w:color w:val="auto"/>
          <w:highlight w:val="none"/>
          <w:lang w:eastAsia="zh-CN"/>
        </w:rPr>
        <w:t>磋商文件</w:t>
      </w:r>
      <w:r>
        <w:rPr>
          <w:rFonts w:hint="eastAsia" w:cs="华文仿宋"/>
          <w:color w:val="auto"/>
          <w:highlight w:val="none"/>
        </w:rPr>
        <w:t>第二章第八项《组织</w:t>
      </w:r>
      <w:r>
        <w:rPr>
          <w:rFonts w:hint="eastAsia" w:cs="华文仿宋"/>
          <w:color w:val="auto"/>
          <w:highlight w:val="none"/>
          <w:lang w:eastAsia="zh-CN"/>
        </w:rPr>
        <w:t>评审</w:t>
      </w:r>
      <w:r>
        <w:rPr>
          <w:rFonts w:hint="eastAsia" w:cs="华文仿宋"/>
          <w:color w:val="auto"/>
          <w:highlight w:val="none"/>
        </w:rPr>
        <w:t>》各条款的要求，结合第</w:t>
      </w:r>
      <w:r>
        <w:rPr>
          <w:rFonts w:hint="eastAsia" w:cs="华文仿宋"/>
          <w:color w:val="auto"/>
          <w:highlight w:val="none"/>
          <w:lang w:eastAsia="zh-CN"/>
        </w:rPr>
        <w:t>三</w:t>
      </w:r>
      <w:r>
        <w:rPr>
          <w:rFonts w:hint="eastAsia" w:cs="华文仿宋"/>
          <w:color w:val="auto"/>
          <w:highlight w:val="none"/>
        </w:rPr>
        <w:t>章《</w:t>
      </w:r>
      <w:r>
        <w:rPr>
          <w:rFonts w:hint="eastAsia" w:cs="华文仿宋"/>
          <w:color w:val="auto"/>
          <w:highlight w:val="none"/>
          <w:lang w:eastAsia="zh-CN"/>
        </w:rPr>
        <w:t>磋商</w:t>
      </w:r>
      <w:r>
        <w:rPr>
          <w:rFonts w:hint="eastAsia" w:cs="华文仿宋"/>
          <w:color w:val="auto"/>
          <w:highlight w:val="none"/>
        </w:rPr>
        <w:t>内容及采购要求》编制</w:t>
      </w:r>
      <w:r>
        <w:rPr>
          <w:rFonts w:hint="eastAsia" w:cs="华文仿宋"/>
          <w:color w:val="auto"/>
          <w:highlight w:val="none"/>
          <w:lang w:eastAsia="zh-CN"/>
        </w:rPr>
        <w:t>响应</w:t>
      </w:r>
      <w:r>
        <w:rPr>
          <w:rFonts w:hint="eastAsia" w:cs="华文仿宋"/>
          <w:color w:val="auto"/>
          <w:highlight w:val="none"/>
        </w:rPr>
        <w:t>方案。</w:t>
      </w:r>
    </w:p>
    <w:p w14:paraId="4C2E5169">
      <w:pPr>
        <w:widowControl w:val="0"/>
        <w:spacing w:line="500" w:lineRule="exact"/>
        <w:rPr>
          <w:rFonts w:ascii="华文仿宋" w:hAnsi="华文仿宋" w:cs="华文仿宋"/>
          <w:b/>
          <w:bCs/>
          <w:color w:val="auto"/>
          <w:sz w:val="32"/>
          <w:szCs w:val="32"/>
          <w:highlight w:val="none"/>
        </w:rPr>
      </w:pPr>
    </w:p>
    <w:p w14:paraId="602CEB0A">
      <w:pPr>
        <w:widowControl w:val="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4DD703B">
      <w:pPr>
        <w:widowControl w:val="0"/>
        <w:spacing w:line="500" w:lineRule="exact"/>
        <w:ind w:firstLine="606" w:firstLineChars="200"/>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三、参考样表</w:t>
      </w:r>
    </w:p>
    <w:p w14:paraId="5EBFDC4F">
      <w:pPr>
        <w:widowControl w:val="0"/>
        <w:spacing w:line="500" w:lineRule="exact"/>
        <w:ind w:firstLine="566" w:firstLineChars="200"/>
        <w:jc w:val="center"/>
        <w:rPr>
          <w:rFonts w:ascii="华文仿宋" w:cs="Times New Roman"/>
          <w:b/>
          <w:bCs/>
          <w:color w:val="auto"/>
          <w:highlight w:val="none"/>
        </w:rPr>
      </w:pPr>
      <w:r>
        <w:rPr>
          <w:rFonts w:hint="eastAsia" w:ascii="华文仿宋" w:hAnsi="华文仿宋" w:cs="华文仿宋"/>
          <w:b/>
          <w:bCs/>
          <w:color w:val="auto"/>
          <w:highlight w:val="none"/>
        </w:rPr>
        <w:t>业绩合同样表（仅供参考）</w:t>
      </w:r>
    </w:p>
    <w:tbl>
      <w:tblPr>
        <w:tblStyle w:val="2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36"/>
        <w:gridCol w:w="1701"/>
        <w:gridCol w:w="2557"/>
        <w:gridCol w:w="1984"/>
      </w:tblGrid>
      <w:tr w14:paraId="2F40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5B88D4BE">
            <w:pPr>
              <w:widowControl w:val="0"/>
              <w:adjustRightInd w:val="0"/>
              <w:snapToGrid w:val="0"/>
              <w:spacing w:line="440" w:lineRule="exact"/>
              <w:jc w:val="center"/>
              <w:rPr>
                <w:rFonts w:ascii="宋体" w:cs="Times New Roman"/>
                <w:b/>
                <w:bCs/>
                <w:color w:val="auto"/>
                <w:sz w:val="24"/>
                <w:szCs w:val="24"/>
                <w:highlight w:val="none"/>
              </w:rPr>
            </w:pPr>
            <w:r>
              <w:rPr>
                <w:rFonts w:hint="eastAsia" w:ascii="宋体" w:cs="华文仿宋"/>
                <w:b/>
                <w:bCs/>
                <w:color w:val="auto"/>
                <w:sz w:val="24"/>
                <w:szCs w:val="24"/>
                <w:highlight w:val="none"/>
              </w:rPr>
              <w:t>序号</w:t>
            </w:r>
          </w:p>
        </w:tc>
        <w:tc>
          <w:tcPr>
            <w:tcW w:w="1736" w:type="dxa"/>
            <w:vAlign w:val="center"/>
          </w:tcPr>
          <w:p w14:paraId="709F52B4">
            <w:pPr>
              <w:widowControl w:val="0"/>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采购单位名称</w:t>
            </w:r>
          </w:p>
        </w:tc>
        <w:tc>
          <w:tcPr>
            <w:tcW w:w="1701" w:type="dxa"/>
            <w:vAlign w:val="center"/>
          </w:tcPr>
          <w:p w14:paraId="1C4723DC">
            <w:pPr>
              <w:widowControl w:val="0"/>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合同名称</w:t>
            </w:r>
          </w:p>
        </w:tc>
        <w:tc>
          <w:tcPr>
            <w:tcW w:w="2557" w:type="dxa"/>
            <w:vAlign w:val="center"/>
          </w:tcPr>
          <w:p w14:paraId="051FFEBF">
            <w:pPr>
              <w:widowControl w:val="0"/>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合同起止时间</w:t>
            </w:r>
          </w:p>
        </w:tc>
        <w:tc>
          <w:tcPr>
            <w:tcW w:w="1984" w:type="dxa"/>
            <w:vAlign w:val="center"/>
          </w:tcPr>
          <w:p w14:paraId="75D9DF6D">
            <w:pPr>
              <w:widowControl w:val="0"/>
              <w:jc w:val="center"/>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合同金额（万元）</w:t>
            </w:r>
          </w:p>
        </w:tc>
      </w:tr>
      <w:tr w14:paraId="0CAF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2549314E">
            <w:pPr>
              <w:widowControl w:val="0"/>
              <w:spacing w:line="440" w:lineRule="exact"/>
              <w:jc w:val="center"/>
              <w:rPr>
                <w:rFonts w:ascii="宋体" w:eastAsia="宋体" w:cs="Times New Roman"/>
                <w:color w:val="auto"/>
                <w:sz w:val="24"/>
                <w:szCs w:val="24"/>
                <w:highlight w:val="none"/>
              </w:rPr>
            </w:pPr>
          </w:p>
        </w:tc>
        <w:tc>
          <w:tcPr>
            <w:tcW w:w="1736" w:type="dxa"/>
            <w:vAlign w:val="center"/>
          </w:tcPr>
          <w:p w14:paraId="2A90167A">
            <w:pPr>
              <w:widowControl w:val="0"/>
              <w:spacing w:line="440" w:lineRule="exact"/>
              <w:jc w:val="center"/>
              <w:rPr>
                <w:rFonts w:ascii="宋体" w:eastAsia="宋体" w:cs="Times New Roman"/>
                <w:color w:val="auto"/>
                <w:sz w:val="24"/>
                <w:szCs w:val="24"/>
                <w:highlight w:val="none"/>
              </w:rPr>
            </w:pPr>
          </w:p>
        </w:tc>
        <w:tc>
          <w:tcPr>
            <w:tcW w:w="1701" w:type="dxa"/>
            <w:vAlign w:val="center"/>
          </w:tcPr>
          <w:p w14:paraId="09C04703">
            <w:pPr>
              <w:widowControl w:val="0"/>
              <w:spacing w:line="440" w:lineRule="exact"/>
              <w:jc w:val="center"/>
              <w:rPr>
                <w:rFonts w:ascii="宋体" w:eastAsia="宋体" w:cs="Times New Roman"/>
                <w:color w:val="auto"/>
                <w:sz w:val="24"/>
                <w:szCs w:val="24"/>
                <w:highlight w:val="none"/>
              </w:rPr>
            </w:pPr>
          </w:p>
        </w:tc>
        <w:tc>
          <w:tcPr>
            <w:tcW w:w="2557" w:type="dxa"/>
            <w:vAlign w:val="center"/>
          </w:tcPr>
          <w:p w14:paraId="058B7BE7">
            <w:pPr>
              <w:widowControl w:val="0"/>
              <w:spacing w:line="440" w:lineRule="exact"/>
              <w:jc w:val="center"/>
              <w:rPr>
                <w:rFonts w:ascii="宋体" w:eastAsia="宋体" w:cs="Times New Roman"/>
                <w:color w:val="auto"/>
                <w:sz w:val="24"/>
                <w:szCs w:val="24"/>
                <w:highlight w:val="none"/>
              </w:rPr>
            </w:pPr>
          </w:p>
        </w:tc>
        <w:tc>
          <w:tcPr>
            <w:tcW w:w="1984" w:type="dxa"/>
            <w:vAlign w:val="center"/>
          </w:tcPr>
          <w:p w14:paraId="747272E9">
            <w:pPr>
              <w:widowControl w:val="0"/>
              <w:spacing w:line="440" w:lineRule="exact"/>
              <w:jc w:val="center"/>
              <w:rPr>
                <w:rFonts w:ascii="宋体" w:eastAsia="宋体" w:cs="Times New Roman"/>
                <w:color w:val="auto"/>
                <w:sz w:val="24"/>
                <w:szCs w:val="24"/>
                <w:highlight w:val="none"/>
              </w:rPr>
            </w:pPr>
          </w:p>
        </w:tc>
      </w:tr>
      <w:tr w14:paraId="13BA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14:paraId="1656803B">
            <w:pPr>
              <w:widowControl w:val="0"/>
              <w:spacing w:line="440" w:lineRule="exact"/>
              <w:jc w:val="center"/>
              <w:rPr>
                <w:rFonts w:ascii="宋体" w:eastAsia="宋体" w:cs="Times New Roman"/>
                <w:color w:val="auto"/>
                <w:sz w:val="24"/>
                <w:szCs w:val="24"/>
                <w:highlight w:val="none"/>
              </w:rPr>
            </w:pPr>
          </w:p>
        </w:tc>
        <w:tc>
          <w:tcPr>
            <w:tcW w:w="1736" w:type="dxa"/>
            <w:vAlign w:val="center"/>
          </w:tcPr>
          <w:p w14:paraId="66F85470">
            <w:pPr>
              <w:widowControl w:val="0"/>
              <w:spacing w:line="440" w:lineRule="exact"/>
              <w:jc w:val="center"/>
              <w:rPr>
                <w:rFonts w:ascii="宋体" w:eastAsia="宋体" w:cs="Times New Roman"/>
                <w:color w:val="auto"/>
                <w:sz w:val="24"/>
                <w:szCs w:val="24"/>
                <w:highlight w:val="none"/>
              </w:rPr>
            </w:pPr>
          </w:p>
        </w:tc>
        <w:tc>
          <w:tcPr>
            <w:tcW w:w="1701" w:type="dxa"/>
            <w:vAlign w:val="center"/>
          </w:tcPr>
          <w:p w14:paraId="7272EEB3">
            <w:pPr>
              <w:widowControl w:val="0"/>
              <w:spacing w:line="440" w:lineRule="exact"/>
              <w:jc w:val="center"/>
              <w:rPr>
                <w:rFonts w:ascii="宋体" w:eastAsia="宋体" w:cs="Times New Roman"/>
                <w:color w:val="auto"/>
                <w:sz w:val="24"/>
                <w:szCs w:val="24"/>
                <w:highlight w:val="none"/>
              </w:rPr>
            </w:pPr>
          </w:p>
        </w:tc>
        <w:tc>
          <w:tcPr>
            <w:tcW w:w="2557" w:type="dxa"/>
            <w:vAlign w:val="center"/>
          </w:tcPr>
          <w:p w14:paraId="4D6433A1">
            <w:pPr>
              <w:widowControl w:val="0"/>
              <w:spacing w:line="440" w:lineRule="exact"/>
              <w:jc w:val="center"/>
              <w:rPr>
                <w:rFonts w:ascii="宋体" w:eastAsia="宋体" w:cs="Times New Roman"/>
                <w:color w:val="auto"/>
                <w:sz w:val="24"/>
                <w:szCs w:val="24"/>
                <w:highlight w:val="none"/>
              </w:rPr>
            </w:pPr>
          </w:p>
        </w:tc>
        <w:tc>
          <w:tcPr>
            <w:tcW w:w="1984" w:type="dxa"/>
            <w:vAlign w:val="center"/>
          </w:tcPr>
          <w:p w14:paraId="3388FA57">
            <w:pPr>
              <w:widowControl w:val="0"/>
              <w:spacing w:line="440" w:lineRule="exact"/>
              <w:jc w:val="center"/>
              <w:rPr>
                <w:rFonts w:ascii="宋体" w:eastAsia="宋体" w:cs="Times New Roman"/>
                <w:color w:val="auto"/>
                <w:sz w:val="24"/>
                <w:szCs w:val="24"/>
                <w:highlight w:val="none"/>
              </w:rPr>
            </w:pPr>
          </w:p>
        </w:tc>
      </w:tr>
      <w:tr w14:paraId="372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14:paraId="7995C153">
            <w:pPr>
              <w:widowControl w:val="0"/>
              <w:spacing w:line="440" w:lineRule="exact"/>
              <w:jc w:val="left"/>
              <w:rPr>
                <w:rFonts w:ascii="宋体" w:eastAsia="宋体" w:cs="Times New Roman"/>
                <w:color w:val="auto"/>
                <w:sz w:val="24"/>
                <w:szCs w:val="24"/>
                <w:highlight w:val="none"/>
              </w:rPr>
            </w:pPr>
            <w:r>
              <w:rPr>
                <w:rFonts w:hint="eastAsia" w:ascii="仿宋" w:hAnsi="仿宋" w:eastAsia="仿宋" w:cs="仿宋"/>
                <w:b/>
                <w:bCs/>
                <w:color w:val="auto"/>
                <w:sz w:val="24"/>
                <w:szCs w:val="24"/>
                <w:highlight w:val="none"/>
              </w:rPr>
              <w:t>数量合计（个）</w:t>
            </w:r>
            <w:r>
              <w:rPr>
                <w:rFonts w:hint="eastAsia" w:ascii="宋体" w:hAnsi="宋体" w:cs="华文仿宋"/>
                <w:color w:val="auto"/>
                <w:sz w:val="24"/>
                <w:szCs w:val="24"/>
                <w:highlight w:val="none"/>
              </w:rPr>
              <w:t>：</w:t>
            </w:r>
          </w:p>
        </w:tc>
      </w:tr>
    </w:tbl>
    <w:p w14:paraId="1D097CB8">
      <w:pPr>
        <w:widowControl w:val="0"/>
        <w:rPr>
          <w:color w:val="auto"/>
          <w:highlight w:val="none"/>
        </w:rPr>
      </w:pPr>
    </w:p>
    <w:sectPr>
      <w:pgSz w:w="11906" w:h="16838"/>
      <w:pgMar w:top="1417" w:right="1418" w:bottom="1417" w:left="1418" w:header="851" w:footer="794" w:gutter="0"/>
      <w:pgNumType w:chapStyle="1"/>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1A67">
    <w:pPr>
      <w:pStyle w:val="17"/>
      <w:jc w:val="center"/>
      <w:rPr>
        <w:sz w:val="21"/>
        <w:szCs w:val="21"/>
      </w:rPr>
    </w:pPr>
  </w:p>
  <w:p w14:paraId="4F62B31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C387">
    <w:pPr>
      <w:pStyle w:val="17"/>
      <w:jc w:val="center"/>
      <w:rPr>
        <w:sz w:val="21"/>
        <w:szCs w:val="21"/>
      </w:rPr>
    </w:pPr>
  </w:p>
  <w:p w14:paraId="6F6E731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4D2E">
    <w:pPr>
      <w:pStyle w:val="17"/>
      <w:tabs>
        <w:tab w:val="left" w:pos="5425"/>
        <w:tab w:val="right" w:pos="10489"/>
        <w:tab w:val="clear" w:pos="4153"/>
        <w:tab w:val="clear" w:pos="8306"/>
      </w:tabs>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37097">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637097">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rPr>
      <w:tab/>
    </w:r>
  </w:p>
  <w:p w14:paraId="284B3015">
    <w:pPr>
      <w:pStyle w:val="17"/>
      <w:tabs>
        <w:tab w:val="center" w:pos="7002"/>
        <w:tab w:val="right" w:pos="15421"/>
        <w:tab w:val="clear" w:pos="4153"/>
        <w:tab w:val="clear" w:pos="8306"/>
      </w:tabs>
      <w:ind w:right="-2"/>
      <w:jc w:val="both"/>
      <w:rPr>
        <w:rFonts w:asci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226D7">
    <w:pPr>
      <w:spacing w:line="240" w:lineRule="auto"/>
      <w:rPr>
        <w:rFonts w:ascii="宋体"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D29A">
    <w:pPr>
      <w:pStyle w:val="19"/>
      <w:rPr>
        <w:rFonts w:hint="eastAsia" w:ascii="仿宋" w:hAnsi="仿宋" w:eastAsia="仿宋" w:cs="仿宋"/>
        <w:sz w:val="21"/>
        <w:szCs w:val="21"/>
        <w:lang w:eastAsia="zh-CN"/>
      </w:rPr>
    </w:pPr>
    <w:r>
      <w:rPr>
        <w:rFonts w:hint="eastAsia" w:ascii="仿宋" w:hAnsi="仿宋" w:eastAsia="仿宋" w:cs="仿宋"/>
        <w:sz w:val="21"/>
        <w:szCs w:val="21"/>
        <w:lang w:eastAsia="zh-CN"/>
      </w:rPr>
      <w:t>陕西省发展和改革委员会全国信用信息共享平台（陕西）2024年度技术运营第三方服务项目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EE16">
    <w:pPr>
      <w:pStyle w:val="19"/>
      <w:rPr>
        <w:rFonts w:hint="eastAsia" w:ascii="仿宋" w:hAnsi="仿宋" w:eastAsia="仿宋" w:cs="仿宋"/>
        <w:sz w:val="21"/>
        <w:szCs w:val="21"/>
        <w:lang w:eastAsia="zh-CN"/>
      </w:rPr>
    </w:pPr>
    <w:r>
      <w:rPr>
        <w:rFonts w:hint="eastAsia" w:ascii="仿宋" w:hAnsi="仿宋" w:eastAsia="仿宋" w:cs="仿宋"/>
        <w:sz w:val="21"/>
        <w:szCs w:val="21"/>
        <w:lang w:eastAsia="zh-CN"/>
      </w:rPr>
      <w:t>陕西省发展和改革委员会全国信用信息共享平台（陕西）2024年度技术运营第三方服务项目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BC368"/>
    <w:multiLevelType w:val="singleLevel"/>
    <w:tmpl w:val="C50BC368"/>
    <w:lvl w:ilvl="0" w:tentative="0">
      <w:start w:val="6"/>
      <w:numFmt w:val="chineseCounting"/>
      <w:suff w:val="nothing"/>
      <w:lvlText w:val="%1、"/>
      <w:lvlJc w:val="left"/>
      <w:rPr>
        <w:rFonts w:hint="eastAsia"/>
      </w:rPr>
    </w:lvl>
  </w:abstractNum>
  <w:abstractNum w:abstractNumId="1">
    <w:nsid w:val="C52508DB"/>
    <w:multiLevelType w:val="singleLevel"/>
    <w:tmpl w:val="C52508DB"/>
    <w:lvl w:ilvl="0" w:tentative="0">
      <w:start w:val="1"/>
      <w:numFmt w:val="decimal"/>
      <w:suff w:val="nothing"/>
      <w:lvlText w:val="（%1）"/>
      <w:lvlJc w:val="left"/>
    </w:lvl>
  </w:abstractNum>
  <w:abstractNum w:abstractNumId="2">
    <w:nsid w:val="CE0D506B"/>
    <w:multiLevelType w:val="singleLevel"/>
    <w:tmpl w:val="CE0D506B"/>
    <w:lvl w:ilvl="0" w:tentative="0">
      <w:start w:val="2"/>
      <w:numFmt w:val="chineseCounting"/>
      <w:suff w:val="nothing"/>
      <w:lvlText w:val="%1、"/>
      <w:lvlJc w:val="left"/>
      <w:rPr>
        <w:rFonts w:hint="eastAsia"/>
      </w:rPr>
    </w:lvl>
  </w:abstractNum>
  <w:abstractNum w:abstractNumId="3">
    <w:nsid w:val="F1859649"/>
    <w:multiLevelType w:val="singleLevel"/>
    <w:tmpl w:val="F1859649"/>
    <w:lvl w:ilvl="0" w:tentative="0">
      <w:start w:val="1"/>
      <w:numFmt w:val="decimal"/>
      <w:suff w:val="nothing"/>
      <w:lvlText w:val="%1、"/>
      <w:lvlJc w:val="left"/>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5045B13E"/>
    <w:multiLevelType w:val="singleLevel"/>
    <w:tmpl w:val="5045B13E"/>
    <w:lvl w:ilvl="0" w:tentative="0">
      <w:start w:val="9"/>
      <w:numFmt w:val="decimal"/>
      <w:suff w:val="nothing"/>
      <w:lvlText w:val="%1、"/>
      <w:lvlJc w:val="left"/>
    </w:lvl>
  </w:abstractNum>
  <w:abstractNum w:abstractNumId="6">
    <w:nsid w:val="5CC125A1"/>
    <w:multiLevelType w:val="singleLevel"/>
    <w:tmpl w:val="5CC125A1"/>
    <w:lvl w:ilvl="0" w:tentative="0">
      <w:start w:val="2"/>
      <w:numFmt w:val="decimal"/>
      <w:suff w:val="nothing"/>
      <w:lvlText w:val="%1、"/>
      <w:lvlJc w:val="left"/>
      <w:rPr>
        <w:rFonts w:hint="default" w:ascii="华文仿宋" w:hAnsi="华文仿宋" w:eastAsia="华文仿宋" w:cs="华文仿宋"/>
      </w:rPr>
    </w:lvl>
  </w:abstractNum>
  <w:abstractNum w:abstractNumId="7">
    <w:nsid w:val="632E567F"/>
    <w:multiLevelType w:val="singleLevel"/>
    <w:tmpl w:val="632E567F"/>
    <w:lvl w:ilvl="0" w:tentative="0">
      <w:start w:val="2"/>
      <w:numFmt w:val="chineseCounting"/>
      <w:suff w:val="nothing"/>
      <w:lvlText w:val="（%1）"/>
      <w:lvlJc w:val="left"/>
      <w:rPr>
        <w:rFonts w:hint="eastAsia"/>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MzNlMGZjMDIyZDc4MjhjNjk3OTJmNDJlMTM1MjIifQ=="/>
  </w:docVars>
  <w:rsids>
    <w:rsidRoot w:val="45630FF2"/>
    <w:rsid w:val="0000352D"/>
    <w:rsid w:val="000232A5"/>
    <w:rsid w:val="00060570"/>
    <w:rsid w:val="000A5AB4"/>
    <w:rsid w:val="000C09A8"/>
    <w:rsid w:val="000D5D9B"/>
    <w:rsid w:val="000D7521"/>
    <w:rsid w:val="0011615B"/>
    <w:rsid w:val="00117778"/>
    <w:rsid w:val="001278EF"/>
    <w:rsid w:val="001469A3"/>
    <w:rsid w:val="001513E9"/>
    <w:rsid w:val="001F1505"/>
    <w:rsid w:val="00201518"/>
    <w:rsid w:val="00215AA4"/>
    <w:rsid w:val="002B1BA1"/>
    <w:rsid w:val="003636E6"/>
    <w:rsid w:val="00382FFD"/>
    <w:rsid w:val="003C28DE"/>
    <w:rsid w:val="003C7A50"/>
    <w:rsid w:val="00416146"/>
    <w:rsid w:val="00422F76"/>
    <w:rsid w:val="004256E8"/>
    <w:rsid w:val="00466C67"/>
    <w:rsid w:val="004928D3"/>
    <w:rsid w:val="00497C59"/>
    <w:rsid w:val="004E616D"/>
    <w:rsid w:val="004F3353"/>
    <w:rsid w:val="0051620A"/>
    <w:rsid w:val="00556541"/>
    <w:rsid w:val="0056066E"/>
    <w:rsid w:val="00586FEC"/>
    <w:rsid w:val="005D2854"/>
    <w:rsid w:val="00600E8F"/>
    <w:rsid w:val="00624AC0"/>
    <w:rsid w:val="00631B32"/>
    <w:rsid w:val="00665B02"/>
    <w:rsid w:val="00671120"/>
    <w:rsid w:val="00692FA7"/>
    <w:rsid w:val="006B2DD4"/>
    <w:rsid w:val="006D6F3B"/>
    <w:rsid w:val="007756C4"/>
    <w:rsid w:val="007845DE"/>
    <w:rsid w:val="007D084C"/>
    <w:rsid w:val="007E1AC4"/>
    <w:rsid w:val="008321BB"/>
    <w:rsid w:val="0087167F"/>
    <w:rsid w:val="008D2A77"/>
    <w:rsid w:val="008D439D"/>
    <w:rsid w:val="008D4EE8"/>
    <w:rsid w:val="008D6EBB"/>
    <w:rsid w:val="008E64F1"/>
    <w:rsid w:val="008F64D0"/>
    <w:rsid w:val="00900810"/>
    <w:rsid w:val="00911878"/>
    <w:rsid w:val="00960C8B"/>
    <w:rsid w:val="0096541C"/>
    <w:rsid w:val="009A6C3F"/>
    <w:rsid w:val="009C118A"/>
    <w:rsid w:val="00A12E52"/>
    <w:rsid w:val="00A21A66"/>
    <w:rsid w:val="00A56685"/>
    <w:rsid w:val="00A6244D"/>
    <w:rsid w:val="00A65899"/>
    <w:rsid w:val="00A67D58"/>
    <w:rsid w:val="00B0507A"/>
    <w:rsid w:val="00B7342E"/>
    <w:rsid w:val="00BF1890"/>
    <w:rsid w:val="00BF1ACD"/>
    <w:rsid w:val="00C2341E"/>
    <w:rsid w:val="00C4535F"/>
    <w:rsid w:val="00C80754"/>
    <w:rsid w:val="00CD3536"/>
    <w:rsid w:val="00CF670F"/>
    <w:rsid w:val="00D06358"/>
    <w:rsid w:val="00D26480"/>
    <w:rsid w:val="00D622AE"/>
    <w:rsid w:val="00D979F8"/>
    <w:rsid w:val="00DE7779"/>
    <w:rsid w:val="00DF48C4"/>
    <w:rsid w:val="00E14E6A"/>
    <w:rsid w:val="00E436F1"/>
    <w:rsid w:val="00E52F76"/>
    <w:rsid w:val="00E863D6"/>
    <w:rsid w:val="00EA1D88"/>
    <w:rsid w:val="00EA792D"/>
    <w:rsid w:val="00ED1E2A"/>
    <w:rsid w:val="00EF7950"/>
    <w:rsid w:val="00F06834"/>
    <w:rsid w:val="00F10BFE"/>
    <w:rsid w:val="00F16107"/>
    <w:rsid w:val="00F40E8C"/>
    <w:rsid w:val="00F66F31"/>
    <w:rsid w:val="00F72CA9"/>
    <w:rsid w:val="00F74A57"/>
    <w:rsid w:val="00F855CD"/>
    <w:rsid w:val="00F900FB"/>
    <w:rsid w:val="00F907B6"/>
    <w:rsid w:val="00F907CF"/>
    <w:rsid w:val="010F3B4F"/>
    <w:rsid w:val="01177E4F"/>
    <w:rsid w:val="0128046A"/>
    <w:rsid w:val="012C5B39"/>
    <w:rsid w:val="012C7BC7"/>
    <w:rsid w:val="012D06EA"/>
    <w:rsid w:val="013E4ED6"/>
    <w:rsid w:val="01465301"/>
    <w:rsid w:val="01486C57"/>
    <w:rsid w:val="015E282A"/>
    <w:rsid w:val="01730582"/>
    <w:rsid w:val="01747E56"/>
    <w:rsid w:val="017B2F92"/>
    <w:rsid w:val="01893741"/>
    <w:rsid w:val="018E1207"/>
    <w:rsid w:val="018F4C90"/>
    <w:rsid w:val="0191561C"/>
    <w:rsid w:val="019433DF"/>
    <w:rsid w:val="01945F0D"/>
    <w:rsid w:val="019B3851"/>
    <w:rsid w:val="01A30E5C"/>
    <w:rsid w:val="01AE534D"/>
    <w:rsid w:val="01AF0E8E"/>
    <w:rsid w:val="01B23A13"/>
    <w:rsid w:val="01C35EBF"/>
    <w:rsid w:val="01C62714"/>
    <w:rsid w:val="01CB72E4"/>
    <w:rsid w:val="01D06506"/>
    <w:rsid w:val="01D34030"/>
    <w:rsid w:val="01E64AD0"/>
    <w:rsid w:val="01E903D6"/>
    <w:rsid w:val="01F346A7"/>
    <w:rsid w:val="01F74727"/>
    <w:rsid w:val="01F86854"/>
    <w:rsid w:val="02002387"/>
    <w:rsid w:val="02066FE7"/>
    <w:rsid w:val="021F4A85"/>
    <w:rsid w:val="021F6ED0"/>
    <w:rsid w:val="02205A60"/>
    <w:rsid w:val="02246FB2"/>
    <w:rsid w:val="02300221"/>
    <w:rsid w:val="02326E3B"/>
    <w:rsid w:val="02337EF6"/>
    <w:rsid w:val="023E0F99"/>
    <w:rsid w:val="024A6C5C"/>
    <w:rsid w:val="024B215D"/>
    <w:rsid w:val="02561E5A"/>
    <w:rsid w:val="02600504"/>
    <w:rsid w:val="0264611C"/>
    <w:rsid w:val="026C4FD1"/>
    <w:rsid w:val="02816797"/>
    <w:rsid w:val="02826B39"/>
    <w:rsid w:val="02836333"/>
    <w:rsid w:val="02885DDE"/>
    <w:rsid w:val="028A137D"/>
    <w:rsid w:val="029702A0"/>
    <w:rsid w:val="029D706B"/>
    <w:rsid w:val="029F7C6C"/>
    <w:rsid w:val="02A243E6"/>
    <w:rsid w:val="02A62291"/>
    <w:rsid w:val="02C135B5"/>
    <w:rsid w:val="02C7227E"/>
    <w:rsid w:val="02CC3DCA"/>
    <w:rsid w:val="02E11993"/>
    <w:rsid w:val="02E579CC"/>
    <w:rsid w:val="02E85867"/>
    <w:rsid w:val="02F53218"/>
    <w:rsid w:val="02F6696E"/>
    <w:rsid w:val="02FA0049"/>
    <w:rsid w:val="02FE20CD"/>
    <w:rsid w:val="030516AD"/>
    <w:rsid w:val="03166657"/>
    <w:rsid w:val="03171BF9"/>
    <w:rsid w:val="03197B9E"/>
    <w:rsid w:val="03221BCB"/>
    <w:rsid w:val="03246B5E"/>
    <w:rsid w:val="032B6C3A"/>
    <w:rsid w:val="033124A2"/>
    <w:rsid w:val="033D350D"/>
    <w:rsid w:val="033D528D"/>
    <w:rsid w:val="033E071B"/>
    <w:rsid w:val="034663E3"/>
    <w:rsid w:val="03496F3A"/>
    <w:rsid w:val="03597303"/>
    <w:rsid w:val="035D32DE"/>
    <w:rsid w:val="03655CA8"/>
    <w:rsid w:val="037164F2"/>
    <w:rsid w:val="03744955"/>
    <w:rsid w:val="03826891"/>
    <w:rsid w:val="0383518C"/>
    <w:rsid w:val="0385229D"/>
    <w:rsid w:val="03871047"/>
    <w:rsid w:val="03882B7C"/>
    <w:rsid w:val="038D20B9"/>
    <w:rsid w:val="039609ED"/>
    <w:rsid w:val="0397607D"/>
    <w:rsid w:val="03A74512"/>
    <w:rsid w:val="03AD1503"/>
    <w:rsid w:val="03C44A7D"/>
    <w:rsid w:val="03C90A5A"/>
    <w:rsid w:val="03C91364"/>
    <w:rsid w:val="03D96696"/>
    <w:rsid w:val="03E35A80"/>
    <w:rsid w:val="03E914FA"/>
    <w:rsid w:val="03EF0D82"/>
    <w:rsid w:val="03F445D9"/>
    <w:rsid w:val="03F67248"/>
    <w:rsid w:val="03FB3647"/>
    <w:rsid w:val="040F3E66"/>
    <w:rsid w:val="04275653"/>
    <w:rsid w:val="043528F0"/>
    <w:rsid w:val="043B593C"/>
    <w:rsid w:val="043F299D"/>
    <w:rsid w:val="04412466"/>
    <w:rsid w:val="04510922"/>
    <w:rsid w:val="04566D24"/>
    <w:rsid w:val="046B100C"/>
    <w:rsid w:val="046B5540"/>
    <w:rsid w:val="04710A64"/>
    <w:rsid w:val="04762137"/>
    <w:rsid w:val="047C2FE4"/>
    <w:rsid w:val="04820BAF"/>
    <w:rsid w:val="04A96068"/>
    <w:rsid w:val="04C4756E"/>
    <w:rsid w:val="04C53E14"/>
    <w:rsid w:val="04CC3644"/>
    <w:rsid w:val="04D035F5"/>
    <w:rsid w:val="04D12EE4"/>
    <w:rsid w:val="04D53E88"/>
    <w:rsid w:val="04E752B7"/>
    <w:rsid w:val="04EB042F"/>
    <w:rsid w:val="04F3656F"/>
    <w:rsid w:val="04F419D9"/>
    <w:rsid w:val="05025BA6"/>
    <w:rsid w:val="05030158"/>
    <w:rsid w:val="05085485"/>
    <w:rsid w:val="050937FD"/>
    <w:rsid w:val="050E50E5"/>
    <w:rsid w:val="0519048D"/>
    <w:rsid w:val="051D61F8"/>
    <w:rsid w:val="05287AA7"/>
    <w:rsid w:val="052B7684"/>
    <w:rsid w:val="053D0287"/>
    <w:rsid w:val="054364BD"/>
    <w:rsid w:val="054D1E6D"/>
    <w:rsid w:val="054D1F65"/>
    <w:rsid w:val="054D733B"/>
    <w:rsid w:val="054E09BE"/>
    <w:rsid w:val="055325B3"/>
    <w:rsid w:val="05575AC4"/>
    <w:rsid w:val="05584A82"/>
    <w:rsid w:val="05665582"/>
    <w:rsid w:val="056E0C00"/>
    <w:rsid w:val="05743316"/>
    <w:rsid w:val="05790131"/>
    <w:rsid w:val="05812C55"/>
    <w:rsid w:val="058D24D1"/>
    <w:rsid w:val="058E0BF8"/>
    <w:rsid w:val="059B506C"/>
    <w:rsid w:val="059C16B8"/>
    <w:rsid w:val="05A47918"/>
    <w:rsid w:val="05B60B9D"/>
    <w:rsid w:val="05C02B2F"/>
    <w:rsid w:val="05CE44B9"/>
    <w:rsid w:val="05D47115"/>
    <w:rsid w:val="05DE60F3"/>
    <w:rsid w:val="05E80E12"/>
    <w:rsid w:val="05EC5CFB"/>
    <w:rsid w:val="05F477B7"/>
    <w:rsid w:val="05F72E03"/>
    <w:rsid w:val="060C2D53"/>
    <w:rsid w:val="06135E8F"/>
    <w:rsid w:val="061439B5"/>
    <w:rsid w:val="06161542"/>
    <w:rsid w:val="0621750B"/>
    <w:rsid w:val="063D5436"/>
    <w:rsid w:val="06400C4E"/>
    <w:rsid w:val="064245D2"/>
    <w:rsid w:val="064307C8"/>
    <w:rsid w:val="064737C1"/>
    <w:rsid w:val="06533D67"/>
    <w:rsid w:val="0667442D"/>
    <w:rsid w:val="06691F53"/>
    <w:rsid w:val="06783F44"/>
    <w:rsid w:val="068079F5"/>
    <w:rsid w:val="068517DD"/>
    <w:rsid w:val="069B5E85"/>
    <w:rsid w:val="06A030C2"/>
    <w:rsid w:val="06A60DAA"/>
    <w:rsid w:val="06AA6185"/>
    <w:rsid w:val="06B156A8"/>
    <w:rsid w:val="06B17456"/>
    <w:rsid w:val="06B21E5E"/>
    <w:rsid w:val="06BF6017"/>
    <w:rsid w:val="06C715FB"/>
    <w:rsid w:val="06C90C44"/>
    <w:rsid w:val="06CA61B6"/>
    <w:rsid w:val="06D76EDF"/>
    <w:rsid w:val="06DE2083"/>
    <w:rsid w:val="06DE46EF"/>
    <w:rsid w:val="06E05E57"/>
    <w:rsid w:val="06E11AE9"/>
    <w:rsid w:val="06E51E4D"/>
    <w:rsid w:val="06F9692F"/>
    <w:rsid w:val="06FE58FA"/>
    <w:rsid w:val="06FF4665"/>
    <w:rsid w:val="07001AE7"/>
    <w:rsid w:val="0701194E"/>
    <w:rsid w:val="07056CA4"/>
    <w:rsid w:val="07097292"/>
    <w:rsid w:val="071066F2"/>
    <w:rsid w:val="07106A15"/>
    <w:rsid w:val="07150510"/>
    <w:rsid w:val="07153728"/>
    <w:rsid w:val="071A7484"/>
    <w:rsid w:val="071C0D73"/>
    <w:rsid w:val="071D2C0D"/>
    <w:rsid w:val="0721638A"/>
    <w:rsid w:val="072466AC"/>
    <w:rsid w:val="072D2F81"/>
    <w:rsid w:val="0737795B"/>
    <w:rsid w:val="073F7695"/>
    <w:rsid w:val="074402CA"/>
    <w:rsid w:val="07457BA5"/>
    <w:rsid w:val="075229E7"/>
    <w:rsid w:val="075C5D77"/>
    <w:rsid w:val="075E286E"/>
    <w:rsid w:val="076030BC"/>
    <w:rsid w:val="07636618"/>
    <w:rsid w:val="0764271A"/>
    <w:rsid w:val="076646E5"/>
    <w:rsid w:val="07683FB9"/>
    <w:rsid w:val="07724E37"/>
    <w:rsid w:val="07760965"/>
    <w:rsid w:val="077675F1"/>
    <w:rsid w:val="0781507A"/>
    <w:rsid w:val="07862AD3"/>
    <w:rsid w:val="07941252"/>
    <w:rsid w:val="079C79E5"/>
    <w:rsid w:val="079E0A68"/>
    <w:rsid w:val="07A01BFB"/>
    <w:rsid w:val="07A02934"/>
    <w:rsid w:val="07A1092D"/>
    <w:rsid w:val="07B3486F"/>
    <w:rsid w:val="07B45C7B"/>
    <w:rsid w:val="07C8301A"/>
    <w:rsid w:val="07C9774C"/>
    <w:rsid w:val="07CA6A21"/>
    <w:rsid w:val="07D4495C"/>
    <w:rsid w:val="07D45137"/>
    <w:rsid w:val="07D822F4"/>
    <w:rsid w:val="07DD2C74"/>
    <w:rsid w:val="07DE6CA6"/>
    <w:rsid w:val="07EC3DD7"/>
    <w:rsid w:val="07ED44BE"/>
    <w:rsid w:val="07F43A9E"/>
    <w:rsid w:val="08060C49"/>
    <w:rsid w:val="081C0117"/>
    <w:rsid w:val="081E04C0"/>
    <w:rsid w:val="0828199A"/>
    <w:rsid w:val="082C4CD3"/>
    <w:rsid w:val="0837398B"/>
    <w:rsid w:val="08470072"/>
    <w:rsid w:val="084713F6"/>
    <w:rsid w:val="084E626A"/>
    <w:rsid w:val="085007D2"/>
    <w:rsid w:val="08664D49"/>
    <w:rsid w:val="08670714"/>
    <w:rsid w:val="08871E43"/>
    <w:rsid w:val="088C763C"/>
    <w:rsid w:val="088F40B8"/>
    <w:rsid w:val="088F58D9"/>
    <w:rsid w:val="0891753F"/>
    <w:rsid w:val="08966833"/>
    <w:rsid w:val="08AE1E9F"/>
    <w:rsid w:val="08B55272"/>
    <w:rsid w:val="08B864ED"/>
    <w:rsid w:val="08BC2855"/>
    <w:rsid w:val="08C276F9"/>
    <w:rsid w:val="08C43471"/>
    <w:rsid w:val="08C806AD"/>
    <w:rsid w:val="08D23F81"/>
    <w:rsid w:val="08FF042B"/>
    <w:rsid w:val="090F06A4"/>
    <w:rsid w:val="090F5C8B"/>
    <w:rsid w:val="09236A2A"/>
    <w:rsid w:val="09242970"/>
    <w:rsid w:val="092E1A1C"/>
    <w:rsid w:val="094250A3"/>
    <w:rsid w:val="094F414D"/>
    <w:rsid w:val="095401EF"/>
    <w:rsid w:val="095C18FB"/>
    <w:rsid w:val="09601DFF"/>
    <w:rsid w:val="09630EDC"/>
    <w:rsid w:val="09694018"/>
    <w:rsid w:val="096E6C78"/>
    <w:rsid w:val="09717ADB"/>
    <w:rsid w:val="09807B59"/>
    <w:rsid w:val="098A09F3"/>
    <w:rsid w:val="098D7D07"/>
    <w:rsid w:val="09A96AA9"/>
    <w:rsid w:val="09AC2A5D"/>
    <w:rsid w:val="09B23531"/>
    <w:rsid w:val="09BB1615"/>
    <w:rsid w:val="09BC4DC0"/>
    <w:rsid w:val="09BE6112"/>
    <w:rsid w:val="09C22F3D"/>
    <w:rsid w:val="09D55C90"/>
    <w:rsid w:val="09E11DB2"/>
    <w:rsid w:val="09E33A8C"/>
    <w:rsid w:val="09E50406"/>
    <w:rsid w:val="09E54A69"/>
    <w:rsid w:val="09ED2E9B"/>
    <w:rsid w:val="09F21297"/>
    <w:rsid w:val="09F84B9C"/>
    <w:rsid w:val="0A09040F"/>
    <w:rsid w:val="0A0A75A9"/>
    <w:rsid w:val="0A0E0964"/>
    <w:rsid w:val="0A486323"/>
    <w:rsid w:val="0A4E393A"/>
    <w:rsid w:val="0A4F471E"/>
    <w:rsid w:val="0A53223D"/>
    <w:rsid w:val="0A5371A2"/>
    <w:rsid w:val="0A5A56A6"/>
    <w:rsid w:val="0A657E50"/>
    <w:rsid w:val="0A665632"/>
    <w:rsid w:val="0A683ECE"/>
    <w:rsid w:val="0A7705F9"/>
    <w:rsid w:val="0A780FD3"/>
    <w:rsid w:val="0A7D0871"/>
    <w:rsid w:val="0A8467EB"/>
    <w:rsid w:val="0A850E88"/>
    <w:rsid w:val="0A8542A5"/>
    <w:rsid w:val="0A881610"/>
    <w:rsid w:val="0A8D0153"/>
    <w:rsid w:val="0AA138A8"/>
    <w:rsid w:val="0AA66C44"/>
    <w:rsid w:val="0AB15295"/>
    <w:rsid w:val="0AB66451"/>
    <w:rsid w:val="0AB731E2"/>
    <w:rsid w:val="0AD656DD"/>
    <w:rsid w:val="0AE16AB6"/>
    <w:rsid w:val="0AE20419"/>
    <w:rsid w:val="0AEB422C"/>
    <w:rsid w:val="0B02035E"/>
    <w:rsid w:val="0B071D8B"/>
    <w:rsid w:val="0B0C55A3"/>
    <w:rsid w:val="0B0D18E4"/>
    <w:rsid w:val="0B0E42E3"/>
    <w:rsid w:val="0B12168D"/>
    <w:rsid w:val="0B1306DF"/>
    <w:rsid w:val="0B185378"/>
    <w:rsid w:val="0B1B218A"/>
    <w:rsid w:val="0B247752"/>
    <w:rsid w:val="0B35105E"/>
    <w:rsid w:val="0B47194F"/>
    <w:rsid w:val="0B48116A"/>
    <w:rsid w:val="0B536D2E"/>
    <w:rsid w:val="0B584344"/>
    <w:rsid w:val="0B640F3B"/>
    <w:rsid w:val="0B642CE9"/>
    <w:rsid w:val="0B7218AA"/>
    <w:rsid w:val="0B751B80"/>
    <w:rsid w:val="0B7F172C"/>
    <w:rsid w:val="0B80401F"/>
    <w:rsid w:val="0B8F7E54"/>
    <w:rsid w:val="0B905282"/>
    <w:rsid w:val="0B9A670B"/>
    <w:rsid w:val="0B9B29B9"/>
    <w:rsid w:val="0BB223A7"/>
    <w:rsid w:val="0BB53545"/>
    <w:rsid w:val="0BB619E3"/>
    <w:rsid w:val="0BC11EE9"/>
    <w:rsid w:val="0BC6627E"/>
    <w:rsid w:val="0BCD4D32"/>
    <w:rsid w:val="0BCE6B3B"/>
    <w:rsid w:val="0BCF2D65"/>
    <w:rsid w:val="0BD062B3"/>
    <w:rsid w:val="0BD16E51"/>
    <w:rsid w:val="0BD375E9"/>
    <w:rsid w:val="0BD53BE7"/>
    <w:rsid w:val="0BD85C4B"/>
    <w:rsid w:val="0BE1258C"/>
    <w:rsid w:val="0BE8391A"/>
    <w:rsid w:val="0BE9107E"/>
    <w:rsid w:val="0BEB51B8"/>
    <w:rsid w:val="0BF56037"/>
    <w:rsid w:val="0BF71DAF"/>
    <w:rsid w:val="0BF73B5D"/>
    <w:rsid w:val="0C04463D"/>
    <w:rsid w:val="0C087B18"/>
    <w:rsid w:val="0C134C5D"/>
    <w:rsid w:val="0C1F0797"/>
    <w:rsid w:val="0C300E1D"/>
    <w:rsid w:val="0C3167AF"/>
    <w:rsid w:val="0C3A0D27"/>
    <w:rsid w:val="0C4072B2"/>
    <w:rsid w:val="0C412E15"/>
    <w:rsid w:val="0C497A08"/>
    <w:rsid w:val="0C4B496B"/>
    <w:rsid w:val="0C4C0F18"/>
    <w:rsid w:val="0C4E18CD"/>
    <w:rsid w:val="0C50396D"/>
    <w:rsid w:val="0C6038FC"/>
    <w:rsid w:val="0C6A2581"/>
    <w:rsid w:val="0C70691E"/>
    <w:rsid w:val="0C732458"/>
    <w:rsid w:val="0C7B75DC"/>
    <w:rsid w:val="0CA248E3"/>
    <w:rsid w:val="0CA43CE5"/>
    <w:rsid w:val="0CAC786F"/>
    <w:rsid w:val="0CB87817"/>
    <w:rsid w:val="0CBC3AA6"/>
    <w:rsid w:val="0CC04897"/>
    <w:rsid w:val="0CC06645"/>
    <w:rsid w:val="0CC4270B"/>
    <w:rsid w:val="0CCF0636"/>
    <w:rsid w:val="0CE00A95"/>
    <w:rsid w:val="0CE91C05"/>
    <w:rsid w:val="0CEA5470"/>
    <w:rsid w:val="0CED228F"/>
    <w:rsid w:val="0CF339BC"/>
    <w:rsid w:val="0CF408A5"/>
    <w:rsid w:val="0D0E3617"/>
    <w:rsid w:val="0D297652"/>
    <w:rsid w:val="0D2B56E9"/>
    <w:rsid w:val="0D3E3B83"/>
    <w:rsid w:val="0D4B355C"/>
    <w:rsid w:val="0D4B39B0"/>
    <w:rsid w:val="0D4E7044"/>
    <w:rsid w:val="0D5A25F6"/>
    <w:rsid w:val="0D6A6055"/>
    <w:rsid w:val="0D847672"/>
    <w:rsid w:val="0D855BC8"/>
    <w:rsid w:val="0D88335D"/>
    <w:rsid w:val="0D8D1752"/>
    <w:rsid w:val="0D913B3D"/>
    <w:rsid w:val="0D9308F8"/>
    <w:rsid w:val="0D966794"/>
    <w:rsid w:val="0D9A50E8"/>
    <w:rsid w:val="0D9F6A21"/>
    <w:rsid w:val="0DB37F58"/>
    <w:rsid w:val="0DB6779E"/>
    <w:rsid w:val="0DB8731C"/>
    <w:rsid w:val="0DBA24B0"/>
    <w:rsid w:val="0DC13FD0"/>
    <w:rsid w:val="0DCE6B40"/>
    <w:rsid w:val="0DDA7292"/>
    <w:rsid w:val="0DDC125D"/>
    <w:rsid w:val="0DDF0D4D"/>
    <w:rsid w:val="0DE50931"/>
    <w:rsid w:val="0DEA1E65"/>
    <w:rsid w:val="0DF46805"/>
    <w:rsid w:val="0DFD6191"/>
    <w:rsid w:val="0E0F1632"/>
    <w:rsid w:val="0E245572"/>
    <w:rsid w:val="0E2846A5"/>
    <w:rsid w:val="0E39045D"/>
    <w:rsid w:val="0E437BF4"/>
    <w:rsid w:val="0E455435"/>
    <w:rsid w:val="0E497858"/>
    <w:rsid w:val="0E6669A8"/>
    <w:rsid w:val="0E6E0402"/>
    <w:rsid w:val="0E751589"/>
    <w:rsid w:val="0E802992"/>
    <w:rsid w:val="0E8D1CD1"/>
    <w:rsid w:val="0E927AAB"/>
    <w:rsid w:val="0EA47C40"/>
    <w:rsid w:val="0EB45D35"/>
    <w:rsid w:val="0EB65F51"/>
    <w:rsid w:val="0EB94FDD"/>
    <w:rsid w:val="0EC00B7E"/>
    <w:rsid w:val="0ED168E7"/>
    <w:rsid w:val="0EDE3728"/>
    <w:rsid w:val="0EE2429B"/>
    <w:rsid w:val="0EE4486D"/>
    <w:rsid w:val="0EE7435D"/>
    <w:rsid w:val="0EED1FEA"/>
    <w:rsid w:val="0EEF792D"/>
    <w:rsid w:val="0EF20AC5"/>
    <w:rsid w:val="0EF62721"/>
    <w:rsid w:val="0EF92D78"/>
    <w:rsid w:val="0F0F2601"/>
    <w:rsid w:val="0F13616D"/>
    <w:rsid w:val="0F285A4E"/>
    <w:rsid w:val="0F2864A1"/>
    <w:rsid w:val="0F360E40"/>
    <w:rsid w:val="0F386966"/>
    <w:rsid w:val="0F3E448E"/>
    <w:rsid w:val="0F49473E"/>
    <w:rsid w:val="0F4B17EA"/>
    <w:rsid w:val="0F5D0335"/>
    <w:rsid w:val="0F5D63CD"/>
    <w:rsid w:val="0F696B20"/>
    <w:rsid w:val="0F6B30A6"/>
    <w:rsid w:val="0F6C03BE"/>
    <w:rsid w:val="0F741D3A"/>
    <w:rsid w:val="0F781A43"/>
    <w:rsid w:val="0F81239C"/>
    <w:rsid w:val="0F925DD6"/>
    <w:rsid w:val="0F971871"/>
    <w:rsid w:val="0F977B31"/>
    <w:rsid w:val="0F9F3AAC"/>
    <w:rsid w:val="0FA364D6"/>
    <w:rsid w:val="0FA43FFC"/>
    <w:rsid w:val="0FAC4C5F"/>
    <w:rsid w:val="0FB00BF3"/>
    <w:rsid w:val="0FB26719"/>
    <w:rsid w:val="0FB60E1D"/>
    <w:rsid w:val="0FB95619"/>
    <w:rsid w:val="0FC317D6"/>
    <w:rsid w:val="0FC34C1E"/>
    <w:rsid w:val="0FC621C4"/>
    <w:rsid w:val="0FD21598"/>
    <w:rsid w:val="0FD31373"/>
    <w:rsid w:val="0FDD1402"/>
    <w:rsid w:val="0FE20680"/>
    <w:rsid w:val="0FE6364D"/>
    <w:rsid w:val="0FE67F22"/>
    <w:rsid w:val="0FED0DC8"/>
    <w:rsid w:val="0FF11B97"/>
    <w:rsid w:val="10152804"/>
    <w:rsid w:val="101C7C4F"/>
    <w:rsid w:val="101E4CFA"/>
    <w:rsid w:val="10280789"/>
    <w:rsid w:val="103001F2"/>
    <w:rsid w:val="10450B05"/>
    <w:rsid w:val="10495714"/>
    <w:rsid w:val="104A251D"/>
    <w:rsid w:val="105018AE"/>
    <w:rsid w:val="105605BF"/>
    <w:rsid w:val="105A290D"/>
    <w:rsid w:val="105B2936"/>
    <w:rsid w:val="10611EED"/>
    <w:rsid w:val="106958E9"/>
    <w:rsid w:val="10857989"/>
    <w:rsid w:val="10865C7F"/>
    <w:rsid w:val="109D7554"/>
    <w:rsid w:val="10A73DA4"/>
    <w:rsid w:val="10A74D0F"/>
    <w:rsid w:val="10AA5642"/>
    <w:rsid w:val="10AB3168"/>
    <w:rsid w:val="10AB7646"/>
    <w:rsid w:val="10AC73CE"/>
    <w:rsid w:val="10BE4C49"/>
    <w:rsid w:val="10C06C14"/>
    <w:rsid w:val="10C30331"/>
    <w:rsid w:val="10CA1840"/>
    <w:rsid w:val="10CB37C8"/>
    <w:rsid w:val="10CD30DE"/>
    <w:rsid w:val="10D87EB1"/>
    <w:rsid w:val="10DC5B09"/>
    <w:rsid w:val="10DE789F"/>
    <w:rsid w:val="10EA0B23"/>
    <w:rsid w:val="10EC7A09"/>
    <w:rsid w:val="10ED1235"/>
    <w:rsid w:val="10F405C7"/>
    <w:rsid w:val="11041305"/>
    <w:rsid w:val="111A4FFE"/>
    <w:rsid w:val="111B17D2"/>
    <w:rsid w:val="111B6FEB"/>
    <w:rsid w:val="111E3825"/>
    <w:rsid w:val="111E393A"/>
    <w:rsid w:val="11307895"/>
    <w:rsid w:val="11361D03"/>
    <w:rsid w:val="113B273E"/>
    <w:rsid w:val="11431086"/>
    <w:rsid w:val="11436B8E"/>
    <w:rsid w:val="11570387"/>
    <w:rsid w:val="115D229C"/>
    <w:rsid w:val="11651569"/>
    <w:rsid w:val="11733C86"/>
    <w:rsid w:val="117417AC"/>
    <w:rsid w:val="11755190"/>
    <w:rsid w:val="1185290C"/>
    <w:rsid w:val="11AB4336"/>
    <w:rsid w:val="11B03F7B"/>
    <w:rsid w:val="11BE37D1"/>
    <w:rsid w:val="11BF0C36"/>
    <w:rsid w:val="11C803B0"/>
    <w:rsid w:val="11C91AF8"/>
    <w:rsid w:val="11D00824"/>
    <w:rsid w:val="11D652F2"/>
    <w:rsid w:val="11DE2275"/>
    <w:rsid w:val="11E15093"/>
    <w:rsid w:val="11E84674"/>
    <w:rsid w:val="11EB5F12"/>
    <w:rsid w:val="11F06E3F"/>
    <w:rsid w:val="11FE3E97"/>
    <w:rsid w:val="12034513"/>
    <w:rsid w:val="12053590"/>
    <w:rsid w:val="120D11A2"/>
    <w:rsid w:val="12132704"/>
    <w:rsid w:val="122B49FC"/>
    <w:rsid w:val="122D2087"/>
    <w:rsid w:val="12456AF7"/>
    <w:rsid w:val="124949E7"/>
    <w:rsid w:val="124D0030"/>
    <w:rsid w:val="124F633D"/>
    <w:rsid w:val="12505D75"/>
    <w:rsid w:val="125B6C5A"/>
    <w:rsid w:val="126C5C56"/>
    <w:rsid w:val="126D6154"/>
    <w:rsid w:val="12717304"/>
    <w:rsid w:val="12771BCF"/>
    <w:rsid w:val="127D7C27"/>
    <w:rsid w:val="128A2898"/>
    <w:rsid w:val="128B4FFF"/>
    <w:rsid w:val="128F2D41"/>
    <w:rsid w:val="12905CB2"/>
    <w:rsid w:val="129E2F84"/>
    <w:rsid w:val="12A12A75"/>
    <w:rsid w:val="12A53EC4"/>
    <w:rsid w:val="12A96EF4"/>
    <w:rsid w:val="12AD3C9E"/>
    <w:rsid w:val="12B46931"/>
    <w:rsid w:val="12BE7C8A"/>
    <w:rsid w:val="12E070F9"/>
    <w:rsid w:val="12E16D5C"/>
    <w:rsid w:val="12E80CF0"/>
    <w:rsid w:val="12EC5841"/>
    <w:rsid w:val="12F064C0"/>
    <w:rsid w:val="12F10CB8"/>
    <w:rsid w:val="12FB03D7"/>
    <w:rsid w:val="12FE3A23"/>
    <w:rsid w:val="13123CF7"/>
    <w:rsid w:val="131D2345"/>
    <w:rsid w:val="131F124B"/>
    <w:rsid w:val="132C233E"/>
    <w:rsid w:val="13370CE3"/>
    <w:rsid w:val="13400D63"/>
    <w:rsid w:val="1340228E"/>
    <w:rsid w:val="1340403C"/>
    <w:rsid w:val="134105F7"/>
    <w:rsid w:val="13426006"/>
    <w:rsid w:val="134F699F"/>
    <w:rsid w:val="13637D2A"/>
    <w:rsid w:val="136D0781"/>
    <w:rsid w:val="137837D5"/>
    <w:rsid w:val="137B52A4"/>
    <w:rsid w:val="137C646B"/>
    <w:rsid w:val="137C7940"/>
    <w:rsid w:val="137E6912"/>
    <w:rsid w:val="137F56A4"/>
    <w:rsid w:val="137F578F"/>
    <w:rsid w:val="13903E81"/>
    <w:rsid w:val="13914D25"/>
    <w:rsid w:val="139500E7"/>
    <w:rsid w:val="13972D20"/>
    <w:rsid w:val="139C483D"/>
    <w:rsid w:val="13A1426D"/>
    <w:rsid w:val="13A16CBF"/>
    <w:rsid w:val="13AE61DE"/>
    <w:rsid w:val="13BB0232"/>
    <w:rsid w:val="13BB36C2"/>
    <w:rsid w:val="13C8684F"/>
    <w:rsid w:val="13D03611"/>
    <w:rsid w:val="13E558B7"/>
    <w:rsid w:val="13E62E35"/>
    <w:rsid w:val="13ED355D"/>
    <w:rsid w:val="140D728C"/>
    <w:rsid w:val="140E7C96"/>
    <w:rsid w:val="14290F74"/>
    <w:rsid w:val="14292BE3"/>
    <w:rsid w:val="142D3CA5"/>
    <w:rsid w:val="143971B4"/>
    <w:rsid w:val="14592C48"/>
    <w:rsid w:val="145A6BFB"/>
    <w:rsid w:val="14600CB6"/>
    <w:rsid w:val="14636945"/>
    <w:rsid w:val="14672DB3"/>
    <w:rsid w:val="14720225"/>
    <w:rsid w:val="14774DBB"/>
    <w:rsid w:val="147A37CF"/>
    <w:rsid w:val="148C5044"/>
    <w:rsid w:val="149C34F4"/>
    <w:rsid w:val="14A01236"/>
    <w:rsid w:val="14AD74AF"/>
    <w:rsid w:val="14B940A6"/>
    <w:rsid w:val="14C308BB"/>
    <w:rsid w:val="14C32369"/>
    <w:rsid w:val="14CE45E6"/>
    <w:rsid w:val="14D62488"/>
    <w:rsid w:val="14D62EA9"/>
    <w:rsid w:val="14DC1B42"/>
    <w:rsid w:val="14DE6A21"/>
    <w:rsid w:val="14DF0DB5"/>
    <w:rsid w:val="14E33E1D"/>
    <w:rsid w:val="14E76E65"/>
    <w:rsid w:val="14E76F94"/>
    <w:rsid w:val="14ED1B20"/>
    <w:rsid w:val="14FC0225"/>
    <w:rsid w:val="150115A9"/>
    <w:rsid w:val="15073BEA"/>
    <w:rsid w:val="15075A95"/>
    <w:rsid w:val="150A6A06"/>
    <w:rsid w:val="150D2643"/>
    <w:rsid w:val="150E5968"/>
    <w:rsid w:val="1510601F"/>
    <w:rsid w:val="15107A3E"/>
    <w:rsid w:val="15114684"/>
    <w:rsid w:val="15137724"/>
    <w:rsid w:val="15173873"/>
    <w:rsid w:val="15197EAA"/>
    <w:rsid w:val="151C7F48"/>
    <w:rsid w:val="15201C6A"/>
    <w:rsid w:val="152139F9"/>
    <w:rsid w:val="152359C3"/>
    <w:rsid w:val="15251884"/>
    <w:rsid w:val="152E085C"/>
    <w:rsid w:val="153100E0"/>
    <w:rsid w:val="1534372C"/>
    <w:rsid w:val="15354147"/>
    <w:rsid w:val="153F759E"/>
    <w:rsid w:val="15446A90"/>
    <w:rsid w:val="155618F4"/>
    <w:rsid w:val="156D10F1"/>
    <w:rsid w:val="156E622B"/>
    <w:rsid w:val="156F0C08"/>
    <w:rsid w:val="1575054D"/>
    <w:rsid w:val="157709C7"/>
    <w:rsid w:val="157955E3"/>
    <w:rsid w:val="157E2A10"/>
    <w:rsid w:val="1580336B"/>
    <w:rsid w:val="15865C45"/>
    <w:rsid w:val="158E37E7"/>
    <w:rsid w:val="159D5775"/>
    <w:rsid w:val="15A64B07"/>
    <w:rsid w:val="15A738B8"/>
    <w:rsid w:val="15A908C2"/>
    <w:rsid w:val="15AF4A94"/>
    <w:rsid w:val="15B4672E"/>
    <w:rsid w:val="15B50D0E"/>
    <w:rsid w:val="15BF6871"/>
    <w:rsid w:val="15C030F1"/>
    <w:rsid w:val="15C72A4F"/>
    <w:rsid w:val="15CB6525"/>
    <w:rsid w:val="15D31197"/>
    <w:rsid w:val="15DF0A1D"/>
    <w:rsid w:val="15DF5D8E"/>
    <w:rsid w:val="15E30196"/>
    <w:rsid w:val="15ED751A"/>
    <w:rsid w:val="15F94F59"/>
    <w:rsid w:val="160624E0"/>
    <w:rsid w:val="160B0E8E"/>
    <w:rsid w:val="16122888"/>
    <w:rsid w:val="161552E4"/>
    <w:rsid w:val="161812A0"/>
    <w:rsid w:val="1628142A"/>
    <w:rsid w:val="16351E52"/>
    <w:rsid w:val="163A7468"/>
    <w:rsid w:val="163E4320"/>
    <w:rsid w:val="164200CB"/>
    <w:rsid w:val="164D1AB9"/>
    <w:rsid w:val="165046A4"/>
    <w:rsid w:val="16521C58"/>
    <w:rsid w:val="165347D4"/>
    <w:rsid w:val="165612C1"/>
    <w:rsid w:val="165E01E6"/>
    <w:rsid w:val="165F0C7D"/>
    <w:rsid w:val="16646293"/>
    <w:rsid w:val="167470B0"/>
    <w:rsid w:val="167F131F"/>
    <w:rsid w:val="16994B63"/>
    <w:rsid w:val="169E015A"/>
    <w:rsid w:val="16A05344"/>
    <w:rsid w:val="16A20B69"/>
    <w:rsid w:val="16A33FF5"/>
    <w:rsid w:val="16A67255"/>
    <w:rsid w:val="16A92B81"/>
    <w:rsid w:val="16AB790F"/>
    <w:rsid w:val="16BC7E7D"/>
    <w:rsid w:val="16C514E0"/>
    <w:rsid w:val="16C53EE2"/>
    <w:rsid w:val="16D23613"/>
    <w:rsid w:val="16DA0303"/>
    <w:rsid w:val="16E75D71"/>
    <w:rsid w:val="16E818A1"/>
    <w:rsid w:val="16ED0036"/>
    <w:rsid w:val="170557A0"/>
    <w:rsid w:val="170A6E9F"/>
    <w:rsid w:val="17127A9D"/>
    <w:rsid w:val="171E4694"/>
    <w:rsid w:val="171E6164"/>
    <w:rsid w:val="172A128B"/>
    <w:rsid w:val="172E7785"/>
    <w:rsid w:val="172F25AD"/>
    <w:rsid w:val="173C4B1A"/>
    <w:rsid w:val="17437BB2"/>
    <w:rsid w:val="17445E3C"/>
    <w:rsid w:val="17467C1C"/>
    <w:rsid w:val="174A36DB"/>
    <w:rsid w:val="174C6469"/>
    <w:rsid w:val="17580B2A"/>
    <w:rsid w:val="175C099D"/>
    <w:rsid w:val="17775181"/>
    <w:rsid w:val="17780248"/>
    <w:rsid w:val="17842D50"/>
    <w:rsid w:val="1796247C"/>
    <w:rsid w:val="17B0332A"/>
    <w:rsid w:val="17BB2FE4"/>
    <w:rsid w:val="17CA481C"/>
    <w:rsid w:val="17D22497"/>
    <w:rsid w:val="17E12A82"/>
    <w:rsid w:val="17E1309E"/>
    <w:rsid w:val="17EE050A"/>
    <w:rsid w:val="17F02332"/>
    <w:rsid w:val="17F81389"/>
    <w:rsid w:val="180725A6"/>
    <w:rsid w:val="180F222F"/>
    <w:rsid w:val="18143C67"/>
    <w:rsid w:val="181A3069"/>
    <w:rsid w:val="181E6DB6"/>
    <w:rsid w:val="18240A54"/>
    <w:rsid w:val="182757CA"/>
    <w:rsid w:val="182B54BE"/>
    <w:rsid w:val="1834777F"/>
    <w:rsid w:val="1835084F"/>
    <w:rsid w:val="183A374F"/>
    <w:rsid w:val="184243B2"/>
    <w:rsid w:val="184E1AE0"/>
    <w:rsid w:val="18567E5D"/>
    <w:rsid w:val="185A794E"/>
    <w:rsid w:val="1862729A"/>
    <w:rsid w:val="186407CC"/>
    <w:rsid w:val="187536B3"/>
    <w:rsid w:val="18822A00"/>
    <w:rsid w:val="188D1AD1"/>
    <w:rsid w:val="188E3A9B"/>
    <w:rsid w:val="189D783A"/>
    <w:rsid w:val="18B660FA"/>
    <w:rsid w:val="18B83CF9"/>
    <w:rsid w:val="18BE4228"/>
    <w:rsid w:val="18C75F80"/>
    <w:rsid w:val="18D90123"/>
    <w:rsid w:val="18E34951"/>
    <w:rsid w:val="18E40145"/>
    <w:rsid w:val="18E611E1"/>
    <w:rsid w:val="18E81B1F"/>
    <w:rsid w:val="18F23C19"/>
    <w:rsid w:val="18F72F10"/>
    <w:rsid w:val="18FD2962"/>
    <w:rsid w:val="190138F7"/>
    <w:rsid w:val="192D058E"/>
    <w:rsid w:val="192F64DD"/>
    <w:rsid w:val="1932365A"/>
    <w:rsid w:val="193D7816"/>
    <w:rsid w:val="193E101D"/>
    <w:rsid w:val="19412D36"/>
    <w:rsid w:val="1946731D"/>
    <w:rsid w:val="194A5C14"/>
    <w:rsid w:val="19500334"/>
    <w:rsid w:val="19571BA8"/>
    <w:rsid w:val="195919B3"/>
    <w:rsid w:val="196363B0"/>
    <w:rsid w:val="196547FC"/>
    <w:rsid w:val="19662123"/>
    <w:rsid w:val="19662322"/>
    <w:rsid w:val="19681640"/>
    <w:rsid w:val="19697D7B"/>
    <w:rsid w:val="197344CC"/>
    <w:rsid w:val="197651FD"/>
    <w:rsid w:val="198329B6"/>
    <w:rsid w:val="198B5ED1"/>
    <w:rsid w:val="19996254"/>
    <w:rsid w:val="19AD7F51"/>
    <w:rsid w:val="19B60738"/>
    <w:rsid w:val="19C134CB"/>
    <w:rsid w:val="19CE111B"/>
    <w:rsid w:val="19F94F44"/>
    <w:rsid w:val="19FE21FC"/>
    <w:rsid w:val="1A004525"/>
    <w:rsid w:val="1A011504"/>
    <w:rsid w:val="1A187AC0"/>
    <w:rsid w:val="1A27385F"/>
    <w:rsid w:val="1A3C5526"/>
    <w:rsid w:val="1A4B1C44"/>
    <w:rsid w:val="1A4C3349"/>
    <w:rsid w:val="1A5F74BD"/>
    <w:rsid w:val="1A6525DA"/>
    <w:rsid w:val="1A654388"/>
    <w:rsid w:val="1A730918"/>
    <w:rsid w:val="1A7345FF"/>
    <w:rsid w:val="1A734CF7"/>
    <w:rsid w:val="1A8C7A10"/>
    <w:rsid w:val="1AA43BD5"/>
    <w:rsid w:val="1AA473F9"/>
    <w:rsid w:val="1AAB665C"/>
    <w:rsid w:val="1AAD64AC"/>
    <w:rsid w:val="1AB25837"/>
    <w:rsid w:val="1AB570BD"/>
    <w:rsid w:val="1ABB736F"/>
    <w:rsid w:val="1ACA3466"/>
    <w:rsid w:val="1ACB68E1"/>
    <w:rsid w:val="1AD130F0"/>
    <w:rsid w:val="1AD67034"/>
    <w:rsid w:val="1AEC255E"/>
    <w:rsid w:val="1AF42253"/>
    <w:rsid w:val="1AFD2812"/>
    <w:rsid w:val="1AFF1A15"/>
    <w:rsid w:val="1B014F76"/>
    <w:rsid w:val="1B0B4F2F"/>
    <w:rsid w:val="1B0D64AE"/>
    <w:rsid w:val="1B1B4F22"/>
    <w:rsid w:val="1B1C713C"/>
    <w:rsid w:val="1B1E2EB4"/>
    <w:rsid w:val="1B2349D2"/>
    <w:rsid w:val="1B281F85"/>
    <w:rsid w:val="1B3603B7"/>
    <w:rsid w:val="1B42212C"/>
    <w:rsid w:val="1B4478FD"/>
    <w:rsid w:val="1B46240B"/>
    <w:rsid w:val="1B506DE6"/>
    <w:rsid w:val="1B5B5A5C"/>
    <w:rsid w:val="1B636B19"/>
    <w:rsid w:val="1B6D1746"/>
    <w:rsid w:val="1B70565A"/>
    <w:rsid w:val="1B7F5A52"/>
    <w:rsid w:val="1B852734"/>
    <w:rsid w:val="1B8659D3"/>
    <w:rsid w:val="1B8B67AC"/>
    <w:rsid w:val="1B910F69"/>
    <w:rsid w:val="1B9242B7"/>
    <w:rsid w:val="1B9D5B59"/>
    <w:rsid w:val="1B9F6522"/>
    <w:rsid w:val="1BAF6202"/>
    <w:rsid w:val="1BB51EA1"/>
    <w:rsid w:val="1BB6402F"/>
    <w:rsid w:val="1BB93055"/>
    <w:rsid w:val="1BBA20E6"/>
    <w:rsid w:val="1BBB7C3B"/>
    <w:rsid w:val="1BC02995"/>
    <w:rsid w:val="1BC03F6C"/>
    <w:rsid w:val="1BC05D1A"/>
    <w:rsid w:val="1BC76BAC"/>
    <w:rsid w:val="1BCA303C"/>
    <w:rsid w:val="1BCD0437"/>
    <w:rsid w:val="1BD27A58"/>
    <w:rsid w:val="1BDA0DDE"/>
    <w:rsid w:val="1BFE7EA1"/>
    <w:rsid w:val="1BFF5744"/>
    <w:rsid w:val="1C014187"/>
    <w:rsid w:val="1C19155A"/>
    <w:rsid w:val="1C1C58A9"/>
    <w:rsid w:val="1C2E1CF6"/>
    <w:rsid w:val="1C33298F"/>
    <w:rsid w:val="1C3B4DCB"/>
    <w:rsid w:val="1C557A46"/>
    <w:rsid w:val="1C597F1C"/>
    <w:rsid w:val="1C685EFD"/>
    <w:rsid w:val="1C6A2129"/>
    <w:rsid w:val="1C7041CC"/>
    <w:rsid w:val="1C914247"/>
    <w:rsid w:val="1CAB69CA"/>
    <w:rsid w:val="1CC00645"/>
    <w:rsid w:val="1CC649C5"/>
    <w:rsid w:val="1CCD3A9F"/>
    <w:rsid w:val="1CDB3E0E"/>
    <w:rsid w:val="1CE35616"/>
    <w:rsid w:val="1CE42D53"/>
    <w:rsid w:val="1CEA7CFB"/>
    <w:rsid w:val="1CFF33E1"/>
    <w:rsid w:val="1D094F73"/>
    <w:rsid w:val="1D1C4FB7"/>
    <w:rsid w:val="1D2342DA"/>
    <w:rsid w:val="1D2E3157"/>
    <w:rsid w:val="1D3002DF"/>
    <w:rsid w:val="1D303B33"/>
    <w:rsid w:val="1D374356"/>
    <w:rsid w:val="1D464944"/>
    <w:rsid w:val="1D477891"/>
    <w:rsid w:val="1D4A6960"/>
    <w:rsid w:val="1D5501C0"/>
    <w:rsid w:val="1D5F77B4"/>
    <w:rsid w:val="1D666D95"/>
    <w:rsid w:val="1D670577"/>
    <w:rsid w:val="1D6923E1"/>
    <w:rsid w:val="1D715330"/>
    <w:rsid w:val="1D721295"/>
    <w:rsid w:val="1D75233C"/>
    <w:rsid w:val="1D777C20"/>
    <w:rsid w:val="1D814ED0"/>
    <w:rsid w:val="1D9017B2"/>
    <w:rsid w:val="1D970CFC"/>
    <w:rsid w:val="1D9778CB"/>
    <w:rsid w:val="1D9C6312"/>
    <w:rsid w:val="1D9D71B6"/>
    <w:rsid w:val="1D9F2A4D"/>
    <w:rsid w:val="1DA358F3"/>
    <w:rsid w:val="1DA71A80"/>
    <w:rsid w:val="1DAF1E85"/>
    <w:rsid w:val="1DC25646"/>
    <w:rsid w:val="1DD14BE4"/>
    <w:rsid w:val="1DD61857"/>
    <w:rsid w:val="1DDA19F5"/>
    <w:rsid w:val="1DDC41EB"/>
    <w:rsid w:val="1DE859FC"/>
    <w:rsid w:val="1DED6B6E"/>
    <w:rsid w:val="1DF013AA"/>
    <w:rsid w:val="1DF340C9"/>
    <w:rsid w:val="1DF61EC7"/>
    <w:rsid w:val="1DF950CA"/>
    <w:rsid w:val="1E0F74D8"/>
    <w:rsid w:val="1E116D00"/>
    <w:rsid w:val="1E154347"/>
    <w:rsid w:val="1E1F6FD4"/>
    <w:rsid w:val="1E25455A"/>
    <w:rsid w:val="1E28404A"/>
    <w:rsid w:val="1E284062"/>
    <w:rsid w:val="1E2F57C3"/>
    <w:rsid w:val="1E391DB3"/>
    <w:rsid w:val="1E3C1C4C"/>
    <w:rsid w:val="1E425D14"/>
    <w:rsid w:val="1E450758"/>
    <w:rsid w:val="1E485497"/>
    <w:rsid w:val="1E4D4B0D"/>
    <w:rsid w:val="1E50747A"/>
    <w:rsid w:val="1E5135A1"/>
    <w:rsid w:val="1E601F78"/>
    <w:rsid w:val="1E6352AF"/>
    <w:rsid w:val="1E6367EA"/>
    <w:rsid w:val="1E734D0E"/>
    <w:rsid w:val="1E8C5CCB"/>
    <w:rsid w:val="1E8F6BC6"/>
    <w:rsid w:val="1E930388"/>
    <w:rsid w:val="1E9E60BA"/>
    <w:rsid w:val="1EA07E16"/>
    <w:rsid w:val="1EA17F0F"/>
    <w:rsid w:val="1EB55AC1"/>
    <w:rsid w:val="1EB76D94"/>
    <w:rsid w:val="1EC07F45"/>
    <w:rsid w:val="1EE6018D"/>
    <w:rsid w:val="1EE73F05"/>
    <w:rsid w:val="1EED43FF"/>
    <w:rsid w:val="1EF77096"/>
    <w:rsid w:val="1EF77759"/>
    <w:rsid w:val="1EF87EC0"/>
    <w:rsid w:val="1F036C58"/>
    <w:rsid w:val="1F125060"/>
    <w:rsid w:val="1F19312F"/>
    <w:rsid w:val="1F1A6B58"/>
    <w:rsid w:val="1F2962CC"/>
    <w:rsid w:val="1F2F296F"/>
    <w:rsid w:val="1F3025CC"/>
    <w:rsid w:val="1F35675B"/>
    <w:rsid w:val="1F397DED"/>
    <w:rsid w:val="1F470500"/>
    <w:rsid w:val="1F5E16A0"/>
    <w:rsid w:val="1F6E53CE"/>
    <w:rsid w:val="1F751511"/>
    <w:rsid w:val="1F784B5D"/>
    <w:rsid w:val="1F7C7944"/>
    <w:rsid w:val="1F813A12"/>
    <w:rsid w:val="1F8B14FD"/>
    <w:rsid w:val="1F90634B"/>
    <w:rsid w:val="1F9279CD"/>
    <w:rsid w:val="1F9573F4"/>
    <w:rsid w:val="1F9803AC"/>
    <w:rsid w:val="1FA140B4"/>
    <w:rsid w:val="1FA16A27"/>
    <w:rsid w:val="1FA80990"/>
    <w:rsid w:val="1FAF0E8D"/>
    <w:rsid w:val="1FB5156C"/>
    <w:rsid w:val="1FBA3323"/>
    <w:rsid w:val="1FC3227C"/>
    <w:rsid w:val="1FC35DD8"/>
    <w:rsid w:val="1FC55FF4"/>
    <w:rsid w:val="1FDB5917"/>
    <w:rsid w:val="1FE46E6F"/>
    <w:rsid w:val="1FEB3581"/>
    <w:rsid w:val="1FF24910"/>
    <w:rsid w:val="1FF57F5C"/>
    <w:rsid w:val="1FF6631B"/>
    <w:rsid w:val="1FFE1739"/>
    <w:rsid w:val="2000527E"/>
    <w:rsid w:val="20045C8B"/>
    <w:rsid w:val="20047C71"/>
    <w:rsid w:val="200563F1"/>
    <w:rsid w:val="200C70C0"/>
    <w:rsid w:val="2020147D"/>
    <w:rsid w:val="20215C45"/>
    <w:rsid w:val="202545E1"/>
    <w:rsid w:val="202C034B"/>
    <w:rsid w:val="202D5948"/>
    <w:rsid w:val="203B1E13"/>
    <w:rsid w:val="206016CD"/>
    <w:rsid w:val="20684BD2"/>
    <w:rsid w:val="206C6470"/>
    <w:rsid w:val="207200F1"/>
    <w:rsid w:val="20732F1E"/>
    <w:rsid w:val="20786659"/>
    <w:rsid w:val="20910DC6"/>
    <w:rsid w:val="209239FD"/>
    <w:rsid w:val="20A7394C"/>
    <w:rsid w:val="20A8332F"/>
    <w:rsid w:val="20AA73F0"/>
    <w:rsid w:val="20AF2D17"/>
    <w:rsid w:val="20B641AE"/>
    <w:rsid w:val="20BE2A44"/>
    <w:rsid w:val="20C0327F"/>
    <w:rsid w:val="20C718F8"/>
    <w:rsid w:val="20D324BD"/>
    <w:rsid w:val="20D91F9E"/>
    <w:rsid w:val="20DB53A4"/>
    <w:rsid w:val="20E23090"/>
    <w:rsid w:val="20E6394D"/>
    <w:rsid w:val="20EA23A2"/>
    <w:rsid w:val="20EC2E00"/>
    <w:rsid w:val="20F14BC7"/>
    <w:rsid w:val="20F85F56"/>
    <w:rsid w:val="210677EE"/>
    <w:rsid w:val="21082B2C"/>
    <w:rsid w:val="21112295"/>
    <w:rsid w:val="211A427A"/>
    <w:rsid w:val="211F7DEC"/>
    <w:rsid w:val="212432DF"/>
    <w:rsid w:val="212436EA"/>
    <w:rsid w:val="213A52B0"/>
    <w:rsid w:val="213B29A3"/>
    <w:rsid w:val="214116AB"/>
    <w:rsid w:val="21445E15"/>
    <w:rsid w:val="215018EE"/>
    <w:rsid w:val="21532BAD"/>
    <w:rsid w:val="21543588"/>
    <w:rsid w:val="21570ECE"/>
    <w:rsid w:val="21630576"/>
    <w:rsid w:val="21676C37"/>
    <w:rsid w:val="21740E46"/>
    <w:rsid w:val="21787C6A"/>
    <w:rsid w:val="217A655D"/>
    <w:rsid w:val="217B78A2"/>
    <w:rsid w:val="217C0935"/>
    <w:rsid w:val="21802EDB"/>
    <w:rsid w:val="2189415F"/>
    <w:rsid w:val="219537A4"/>
    <w:rsid w:val="219D1EF6"/>
    <w:rsid w:val="21AB1710"/>
    <w:rsid w:val="21AC505C"/>
    <w:rsid w:val="21B50A93"/>
    <w:rsid w:val="21BF0821"/>
    <w:rsid w:val="21BF2ADF"/>
    <w:rsid w:val="21D26B44"/>
    <w:rsid w:val="21D41635"/>
    <w:rsid w:val="21DF0EC4"/>
    <w:rsid w:val="21E767CE"/>
    <w:rsid w:val="21E9487C"/>
    <w:rsid w:val="21F4496F"/>
    <w:rsid w:val="21F7445F"/>
    <w:rsid w:val="21FA61CE"/>
    <w:rsid w:val="21FB6297"/>
    <w:rsid w:val="220B18C2"/>
    <w:rsid w:val="2215007F"/>
    <w:rsid w:val="22162B37"/>
    <w:rsid w:val="222708F4"/>
    <w:rsid w:val="223C1E72"/>
    <w:rsid w:val="22522477"/>
    <w:rsid w:val="22586ED9"/>
    <w:rsid w:val="22590531"/>
    <w:rsid w:val="226F2247"/>
    <w:rsid w:val="22756F40"/>
    <w:rsid w:val="228D701E"/>
    <w:rsid w:val="22946F16"/>
    <w:rsid w:val="229660EC"/>
    <w:rsid w:val="2298179E"/>
    <w:rsid w:val="22A13307"/>
    <w:rsid w:val="22A448F0"/>
    <w:rsid w:val="22A55C69"/>
    <w:rsid w:val="22A570BB"/>
    <w:rsid w:val="22A820EB"/>
    <w:rsid w:val="22B3542F"/>
    <w:rsid w:val="22B36C43"/>
    <w:rsid w:val="22BD6766"/>
    <w:rsid w:val="22BE3D93"/>
    <w:rsid w:val="22CF72D8"/>
    <w:rsid w:val="22DB168B"/>
    <w:rsid w:val="22E06CA1"/>
    <w:rsid w:val="22F015DA"/>
    <w:rsid w:val="22FF1841"/>
    <w:rsid w:val="231A0405"/>
    <w:rsid w:val="231D61E8"/>
    <w:rsid w:val="23242F0D"/>
    <w:rsid w:val="2335523F"/>
    <w:rsid w:val="23362D65"/>
    <w:rsid w:val="23432120"/>
    <w:rsid w:val="23490CEA"/>
    <w:rsid w:val="23496B70"/>
    <w:rsid w:val="234F0237"/>
    <w:rsid w:val="23547772"/>
    <w:rsid w:val="23567515"/>
    <w:rsid w:val="23640DBF"/>
    <w:rsid w:val="237A70F6"/>
    <w:rsid w:val="237B412E"/>
    <w:rsid w:val="237D3039"/>
    <w:rsid w:val="237D5D28"/>
    <w:rsid w:val="237E662A"/>
    <w:rsid w:val="2387098A"/>
    <w:rsid w:val="23922691"/>
    <w:rsid w:val="23964A94"/>
    <w:rsid w:val="23A35297"/>
    <w:rsid w:val="23A817F8"/>
    <w:rsid w:val="23A97B97"/>
    <w:rsid w:val="23B24AE2"/>
    <w:rsid w:val="23B44E6C"/>
    <w:rsid w:val="23B60B3C"/>
    <w:rsid w:val="23C117E1"/>
    <w:rsid w:val="23D81888"/>
    <w:rsid w:val="23E34C9B"/>
    <w:rsid w:val="23EC6991"/>
    <w:rsid w:val="23F2091A"/>
    <w:rsid w:val="24025899"/>
    <w:rsid w:val="241530FB"/>
    <w:rsid w:val="24164290"/>
    <w:rsid w:val="24184B51"/>
    <w:rsid w:val="241906BD"/>
    <w:rsid w:val="241F1666"/>
    <w:rsid w:val="24216672"/>
    <w:rsid w:val="24306E5C"/>
    <w:rsid w:val="24322753"/>
    <w:rsid w:val="243351EF"/>
    <w:rsid w:val="243B4AD7"/>
    <w:rsid w:val="24442CF2"/>
    <w:rsid w:val="24444AA7"/>
    <w:rsid w:val="244E37C0"/>
    <w:rsid w:val="24613C2E"/>
    <w:rsid w:val="2463402E"/>
    <w:rsid w:val="246F0D79"/>
    <w:rsid w:val="24741D97"/>
    <w:rsid w:val="24765AA9"/>
    <w:rsid w:val="248277ED"/>
    <w:rsid w:val="248A023B"/>
    <w:rsid w:val="248C5333"/>
    <w:rsid w:val="249F3625"/>
    <w:rsid w:val="24B93C4E"/>
    <w:rsid w:val="24C125F0"/>
    <w:rsid w:val="24C70119"/>
    <w:rsid w:val="24D61CD0"/>
    <w:rsid w:val="24D91E5B"/>
    <w:rsid w:val="24DC42BB"/>
    <w:rsid w:val="24E52E5E"/>
    <w:rsid w:val="24E72569"/>
    <w:rsid w:val="250057E6"/>
    <w:rsid w:val="25024D4E"/>
    <w:rsid w:val="250273A3"/>
    <w:rsid w:val="25040F1F"/>
    <w:rsid w:val="251E3204"/>
    <w:rsid w:val="25231C15"/>
    <w:rsid w:val="252A2D3E"/>
    <w:rsid w:val="252F5FD2"/>
    <w:rsid w:val="25311A36"/>
    <w:rsid w:val="253A7BD2"/>
    <w:rsid w:val="253F6D23"/>
    <w:rsid w:val="25401C79"/>
    <w:rsid w:val="254672A4"/>
    <w:rsid w:val="25486966"/>
    <w:rsid w:val="254D6887"/>
    <w:rsid w:val="255A2986"/>
    <w:rsid w:val="25610D63"/>
    <w:rsid w:val="25673754"/>
    <w:rsid w:val="256A3074"/>
    <w:rsid w:val="256B0E9A"/>
    <w:rsid w:val="2570386E"/>
    <w:rsid w:val="25744FE5"/>
    <w:rsid w:val="25755DC7"/>
    <w:rsid w:val="257B7826"/>
    <w:rsid w:val="2583375A"/>
    <w:rsid w:val="258732EE"/>
    <w:rsid w:val="25882416"/>
    <w:rsid w:val="25AD655F"/>
    <w:rsid w:val="25B76642"/>
    <w:rsid w:val="25CD7190"/>
    <w:rsid w:val="25F34F3E"/>
    <w:rsid w:val="25F835C8"/>
    <w:rsid w:val="25F9152B"/>
    <w:rsid w:val="26064C71"/>
    <w:rsid w:val="260D435E"/>
    <w:rsid w:val="26106681"/>
    <w:rsid w:val="26181C35"/>
    <w:rsid w:val="262B2F0B"/>
    <w:rsid w:val="26343598"/>
    <w:rsid w:val="263E7F1E"/>
    <w:rsid w:val="26437C73"/>
    <w:rsid w:val="26487037"/>
    <w:rsid w:val="26552A54"/>
    <w:rsid w:val="265D679B"/>
    <w:rsid w:val="26646B2C"/>
    <w:rsid w:val="26651B12"/>
    <w:rsid w:val="26692408"/>
    <w:rsid w:val="266A25AE"/>
    <w:rsid w:val="267A1703"/>
    <w:rsid w:val="267B5DCA"/>
    <w:rsid w:val="26834A1B"/>
    <w:rsid w:val="26861CA2"/>
    <w:rsid w:val="268B161A"/>
    <w:rsid w:val="268F48E2"/>
    <w:rsid w:val="2692281E"/>
    <w:rsid w:val="26993D37"/>
    <w:rsid w:val="269A3AE6"/>
    <w:rsid w:val="26A12BEB"/>
    <w:rsid w:val="26A912CE"/>
    <w:rsid w:val="26AB5818"/>
    <w:rsid w:val="26C02A9B"/>
    <w:rsid w:val="26D467F9"/>
    <w:rsid w:val="26D61DF6"/>
    <w:rsid w:val="26DB7EAB"/>
    <w:rsid w:val="26DF5FB8"/>
    <w:rsid w:val="26EA00EF"/>
    <w:rsid w:val="26EC784C"/>
    <w:rsid w:val="26ED0B30"/>
    <w:rsid w:val="26F421D3"/>
    <w:rsid w:val="26F62F37"/>
    <w:rsid w:val="26FF005A"/>
    <w:rsid w:val="27076DAC"/>
    <w:rsid w:val="271D16C5"/>
    <w:rsid w:val="271D4907"/>
    <w:rsid w:val="27237733"/>
    <w:rsid w:val="272511CF"/>
    <w:rsid w:val="27264AA5"/>
    <w:rsid w:val="2729621F"/>
    <w:rsid w:val="273677D8"/>
    <w:rsid w:val="273B3040"/>
    <w:rsid w:val="273D46C2"/>
    <w:rsid w:val="273E3458"/>
    <w:rsid w:val="274C0264"/>
    <w:rsid w:val="275512D9"/>
    <w:rsid w:val="27642C26"/>
    <w:rsid w:val="27693709"/>
    <w:rsid w:val="276E6F72"/>
    <w:rsid w:val="27752476"/>
    <w:rsid w:val="277E177D"/>
    <w:rsid w:val="277F78C1"/>
    <w:rsid w:val="278246D7"/>
    <w:rsid w:val="278648C0"/>
    <w:rsid w:val="278A1A93"/>
    <w:rsid w:val="27900D81"/>
    <w:rsid w:val="279019FD"/>
    <w:rsid w:val="27944205"/>
    <w:rsid w:val="27A966A7"/>
    <w:rsid w:val="27B01338"/>
    <w:rsid w:val="27BB4D5F"/>
    <w:rsid w:val="27BD29B1"/>
    <w:rsid w:val="27C6290A"/>
    <w:rsid w:val="27D23C3C"/>
    <w:rsid w:val="27D40FCD"/>
    <w:rsid w:val="27E97592"/>
    <w:rsid w:val="27F05BD9"/>
    <w:rsid w:val="27F36876"/>
    <w:rsid w:val="27FA25B3"/>
    <w:rsid w:val="27FD4E34"/>
    <w:rsid w:val="28016624"/>
    <w:rsid w:val="2802598F"/>
    <w:rsid w:val="28072F22"/>
    <w:rsid w:val="28181DC9"/>
    <w:rsid w:val="281B4AE7"/>
    <w:rsid w:val="281B6AA5"/>
    <w:rsid w:val="28216D37"/>
    <w:rsid w:val="282B4E63"/>
    <w:rsid w:val="282B61F0"/>
    <w:rsid w:val="283174BB"/>
    <w:rsid w:val="283422A1"/>
    <w:rsid w:val="28367704"/>
    <w:rsid w:val="283B1F3C"/>
    <w:rsid w:val="283B262D"/>
    <w:rsid w:val="283B7736"/>
    <w:rsid w:val="28426CE5"/>
    <w:rsid w:val="28447CD2"/>
    <w:rsid w:val="2848699C"/>
    <w:rsid w:val="285105A8"/>
    <w:rsid w:val="28542E7E"/>
    <w:rsid w:val="2861140D"/>
    <w:rsid w:val="286D4C33"/>
    <w:rsid w:val="28727A72"/>
    <w:rsid w:val="28793E20"/>
    <w:rsid w:val="287B7B98"/>
    <w:rsid w:val="28844763"/>
    <w:rsid w:val="288822B5"/>
    <w:rsid w:val="288A1D5A"/>
    <w:rsid w:val="28902F18"/>
    <w:rsid w:val="2891291A"/>
    <w:rsid w:val="28935221"/>
    <w:rsid w:val="28940C5A"/>
    <w:rsid w:val="289D64D0"/>
    <w:rsid w:val="28A16ED3"/>
    <w:rsid w:val="28AC2239"/>
    <w:rsid w:val="28BC4AB2"/>
    <w:rsid w:val="28C51F48"/>
    <w:rsid w:val="28C826B1"/>
    <w:rsid w:val="28CA01D8"/>
    <w:rsid w:val="28D3213D"/>
    <w:rsid w:val="28E13773"/>
    <w:rsid w:val="28E56BFA"/>
    <w:rsid w:val="28EB63A0"/>
    <w:rsid w:val="28EE2ACB"/>
    <w:rsid w:val="28F434A6"/>
    <w:rsid w:val="28FE60D3"/>
    <w:rsid w:val="2900009D"/>
    <w:rsid w:val="29192F0D"/>
    <w:rsid w:val="291C7A80"/>
    <w:rsid w:val="291D4652"/>
    <w:rsid w:val="29234531"/>
    <w:rsid w:val="29262C2A"/>
    <w:rsid w:val="29277912"/>
    <w:rsid w:val="293146FB"/>
    <w:rsid w:val="29366E0C"/>
    <w:rsid w:val="29377724"/>
    <w:rsid w:val="293D7163"/>
    <w:rsid w:val="294F2DD3"/>
    <w:rsid w:val="295108F9"/>
    <w:rsid w:val="29514455"/>
    <w:rsid w:val="29542197"/>
    <w:rsid w:val="295977AD"/>
    <w:rsid w:val="29673C78"/>
    <w:rsid w:val="29686FB1"/>
    <w:rsid w:val="296E05F3"/>
    <w:rsid w:val="296E1FE3"/>
    <w:rsid w:val="29740D3C"/>
    <w:rsid w:val="297665B1"/>
    <w:rsid w:val="297B119D"/>
    <w:rsid w:val="298E7457"/>
    <w:rsid w:val="299310DD"/>
    <w:rsid w:val="299945FA"/>
    <w:rsid w:val="299C661E"/>
    <w:rsid w:val="29B25753"/>
    <w:rsid w:val="29B570DA"/>
    <w:rsid w:val="29B62DA2"/>
    <w:rsid w:val="29BB3FC4"/>
    <w:rsid w:val="29BC7B34"/>
    <w:rsid w:val="29C503D5"/>
    <w:rsid w:val="29C76E0D"/>
    <w:rsid w:val="29DE2EF6"/>
    <w:rsid w:val="29E02D8C"/>
    <w:rsid w:val="29E77867"/>
    <w:rsid w:val="29EA557F"/>
    <w:rsid w:val="29F23E8A"/>
    <w:rsid w:val="2A077522"/>
    <w:rsid w:val="2A083A09"/>
    <w:rsid w:val="2A0B1310"/>
    <w:rsid w:val="2A0C65CE"/>
    <w:rsid w:val="2A0E36B7"/>
    <w:rsid w:val="2A1060BE"/>
    <w:rsid w:val="2A2471D5"/>
    <w:rsid w:val="2A390259"/>
    <w:rsid w:val="2A406C7E"/>
    <w:rsid w:val="2A4E5C4D"/>
    <w:rsid w:val="2A566386"/>
    <w:rsid w:val="2A5E7160"/>
    <w:rsid w:val="2A656B02"/>
    <w:rsid w:val="2A677CA8"/>
    <w:rsid w:val="2A691C72"/>
    <w:rsid w:val="2A7027D3"/>
    <w:rsid w:val="2A73531E"/>
    <w:rsid w:val="2A895C4F"/>
    <w:rsid w:val="2A9D36CA"/>
    <w:rsid w:val="2AA44A58"/>
    <w:rsid w:val="2AB56006"/>
    <w:rsid w:val="2AB77409"/>
    <w:rsid w:val="2AC05D36"/>
    <w:rsid w:val="2AC6455E"/>
    <w:rsid w:val="2AC77F8E"/>
    <w:rsid w:val="2ACB61BC"/>
    <w:rsid w:val="2AD4533E"/>
    <w:rsid w:val="2AD92E9F"/>
    <w:rsid w:val="2ADC0696"/>
    <w:rsid w:val="2ADC6202"/>
    <w:rsid w:val="2AE24C4B"/>
    <w:rsid w:val="2AE5579D"/>
    <w:rsid w:val="2AEF2177"/>
    <w:rsid w:val="2AF343D0"/>
    <w:rsid w:val="2AFF5914"/>
    <w:rsid w:val="2B051685"/>
    <w:rsid w:val="2B0D2CED"/>
    <w:rsid w:val="2B0D36E7"/>
    <w:rsid w:val="2B2326EB"/>
    <w:rsid w:val="2B243DEB"/>
    <w:rsid w:val="2B3043E2"/>
    <w:rsid w:val="2B41674B"/>
    <w:rsid w:val="2B433F34"/>
    <w:rsid w:val="2B5244B4"/>
    <w:rsid w:val="2B5873FA"/>
    <w:rsid w:val="2B597F39"/>
    <w:rsid w:val="2B5A04DE"/>
    <w:rsid w:val="2B747F71"/>
    <w:rsid w:val="2B7B3794"/>
    <w:rsid w:val="2B854F44"/>
    <w:rsid w:val="2B8720C8"/>
    <w:rsid w:val="2B8A6344"/>
    <w:rsid w:val="2B8C3E6A"/>
    <w:rsid w:val="2B972DAF"/>
    <w:rsid w:val="2B9E76FA"/>
    <w:rsid w:val="2BA05CA2"/>
    <w:rsid w:val="2BA86521"/>
    <w:rsid w:val="2BA94A1C"/>
    <w:rsid w:val="2BB67139"/>
    <w:rsid w:val="2BCE2A49"/>
    <w:rsid w:val="2BD12D13"/>
    <w:rsid w:val="2BD1559F"/>
    <w:rsid w:val="2BE32513"/>
    <w:rsid w:val="2BE559FD"/>
    <w:rsid w:val="2BF31469"/>
    <w:rsid w:val="2BF44920"/>
    <w:rsid w:val="2BF63AB2"/>
    <w:rsid w:val="2BFB07C6"/>
    <w:rsid w:val="2C0734F1"/>
    <w:rsid w:val="2C183950"/>
    <w:rsid w:val="2C1B7B34"/>
    <w:rsid w:val="2C1C3EA9"/>
    <w:rsid w:val="2C1F083A"/>
    <w:rsid w:val="2C2222AA"/>
    <w:rsid w:val="2C293467"/>
    <w:rsid w:val="2C306CA0"/>
    <w:rsid w:val="2C4552CD"/>
    <w:rsid w:val="2C4D4D23"/>
    <w:rsid w:val="2C574478"/>
    <w:rsid w:val="2C5A425E"/>
    <w:rsid w:val="2C634BEF"/>
    <w:rsid w:val="2C7002CB"/>
    <w:rsid w:val="2C703613"/>
    <w:rsid w:val="2C7A0CE6"/>
    <w:rsid w:val="2C802DC2"/>
    <w:rsid w:val="2C802E20"/>
    <w:rsid w:val="2C855C0D"/>
    <w:rsid w:val="2C8C48FA"/>
    <w:rsid w:val="2C9451F5"/>
    <w:rsid w:val="2C9A6113"/>
    <w:rsid w:val="2C9F197B"/>
    <w:rsid w:val="2CA60F5C"/>
    <w:rsid w:val="2CA812B2"/>
    <w:rsid w:val="2CB15E2D"/>
    <w:rsid w:val="2CB37348"/>
    <w:rsid w:val="2CB73169"/>
    <w:rsid w:val="2CC032E9"/>
    <w:rsid w:val="2CC42114"/>
    <w:rsid w:val="2CCD4426"/>
    <w:rsid w:val="2CCE569A"/>
    <w:rsid w:val="2CCF753E"/>
    <w:rsid w:val="2CE72F1B"/>
    <w:rsid w:val="2CE957B3"/>
    <w:rsid w:val="2CEC3016"/>
    <w:rsid w:val="2CFF241A"/>
    <w:rsid w:val="2D00778F"/>
    <w:rsid w:val="2D031FF3"/>
    <w:rsid w:val="2D0504B2"/>
    <w:rsid w:val="2D197980"/>
    <w:rsid w:val="2D2307FE"/>
    <w:rsid w:val="2D236108"/>
    <w:rsid w:val="2D2500D2"/>
    <w:rsid w:val="2D256B85"/>
    <w:rsid w:val="2D2776ED"/>
    <w:rsid w:val="2D285E15"/>
    <w:rsid w:val="2D2B00AA"/>
    <w:rsid w:val="2D2B320F"/>
    <w:rsid w:val="2D2C061D"/>
    <w:rsid w:val="2D2D51D9"/>
    <w:rsid w:val="2D2F71A3"/>
    <w:rsid w:val="2D350C49"/>
    <w:rsid w:val="2D365336"/>
    <w:rsid w:val="2D375BC5"/>
    <w:rsid w:val="2D393B7E"/>
    <w:rsid w:val="2D4A61ED"/>
    <w:rsid w:val="2D4C1B03"/>
    <w:rsid w:val="2D72014A"/>
    <w:rsid w:val="2D7633B7"/>
    <w:rsid w:val="2D916A5C"/>
    <w:rsid w:val="2D9318E2"/>
    <w:rsid w:val="2D943F29"/>
    <w:rsid w:val="2D972CA6"/>
    <w:rsid w:val="2D9D3074"/>
    <w:rsid w:val="2DA235E1"/>
    <w:rsid w:val="2DA739D1"/>
    <w:rsid w:val="2DA95B36"/>
    <w:rsid w:val="2DB269A2"/>
    <w:rsid w:val="2DB463C6"/>
    <w:rsid w:val="2DB61507"/>
    <w:rsid w:val="2DBF46AE"/>
    <w:rsid w:val="2DC25D28"/>
    <w:rsid w:val="2DC45B3D"/>
    <w:rsid w:val="2DC82312"/>
    <w:rsid w:val="2DDE3214"/>
    <w:rsid w:val="2DE304F3"/>
    <w:rsid w:val="2DE56F06"/>
    <w:rsid w:val="2DE955A4"/>
    <w:rsid w:val="2DE95F10"/>
    <w:rsid w:val="2DEF248E"/>
    <w:rsid w:val="2DFB52D7"/>
    <w:rsid w:val="2E0423DE"/>
    <w:rsid w:val="2E074505"/>
    <w:rsid w:val="2E083D76"/>
    <w:rsid w:val="2E083FE4"/>
    <w:rsid w:val="2E1A4C75"/>
    <w:rsid w:val="2E1B3283"/>
    <w:rsid w:val="2E232138"/>
    <w:rsid w:val="2E380E3B"/>
    <w:rsid w:val="2E3B31F8"/>
    <w:rsid w:val="2E4C168F"/>
    <w:rsid w:val="2E4D4C86"/>
    <w:rsid w:val="2E503F46"/>
    <w:rsid w:val="2E6764D8"/>
    <w:rsid w:val="2E740E78"/>
    <w:rsid w:val="2E793490"/>
    <w:rsid w:val="2E7D6405"/>
    <w:rsid w:val="2E822762"/>
    <w:rsid w:val="2E8250B1"/>
    <w:rsid w:val="2E907A82"/>
    <w:rsid w:val="2E955C43"/>
    <w:rsid w:val="2E9C7B12"/>
    <w:rsid w:val="2EA312BB"/>
    <w:rsid w:val="2EB372B7"/>
    <w:rsid w:val="2EB72FAC"/>
    <w:rsid w:val="2EBB4880"/>
    <w:rsid w:val="2EBC7D67"/>
    <w:rsid w:val="2EC658E5"/>
    <w:rsid w:val="2ECD6C74"/>
    <w:rsid w:val="2EE56E26"/>
    <w:rsid w:val="2EE7693B"/>
    <w:rsid w:val="2EF8174C"/>
    <w:rsid w:val="2EFC30B5"/>
    <w:rsid w:val="2F0825F0"/>
    <w:rsid w:val="2F093098"/>
    <w:rsid w:val="2F0E107B"/>
    <w:rsid w:val="2F1176A4"/>
    <w:rsid w:val="2F1B6066"/>
    <w:rsid w:val="2F221FF5"/>
    <w:rsid w:val="2F2B74F6"/>
    <w:rsid w:val="2F324D29"/>
    <w:rsid w:val="2F380A83"/>
    <w:rsid w:val="2F386C31"/>
    <w:rsid w:val="2F4607D4"/>
    <w:rsid w:val="2F510852"/>
    <w:rsid w:val="2F5C3B54"/>
    <w:rsid w:val="2F6F7A72"/>
    <w:rsid w:val="2F73147C"/>
    <w:rsid w:val="2F767AB3"/>
    <w:rsid w:val="2F791D6D"/>
    <w:rsid w:val="2F805A94"/>
    <w:rsid w:val="2F8B61E7"/>
    <w:rsid w:val="2F927575"/>
    <w:rsid w:val="2F971E9E"/>
    <w:rsid w:val="2FA8323D"/>
    <w:rsid w:val="2FAA48BF"/>
    <w:rsid w:val="2FB3544A"/>
    <w:rsid w:val="2FB41BE1"/>
    <w:rsid w:val="2FB5399F"/>
    <w:rsid w:val="2FB67708"/>
    <w:rsid w:val="2FB71F3A"/>
    <w:rsid w:val="2FBA07D5"/>
    <w:rsid w:val="2FBE7EA6"/>
    <w:rsid w:val="2FC02334"/>
    <w:rsid w:val="2FC71915"/>
    <w:rsid w:val="2FCC0CD9"/>
    <w:rsid w:val="2FD20F9D"/>
    <w:rsid w:val="2FD23E16"/>
    <w:rsid w:val="2FD3592C"/>
    <w:rsid w:val="2FDB53C0"/>
    <w:rsid w:val="2FDD4C94"/>
    <w:rsid w:val="2FF3270A"/>
    <w:rsid w:val="2FF40230"/>
    <w:rsid w:val="2FF737C8"/>
    <w:rsid w:val="2FFB3243"/>
    <w:rsid w:val="300106C3"/>
    <w:rsid w:val="30085A89"/>
    <w:rsid w:val="30112B90"/>
    <w:rsid w:val="301D14A4"/>
    <w:rsid w:val="30284ED5"/>
    <w:rsid w:val="302A5A00"/>
    <w:rsid w:val="30314FE0"/>
    <w:rsid w:val="303B719D"/>
    <w:rsid w:val="30417576"/>
    <w:rsid w:val="304406CD"/>
    <w:rsid w:val="30450A8C"/>
    <w:rsid w:val="304F0004"/>
    <w:rsid w:val="30592B72"/>
    <w:rsid w:val="306617A5"/>
    <w:rsid w:val="306A732E"/>
    <w:rsid w:val="306D09D3"/>
    <w:rsid w:val="30746F81"/>
    <w:rsid w:val="30770C11"/>
    <w:rsid w:val="307914ED"/>
    <w:rsid w:val="307B625B"/>
    <w:rsid w:val="30800185"/>
    <w:rsid w:val="3082324A"/>
    <w:rsid w:val="30841DBC"/>
    <w:rsid w:val="308F086F"/>
    <w:rsid w:val="30980BBB"/>
    <w:rsid w:val="30A87C33"/>
    <w:rsid w:val="30AC7B38"/>
    <w:rsid w:val="30B874AF"/>
    <w:rsid w:val="30C5746F"/>
    <w:rsid w:val="30D005EC"/>
    <w:rsid w:val="30D71F3A"/>
    <w:rsid w:val="30D7744B"/>
    <w:rsid w:val="30D81900"/>
    <w:rsid w:val="30DE7036"/>
    <w:rsid w:val="30E21639"/>
    <w:rsid w:val="30F13DC6"/>
    <w:rsid w:val="30F90559"/>
    <w:rsid w:val="30FD5559"/>
    <w:rsid w:val="310224D9"/>
    <w:rsid w:val="311D1515"/>
    <w:rsid w:val="312912D2"/>
    <w:rsid w:val="31295CB7"/>
    <w:rsid w:val="31361735"/>
    <w:rsid w:val="31377C8E"/>
    <w:rsid w:val="313E4022"/>
    <w:rsid w:val="314135F6"/>
    <w:rsid w:val="31450125"/>
    <w:rsid w:val="31546DBD"/>
    <w:rsid w:val="316E7C65"/>
    <w:rsid w:val="31790130"/>
    <w:rsid w:val="318F36E0"/>
    <w:rsid w:val="319060FF"/>
    <w:rsid w:val="319553BB"/>
    <w:rsid w:val="31A9635B"/>
    <w:rsid w:val="31AB0719"/>
    <w:rsid w:val="31C00DA6"/>
    <w:rsid w:val="31C84ADC"/>
    <w:rsid w:val="31DB3455"/>
    <w:rsid w:val="31DB4763"/>
    <w:rsid w:val="31DD2470"/>
    <w:rsid w:val="31DD5420"/>
    <w:rsid w:val="31EA6D3C"/>
    <w:rsid w:val="31EF0CAF"/>
    <w:rsid w:val="31F741BD"/>
    <w:rsid w:val="321C75CA"/>
    <w:rsid w:val="3224240A"/>
    <w:rsid w:val="32306F34"/>
    <w:rsid w:val="323551B0"/>
    <w:rsid w:val="323701D4"/>
    <w:rsid w:val="3239017C"/>
    <w:rsid w:val="323E5792"/>
    <w:rsid w:val="32483224"/>
    <w:rsid w:val="324E3C27"/>
    <w:rsid w:val="32537490"/>
    <w:rsid w:val="325D5052"/>
    <w:rsid w:val="326036C8"/>
    <w:rsid w:val="32637E71"/>
    <w:rsid w:val="32715B68"/>
    <w:rsid w:val="32836AB1"/>
    <w:rsid w:val="32973FA5"/>
    <w:rsid w:val="32A206CE"/>
    <w:rsid w:val="32A23F73"/>
    <w:rsid w:val="32A61CB5"/>
    <w:rsid w:val="32AC3044"/>
    <w:rsid w:val="32B86E31"/>
    <w:rsid w:val="32C263F9"/>
    <w:rsid w:val="32C46020"/>
    <w:rsid w:val="32CE0B8D"/>
    <w:rsid w:val="32E142EF"/>
    <w:rsid w:val="32E64094"/>
    <w:rsid w:val="32EE0F67"/>
    <w:rsid w:val="32F305C5"/>
    <w:rsid w:val="32F32D11"/>
    <w:rsid w:val="32F941A2"/>
    <w:rsid w:val="32FD05B3"/>
    <w:rsid w:val="33030335"/>
    <w:rsid w:val="330E33B7"/>
    <w:rsid w:val="33150BE9"/>
    <w:rsid w:val="33153593"/>
    <w:rsid w:val="33194FB5"/>
    <w:rsid w:val="33247607"/>
    <w:rsid w:val="33256939"/>
    <w:rsid w:val="332845FB"/>
    <w:rsid w:val="3328697D"/>
    <w:rsid w:val="332C482A"/>
    <w:rsid w:val="332D7CE1"/>
    <w:rsid w:val="333C6176"/>
    <w:rsid w:val="3342641B"/>
    <w:rsid w:val="334B5AF5"/>
    <w:rsid w:val="33550758"/>
    <w:rsid w:val="3358439F"/>
    <w:rsid w:val="335A2AA0"/>
    <w:rsid w:val="335C4122"/>
    <w:rsid w:val="33625426"/>
    <w:rsid w:val="33631DC6"/>
    <w:rsid w:val="3369683F"/>
    <w:rsid w:val="33807C27"/>
    <w:rsid w:val="338A5133"/>
    <w:rsid w:val="338B0EAB"/>
    <w:rsid w:val="338F758D"/>
    <w:rsid w:val="33951C2A"/>
    <w:rsid w:val="33A712DD"/>
    <w:rsid w:val="33B219E6"/>
    <w:rsid w:val="33B51A84"/>
    <w:rsid w:val="33BA41BA"/>
    <w:rsid w:val="33BB11F0"/>
    <w:rsid w:val="33C51ABD"/>
    <w:rsid w:val="33D22226"/>
    <w:rsid w:val="33D53ED4"/>
    <w:rsid w:val="33DD61FA"/>
    <w:rsid w:val="33F22CD8"/>
    <w:rsid w:val="34072EF1"/>
    <w:rsid w:val="340A361C"/>
    <w:rsid w:val="340A6B46"/>
    <w:rsid w:val="3411315F"/>
    <w:rsid w:val="341555D7"/>
    <w:rsid w:val="341D257B"/>
    <w:rsid w:val="341F5ED0"/>
    <w:rsid w:val="3437693D"/>
    <w:rsid w:val="344A48C2"/>
    <w:rsid w:val="344D6161"/>
    <w:rsid w:val="344F396E"/>
    <w:rsid w:val="344F4CEC"/>
    <w:rsid w:val="34592D57"/>
    <w:rsid w:val="345A0EEC"/>
    <w:rsid w:val="3465193B"/>
    <w:rsid w:val="3468176E"/>
    <w:rsid w:val="346F5725"/>
    <w:rsid w:val="34767465"/>
    <w:rsid w:val="347F596E"/>
    <w:rsid w:val="34863EA0"/>
    <w:rsid w:val="348E47AF"/>
    <w:rsid w:val="34910181"/>
    <w:rsid w:val="34993108"/>
    <w:rsid w:val="34A04A2B"/>
    <w:rsid w:val="34A646B9"/>
    <w:rsid w:val="34BB1C70"/>
    <w:rsid w:val="34CA09B8"/>
    <w:rsid w:val="34EC597A"/>
    <w:rsid w:val="34F62580"/>
    <w:rsid w:val="35052FCD"/>
    <w:rsid w:val="35091073"/>
    <w:rsid w:val="3509652C"/>
    <w:rsid w:val="350E3B42"/>
    <w:rsid w:val="350E58F0"/>
    <w:rsid w:val="35187D2C"/>
    <w:rsid w:val="35346A5E"/>
    <w:rsid w:val="35431A3E"/>
    <w:rsid w:val="35447564"/>
    <w:rsid w:val="355673D7"/>
    <w:rsid w:val="356279EA"/>
    <w:rsid w:val="357D65D2"/>
    <w:rsid w:val="359607F3"/>
    <w:rsid w:val="359B69D6"/>
    <w:rsid w:val="359E319D"/>
    <w:rsid w:val="35A10C62"/>
    <w:rsid w:val="35A818A1"/>
    <w:rsid w:val="35B81F33"/>
    <w:rsid w:val="35B92201"/>
    <w:rsid w:val="35BC22C3"/>
    <w:rsid w:val="35BF7155"/>
    <w:rsid w:val="35C573E3"/>
    <w:rsid w:val="35C81F43"/>
    <w:rsid w:val="35D24B6F"/>
    <w:rsid w:val="35D82FD6"/>
    <w:rsid w:val="35D83F6D"/>
    <w:rsid w:val="35E041D2"/>
    <w:rsid w:val="35E13004"/>
    <w:rsid w:val="35E87EEF"/>
    <w:rsid w:val="35EC6FA1"/>
    <w:rsid w:val="35F168B6"/>
    <w:rsid w:val="35FB31D7"/>
    <w:rsid w:val="36021E86"/>
    <w:rsid w:val="360D3DFA"/>
    <w:rsid w:val="361102D5"/>
    <w:rsid w:val="3622050B"/>
    <w:rsid w:val="36296BDA"/>
    <w:rsid w:val="363C2B06"/>
    <w:rsid w:val="36420458"/>
    <w:rsid w:val="36421CF5"/>
    <w:rsid w:val="3643781B"/>
    <w:rsid w:val="364A6DFC"/>
    <w:rsid w:val="36632955"/>
    <w:rsid w:val="3676327B"/>
    <w:rsid w:val="36784D05"/>
    <w:rsid w:val="368708D6"/>
    <w:rsid w:val="368F2979"/>
    <w:rsid w:val="3691248C"/>
    <w:rsid w:val="3696538C"/>
    <w:rsid w:val="369A3EC3"/>
    <w:rsid w:val="36A97EF0"/>
    <w:rsid w:val="36B2407B"/>
    <w:rsid w:val="36B375C2"/>
    <w:rsid w:val="36BB5087"/>
    <w:rsid w:val="36C21C3F"/>
    <w:rsid w:val="36C559EF"/>
    <w:rsid w:val="36DB3A64"/>
    <w:rsid w:val="36E573E7"/>
    <w:rsid w:val="36E7096E"/>
    <w:rsid w:val="36F34DE4"/>
    <w:rsid w:val="36FA1536"/>
    <w:rsid w:val="370276D6"/>
    <w:rsid w:val="370856BE"/>
    <w:rsid w:val="370E607B"/>
    <w:rsid w:val="370F10D1"/>
    <w:rsid w:val="370F4BE2"/>
    <w:rsid w:val="371011BA"/>
    <w:rsid w:val="37114E3A"/>
    <w:rsid w:val="37146C18"/>
    <w:rsid w:val="37274DF5"/>
    <w:rsid w:val="37321D6A"/>
    <w:rsid w:val="37335AE2"/>
    <w:rsid w:val="373C06F3"/>
    <w:rsid w:val="373F6235"/>
    <w:rsid w:val="374A6C10"/>
    <w:rsid w:val="374E074C"/>
    <w:rsid w:val="376A1DCA"/>
    <w:rsid w:val="37710FF7"/>
    <w:rsid w:val="37717A8D"/>
    <w:rsid w:val="377D6D5D"/>
    <w:rsid w:val="37914FD6"/>
    <w:rsid w:val="37920A5A"/>
    <w:rsid w:val="379522F8"/>
    <w:rsid w:val="37962844"/>
    <w:rsid w:val="379F0A81"/>
    <w:rsid w:val="37A109AF"/>
    <w:rsid w:val="37A33DEB"/>
    <w:rsid w:val="37A61E10"/>
    <w:rsid w:val="37A63F88"/>
    <w:rsid w:val="37B3277F"/>
    <w:rsid w:val="37B33619"/>
    <w:rsid w:val="37B469B9"/>
    <w:rsid w:val="37B7401D"/>
    <w:rsid w:val="37BB7471"/>
    <w:rsid w:val="37C24873"/>
    <w:rsid w:val="37C57441"/>
    <w:rsid w:val="37C664CF"/>
    <w:rsid w:val="37C8622A"/>
    <w:rsid w:val="37D20E57"/>
    <w:rsid w:val="37DA2CCA"/>
    <w:rsid w:val="37DD1D26"/>
    <w:rsid w:val="37E50F72"/>
    <w:rsid w:val="37EB016A"/>
    <w:rsid w:val="38037262"/>
    <w:rsid w:val="380479FF"/>
    <w:rsid w:val="381274A5"/>
    <w:rsid w:val="38146732"/>
    <w:rsid w:val="381E2337"/>
    <w:rsid w:val="38232221"/>
    <w:rsid w:val="38332893"/>
    <w:rsid w:val="38386537"/>
    <w:rsid w:val="384761D0"/>
    <w:rsid w:val="384A6C3F"/>
    <w:rsid w:val="384C4026"/>
    <w:rsid w:val="385C2E16"/>
    <w:rsid w:val="385E57AB"/>
    <w:rsid w:val="38724307"/>
    <w:rsid w:val="38746F91"/>
    <w:rsid w:val="388303A3"/>
    <w:rsid w:val="388C54AA"/>
    <w:rsid w:val="38963173"/>
    <w:rsid w:val="389959BB"/>
    <w:rsid w:val="389B2048"/>
    <w:rsid w:val="389B489C"/>
    <w:rsid w:val="38A350A6"/>
    <w:rsid w:val="38A64043"/>
    <w:rsid w:val="38A70F43"/>
    <w:rsid w:val="38A718C1"/>
    <w:rsid w:val="38AC0D71"/>
    <w:rsid w:val="38AD5420"/>
    <w:rsid w:val="38B51168"/>
    <w:rsid w:val="38B60206"/>
    <w:rsid w:val="38BC55D9"/>
    <w:rsid w:val="38C82CEB"/>
    <w:rsid w:val="38C9744D"/>
    <w:rsid w:val="38CC1D4A"/>
    <w:rsid w:val="38D518A1"/>
    <w:rsid w:val="38D909BB"/>
    <w:rsid w:val="38D97FC3"/>
    <w:rsid w:val="38DA4288"/>
    <w:rsid w:val="38E028D5"/>
    <w:rsid w:val="38E3713D"/>
    <w:rsid w:val="38EA0422"/>
    <w:rsid w:val="38F82D14"/>
    <w:rsid w:val="38FD3E94"/>
    <w:rsid w:val="38FD3FB5"/>
    <w:rsid w:val="39074B30"/>
    <w:rsid w:val="390E29BE"/>
    <w:rsid w:val="39222C63"/>
    <w:rsid w:val="392230FF"/>
    <w:rsid w:val="39223553"/>
    <w:rsid w:val="393B3F98"/>
    <w:rsid w:val="39424B74"/>
    <w:rsid w:val="39487705"/>
    <w:rsid w:val="39501CFF"/>
    <w:rsid w:val="39581EFF"/>
    <w:rsid w:val="39681E72"/>
    <w:rsid w:val="396F26D5"/>
    <w:rsid w:val="39745705"/>
    <w:rsid w:val="39822409"/>
    <w:rsid w:val="398A630E"/>
    <w:rsid w:val="398E34A3"/>
    <w:rsid w:val="3995038E"/>
    <w:rsid w:val="39A1361B"/>
    <w:rsid w:val="39C3314D"/>
    <w:rsid w:val="39C36A58"/>
    <w:rsid w:val="39C50E69"/>
    <w:rsid w:val="39CA622A"/>
    <w:rsid w:val="39CE564E"/>
    <w:rsid w:val="39D0586A"/>
    <w:rsid w:val="39D868B0"/>
    <w:rsid w:val="39DC07CC"/>
    <w:rsid w:val="39E76710"/>
    <w:rsid w:val="39ED6723"/>
    <w:rsid w:val="39F53E40"/>
    <w:rsid w:val="39F94929"/>
    <w:rsid w:val="39FA6443"/>
    <w:rsid w:val="3A027197"/>
    <w:rsid w:val="3A0472C2"/>
    <w:rsid w:val="3A080BE1"/>
    <w:rsid w:val="3A0C0773"/>
    <w:rsid w:val="3A1609C4"/>
    <w:rsid w:val="3A161AA2"/>
    <w:rsid w:val="3A217E73"/>
    <w:rsid w:val="3A281202"/>
    <w:rsid w:val="3A2D7AF3"/>
    <w:rsid w:val="3A4D0C68"/>
    <w:rsid w:val="3A4D6EBA"/>
    <w:rsid w:val="3A557B1D"/>
    <w:rsid w:val="3A563FC1"/>
    <w:rsid w:val="3A5C3ADB"/>
    <w:rsid w:val="3A5E4C24"/>
    <w:rsid w:val="3A620A51"/>
    <w:rsid w:val="3A7131D7"/>
    <w:rsid w:val="3A777A93"/>
    <w:rsid w:val="3A7F5274"/>
    <w:rsid w:val="3AA56BF4"/>
    <w:rsid w:val="3AB26D1E"/>
    <w:rsid w:val="3AB6573A"/>
    <w:rsid w:val="3ABD4AF6"/>
    <w:rsid w:val="3AC02986"/>
    <w:rsid w:val="3AC4344A"/>
    <w:rsid w:val="3ACF7259"/>
    <w:rsid w:val="3AD43138"/>
    <w:rsid w:val="3AD924FC"/>
    <w:rsid w:val="3B04254E"/>
    <w:rsid w:val="3B043A1D"/>
    <w:rsid w:val="3B084382"/>
    <w:rsid w:val="3B0C5BAE"/>
    <w:rsid w:val="3B0F2C10"/>
    <w:rsid w:val="3B190FD4"/>
    <w:rsid w:val="3B275EF0"/>
    <w:rsid w:val="3B2E63AA"/>
    <w:rsid w:val="3B31744A"/>
    <w:rsid w:val="3B3230A5"/>
    <w:rsid w:val="3B371C51"/>
    <w:rsid w:val="3B385F43"/>
    <w:rsid w:val="3B537311"/>
    <w:rsid w:val="3B556027"/>
    <w:rsid w:val="3B574FCC"/>
    <w:rsid w:val="3B581673"/>
    <w:rsid w:val="3B64270E"/>
    <w:rsid w:val="3B707B20"/>
    <w:rsid w:val="3B7200A3"/>
    <w:rsid w:val="3B7323DF"/>
    <w:rsid w:val="3B79633E"/>
    <w:rsid w:val="3B8373F1"/>
    <w:rsid w:val="3B885D5C"/>
    <w:rsid w:val="3B8A0DC3"/>
    <w:rsid w:val="3B91481D"/>
    <w:rsid w:val="3B9D79CE"/>
    <w:rsid w:val="3B9E0C8B"/>
    <w:rsid w:val="3BA46497"/>
    <w:rsid w:val="3BAA3D8F"/>
    <w:rsid w:val="3BB077B5"/>
    <w:rsid w:val="3BC91D2A"/>
    <w:rsid w:val="3BCC152A"/>
    <w:rsid w:val="3BD3519D"/>
    <w:rsid w:val="3BD57167"/>
    <w:rsid w:val="3BE22854"/>
    <w:rsid w:val="3C0030F2"/>
    <w:rsid w:val="3C0446F9"/>
    <w:rsid w:val="3C1001A0"/>
    <w:rsid w:val="3C12216A"/>
    <w:rsid w:val="3C184783"/>
    <w:rsid w:val="3C1B2D66"/>
    <w:rsid w:val="3C1B6501"/>
    <w:rsid w:val="3C2029C6"/>
    <w:rsid w:val="3C215F09"/>
    <w:rsid w:val="3C237ED3"/>
    <w:rsid w:val="3C2E6878"/>
    <w:rsid w:val="3C2F4762"/>
    <w:rsid w:val="3C397E73"/>
    <w:rsid w:val="3C3A6FCB"/>
    <w:rsid w:val="3C4446AB"/>
    <w:rsid w:val="3C4B2A92"/>
    <w:rsid w:val="3C4D1FE0"/>
    <w:rsid w:val="3C5067EE"/>
    <w:rsid w:val="3C5A3F76"/>
    <w:rsid w:val="3C7006F4"/>
    <w:rsid w:val="3C860462"/>
    <w:rsid w:val="3C88165D"/>
    <w:rsid w:val="3C885F88"/>
    <w:rsid w:val="3C8B3CCA"/>
    <w:rsid w:val="3C8C2619"/>
    <w:rsid w:val="3C924BF8"/>
    <w:rsid w:val="3C936DD0"/>
    <w:rsid w:val="3CA30C83"/>
    <w:rsid w:val="3CA73F05"/>
    <w:rsid w:val="3CB13731"/>
    <w:rsid w:val="3CBD4B04"/>
    <w:rsid w:val="3CC50F8A"/>
    <w:rsid w:val="3CCB40C7"/>
    <w:rsid w:val="3CCE00C3"/>
    <w:rsid w:val="3CCE6CCC"/>
    <w:rsid w:val="3CD22CC8"/>
    <w:rsid w:val="3CD63197"/>
    <w:rsid w:val="3CD65976"/>
    <w:rsid w:val="3CD80104"/>
    <w:rsid w:val="3CE33B06"/>
    <w:rsid w:val="3CEB0DDA"/>
    <w:rsid w:val="3CF439AC"/>
    <w:rsid w:val="3CF64CC4"/>
    <w:rsid w:val="3CF76527"/>
    <w:rsid w:val="3CF8098C"/>
    <w:rsid w:val="3CF863CC"/>
    <w:rsid w:val="3CF90C34"/>
    <w:rsid w:val="3D0870C9"/>
    <w:rsid w:val="3D102790"/>
    <w:rsid w:val="3D140293"/>
    <w:rsid w:val="3D163CE8"/>
    <w:rsid w:val="3D197A98"/>
    <w:rsid w:val="3D1D0DC6"/>
    <w:rsid w:val="3D22018A"/>
    <w:rsid w:val="3D255363"/>
    <w:rsid w:val="3D2C6EDE"/>
    <w:rsid w:val="3D3305EA"/>
    <w:rsid w:val="3D335DE1"/>
    <w:rsid w:val="3D364D87"/>
    <w:rsid w:val="3D4425B0"/>
    <w:rsid w:val="3D533132"/>
    <w:rsid w:val="3D5C3767"/>
    <w:rsid w:val="3D5F13DF"/>
    <w:rsid w:val="3D622AC8"/>
    <w:rsid w:val="3D62319E"/>
    <w:rsid w:val="3D644C0E"/>
    <w:rsid w:val="3D711406"/>
    <w:rsid w:val="3D7529B0"/>
    <w:rsid w:val="3D7E529B"/>
    <w:rsid w:val="3D8E256F"/>
    <w:rsid w:val="3D913562"/>
    <w:rsid w:val="3D932E36"/>
    <w:rsid w:val="3D985F67"/>
    <w:rsid w:val="3DA07301"/>
    <w:rsid w:val="3DAD099D"/>
    <w:rsid w:val="3DC2196D"/>
    <w:rsid w:val="3DCC66DC"/>
    <w:rsid w:val="3DCD4D1E"/>
    <w:rsid w:val="3DCF328D"/>
    <w:rsid w:val="3DD07BE6"/>
    <w:rsid w:val="3DDB4D41"/>
    <w:rsid w:val="3DE25FAB"/>
    <w:rsid w:val="3DEF1564"/>
    <w:rsid w:val="3DF814EB"/>
    <w:rsid w:val="3DFD29A6"/>
    <w:rsid w:val="3E253EAF"/>
    <w:rsid w:val="3E2B7513"/>
    <w:rsid w:val="3E2F1CF7"/>
    <w:rsid w:val="3E330175"/>
    <w:rsid w:val="3E3E7246"/>
    <w:rsid w:val="3E4822BA"/>
    <w:rsid w:val="3E516F22"/>
    <w:rsid w:val="3E54446B"/>
    <w:rsid w:val="3E59659F"/>
    <w:rsid w:val="3E5F1EF1"/>
    <w:rsid w:val="3E610678"/>
    <w:rsid w:val="3E6248AF"/>
    <w:rsid w:val="3E6B6EBE"/>
    <w:rsid w:val="3E720C9E"/>
    <w:rsid w:val="3E723A22"/>
    <w:rsid w:val="3E733196"/>
    <w:rsid w:val="3E7A558D"/>
    <w:rsid w:val="3E8E0B46"/>
    <w:rsid w:val="3E8F6061"/>
    <w:rsid w:val="3E8F7AA2"/>
    <w:rsid w:val="3E9B1E2D"/>
    <w:rsid w:val="3EA23AC2"/>
    <w:rsid w:val="3EA33702"/>
    <w:rsid w:val="3EA5384E"/>
    <w:rsid w:val="3ED71449"/>
    <w:rsid w:val="3EE37DED"/>
    <w:rsid w:val="3EEA5FF4"/>
    <w:rsid w:val="3EF3635C"/>
    <w:rsid w:val="3F0810EF"/>
    <w:rsid w:val="3F0C7E62"/>
    <w:rsid w:val="3F0D7521"/>
    <w:rsid w:val="3F11379C"/>
    <w:rsid w:val="3F1618D5"/>
    <w:rsid w:val="3F1C50AD"/>
    <w:rsid w:val="3F317A64"/>
    <w:rsid w:val="3F4D6264"/>
    <w:rsid w:val="3F4F7150"/>
    <w:rsid w:val="3F530918"/>
    <w:rsid w:val="3F600641"/>
    <w:rsid w:val="3F6B5B1D"/>
    <w:rsid w:val="3F6C08A3"/>
    <w:rsid w:val="3F6E5D13"/>
    <w:rsid w:val="3F704E97"/>
    <w:rsid w:val="3F705C55"/>
    <w:rsid w:val="3F8A0269"/>
    <w:rsid w:val="3F94533A"/>
    <w:rsid w:val="3F9C1555"/>
    <w:rsid w:val="3FA6322C"/>
    <w:rsid w:val="3FA73DCB"/>
    <w:rsid w:val="3FAD3DD8"/>
    <w:rsid w:val="3FAF2E2D"/>
    <w:rsid w:val="3FAF2FD6"/>
    <w:rsid w:val="3FBB48C6"/>
    <w:rsid w:val="3FCC4F7F"/>
    <w:rsid w:val="3FCD4245"/>
    <w:rsid w:val="3FD00372"/>
    <w:rsid w:val="3FD91FBA"/>
    <w:rsid w:val="3FDF2363"/>
    <w:rsid w:val="3FDF5019"/>
    <w:rsid w:val="3FE03674"/>
    <w:rsid w:val="3FE42FEC"/>
    <w:rsid w:val="3FE51D07"/>
    <w:rsid w:val="3FEC132C"/>
    <w:rsid w:val="3FF027C2"/>
    <w:rsid w:val="3FF22BDA"/>
    <w:rsid w:val="3FF35E0E"/>
    <w:rsid w:val="3FFB4CC3"/>
    <w:rsid w:val="3FFD6C8D"/>
    <w:rsid w:val="400253F8"/>
    <w:rsid w:val="4006103B"/>
    <w:rsid w:val="40081D8D"/>
    <w:rsid w:val="400A1976"/>
    <w:rsid w:val="400A47AF"/>
    <w:rsid w:val="400A74C7"/>
    <w:rsid w:val="400F0957"/>
    <w:rsid w:val="40196B41"/>
    <w:rsid w:val="401A5AF0"/>
    <w:rsid w:val="402817A7"/>
    <w:rsid w:val="40313DDE"/>
    <w:rsid w:val="4034082B"/>
    <w:rsid w:val="40385F17"/>
    <w:rsid w:val="403A495E"/>
    <w:rsid w:val="40407749"/>
    <w:rsid w:val="405368AD"/>
    <w:rsid w:val="4056275F"/>
    <w:rsid w:val="40577D12"/>
    <w:rsid w:val="40583F95"/>
    <w:rsid w:val="40663F70"/>
    <w:rsid w:val="406A142C"/>
    <w:rsid w:val="407219F5"/>
    <w:rsid w:val="40742CC1"/>
    <w:rsid w:val="4077259B"/>
    <w:rsid w:val="409B39FD"/>
    <w:rsid w:val="40A9112E"/>
    <w:rsid w:val="40A94D81"/>
    <w:rsid w:val="40B009A0"/>
    <w:rsid w:val="40C35798"/>
    <w:rsid w:val="40C477AB"/>
    <w:rsid w:val="40C94C89"/>
    <w:rsid w:val="40CD0F99"/>
    <w:rsid w:val="40CD253B"/>
    <w:rsid w:val="40D570E4"/>
    <w:rsid w:val="40E611D1"/>
    <w:rsid w:val="40E816EB"/>
    <w:rsid w:val="40E92715"/>
    <w:rsid w:val="410D6805"/>
    <w:rsid w:val="410F290D"/>
    <w:rsid w:val="41107792"/>
    <w:rsid w:val="4121557C"/>
    <w:rsid w:val="412B797C"/>
    <w:rsid w:val="41323E08"/>
    <w:rsid w:val="413D53F6"/>
    <w:rsid w:val="414B08D8"/>
    <w:rsid w:val="41590908"/>
    <w:rsid w:val="41657869"/>
    <w:rsid w:val="416D2AD9"/>
    <w:rsid w:val="4185270A"/>
    <w:rsid w:val="41884AF2"/>
    <w:rsid w:val="418E5A66"/>
    <w:rsid w:val="41904601"/>
    <w:rsid w:val="41A10AE7"/>
    <w:rsid w:val="41B549F3"/>
    <w:rsid w:val="41BE244C"/>
    <w:rsid w:val="41C93E82"/>
    <w:rsid w:val="41D459A8"/>
    <w:rsid w:val="41D949B5"/>
    <w:rsid w:val="41E01813"/>
    <w:rsid w:val="41E0267E"/>
    <w:rsid w:val="41E712BA"/>
    <w:rsid w:val="41EB0404"/>
    <w:rsid w:val="41EC1AAA"/>
    <w:rsid w:val="41F84884"/>
    <w:rsid w:val="420E05F7"/>
    <w:rsid w:val="420F4A55"/>
    <w:rsid w:val="42191F78"/>
    <w:rsid w:val="421945B1"/>
    <w:rsid w:val="421C5768"/>
    <w:rsid w:val="421D674B"/>
    <w:rsid w:val="4220769D"/>
    <w:rsid w:val="42244195"/>
    <w:rsid w:val="422F08A0"/>
    <w:rsid w:val="42416CF7"/>
    <w:rsid w:val="42430B69"/>
    <w:rsid w:val="42514AB8"/>
    <w:rsid w:val="42552DB0"/>
    <w:rsid w:val="42561C04"/>
    <w:rsid w:val="4256685F"/>
    <w:rsid w:val="42750D5C"/>
    <w:rsid w:val="427C7868"/>
    <w:rsid w:val="427F607F"/>
    <w:rsid w:val="42894479"/>
    <w:rsid w:val="429531AD"/>
    <w:rsid w:val="42AF358B"/>
    <w:rsid w:val="42B12C0A"/>
    <w:rsid w:val="42C14BB6"/>
    <w:rsid w:val="42C341BE"/>
    <w:rsid w:val="42C661AD"/>
    <w:rsid w:val="42CD41BD"/>
    <w:rsid w:val="42CD6DEA"/>
    <w:rsid w:val="42CE781F"/>
    <w:rsid w:val="42DA5063"/>
    <w:rsid w:val="42ED4D97"/>
    <w:rsid w:val="42F70D31"/>
    <w:rsid w:val="43086074"/>
    <w:rsid w:val="43106CD7"/>
    <w:rsid w:val="43131219"/>
    <w:rsid w:val="432374DF"/>
    <w:rsid w:val="43315BE4"/>
    <w:rsid w:val="43326C4D"/>
    <w:rsid w:val="43397FDC"/>
    <w:rsid w:val="434F3A8E"/>
    <w:rsid w:val="435968D0"/>
    <w:rsid w:val="43721740"/>
    <w:rsid w:val="43782B3E"/>
    <w:rsid w:val="437E00E5"/>
    <w:rsid w:val="437E71CD"/>
    <w:rsid w:val="43847A3E"/>
    <w:rsid w:val="43904A5B"/>
    <w:rsid w:val="43943464"/>
    <w:rsid w:val="43947908"/>
    <w:rsid w:val="43B0181A"/>
    <w:rsid w:val="43BB3C57"/>
    <w:rsid w:val="43C02C0B"/>
    <w:rsid w:val="43C31F9B"/>
    <w:rsid w:val="43C36D68"/>
    <w:rsid w:val="43C55D14"/>
    <w:rsid w:val="43CF26EE"/>
    <w:rsid w:val="43D47D05"/>
    <w:rsid w:val="43D56927"/>
    <w:rsid w:val="43D9531B"/>
    <w:rsid w:val="43DB70C2"/>
    <w:rsid w:val="43DE5648"/>
    <w:rsid w:val="43E25D84"/>
    <w:rsid w:val="43E409E2"/>
    <w:rsid w:val="43F056EE"/>
    <w:rsid w:val="43F97A12"/>
    <w:rsid w:val="43FC4B47"/>
    <w:rsid w:val="440028DC"/>
    <w:rsid w:val="4405550B"/>
    <w:rsid w:val="440C749E"/>
    <w:rsid w:val="44121C51"/>
    <w:rsid w:val="441B5933"/>
    <w:rsid w:val="44265B60"/>
    <w:rsid w:val="44285DD7"/>
    <w:rsid w:val="44330ECF"/>
    <w:rsid w:val="4439400C"/>
    <w:rsid w:val="443A20E5"/>
    <w:rsid w:val="44406040"/>
    <w:rsid w:val="4447425F"/>
    <w:rsid w:val="44487F1D"/>
    <w:rsid w:val="4449473C"/>
    <w:rsid w:val="44511B27"/>
    <w:rsid w:val="44597A47"/>
    <w:rsid w:val="447E236F"/>
    <w:rsid w:val="447E374E"/>
    <w:rsid w:val="44801C3A"/>
    <w:rsid w:val="448273CC"/>
    <w:rsid w:val="44950750"/>
    <w:rsid w:val="44983428"/>
    <w:rsid w:val="44A41DCD"/>
    <w:rsid w:val="44AC3A83"/>
    <w:rsid w:val="44B33DBE"/>
    <w:rsid w:val="44B63E67"/>
    <w:rsid w:val="44BA6EFA"/>
    <w:rsid w:val="44C53BBA"/>
    <w:rsid w:val="44CE6E4A"/>
    <w:rsid w:val="44D77AAC"/>
    <w:rsid w:val="44DC0075"/>
    <w:rsid w:val="44E95BCB"/>
    <w:rsid w:val="44EA0022"/>
    <w:rsid w:val="44F56C5B"/>
    <w:rsid w:val="44F90516"/>
    <w:rsid w:val="4506326E"/>
    <w:rsid w:val="450B3BFA"/>
    <w:rsid w:val="45131232"/>
    <w:rsid w:val="453F78F5"/>
    <w:rsid w:val="4541761C"/>
    <w:rsid w:val="454B3FF6"/>
    <w:rsid w:val="45630FF2"/>
    <w:rsid w:val="45673CEA"/>
    <w:rsid w:val="456A5FE0"/>
    <w:rsid w:val="456B2ABE"/>
    <w:rsid w:val="456F5F37"/>
    <w:rsid w:val="45725A27"/>
    <w:rsid w:val="457277D5"/>
    <w:rsid w:val="4574077E"/>
    <w:rsid w:val="457E617A"/>
    <w:rsid w:val="458A049C"/>
    <w:rsid w:val="458E39CE"/>
    <w:rsid w:val="459C2044"/>
    <w:rsid w:val="459E66BE"/>
    <w:rsid w:val="45A31E9F"/>
    <w:rsid w:val="45B778DE"/>
    <w:rsid w:val="45BE7242"/>
    <w:rsid w:val="45C76B48"/>
    <w:rsid w:val="45CA2262"/>
    <w:rsid w:val="45CC5137"/>
    <w:rsid w:val="45CF0CA6"/>
    <w:rsid w:val="45D9394D"/>
    <w:rsid w:val="45DD61FD"/>
    <w:rsid w:val="45E912FB"/>
    <w:rsid w:val="45ED3938"/>
    <w:rsid w:val="45FB3C6E"/>
    <w:rsid w:val="45FE72BB"/>
    <w:rsid w:val="46026DAB"/>
    <w:rsid w:val="46050649"/>
    <w:rsid w:val="460E78C8"/>
    <w:rsid w:val="46150390"/>
    <w:rsid w:val="46152D40"/>
    <w:rsid w:val="46167423"/>
    <w:rsid w:val="462870BC"/>
    <w:rsid w:val="462C02CC"/>
    <w:rsid w:val="462E5DF2"/>
    <w:rsid w:val="462F3918"/>
    <w:rsid w:val="46395943"/>
    <w:rsid w:val="463B1BAD"/>
    <w:rsid w:val="4642364B"/>
    <w:rsid w:val="46453612"/>
    <w:rsid w:val="464B55EC"/>
    <w:rsid w:val="465604C4"/>
    <w:rsid w:val="4659191C"/>
    <w:rsid w:val="465E6988"/>
    <w:rsid w:val="468123C6"/>
    <w:rsid w:val="468204D7"/>
    <w:rsid w:val="468E5A79"/>
    <w:rsid w:val="469004E0"/>
    <w:rsid w:val="469043B7"/>
    <w:rsid w:val="46970FCB"/>
    <w:rsid w:val="469D2F78"/>
    <w:rsid w:val="46A47EC4"/>
    <w:rsid w:val="46A75BA4"/>
    <w:rsid w:val="46AD3216"/>
    <w:rsid w:val="46B7178A"/>
    <w:rsid w:val="46B75DE7"/>
    <w:rsid w:val="46BF6A4A"/>
    <w:rsid w:val="46CD08E8"/>
    <w:rsid w:val="46D30747"/>
    <w:rsid w:val="46D92A73"/>
    <w:rsid w:val="46DB47F7"/>
    <w:rsid w:val="46DC72F8"/>
    <w:rsid w:val="46E110B6"/>
    <w:rsid w:val="46E12E64"/>
    <w:rsid w:val="46EE4F6F"/>
    <w:rsid w:val="46EF63A3"/>
    <w:rsid w:val="46F65613"/>
    <w:rsid w:val="46FD43E7"/>
    <w:rsid w:val="47051BEE"/>
    <w:rsid w:val="47081626"/>
    <w:rsid w:val="471A1ED2"/>
    <w:rsid w:val="471D76D6"/>
    <w:rsid w:val="47232053"/>
    <w:rsid w:val="472457F6"/>
    <w:rsid w:val="47313EF3"/>
    <w:rsid w:val="474433F3"/>
    <w:rsid w:val="47456DDE"/>
    <w:rsid w:val="474D7799"/>
    <w:rsid w:val="476F2881"/>
    <w:rsid w:val="477236F8"/>
    <w:rsid w:val="477F417A"/>
    <w:rsid w:val="477F442B"/>
    <w:rsid w:val="47827310"/>
    <w:rsid w:val="478F1BA7"/>
    <w:rsid w:val="478F28C0"/>
    <w:rsid w:val="47925F0D"/>
    <w:rsid w:val="47953C4F"/>
    <w:rsid w:val="47A67A84"/>
    <w:rsid w:val="47A75CCD"/>
    <w:rsid w:val="47AA604F"/>
    <w:rsid w:val="47AC3472"/>
    <w:rsid w:val="47BD3EFE"/>
    <w:rsid w:val="47BE31A6"/>
    <w:rsid w:val="47BE6D02"/>
    <w:rsid w:val="47C000C6"/>
    <w:rsid w:val="47CA60B4"/>
    <w:rsid w:val="47D7488F"/>
    <w:rsid w:val="47D8269F"/>
    <w:rsid w:val="47D865DB"/>
    <w:rsid w:val="47D930DD"/>
    <w:rsid w:val="47DC362C"/>
    <w:rsid w:val="47F94765"/>
    <w:rsid w:val="47FE7A46"/>
    <w:rsid w:val="48013998"/>
    <w:rsid w:val="48054931"/>
    <w:rsid w:val="480D0DB2"/>
    <w:rsid w:val="480F248E"/>
    <w:rsid w:val="48132128"/>
    <w:rsid w:val="48145C41"/>
    <w:rsid w:val="481728B6"/>
    <w:rsid w:val="4819662E"/>
    <w:rsid w:val="482932FA"/>
    <w:rsid w:val="482B44DF"/>
    <w:rsid w:val="48313978"/>
    <w:rsid w:val="48384D06"/>
    <w:rsid w:val="484E555F"/>
    <w:rsid w:val="4864209E"/>
    <w:rsid w:val="4867383D"/>
    <w:rsid w:val="487058C6"/>
    <w:rsid w:val="48777EA5"/>
    <w:rsid w:val="487A481E"/>
    <w:rsid w:val="487F2250"/>
    <w:rsid w:val="48885A65"/>
    <w:rsid w:val="48886564"/>
    <w:rsid w:val="488C33B7"/>
    <w:rsid w:val="48927468"/>
    <w:rsid w:val="4895027E"/>
    <w:rsid w:val="489A776F"/>
    <w:rsid w:val="489C6934"/>
    <w:rsid w:val="48A60CBE"/>
    <w:rsid w:val="48A91760"/>
    <w:rsid w:val="48AF6C3E"/>
    <w:rsid w:val="48B90A48"/>
    <w:rsid w:val="48BC0F5F"/>
    <w:rsid w:val="48CB3DCC"/>
    <w:rsid w:val="48D43164"/>
    <w:rsid w:val="48DD765B"/>
    <w:rsid w:val="48E629B4"/>
    <w:rsid w:val="48EB621C"/>
    <w:rsid w:val="48F836CD"/>
    <w:rsid w:val="48F86B09"/>
    <w:rsid w:val="490373F5"/>
    <w:rsid w:val="49090450"/>
    <w:rsid w:val="49155047"/>
    <w:rsid w:val="491E20F9"/>
    <w:rsid w:val="49240DD0"/>
    <w:rsid w:val="493139B4"/>
    <w:rsid w:val="49363993"/>
    <w:rsid w:val="494A6E50"/>
    <w:rsid w:val="494D2A33"/>
    <w:rsid w:val="494F522F"/>
    <w:rsid w:val="4951792E"/>
    <w:rsid w:val="49557B3A"/>
    <w:rsid w:val="495D72B2"/>
    <w:rsid w:val="49605026"/>
    <w:rsid w:val="4961028C"/>
    <w:rsid w:val="4963685C"/>
    <w:rsid w:val="49707761"/>
    <w:rsid w:val="497E3371"/>
    <w:rsid w:val="49804BB7"/>
    <w:rsid w:val="49806DB2"/>
    <w:rsid w:val="49A6020A"/>
    <w:rsid w:val="49A87C69"/>
    <w:rsid w:val="49AB424E"/>
    <w:rsid w:val="49B657DB"/>
    <w:rsid w:val="49BD5C06"/>
    <w:rsid w:val="49C777CA"/>
    <w:rsid w:val="49D15412"/>
    <w:rsid w:val="49D46CB0"/>
    <w:rsid w:val="49E16215"/>
    <w:rsid w:val="49E305BE"/>
    <w:rsid w:val="49F50F8B"/>
    <w:rsid w:val="49F7131D"/>
    <w:rsid w:val="49F92273"/>
    <w:rsid w:val="4A0D21C2"/>
    <w:rsid w:val="4A13274E"/>
    <w:rsid w:val="4A164146"/>
    <w:rsid w:val="4A2460DB"/>
    <w:rsid w:val="4A30718E"/>
    <w:rsid w:val="4A312204"/>
    <w:rsid w:val="4A360338"/>
    <w:rsid w:val="4A3634C7"/>
    <w:rsid w:val="4A4564EF"/>
    <w:rsid w:val="4A471230"/>
    <w:rsid w:val="4A5751EC"/>
    <w:rsid w:val="4A620A37"/>
    <w:rsid w:val="4A722025"/>
    <w:rsid w:val="4A734FB7"/>
    <w:rsid w:val="4A742241"/>
    <w:rsid w:val="4A7453FF"/>
    <w:rsid w:val="4A834233"/>
    <w:rsid w:val="4A835FE1"/>
    <w:rsid w:val="4A8F4E88"/>
    <w:rsid w:val="4A9039CE"/>
    <w:rsid w:val="4A9A7152"/>
    <w:rsid w:val="4AB30F1C"/>
    <w:rsid w:val="4AB66AF3"/>
    <w:rsid w:val="4AB80380"/>
    <w:rsid w:val="4ABC43AA"/>
    <w:rsid w:val="4AC07235"/>
    <w:rsid w:val="4AC42881"/>
    <w:rsid w:val="4AD55620"/>
    <w:rsid w:val="4AE27323"/>
    <w:rsid w:val="4AF13349"/>
    <w:rsid w:val="4AF55130"/>
    <w:rsid w:val="4B0A12D3"/>
    <w:rsid w:val="4B125855"/>
    <w:rsid w:val="4B1355B6"/>
    <w:rsid w:val="4B1745C3"/>
    <w:rsid w:val="4B194A7D"/>
    <w:rsid w:val="4B1C1996"/>
    <w:rsid w:val="4B2176FE"/>
    <w:rsid w:val="4B29367A"/>
    <w:rsid w:val="4B2E419E"/>
    <w:rsid w:val="4B315A3D"/>
    <w:rsid w:val="4B336412"/>
    <w:rsid w:val="4B3B5DC9"/>
    <w:rsid w:val="4B3C553D"/>
    <w:rsid w:val="4B4929D3"/>
    <w:rsid w:val="4B4B4D7A"/>
    <w:rsid w:val="4B4C4BB5"/>
    <w:rsid w:val="4B5847C4"/>
    <w:rsid w:val="4B5B6031"/>
    <w:rsid w:val="4B6577CF"/>
    <w:rsid w:val="4B661B8A"/>
    <w:rsid w:val="4B6C4CC7"/>
    <w:rsid w:val="4B6D2F19"/>
    <w:rsid w:val="4B7A5635"/>
    <w:rsid w:val="4B7F7589"/>
    <w:rsid w:val="4B856B5C"/>
    <w:rsid w:val="4B8B3770"/>
    <w:rsid w:val="4B8E2023"/>
    <w:rsid w:val="4B96178A"/>
    <w:rsid w:val="4B9B7461"/>
    <w:rsid w:val="4B9C6258"/>
    <w:rsid w:val="4BA22873"/>
    <w:rsid w:val="4BA24670"/>
    <w:rsid w:val="4BA44460"/>
    <w:rsid w:val="4BB202AF"/>
    <w:rsid w:val="4BBD5522"/>
    <w:rsid w:val="4BE8259F"/>
    <w:rsid w:val="4BEC2D00"/>
    <w:rsid w:val="4BF354B2"/>
    <w:rsid w:val="4BF83E68"/>
    <w:rsid w:val="4BFE6267"/>
    <w:rsid w:val="4C001FDF"/>
    <w:rsid w:val="4C074E9E"/>
    <w:rsid w:val="4C0A3185"/>
    <w:rsid w:val="4C0A69B9"/>
    <w:rsid w:val="4C115FCE"/>
    <w:rsid w:val="4C1351EF"/>
    <w:rsid w:val="4C1930A0"/>
    <w:rsid w:val="4C232983"/>
    <w:rsid w:val="4C2E6223"/>
    <w:rsid w:val="4C2F183D"/>
    <w:rsid w:val="4C5D5CF6"/>
    <w:rsid w:val="4C5F05C5"/>
    <w:rsid w:val="4C600397"/>
    <w:rsid w:val="4C62721F"/>
    <w:rsid w:val="4C687B84"/>
    <w:rsid w:val="4C6D0CF6"/>
    <w:rsid w:val="4C7977E0"/>
    <w:rsid w:val="4C84042B"/>
    <w:rsid w:val="4C8F2950"/>
    <w:rsid w:val="4C981987"/>
    <w:rsid w:val="4CA268B2"/>
    <w:rsid w:val="4CB70A84"/>
    <w:rsid w:val="4CC006FA"/>
    <w:rsid w:val="4CC0351C"/>
    <w:rsid w:val="4CC418E5"/>
    <w:rsid w:val="4CC552CC"/>
    <w:rsid w:val="4CC569BA"/>
    <w:rsid w:val="4CD06EC3"/>
    <w:rsid w:val="4CD34F92"/>
    <w:rsid w:val="4CD6689C"/>
    <w:rsid w:val="4CD76DB5"/>
    <w:rsid w:val="4CE10D05"/>
    <w:rsid w:val="4CF11E01"/>
    <w:rsid w:val="4CF3569F"/>
    <w:rsid w:val="4CF45FCD"/>
    <w:rsid w:val="4D023B34"/>
    <w:rsid w:val="4D0E24D9"/>
    <w:rsid w:val="4D1A33AC"/>
    <w:rsid w:val="4D1F3963"/>
    <w:rsid w:val="4D2717ED"/>
    <w:rsid w:val="4D2B5247"/>
    <w:rsid w:val="4D324CBE"/>
    <w:rsid w:val="4D3251B3"/>
    <w:rsid w:val="4D333DC4"/>
    <w:rsid w:val="4D35333C"/>
    <w:rsid w:val="4D381304"/>
    <w:rsid w:val="4D3A7F4B"/>
    <w:rsid w:val="4D3E1703"/>
    <w:rsid w:val="4D433ECD"/>
    <w:rsid w:val="4D546D6D"/>
    <w:rsid w:val="4D583754"/>
    <w:rsid w:val="4D595308"/>
    <w:rsid w:val="4D5F20E0"/>
    <w:rsid w:val="4D603D38"/>
    <w:rsid w:val="4D6437B9"/>
    <w:rsid w:val="4D744F0A"/>
    <w:rsid w:val="4D7A191D"/>
    <w:rsid w:val="4D8114AA"/>
    <w:rsid w:val="4D896004"/>
    <w:rsid w:val="4D8E361A"/>
    <w:rsid w:val="4D905D2B"/>
    <w:rsid w:val="4D9646F8"/>
    <w:rsid w:val="4D986247"/>
    <w:rsid w:val="4D9A3C2A"/>
    <w:rsid w:val="4D9C1893"/>
    <w:rsid w:val="4DA370C6"/>
    <w:rsid w:val="4DA410B4"/>
    <w:rsid w:val="4DB12E65"/>
    <w:rsid w:val="4DB841F3"/>
    <w:rsid w:val="4DC46900"/>
    <w:rsid w:val="4DCA69F7"/>
    <w:rsid w:val="4DCC1A6C"/>
    <w:rsid w:val="4DCD7C9F"/>
    <w:rsid w:val="4DD163A1"/>
    <w:rsid w:val="4DDA0071"/>
    <w:rsid w:val="4DE438B0"/>
    <w:rsid w:val="4DE74FDF"/>
    <w:rsid w:val="4DEA1084"/>
    <w:rsid w:val="4DF96CE5"/>
    <w:rsid w:val="4E161C68"/>
    <w:rsid w:val="4E194E4F"/>
    <w:rsid w:val="4E2139EC"/>
    <w:rsid w:val="4E2C7AD7"/>
    <w:rsid w:val="4E2F38B6"/>
    <w:rsid w:val="4E341CC8"/>
    <w:rsid w:val="4E3A10AC"/>
    <w:rsid w:val="4E3C3076"/>
    <w:rsid w:val="4E4A3EC7"/>
    <w:rsid w:val="4E4C4395"/>
    <w:rsid w:val="4E4D31B4"/>
    <w:rsid w:val="4E4E4DBC"/>
    <w:rsid w:val="4E511008"/>
    <w:rsid w:val="4E557EA6"/>
    <w:rsid w:val="4E563488"/>
    <w:rsid w:val="4E5A020A"/>
    <w:rsid w:val="4E60145A"/>
    <w:rsid w:val="4E654842"/>
    <w:rsid w:val="4E656A0B"/>
    <w:rsid w:val="4E6630B9"/>
    <w:rsid w:val="4E6D356C"/>
    <w:rsid w:val="4E726A98"/>
    <w:rsid w:val="4E815B65"/>
    <w:rsid w:val="4E901197"/>
    <w:rsid w:val="4E9B7D9D"/>
    <w:rsid w:val="4EA06DD0"/>
    <w:rsid w:val="4EA708A9"/>
    <w:rsid w:val="4EAA6232"/>
    <w:rsid w:val="4EAB1D8D"/>
    <w:rsid w:val="4EAC329D"/>
    <w:rsid w:val="4EB05A18"/>
    <w:rsid w:val="4EBB21ED"/>
    <w:rsid w:val="4EBE1CE8"/>
    <w:rsid w:val="4EC62B98"/>
    <w:rsid w:val="4EC72940"/>
    <w:rsid w:val="4EC86752"/>
    <w:rsid w:val="4EE172E6"/>
    <w:rsid w:val="4EEA7FD8"/>
    <w:rsid w:val="4EEC51FC"/>
    <w:rsid w:val="4EF0039F"/>
    <w:rsid w:val="4EF43951"/>
    <w:rsid w:val="4F0F7C00"/>
    <w:rsid w:val="4F1640E0"/>
    <w:rsid w:val="4F185C36"/>
    <w:rsid w:val="4F274FDA"/>
    <w:rsid w:val="4F275CED"/>
    <w:rsid w:val="4F2C26B3"/>
    <w:rsid w:val="4F3039F0"/>
    <w:rsid w:val="4F351F9F"/>
    <w:rsid w:val="4F413D36"/>
    <w:rsid w:val="4F442AF1"/>
    <w:rsid w:val="4F455F5A"/>
    <w:rsid w:val="4F4B6F48"/>
    <w:rsid w:val="4F4F2935"/>
    <w:rsid w:val="4F543775"/>
    <w:rsid w:val="4F5B752C"/>
    <w:rsid w:val="4F5F0C07"/>
    <w:rsid w:val="4F6665FD"/>
    <w:rsid w:val="4F6D1400"/>
    <w:rsid w:val="4F781832"/>
    <w:rsid w:val="4F7D3946"/>
    <w:rsid w:val="4F801F1C"/>
    <w:rsid w:val="4F915848"/>
    <w:rsid w:val="4F952A3E"/>
    <w:rsid w:val="4FA66C04"/>
    <w:rsid w:val="4FA964E9"/>
    <w:rsid w:val="4FAA0CCD"/>
    <w:rsid w:val="4FAD276D"/>
    <w:rsid w:val="4FB04850"/>
    <w:rsid w:val="4FC13833"/>
    <w:rsid w:val="4FC425E1"/>
    <w:rsid w:val="4FC926E8"/>
    <w:rsid w:val="4FCB50FF"/>
    <w:rsid w:val="4FD214B6"/>
    <w:rsid w:val="4FD32ABF"/>
    <w:rsid w:val="4FD41B24"/>
    <w:rsid w:val="4FD96283"/>
    <w:rsid w:val="4FDB164E"/>
    <w:rsid w:val="4FE021C4"/>
    <w:rsid w:val="4FE61281"/>
    <w:rsid w:val="4FF0236A"/>
    <w:rsid w:val="4FF36AF6"/>
    <w:rsid w:val="50083839"/>
    <w:rsid w:val="50110937"/>
    <w:rsid w:val="501876A1"/>
    <w:rsid w:val="501B5173"/>
    <w:rsid w:val="50281B04"/>
    <w:rsid w:val="502C5231"/>
    <w:rsid w:val="50334A8C"/>
    <w:rsid w:val="50345768"/>
    <w:rsid w:val="50376558"/>
    <w:rsid w:val="50487AA0"/>
    <w:rsid w:val="504A7CCC"/>
    <w:rsid w:val="505A5A36"/>
    <w:rsid w:val="505E10D8"/>
    <w:rsid w:val="5069615D"/>
    <w:rsid w:val="50720FD1"/>
    <w:rsid w:val="50744D49"/>
    <w:rsid w:val="50746AF7"/>
    <w:rsid w:val="50755701"/>
    <w:rsid w:val="5076286F"/>
    <w:rsid w:val="507C3BFE"/>
    <w:rsid w:val="50802D5F"/>
    <w:rsid w:val="50861674"/>
    <w:rsid w:val="508D27A6"/>
    <w:rsid w:val="5095081C"/>
    <w:rsid w:val="50A00358"/>
    <w:rsid w:val="50A52288"/>
    <w:rsid w:val="50A5313B"/>
    <w:rsid w:val="50AC140F"/>
    <w:rsid w:val="50AD025B"/>
    <w:rsid w:val="50B26176"/>
    <w:rsid w:val="50B43398"/>
    <w:rsid w:val="50B704FF"/>
    <w:rsid w:val="50BE2782"/>
    <w:rsid w:val="50C80BF1"/>
    <w:rsid w:val="50E02AF0"/>
    <w:rsid w:val="50E13A61"/>
    <w:rsid w:val="50E3780D"/>
    <w:rsid w:val="50E579F5"/>
    <w:rsid w:val="50E76326"/>
    <w:rsid w:val="50EA54E8"/>
    <w:rsid w:val="50EA5EA6"/>
    <w:rsid w:val="50EC2B32"/>
    <w:rsid w:val="50ED2406"/>
    <w:rsid w:val="50EE2903"/>
    <w:rsid w:val="50EF617E"/>
    <w:rsid w:val="50F11EF6"/>
    <w:rsid w:val="50F26883"/>
    <w:rsid w:val="50F43794"/>
    <w:rsid w:val="50F85DC6"/>
    <w:rsid w:val="50FE703A"/>
    <w:rsid w:val="510575FC"/>
    <w:rsid w:val="511B6EDE"/>
    <w:rsid w:val="511F6336"/>
    <w:rsid w:val="51200A2D"/>
    <w:rsid w:val="51330760"/>
    <w:rsid w:val="51363534"/>
    <w:rsid w:val="513B14AD"/>
    <w:rsid w:val="5146601D"/>
    <w:rsid w:val="515F01B1"/>
    <w:rsid w:val="51637D72"/>
    <w:rsid w:val="516444DE"/>
    <w:rsid w:val="516E1798"/>
    <w:rsid w:val="51722952"/>
    <w:rsid w:val="5176600A"/>
    <w:rsid w:val="517D4385"/>
    <w:rsid w:val="518420AA"/>
    <w:rsid w:val="5193364D"/>
    <w:rsid w:val="51962A9D"/>
    <w:rsid w:val="51976F41"/>
    <w:rsid w:val="519A6E4B"/>
    <w:rsid w:val="519B1739"/>
    <w:rsid w:val="519C4558"/>
    <w:rsid w:val="51B04FDC"/>
    <w:rsid w:val="51B72B06"/>
    <w:rsid w:val="51C4585C"/>
    <w:rsid w:val="51C513DF"/>
    <w:rsid w:val="51CE66DB"/>
    <w:rsid w:val="51D3338E"/>
    <w:rsid w:val="51E8779D"/>
    <w:rsid w:val="51ED55E8"/>
    <w:rsid w:val="51EE6435"/>
    <w:rsid w:val="51F662E0"/>
    <w:rsid w:val="520628D1"/>
    <w:rsid w:val="520B201A"/>
    <w:rsid w:val="520C2D5F"/>
    <w:rsid w:val="52100EA3"/>
    <w:rsid w:val="521047DC"/>
    <w:rsid w:val="522510AD"/>
    <w:rsid w:val="52254A10"/>
    <w:rsid w:val="52285DEB"/>
    <w:rsid w:val="5228659E"/>
    <w:rsid w:val="522B0B43"/>
    <w:rsid w:val="52304275"/>
    <w:rsid w:val="52306A55"/>
    <w:rsid w:val="524D13AE"/>
    <w:rsid w:val="52545DBE"/>
    <w:rsid w:val="525F19A5"/>
    <w:rsid w:val="5260121F"/>
    <w:rsid w:val="52646D4F"/>
    <w:rsid w:val="52680501"/>
    <w:rsid w:val="52860D64"/>
    <w:rsid w:val="52865859"/>
    <w:rsid w:val="528C499D"/>
    <w:rsid w:val="528D161E"/>
    <w:rsid w:val="52916B2E"/>
    <w:rsid w:val="52A631B4"/>
    <w:rsid w:val="52A82A88"/>
    <w:rsid w:val="52B07B8F"/>
    <w:rsid w:val="52B25AAE"/>
    <w:rsid w:val="52C06024"/>
    <w:rsid w:val="52C41AFE"/>
    <w:rsid w:val="52CB19E0"/>
    <w:rsid w:val="52CD24EF"/>
    <w:rsid w:val="52CE57B0"/>
    <w:rsid w:val="52DB0ADD"/>
    <w:rsid w:val="52ED0DE3"/>
    <w:rsid w:val="52F35B2B"/>
    <w:rsid w:val="53005A6E"/>
    <w:rsid w:val="53057EDB"/>
    <w:rsid w:val="5311310C"/>
    <w:rsid w:val="53157440"/>
    <w:rsid w:val="53285977"/>
    <w:rsid w:val="532A7941"/>
    <w:rsid w:val="532C1EF4"/>
    <w:rsid w:val="532D10B1"/>
    <w:rsid w:val="532D5F0B"/>
    <w:rsid w:val="532F7D98"/>
    <w:rsid w:val="53301FD4"/>
    <w:rsid w:val="534A3B3F"/>
    <w:rsid w:val="535E6640"/>
    <w:rsid w:val="53602E5D"/>
    <w:rsid w:val="53624943"/>
    <w:rsid w:val="53635603"/>
    <w:rsid w:val="53695F19"/>
    <w:rsid w:val="537A5DA5"/>
    <w:rsid w:val="537C2EB4"/>
    <w:rsid w:val="538C5F06"/>
    <w:rsid w:val="53926FFC"/>
    <w:rsid w:val="539D3711"/>
    <w:rsid w:val="53A337F9"/>
    <w:rsid w:val="53B41CD5"/>
    <w:rsid w:val="53B84F4D"/>
    <w:rsid w:val="53D24688"/>
    <w:rsid w:val="53D345A2"/>
    <w:rsid w:val="53DA3115"/>
    <w:rsid w:val="53DB40CE"/>
    <w:rsid w:val="53DC464A"/>
    <w:rsid w:val="53DC4935"/>
    <w:rsid w:val="53E06249"/>
    <w:rsid w:val="53E90A64"/>
    <w:rsid w:val="53EE55CC"/>
    <w:rsid w:val="53F30D6C"/>
    <w:rsid w:val="53FF52E6"/>
    <w:rsid w:val="540E7126"/>
    <w:rsid w:val="54121E88"/>
    <w:rsid w:val="54181E8F"/>
    <w:rsid w:val="541D21E1"/>
    <w:rsid w:val="542E7131"/>
    <w:rsid w:val="54336CC9"/>
    <w:rsid w:val="54393EEB"/>
    <w:rsid w:val="543A0058"/>
    <w:rsid w:val="54453B49"/>
    <w:rsid w:val="5446336F"/>
    <w:rsid w:val="544669C3"/>
    <w:rsid w:val="544A5A7B"/>
    <w:rsid w:val="54574766"/>
    <w:rsid w:val="545D23D3"/>
    <w:rsid w:val="54671E67"/>
    <w:rsid w:val="546B0211"/>
    <w:rsid w:val="54703A7A"/>
    <w:rsid w:val="547A60F6"/>
    <w:rsid w:val="547D1CF3"/>
    <w:rsid w:val="54991B10"/>
    <w:rsid w:val="549B040C"/>
    <w:rsid w:val="54A02FDC"/>
    <w:rsid w:val="54A556A6"/>
    <w:rsid w:val="54A97CE2"/>
    <w:rsid w:val="54AC3A76"/>
    <w:rsid w:val="54AF6350"/>
    <w:rsid w:val="54B41BB8"/>
    <w:rsid w:val="54B74C8B"/>
    <w:rsid w:val="54BF40B9"/>
    <w:rsid w:val="54D2674B"/>
    <w:rsid w:val="54D63616"/>
    <w:rsid w:val="54D65A5F"/>
    <w:rsid w:val="54E14B4D"/>
    <w:rsid w:val="54E41FA8"/>
    <w:rsid w:val="54F16968"/>
    <w:rsid w:val="5503317B"/>
    <w:rsid w:val="55085A60"/>
    <w:rsid w:val="550B72FE"/>
    <w:rsid w:val="551663CF"/>
    <w:rsid w:val="55202DAA"/>
    <w:rsid w:val="55256612"/>
    <w:rsid w:val="55265EBC"/>
    <w:rsid w:val="552C6E84"/>
    <w:rsid w:val="553576AE"/>
    <w:rsid w:val="55363B69"/>
    <w:rsid w:val="55364C4D"/>
    <w:rsid w:val="554A42CB"/>
    <w:rsid w:val="55516FE9"/>
    <w:rsid w:val="555D5084"/>
    <w:rsid w:val="55610682"/>
    <w:rsid w:val="556A2277"/>
    <w:rsid w:val="556B7F4E"/>
    <w:rsid w:val="556F5ADF"/>
    <w:rsid w:val="55707695"/>
    <w:rsid w:val="558E0FF3"/>
    <w:rsid w:val="55904978"/>
    <w:rsid w:val="5594267A"/>
    <w:rsid w:val="55961E7F"/>
    <w:rsid w:val="559F6114"/>
    <w:rsid w:val="55B42837"/>
    <w:rsid w:val="55BB027D"/>
    <w:rsid w:val="55DB3304"/>
    <w:rsid w:val="55DD32FD"/>
    <w:rsid w:val="55DD34A0"/>
    <w:rsid w:val="55E069DD"/>
    <w:rsid w:val="55F81F79"/>
    <w:rsid w:val="55F95096"/>
    <w:rsid w:val="55FB2FC0"/>
    <w:rsid w:val="55FF2DED"/>
    <w:rsid w:val="560C4E65"/>
    <w:rsid w:val="560D1FB2"/>
    <w:rsid w:val="56113488"/>
    <w:rsid w:val="56123AFC"/>
    <w:rsid w:val="56155530"/>
    <w:rsid w:val="561B78F2"/>
    <w:rsid w:val="561C1384"/>
    <w:rsid w:val="561D0A69"/>
    <w:rsid w:val="561F5757"/>
    <w:rsid w:val="56263A67"/>
    <w:rsid w:val="56282AA4"/>
    <w:rsid w:val="56283212"/>
    <w:rsid w:val="563034C0"/>
    <w:rsid w:val="56306A8D"/>
    <w:rsid w:val="56325B0F"/>
    <w:rsid w:val="563B5A7D"/>
    <w:rsid w:val="563D36F2"/>
    <w:rsid w:val="564A220B"/>
    <w:rsid w:val="564B5FAC"/>
    <w:rsid w:val="56505911"/>
    <w:rsid w:val="56530F5D"/>
    <w:rsid w:val="565A1A6F"/>
    <w:rsid w:val="565E4380"/>
    <w:rsid w:val="567315FF"/>
    <w:rsid w:val="567566F4"/>
    <w:rsid w:val="56795BFB"/>
    <w:rsid w:val="567A298E"/>
    <w:rsid w:val="567B1DAF"/>
    <w:rsid w:val="56821842"/>
    <w:rsid w:val="5683561C"/>
    <w:rsid w:val="5683587B"/>
    <w:rsid w:val="56835CE6"/>
    <w:rsid w:val="569024A4"/>
    <w:rsid w:val="56916F31"/>
    <w:rsid w:val="56933A4F"/>
    <w:rsid w:val="56A00622"/>
    <w:rsid w:val="56A5017F"/>
    <w:rsid w:val="56AD4B11"/>
    <w:rsid w:val="56B22591"/>
    <w:rsid w:val="56B82E45"/>
    <w:rsid w:val="56BD367E"/>
    <w:rsid w:val="56D402F0"/>
    <w:rsid w:val="56D454F9"/>
    <w:rsid w:val="56F73FDE"/>
    <w:rsid w:val="56FD3F48"/>
    <w:rsid w:val="570A5ABF"/>
    <w:rsid w:val="570B5891"/>
    <w:rsid w:val="570D735E"/>
    <w:rsid w:val="572823EA"/>
    <w:rsid w:val="57284A78"/>
    <w:rsid w:val="57297DEA"/>
    <w:rsid w:val="572A7F10"/>
    <w:rsid w:val="572B1EDA"/>
    <w:rsid w:val="57320A5C"/>
    <w:rsid w:val="573634B6"/>
    <w:rsid w:val="573C19D5"/>
    <w:rsid w:val="573E7E5F"/>
    <w:rsid w:val="573F14BF"/>
    <w:rsid w:val="57591E06"/>
    <w:rsid w:val="575A5572"/>
    <w:rsid w:val="575E19BC"/>
    <w:rsid w:val="57601BE6"/>
    <w:rsid w:val="577B3D89"/>
    <w:rsid w:val="577D3138"/>
    <w:rsid w:val="577E5A3B"/>
    <w:rsid w:val="577F1932"/>
    <w:rsid w:val="578B5303"/>
    <w:rsid w:val="579932E7"/>
    <w:rsid w:val="57995E12"/>
    <w:rsid w:val="57996E43"/>
    <w:rsid w:val="579B5881"/>
    <w:rsid w:val="57A572A1"/>
    <w:rsid w:val="57AC0592"/>
    <w:rsid w:val="57AD3422"/>
    <w:rsid w:val="57B123DF"/>
    <w:rsid w:val="57B12EFC"/>
    <w:rsid w:val="57CA0634"/>
    <w:rsid w:val="57D05747"/>
    <w:rsid w:val="57D90823"/>
    <w:rsid w:val="57E83927"/>
    <w:rsid w:val="57E91B79"/>
    <w:rsid w:val="57F33CD4"/>
    <w:rsid w:val="580312DD"/>
    <w:rsid w:val="58042D03"/>
    <w:rsid w:val="58074AD6"/>
    <w:rsid w:val="58080508"/>
    <w:rsid w:val="581110D0"/>
    <w:rsid w:val="581A4428"/>
    <w:rsid w:val="583059FA"/>
    <w:rsid w:val="58346749"/>
    <w:rsid w:val="585F7853"/>
    <w:rsid w:val="58646B41"/>
    <w:rsid w:val="586F35A6"/>
    <w:rsid w:val="58737694"/>
    <w:rsid w:val="587A3F1D"/>
    <w:rsid w:val="5886386C"/>
    <w:rsid w:val="588856AA"/>
    <w:rsid w:val="589C19C7"/>
    <w:rsid w:val="589E6E07"/>
    <w:rsid w:val="58A5692B"/>
    <w:rsid w:val="58AB7437"/>
    <w:rsid w:val="58AE4B70"/>
    <w:rsid w:val="58B24629"/>
    <w:rsid w:val="58BC0970"/>
    <w:rsid w:val="58C14000"/>
    <w:rsid w:val="58C15CEE"/>
    <w:rsid w:val="58CA156E"/>
    <w:rsid w:val="58D31DAF"/>
    <w:rsid w:val="58D83EF8"/>
    <w:rsid w:val="58E5392D"/>
    <w:rsid w:val="58E543EA"/>
    <w:rsid w:val="58F81D19"/>
    <w:rsid w:val="58F87798"/>
    <w:rsid w:val="59011A99"/>
    <w:rsid w:val="59072A95"/>
    <w:rsid w:val="590824D3"/>
    <w:rsid w:val="591344A4"/>
    <w:rsid w:val="591A311E"/>
    <w:rsid w:val="59244347"/>
    <w:rsid w:val="59345076"/>
    <w:rsid w:val="593A0225"/>
    <w:rsid w:val="593B28A8"/>
    <w:rsid w:val="594F5177"/>
    <w:rsid w:val="595B5175"/>
    <w:rsid w:val="59611BE3"/>
    <w:rsid w:val="59633BAD"/>
    <w:rsid w:val="59634023"/>
    <w:rsid w:val="59777658"/>
    <w:rsid w:val="5980259E"/>
    <w:rsid w:val="598853C1"/>
    <w:rsid w:val="598F7FAD"/>
    <w:rsid w:val="59B166C6"/>
    <w:rsid w:val="59B95D94"/>
    <w:rsid w:val="59C06909"/>
    <w:rsid w:val="59C52A6B"/>
    <w:rsid w:val="59C77FBD"/>
    <w:rsid w:val="59C87257"/>
    <w:rsid w:val="59CC3500"/>
    <w:rsid w:val="59D11889"/>
    <w:rsid w:val="59DE0D18"/>
    <w:rsid w:val="59EC3BA2"/>
    <w:rsid w:val="59EE791A"/>
    <w:rsid w:val="59FB30B7"/>
    <w:rsid w:val="59FF5CBA"/>
    <w:rsid w:val="59FF5F31"/>
    <w:rsid w:val="5A010F16"/>
    <w:rsid w:val="5A050155"/>
    <w:rsid w:val="5A074069"/>
    <w:rsid w:val="5A0829DA"/>
    <w:rsid w:val="5A0A5DD6"/>
    <w:rsid w:val="5A1662B7"/>
    <w:rsid w:val="5A192768"/>
    <w:rsid w:val="5A1F5D26"/>
    <w:rsid w:val="5A235C52"/>
    <w:rsid w:val="5A267E42"/>
    <w:rsid w:val="5A2A6479"/>
    <w:rsid w:val="5A2E3043"/>
    <w:rsid w:val="5A3E2478"/>
    <w:rsid w:val="5A3E2CFD"/>
    <w:rsid w:val="5A47702B"/>
    <w:rsid w:val="5A495EE5"/>
    <w:rsid w:val="5A533AA6"/>
    <w:rsid w:val="5A5B2AD6"/>
    <w:rsid w:val="5A5E6A84"/>
    <w:rsid w:val="5A7C4F26"/>
    <w:rsid w:val="5A7D447E"/>
    <w:rsid w:val="5A820986"/>
    <w:rsid w:val="5A86434D"/>
    <w:rsid w:val="5A8738CB"/>
    <w:rsid w:val="5A9F245B"/>
    <w:rsid w:val="5AAB197E"/>
    <w:rsid w:val="5AB346C0"/>
    <w:rsid w:val="5AB61C8A"/>
    <w:rsid w:val="5AB74607"/>
    <w:rsid w:val="5ABF05A5"/>
    <w:rsid w:val="5ABF610C"/>
    <w:rsid w:val="5AC95C92"/>
    <w:rsid w:val="5ACD1A01"/>
    <w:rsid w:val="5ACD45C6"/>
    <w:rsid w:val="5ACE2385"/>
    <w:rsid w:val="5AD05272"/>
    <w:rsid w:val="5ADC3C17"/>
    <w:rsid w:val="5AE14D89"/>
    <w:rsid w:val="5AEC438D"/>
    <w:rsid w:val="5AFA409D"/>
    <w:rsid w:val="5AFC52F4"/>
    <w:rsid w:val="5AFD7E57"/>
    <w:rsid w:val="5B081706"/>
    <w:rsid w:val="5B0B0DBC"/>
    <w:rsid w:val="5B0B1E06"/>
    <w:rsid w:val="5B1250E4"/>
    <w:rsid w:val="5B173309"/>
    <w:rsid w:val="5B1C04B7"/>
    <w:rsid w:val="5B231846"/>
    <w:rsid w:val="5B2337F0"/>
    <w:rsid w:val="5B4377F2"/>
    <w:rsid w:val="5B4912E1"/>
    <w:rsid w:val="5B4B48F9"/>
    <w:rsid w:val="5B56586E"/>
    <w:rsid w:val="5B5932C1"/>
    <w:rsid w:val="5B6360E6"/>
    <w:rsid w:val="5B663C8E"/>
    <w:rsid w:val="5B70435F"/>
    <w:rsid w:val="5B7A4B13"/>
    <w:rsid w:val="5B8F47E5"/>
    <w:rsid w:val="5BA31A24"/>
    <w:rsid w:val="5BBF6E3C"/>
    <w:rsid w:val="5BCB7CE3"/>
    <w:rsid w:val="5BEE20A9"/>
    <w:rsid w:val="5BF20D80"/>
    <w:rsid w:val="5BF77DAF"/>
    <w:rsid w:val="5BF85AE7"/>
    <w:rsid w:val="5BFF3991"/>
    <w:rsid w:val="5C0C6486"/>
    <w:rsid w:val="5C277114"/>
    <w:rsid w:val="5C4001D5"/>
    <w:rsid w:val="5C437174"/>
    <w:rsid w:val="5C4528D4"/>
    <w:rsid w:val="5C4750C0"/>
    <w:rsid w:val="5C5070E0"/>
    <w:rsid w:val="5C531CB7"/>
    <w:rsid w:val="5C58245B"/>
    <w:rsid w:val="5C5D48E3"/>
    <w:rsid w:val="5C607451"/>
    <w:rsid w:val="5C630938"/>
    <w:rsid w:val="5C6917C3"/>
    <w:rsid w:val="5C6B34A4"/>
    <w:rsid w:val="5C6C2D78"/>
    <w:rsid w:val="5C725B62"/>
    <w:rsid w:val="5C7E6FE0"/>
    <w:rsid w:val="5C82434A"/>
    <w:rsid w:val="5C8B24B9"/>
    <w:rsid w:val="5C9018ED"/>
    <w:rsid w:val="5C91458D"/>
    <w:rsid w:val="5CA16EC6"/>
    <w:rsid w:val="5CA9006D"/>
    <w:rsid w:val="5CAE7A65"/>
    <w:rsid w:val="5CB62246"/>
    <w:rsid w:val="5CBB785C"/>
    <w:rsid w:val="5CBC407B"/>
    <w:rsid w:val="5CC367C3"/>
    <w:rsid w:val="5CCC52A0"/>
    <w:rsid w:val="5CCE74E7"/>
    <w:rsid w:val="5CD52CC1"/>
    <w:rsid w:val="5CD8555F"/>
    <w:rsid w:val="5CD91F36"/>
    <w:rsid w:val="5CDE40A3"/>
    <w:rsid w:val="5CF8285E"/>
    <w:rsid w:val="5CFB09C9"/>
    <w:rsid w:val="5CFC1213"/>
    <w:rsid w:val="5D082133"/>
    <w:rsid w:val="5D144D82"/>
    <w:rsid w:val="5D153461"/>
    <w:rsid w:val="5D192F00"/>
    <w:rsid w:val="5D3627B5"/>
    <w:rsid w:val="5D50269A"/>
    <w:rsid w:val="5D513680"/>
    <w:rsid w:val="5D521F6E"/>
    <w:rsid w:val="5D585377"/>
    <w:rsid w:val="5D635F29"/>
    <w:rsid w:val="5D827CFD"/>
    <w:rsid w:val="5D8831BB"/>
    <w:rsid w:val="5D8B3426"/>
    <w:rsid w:val="5D8D1C9D"/>
    <w:rsid w:val="5D924A61"/>
    <w:rsid w:val="5D942587"/>
    <w:rsid w:val="5D964551"/>
    <w:rsid w:val="5D9A56C3"/>
    <w:rsid w:val="5DA64663"/>
    <w:rsid w:val="5DB06245"/>
    <w:rsid w:val="5DBB5D65"/>
    <w:rsid w:val="5DC1446B"/>
    <w:rsid w:val="5DC34C1A"/>
    <w:rsid w:val="5DC36758"/>
    <w:rsid w:val="5DD3593E"/>
    <w:rsid w:val="5DED0F27"/>
    <w:rsid w:val="5DF27EF8"/>
    <w:rsid w:val="5DF43025"/>
    <w:rsid w:val="5DF66D9E"/>
    <w:rsid w:val="5E0474D0"/>
    <w:rsid w:val="5E0771FD"/>
    <w:rsid w:val="5E0A6F34"/>
    <w:rsid w:val="5E0C65C1"/>
    <w:rsid w:val="5E113BD7"/>
    <w:rsid w:val="5E206862"/>
    <w:rsid w:val="5E21105E"/>
    <w:rsid w:val="5E355645"/>
    <w:rsid w:val="5E364A4E"/>
    <w:rsid w:val="5E4473E0"/>
    <w:rsid w:val="5E46157E"/>
    <w:rsid w:val="5E48511F"/>
    <w:rsid w:val="5E56783C"/>
    <w:rsid w:val="5E6230C6"/>
    <w:rsid w:val="5E6301AB"/>
    <w:rsid w:val="5E6456D0"/>
    <w:rsid w:val="5E6A1358"/>
    <w:rsid w:val="5E783C56"/>
    <w:rsid w:val="5E7A5C21"/>
    <w:rsid w:val="5E7B72A3"/>
    <w:rsid w:val="5E8A16E8"/>
    <w:rsid w:val="5E8D1253"/>
    <w:rsid w:val="5E8E1623"/>
    <w:rsid w:val="5EA145C8"/>
    <w:rsid w:val="5EAA024B"/>
    <w:rsid w:val="5EC267B6"/>
    <w:rsid w:val="5EC82C7F"/>
    <w:rsid w:val="5ECE010D"/>
    <w:rsid w:val="5ED0015B"/>
    <w:rsid w:val="5ED125FC"/>
    <w:rsid w:val="5ED57321"/>
    <w:rsid w:val="5ED8490B"/>
    <w:rsid w:val="5EE66E12"/>
    <w:rsid w:val="5EE93E95"/>
    <w:rsid w:val="5EF20DB1"/>
    <w:rsid w:val="5EF519D2"/>
    <w:rsid w:val="5EFD5F0A"/>
    <w:rsid w:val="5F001485"/>
    <w:rsid w:val="5F002F47"/>
    <w:rsid w:val="5F0B6879"/>
    <w:rsid w:val="5F0C25F1"/>
    <w:rsid w:val="5F103E8F"/>
    <w:rsid w:val="5F107358"/>
    <w:rsid w:val="5F126494"/>
    <w:rsid w:val="5F164FEB"/>
    <w:rsid w:val="5F1C1006"/>
    <w:rsid w:val="5F1F0F2D"/>
    <w:rsid w:val="5F262EC9"/>
    <w:rsid w:val="5F2B49A3"/>
    <w:rsid w:val="5F452DE5"/>
    <w:rsid w:val="5F4B3119"/>
    <w:rsid w:val="5F4E105B"/>
    <w:rsid w:val="5F4E3A27"/>
    <w:rsid w:val="5F552D6C"/>
    <w:rsid w:val="5F580396"/>
    <w:rsid w:val="5F5C0E82"/>
    <w:rsid w:val="5F697A43"/>
    <w:rsid w:val="5F7652CF"/>
    <w:rsid w:val="5F7D4740"/>
    <w:rsid w:val="5F7F0367"/>
    <w:rsid w:val="5F81190E"/>
    <w:rsid w:val="5F874ED1"/>
    <w:rsid w:val="5F8B79B9"/>
    <w:rsid w:val="5F8F7566"/>
    <w:rsid w:val="5F903222"/>
    <w:rsid w:val="5F9422B9"/>
    <w:rsid w:val="5FAB1E0A"/>
    <w:rsid w:val="5FB23DB8"/>
    <w:rsid w:val="5FB47416"/>
    <w:rsid w:val="5FB53132"/>
    <w:rsid w:val="5FC22B1F"/>
    <w:rsid w:val="5FCF2FC1"/>
    <w:rsid w:val="5FCF5AF8"/>
    <w:rsid w:val="5FDB73A6"/>
    <w:rsid w:val="5FE346F0"/>
    <w:rsid w:val="5FE377F5"/>
    <w:rsid w:val="5FF732A1"/>
    <w:rsid w:val="600862CC"/>
    <w:rsid w:val="60237BF2"/>
    <w:rsid w:val="60285208"/>
    <w:rsid w:val="602A5424"/>
    <w:rsid w:val="602C5A37"/>
    <w:rsid w:val="602D1CB3"/>
    <w:rsid w:val="6035022A"/>
    <w:rsid w:val="603E2AC0"/>
    <w:rsid w:val="605205A0"/>
    <w:rsid w:val="605B3830"/>
    <w:rsid w:val="606044F4"/>
    <w:rsid w:val="60695812"/>
    <w:rsid w:val="606C19E3"/>
    <w:rsid w:val="606D6DE0"/>
    <w:rsid w:val="606E5EE8"/>
    <w:rsid w:val="60716246"/>
    <w:rsid w:val="607265DB"/>
    <w:rsid w:val="60762418"/>
    <w:rsid w:val="607928FD"/>
    <w:rsid w:val="60811186"/>
    <w:rsid w:val="60820229"/>
    <w:rsid w:val="60820545"/>
    <w:rsid w:val="608F5287"/>
    <w:rsid w:val="60922355"/>
    <w:rsid w:val="609223C4"/>
    <w:rsid w:val="609C360C"/>
    <w:rsid w:val="609F56EA"/>
    <w:rsid w:val="60A56859"/>
    <w:rsid w:val="60A615E0"/>
    <w:rsid w:val="60AE7E03"/>
    <w:rsid w:val="60B113EB"/>
    <w:rsid w:val="60B1521A"/>
    <w:rsid w:val="60B46A9C"/>
    <w:rsid w:val="60BA3D9B"/>
    <w:rsid w:val="60C179BB"/>
    <w:rsid w:val="60C72393"/>
    <w:rsid w:val="60D756BA"/>
    <w:rsid w:val="60F45D4A"/>
    <w:rsid w:val="60FE4717"/>
    <w:rsid w:val="60FF6C65"/>
    <w:rsid w:val="61061269"/>
    <w:rsid w:val="610C6769"/>
    <w:rsid w:val="610E08A2"/>
    <w:rsid w:val="61151C31"/>
    <w:rsid w:val="61166C92"/>
    <w:rsid w:val="61176028"/>
    <w:rsid w:val="612B336B"/>
    <w:rsid w:val="612F2291"/>
    <w:rsid w:val="61363955"/>
    <w:rsid w:val="614A752A"/>
    <w:rsid w:val="614E0C9F"/>
    <w:rsid w:val="615F7856"/>
    <w:rsid w:val="616154CC"/>
    <w:rsid w:val="616506CC"/>
    <w:rsid w:val="617140C2"/>
    <w:rsid w:val="61857DF1"/>
    <w:rsid w:val="618B7EB6"/>
    <w:rsid w:val="618C41AC"/>
    <w:rsid w:val="619568CD"/>
    <w:rsid w:val="6196153D"/>
    <w:rsid w:val="61A42FB7"/>
    <w:rsid w:val="61A66D2D"/>
    <w:rsid w:val="61B56F70"/>
    <w:rsid w:val="61BA4CBE"/>
    <w:rsid w:val="61BC02FE"/>
    <w:rsid w:val="61C12133"/>
    <w:rsid w:val="61C82641"/>
    <w:rsid w:val="61E3588B"/>
    <w:rsid w:val="61E7343F"/>
    <w:rsid w:val="61E83157"/>
    <w:rsid w:val="61EB5EE9"/>
    <w:rsid w:val="61FB3559"/>
    <w:rsid w:val="62165F0A"/>
    <w:rsid w:val="622F79DB"/>
    <w:rsid w:val="623A5E68"/>
    <w:rsid w:val="624502F4"/>
    <w:rsid w:val="62471F04"/>
    <w:rsid w:val="62495C8F"/>
    <w:rsid w:val="62546789"/>
    <w:rsid w:val="625642AF"/>
    <w:rsid w:val="62620EA5"/>
    <w:rsid w:val="626A5FAC"/>
    <w:rsid w:val="626A6EE0"/>
    <w:rsid w:val="626A7D5A"/>
    <w:rsid w:val="62713A37"/>
    <w:rsid w:val="627470F0"/>
    <w:rsid w:val="62793478"/>
    <w:rsid w:val="627D5573"/>
    <w:rsid w:val="627D587D"/>
    <w:rsid w:val="62912E0E"/>
    <w:rsid w:val="629923ED"/>
    <w:rsid w:val="629B40F7"/>
    <w:rsid w:val="629E5C56"/>
    <w:rsid w:val="629F6DAD"/>
    <w:rsid w:val="62A07F3E"/>
    <w:rsid w:val="62B07A2C"/>
    <w:rsid w:val="62B47227"/>
    <w:rsid w:val="62B51B1D"/>
    <w:rsid w:val="62BB0EC1"/>
    <w:rsid w:val="62BE2A42"/>
    <w:rsid w:val="62C456BC"/>
    <w:rsid w:val="62C76F5B"/>
    <w:rsid w:val="62D6719E"/>
    <w:rsid w:val="62E23AD3"/>
    <w:rsid w:val="62E23D94"/>
    <w:rsid w:val="62EB3428"/>
    <w:rsid w:val="62EC69C1"/>
    <w:rsid w:val="62F46CB3"/>
    <w:rsid w:val="62F67840"/>
    <w:rsid w:val="62FC0CC2"/>
    <w:rsid w:val="63156017"/>
    <w:rsid w:val="6317689C"/>
    <w:rsid w:val="631A357C"/>
    <w:rsid w:val="631D4DCC"/>
    <w:rsid w:val="632411E5"/>
    <w:rsid w:val="63247F09"/>
    <w:rsid w:val="63260125"/>
    <w:rsid w:val="63312626"/>
    <w:rsid w:val="63351789"/>
    <w:rsid w:val="633A5CF8"/>
    <w:rsid w:val="633D721D"/>
    <w:rsid w:val="633E3D4A"/>
    <w:rsid w:val="63461B81"/>
    <w:rsid w:val="63461C3B"/>
    <w:rsid w:val="63514A76"/>
    <w:rsid w:val="6353723A"/>
    <w:rsid w:val="636429FB"/>
    <w:rsid w:val="637C73EA"/>
    <w:rsid w:val="638C3D00"/>
    <w:rsid w:val="639636DA"/>
    <w:rsid w:val="63AC7EFE"/>
    <w:rsid w:val="63B219B9"/>
    <w:rsid w:val="63B35731"/>
    <w:rsid w:val="63B7277D"/>
    <w:rsid w:val="63C30AC9"/>
    <w:rsid w:val="63C40900"/>
    <w:rsid w:val="63C67212"/>
    <w:rsid w:val="63D74F7B"/>
    <w:rsid w:val="63F43D7F"/>
    <w:rsid w:val="63FE3B73"/>
    <w:rsid w:val="640146EE"/>
    <w:rsid w:val="64024E49"/>
    <w:rsid w:val="6404561C"/>
    <w:rsid w:val="64055F8C"/>
    <w:rsid w:val="64062CB0"/>
    <w:rsid w:val="640B2E77"/>
    <w:rsid w:val="6412430F"/>
    <w:rsid w:val="641C2C0B"/>
    <w:rsid w:val="641C48AD"/>
    <w:rsid w:val="641F3BF1"/>
    <w:rsid w:val="642301C1"/>
    <w:rsid w:val="642C0CD3"/>
    <w:rsid w:val="643423CE"/>
    <w:rsid w:val="64443BDD"/>
    <w:rsid w:val="64485D7D"/>
    <w:rsid w:val="64490E62"/>
    <w:rsid w:val="644A1BF1"/>
    <w:rsid w:val="64513D0C"/>
    <w:rsid w:val="6454481E"/>
    <w:rsid w:val="64591E34"/>
    <w:rsid w:val="6460191F"/>
    <w:rsid w:val="646455A1"/>
    <w:rsid w:val="64650D83"/>
    <w:rsid w:val="646627A3"/>
    <w:rsid w:val="646B7927"/>
    <w:rsid w:val="64715DE8"/>
    <w:rsid w:val="64914146"/>
    <w:rsid w:val="64986E00"/>
    <w:rsid w:val="64992B79"/>
    <w:rsid w:val="64A21A2D"/>
    <w:rsid w:val="64AE31AA"/>
    <w:rsid w:val="64BB664B"/>
    <w:rsid w:val="64C52E76"/>
    <w:rsid w:val="64C80D68"/>
    <w:rsid w:val="64CC2DA2"/>
    <w:rsid w:val="64D21171"/>
    <w:rsid w:val="64EC2CA8"/>
    <w:rsid w:val="64EC6F5C"/>
    <w:rsid w:val="64F61D79"/>
    <w:rsid w:val="64F658D5"/>
    <w:rsid w:val="64F953C5"/>
    <w:rsid w:val="64FB015D"/>
    <w:rsid w:val="64FD3107"/>
    <w:rsid w:val="64FD4EB5"/>
    <w:rsid w:val="65062A9F"/>
    <w:rsid w:val="650D2C1F"/>
    <w:rsid w:val="650D7317"/>
    <w:rsid w:val="6511148B"/>
    <w:rsid w:val="651B3607"/>
    <w:rsid w:val="652203B7"/>
    <w:rsid w:val="6525669E"/>
    <w:rsid w:val="652956AC"/>
    <w:rsid w:val="65362175"/>
    <w:rsid w:val="653A6894"/>
    <w:rsid w:val="653B4200"/>
    <w:rsid w:val="65414924"/>
    <w:rsid w:val="654A79CF"/>
    <w:rsid w:val="65510D5D"/>
    <w:rsid w:val="655D6EB5"/>
    <w:rsid w:val="65646CE3"/>
    <w:rsid w:val="656C2CEE"/>
    <w:rsid w:val="656D5B73"/>
    <w:rsid w:val="65705687"/>
    <w:rsid w:val="65770A21"/>
    <w:rsid w:val="657A133C"/>
    <w:rsid w:val="657C58B7"/>
    <w:rsid w:val="65812C52"/>
    <w:rsid w:val="6593581A"/>
    <w:rsid w:val="6599745D"/>
    <w:rsid w:val="65A2736F"/>
    <w:rsid w:val="65A6554D"/>
    <w:rsid w:val="65A90B99"/>
    <w:rsid w:val="65AB2B63"/>
    <w:rsid w:val="65B732B6"/>
    <w:rsid w:val="65BA5696"/>
    <w:rsid w:val="65BE0A14"/>
    <w:rsid w:val="65CC7C1B"/>
    <w:rsid w:val="65D808E1"/>
    <w:rsid w:val="65E268D3"/>
    <w:rsid w:val="65EE2A50"/>
    <w:rsid w:val="65F17205"/>
    <w:rsid w:val="66012783"/>
    <w:rsid w:val="6613063D"/>
    <w:rsid w:val="661934D4"/>
    <w:rsid w:val="661B232A"/>
    <w:rsid w:val="661C136B"/>
    <w:rsid w:val="661C61A8"/>
    <w:rsid w:val="662C0F5F"/>
    <w:rsid w:val="663D2D40"/>
    <w:rsid w:val="66465D2D"/>
    <w:rsid w:val="66540B05"/>
    <w:rsid w:val="6656023A"/>
    <w:rsid w:val="665723A3"/>
    <w:rsid w:val="665C20B0"/>
    <w:rsid w:val="665F2D10"/>
    <w:rsid w:val="66606510"/>
    <w:rsid w:val="666123C6"/>
    <w:rsid w:val="6661283B"/>
    <w:rsid w:val="66650F64"/>
    <w:rsid w:val="66666A8A"/>
    <w:rsid w:val="6667507C"/>
    <w:rsid w:val="666A19E3"/>
    <w:rsid w:val="66760DFA"/>
    <w:rsid w:val="66784A1E"/>
    <w:rsid w:val="668A4527"/>
    <w:rsid w:val="66A06F7E"/>
    <w:rsid w:val="66A64C63"/>
    <w:rsid w:val="66AB0941"/>
    <w:rsid w:val="66AD03D7"/>
    <w:rsid w:val="66B31B11"/>
    <w:rsid w:val="66B75538"/>
    <w:rsid w:val="66BE2423"/>
    <w:rsid w:val="66BF0D5C"/>
    <w:rsid w:val="66C54B56"/>
    <w:rsid w:val="66CA7138"/>
    <w:rsid w:val="66CF6C4B"/>
    <w:rsid w:val="66D147B6"/>
    <w:rsid w:val="66D31C14"/>
    <w:rsid w:val="66D87988"/>
    <w:rsid w:val="66EC29DA"/>
    <w:rsid w:val="66EF082E"/>
    <w:rsid w:val="670008D6"/>
    <w:rsid w:val="670C3715"/>
    <w:rsid w:val="67135C6C"/>
    <w:rsid w:val="67136D1B"/>
    <w:rsid w:val="67201D84"/>
    <w:rsid w:val="672020EF"/>
    <w:rsid w:val="67284DEB"/>
    <w:rsid w:val="672F5951"/>
    <w:rsid w:val="67304613"/>
    <w:rsid w:val="67314248"/>
    <w:rsid w:val="67336716"/>
    <w:rsid w:val="67390781"/>
    <w:rsid w:val="67511446"/>
    <w:rsid w:val="676C5425"/>
    <w:rsid w:val="67783FC0"/>
    <w:rsid w:val="67811B03"/>
    <w:rsid w:val="67892FE7"/>
    <w:rsid w:val="678C0773"/>
    <w:rsid w:val="67917B37"/>
    <w:rsid w:val="679D64DC"/>
    <w:rsid w:val="67AF7F02"/>
    <w:rsid w:val="67B24443"/>
    <w:rsid w:val="67B56B69"/>
    <w:rsid w:val="67BB1ADD"/>
    <w:rsid w:val="67D00E1E"/>
    <w:rsid w:val="67D6379C"/>
    <w:rsid w:val="67D83FDD"/>
    <w:rsid w:val="67DE0FE2"/>
    <w:rsid w:val="67E10ABE"/>
    <w:rsid w:val="67F42F2E"/>
    <w:rsid w:val="67FE515F"/>
    <w:rsid w:val="68026BF3"/>
    <w:rsid w:val="68102E33"/>
    <w:rsid w:val="681A4CAB"/>
    <w:rsid w:val="681C58F0"/>
    <w:rsid w:val="6836177A"/>
    <w:rsid w:val="68420E31"/>
    <w:rsid w:val="6844104D"/>
    <w:rsid w:val="68562892"/>
    <w:rsid w:val="686314D3"/>
    <w:rsid w:val="68637725"/>
    <w:rsid w:val="68646FFA"/>
    <w:rsid w:val="68724DA1"/>
    <w:rsid w:val="68893591"/>
    <w:rsid w:val="688F2C21"/>
    <w:rsid w:val="6894168D"/>
    <w:rsid w:val="689C49E5"/>
    <w:rsid w:val="68AB4754"/>
    <w:rsid w:val="68B03656"/>
    <w:rsid w:val="68B332B2"/>
    <w:rsid w:val="68B425A7"/>
    <w:rsid w:val="68B70904"/>
    <w:rsid w:val="68B83031"/>
    <w:rsid w:val="68BE0336"/>
    <w:rsid w:val="68C200E0"/>
    <w:rsid w:val="68D93544"/>
    <w:rsid w:val="68DE5482"/>
    <w:rsid w:val="68E61D1B"/>
    <w:rsid w:val="68F44821"/>
    <w:rsid w:val="690305C1"/>
    <w:rsid w:val="690475B9"/>
    <w:rsid w:val="691369DE"/>
    <w:rsid w:val="69173082"/>
    <w:rsid w:val="69274D9D"/>
    <w:rsid w:val="692E36B1"/>
    <w:rsid w:val="6933534A"/>
    <w:rsid w:val="69344175"/>
    <w:rsid w:val="693E7A83"/>
    <w:rsid w:val="69470EDD"/>
    <w:rsid w:val="69502764"/>
    <w:rsid w:val="69515C3A"/>
    <w:rsid w:val="695232F6"/>
    <w:rsid w:val="69593369"/>
    <w:rsid w:val="695D5F23"/>
    <w:rsid w:val="695F1FE4"/>
    <w:rsid w:val="69601E8C"/>
    <w:rsid w:val="696C6241"/>
    <w:rsid w:val="696D1EDE"/>
    <w:rsid w:val="696F68AC"/>
    <w:rsid w:val="69704AFB"/>
    <w:rsid w:val="69733998"/>
    <w:rsid w:val="697370DF"/>
    <w:rsid w:val="697421A6"/>
    <w:rsid w:val="69747710"/>
    <w:rsid w:val="69764CAF"/>
    <w:rsid w:val="69822C8C"/>
    <w:rsid w:val="69825989"/>
    <w:rsid w:val="698F190A"/>
    <w:rsid w:val="699650D5"/>
    <w:rsid w:val="69A05B78"/>
    <w:rsid w:val="69A23EF2"/>
    <w:rsid w:val="69A71894"/>
    <w:rsid w:val="69BA15C7"/>
    <w:rsid w:val="69BC48E1"/>
    <w:rsid w:val="69CB598D"/>
    <w:rsid w:val="69CC4E56"/>
    <w:rsid w:val="69D21C4E"/>
    <w:rsid w:val="69D66F70"/>
    <w:rsid w:val="69E93C5A"/>
    <w:rsid w:val="69F0323B"/>
    <w:rsid w:val="69F06D97"/>
    <w:rsid w:val="69F37DF9"/>
    <w:rsid w:val="69F60125"/>
    <w:rsid w:val="6A010FA4"/>
    <w:rsid w:val="6A070584"/>
    <w:rsid w:val="6A10033C"/>
    <w:rsid w:val="6A1B4163"/>
    <w:rsid w:val="6A1F142A"/>
    <w:rsid w:val="6A1F5822"/>
    <w:rsid w:val="6A284D1E"/>
    <w:rsid w:val="6A302FAA"/>
    <w:rsid w:val="6A383E97"/>
    <w:rsid w:val="6A3D3FA6"/>
    <w:rsid w:val="6A497A81"/>
    <w:rsid w:val="6A702134"/>
    <w:rsid w:val="6A726328"/>
    <w:rsid w:val="6A774659"/>
    <w:rsid w:val="6A7F64C9"/>
    <w:rsid w:val="6A801232"/>
    <w:rsid w:val="6A82138D"/>
    <w:rsid w:val="6A840B7E"/>
    <w:rsid w:val="6A8C411A"/>
    <w:rsid w:val="6A96092C"/>
    <w:rsid w:val="6AA7208F"/>
    <w:rsid w:val="6AB34077"/>
    <w:rsid w:val="6ABD7B87"/>
    <w:rsid w:val="6AC2154E"/>
    <w:rsid w:val="6AC82FF8"/>
    <w:rsid w:val="6ACB1A63"/>
    <w:rsid w:val="6AD65254"/>
    <w:rsid w:val="6AE03B49"/>
    <w:rsid w:val="6AEF53C4"/>
    <w:rsid w:val="6AF24D91"/>
    <w:rsid w:val="6AF67DF6"/>
    <w:rsid w:val="6AFF68D3"/>
    <w:rsid w:val="6B084129"/>
    <w:rsid w:val="6B0C6C18"/>
    <w:rsid w:val="6B146605"/>
    <w:rsid w:val="6B3158B9"/>
    <w:rsid w:val="6B3B4599"/>
    <w:rsid w:val="6B3C24AF"/>
    <w:rsid w:val="6B4042F7"/>
    <w:rsid w:val="6B411A74"/>
    <w:rsid w:val="6B44161C"/>
    <w:rsid w:val="6B4D0F83"/>
    <w:rsid w:val="6B4E646B"/>
    <w:rsid w:val="6B517D09"/>
    <w:rsid w:val="6B534A22"/>
    <w:rsid w:val="6B584089"/>
    <w:rsid w:val="6B5A6FE6"/>
    <w:rsid w:val="6B62061C"/>
    <w:rsid w:val="6B65663B"/>
    <w:rsid w:val="6B754ECB"/>
    <w:rsid w:val="6B7925B5"/>
    <w:rsid w:val="6B792DBC"/>
    <w:rsid w:val="6B834670"/>
    <w:rsid w:val="6B935FA3"/>
    <w:rsid w:val="6B9A16B0"/>
    <w:rsid w:val="6B9C3AE5"/>
    <w:rsid w:val="6B9D1512"/>
    <w:rsid w:val="6BB248D0"/>
    <w:rsid w:val="6BB42046"/>
    <w:rsid w:val="6BBB1626"/>
    <w:rsid w:val="6BC13CCA"/>
    <w:rsid w:val="6BC53640"/>
    <w:rsid w:val="6BCF16EA"/>
    <w:rsid w:val="6BE4292B"/>
    <w:rsid w:val="6BE4386A"/>
    <w:rsid w:val="6BE558C2"/>
    <w:rsid w:val="6BF52DE2"/>
    <w:rsid w:val="6C005CE7"/>
    <w:rsid w:val="6C066615"/>
    <w:rsid w:val="6C1442C8"/>
    <w:rsid w:val="6C184383"/>
    <w:rsid w:val="6C1B3E73"/>
    <w:rsid w:val="6C2157F2"/>
    <w:rsid w:val="6C360CAD"/>
    <w:rsid w:val="6C4172DE"/>
    <w:rsid w:val="6C417D7E"/>
    <w:rsid w:val="6C423AF6"/>
    <w:rsid w:val="6C445535"/>
    <w:rsid w:val="6C48204F"/>
    <w:rsid w:val="6C4D41DC"/>
    <w:rsid w:val="6C5139DD"/>
    <w:rsid w:val="6C585476"/>
    <w:rsid w:val="6C59647E"/>
    <w:rsid w:val="6C5D7179"/>
    <w:rsid w:val="6C5F32E0"/>
    <w:rsid w:val="6C66774C"/>
    <w:rsid w:val="6C6972D4"/>
    <w:rsid w:val="6C6E1C99"/>
    <w:rsid w:val="6C74249F"/>
    <w:rsid w:val="6C751A50"/>
    <w:rsid w:val="6C9F6852"/>
    <w:rsid w:val="6CA20D06"/>
    <w:rsid w:val="6CA65DB3"/>
    <w:rsid w:val="6CA90308"/>
    <w:rsid w:val="6CB26F15"/>
    <w:rsid w:val="6CBD0C95"/>
    <w:rsid w:val="6CC87595"/>
    <w:rsid w:val="6CCB4ED2"/>
    <w:rsid w:val="6CD93B8F"/>
    <w:rsid w:val="6CE07597"/>
    <w:rsid w:val="6CE32BE3"/>
    <w:rsid w:val="6CEA65D8"/>
    <w:rsid w:val="6CEE229C"/>
    <w:rsid w:val="6CF11AC6"/>
    <w:rsid w:val="6CF46B9E"/>
    <w:rsid w:val="6CF90658"/>
    <w:rsid w:val="6D0019E7"/>
    <w:rsid w:val="6D074404"/>
    <w:rsid w:val="6D074B39"/>
    <w:rsid w:val="6D102953"/>
    <w:rsid w:val="6D1813D4"/>
    <w:rsid w:val="6D21389F"/>
    <w:rsid w:val="6D29033A"/>
    <w:rsid w:val="6D2A1FF1"/>
    <w:rsid w:val="6D2A2FBF"/>
    <w:rsid w:val="6D311796"/>
    <w:rsid w:val="6D342B2B"/>
    <w:rsid w:val="6D370157"/>
    <w:rsid w:val="6D394F78"/>
    <w:rsid w:val="6D3B47CD"/>
    <w:rsid w:val="6D3D491E"/>
    <w:rsid w:val="6D3E7A54"/>
    <w:rsid w:val="6D3F715A"/>
    <w:rsid w:val="6D453F3A"/>
    <w:rsid w:val="6D505D9E"/>
    <w:rsid w:val="6D5D0BE7"/>
    <w:rsid w:val="6D5E2E80"/>
    <w:rsid w:val="6D753652"/>
    <w:rsid w:val="6D8A3BEE"/>
    <w:rsid w:val="6D8C09C0"/>
    <w:rsid w:val="6D8D0DA1"/>
    <w:rsid w:val="6D8E0006"/>
    <w:rsid w:val="6D9360F3"/>
    <w:rsid w:val="6D9D5488"/>
    <w:rsid w:val="6DA03A57"/>
    <w:rsid w:val="6DA32372"/>
    <w:rsid w:val="6DA46816"/>
    <w:rsid w:val="6DA560EA"/>
    <w:rsid w:val="6DA762BA"/>
    <w:rsid w:val="6DA95225"/>
    <w:rsid w:val="6DAD58A5"/>
    <w:rsid w:val="6DBE54D9"/>
    <w:rsid w:val="6DC522E8"/>
    <w:rsid w:val="6DD37C56"/>
    <w:rsid w:val="6DD6491E"/>
    <w:rsid w:val="6DDD69F5"/>
    <w:rsid w:val="6DE23EC4"/>
    <w:rsid w:val="6DE76703"/>
    <w:rsid w:val="6DF42BCE"/>
    <w:rsid w:val="6E0B3865"/>
    <w:rsid w:val="6E1D3ED3"/>
    <w:rsid w:val="6E201C15"/>
    <w:rsid w:val="6E246B33"/>
    <w:rsid w:val="6E3B0992"/>
    <w:rsid w:val="6E3F5A56"/>
    <w:rsid w:val="6E4B5DF6"/>
    <w:rsid w:val="6E4F6FA6"/>
    <w:rsid w:val="6E600263"/>
    <w:rsid w:val="6E625D89"/>
    <w:rsid w:val="6E625DEE"/>
    <w:rsid w:val="6E6B000D"/>
    <w:rsid w:val="6E6B0972"/>
    <w:rsid w:val="6E743803"/>
    <w:rsid w:val="6E7D0E15"/>
    <w:rsid w:val="6E7F3C61"/>
    <w:rsid w:val="6E9028F6"/>
    <w:rsid w:val="6E9C74ED"/>
    <w:rsid w:val="6EB26D11"/>
    <w:rsid w:val="6EBA2B10"/>
    <w:rsid w:val="6EC015E4"/>
    <w:rsid w:val="6EC52ECB"/>
    <w:rsid w:val="6ED529FF"/>
    <w:rsid w:val="6EEE3AD6"/>
    <w:rsid w:val="6EF24CBA"/>
    <w:rsid w:val="6EFC1D3A"/>
    <w:rsid w:val="6F0357BE"/>
    <w:rsid w:val="6F0537A5"/>
    <w:rsid w:val="6F0D566C"/>
    <w:rsid w:val="6F1277AF"/>
    <w:rsid w:val="6F172D4A"/>
    <w:rsid w:val="6F1829B2"/>
    <w:rsid w:val="6F1C5A92"/>
    <w:rsid w:val="6F1E7F02"/>
    <w:rsid w:val="6F2319BD"/>
    <w:rsid w:val="6F255735"/>
    <w:rsid w:val="6F273651"/>
    <w:rsid w:val="6F331DC0"/>
    <w:rsid w:val="6F3F700E"/>
    <w:rsid w:val="6F4102AD"/>
    <w:rsid w:val="6F4D497F"/>
    <w:rsid w:val="6F5E1043"/>
    <w:rsid w:val="6F5E46C9"/>
    <w:rsid w:val="6F6124E5"/>
    <w:rsid w:val="6F626C90"/>
    <w:rsid w:val="6F677E4E"/>
    <w:rsid w:val="6F691AFE"/>
    <w:rsid w:val="6F6A3147"/>
    <w:rsid w:val="6F6A6BF5"/>
    <w:rsid w:val="6F7527C3"/>
    <w:rsid w:val="6F7D1E7B"/>
    <w:rsid w:val="6F8302EA"/>
    <w:rsid w:val="6F86530C"/>
    <w:rsid w:val="6FAF3AB5"/>
    <w:rsid w:val="6FB4113E"/>
    <w:rsid w:val="6FBB7E47"/>
    <w:rsid w:val="6FC03A6B"/>
    <w:rsid w:val="6FCD1928"/>
    <w:rsid w:val="6FD26F02"/>
    <w:rsid w:val="6FD809F9"/>
    <w:rsid w:val="6FE41C21"/>
    <w:rsid w:val="6FE97173"/>
    <w:rsid w:val="6FEF7AF1"/>
    <w:rsid w:val="700370F8"/>
    <w:rsid w:val="70141716"/>
    <w:rsid w:val="701557A9"/>
    <w:rsid w:val="701C6733"/>
    <w:rsid w:val="702A2E50"/>
    <w:rsid w:val="703379DD"/>
    <w:rsid w:val="703A7BF4"/>
    <w:rsid w:val="703B68C1"/>
    <w:rsid w:val="70455963"/>
    <w:rsid w:val="70514307"/>
    <w:rsid w:val="705160B5"/>
    <w:rsid w:val="70645DDA"/>
    <w:rsid w:val="706B131D"/>
    <w:rsid w:val="707D6EAA"/>
    <w:rsid w:val="70827AA5"/>
    <w:rsid w:val="708A194F"/>
    <w:rsid w:val="70905B56"/>
    <w:rsid w:val="709628FA"/>
    <w:rsid w:val="70A60293"/>
    <w:rsid w:val="70AB417D"/>
    <w:rsid w:val="70B07280"/>
    <w:rsid w:val="70C7343E"/>
    <w:rsid w:val="70CC53D1"/>
    <w:rsid w:val="70D21B86"/>
    <w:rsid w:val="70D4194A"/>
    <w:rsid w:val="70D72FB9"/>
    <w:rsid w:val="70DE7328"/>
    <w:rsid w:val="70E46F2A"/>
    <w:rsid w:val="70ED28F1"/>
    <w:rsid w:val="70F62355"/>
    <w:rsid w:val="70FA26BB"/>
    <w:rsid w:val="71072175"/>
    <w:rsid w:val="71122145"/>
    <w:rsid w:val="712612F0"/>
    <w:rsid w:val="71297994"/>
    <w:rsid w:val="71347EB1"/>
    <w:rsid w:val="713779A1"/>
    <w:rsid w:val="713A34C2"/>
    <w:rsid w:val="713C2A0D"/>
    <w:rsid w:val="71424334"/>
    <w:rsid w:val="714E7C4B"/>
    <w:rsid w:val="715440AF"/>
    <w:rsid w:val="71577D20"/>
    <w:rsid w:val="716867D7"/>
    <w:rsid w:val="71777CC4"/>
    <w:rsid w:val="717A78A8"/>
    <w:rsid w:val="718A5D23"/>
    <w:rsid w:val="71900B55"/>
    <w:rsid w:val="719053A9"/>
    <w:rsid w:val="71957384"/>
    <w:rsid w:val="71983564"/>
    <w:rsid w:val="719D5BA4"/>
    <w:rsid w:val="71A33AA5"/>
    <w:rsid w:val="71A36DE5"/>
    <w:rsid w:val="71A87F57"/>
    <w:rsid w:val="71AA3E82"/>
    <w:rsid w:val="71BC1C54"/>
    <w:rsid w:val="71BC7EA6"/>
    <w:rsid w:val="71C04142"/>
    <w:rsid w:val="71C254BD"/>
    <w:rsid w:val="71CA611F"/>
    <w:rsid w:val="71CB202B"/>
    <w:rsid w:val="71D62D16"/>
    <w:rsid w:val="71DB657E"/>
    <w:rsid w:val="71DB7B60"/>
    <w:rsid w:val="71EF155E"/>
    <w:rsid w:val="71F65166"/>
    <w:rsid w:val="72077644"/>
    <w:rsid w:val="72084E9A"/>
    <w:rsid w:val="72086C48"/>
    <w:rsid w:val="720F38DB"/>
    <w:rsid w:val="721102A4"/>
    <w:rsid w:val="72180809"/>
    <w:rsid w:val="72181274"/>
    <w:rsid w:val="72355177"/>
    <w:rsid w:val="72434FD8"/>
    <w:rsid w:val="724A54B2"/>
    <w:rsid w:val="724C122A"/>
    <w:rsid w:val="724F3294"/>
    <w:rsid w:val="72556481"/>
    <w:rsid w:val="7260609B"/>
    <w:rsid w:val="72633A2F"/>
    <w:rsid w:val="7266580F"/>
    <w:rsid w:val="726821DF"/>
    <w:rsid w:val="72693B8A"/>
    <w:rsid w:val="72751194"/>
    <w:rsid w:val="72774C9A"/>
    <w:rsid w:val="72825F99"/>
    <w:rsid w:val="72834335"/>
    <w:rsid w:val="728704B4"/>
    <w:rsid w:val="72897F04"/>
    <w:rsid w:val="728B5197"/>
    <w:rsid w:val="728F751C"/>
    <w:rsid w:val="729340B4"/>
    <w:rsid w:val="72936E59"/>
    <w:rsid w:val="72966949"/>
    <w:rsid w:val="729D55E2"/>
    <w:rsid w:val="729E4247"/>
    <w:rsid w:val="72A33DBB"/>
    <w:rsid w:val="72B33057"/>
    <w:rsid w:val="72BE0F84"/>
    <w:rsid w:val="72CC5D9A"/>
    <w:rsid w:val="72D00517"/>
    <w:rsid w:val="72D52FCE"/>
    <w:rsid w:val="72D61B6A"/>
    <w:rsid w:val="72D671F9"/>
    <w:rsid w:val="72DA28B7"/>
    <w:rsid w:val="72DA4A88"/>
    <w:rsid w:val="72DC5E87"/>
    <w:rsid w:val="72DD425C"/>
    <w:rsid w:val="72E256EB"/>
    <w:rsid w:val="72E87CBE"/>
    <w:rsid w:val="72E904FA"/>
    <w:rsid w:val="730107F7"/>
    <w:rsid w:val="730677CE"/>
    <w:rsid w:val="731A123B"/>
    <w:rsid w:val="73261A7B"/>
    <w:rsid w:val="732A300A"/>
    <w:rsid w:val="732C0AC5"/>
    <w:rsid w:val="73316CA7"/>
    <w:rsid w:val="73320420"/>
    <w:rsid w:val="73403FAF"/>
    <w:rsid w:val="73453219"/>
    <w:rsid w:val="73467AF6"/>
    <w:rsid w:val="734F0FD2"/>
    <w:rsid w:val="736303A6"/>
    <w:rsid w:val="73650B85"/>
    <w:rsid w:val="73691968"/>
    <w:rsid w:val="736A3516"/>
    <w:rsid w:val="736E4E0C"/>
    <w:rsid w:val="73773F76"/>
    <w:rsid w:val="73915B7E"/>
    <w:rsid w:val="73986A2A"/>
    <w:rsid w:val="739A7D73"/>
    <w:rsid w:val="739B546D"/>
    <w:rsid w:val="73A40A27"/>
    <w:rsid w:val="73AB3D2F"/>
    <w:rsid w:val="73B554E9"/>
    <w:rsid w:val="73C31991"/>
    <w:rsid w:val="73DE5EB2"/>
    <w:rsid w:val="73E3171A"/>
    <w:rsid w:val="73EF00BF"/>
    <w:rsid w:val="73FA337C"/>
    <w:rsid w:val="74066AEA"/>
    <w:rsid w:val="740858DD"/>
    <w:rsid w:val="7420485B"/>
    <w:rsid w:val="74234169"/>
    <w:rsid w:val="74242DF2"/>
    <w:rsid w:val="74251D33"/>
    <w:rsid w:val="74252FA3"/>
    <w:rsid w:val="74273CFD"/>
    <w:rsid w:val="74392365"/>
    <w:rsid w:val="743C0E2B"/>
    <w:rsid w:val="74434C5D"/>
    <w:rsid w:val="74474D36"/>
    <w:rsid w:val="74474F84"/>
    <w:rsid w:val="74482EAD"/>
    <w:rsid w:val="744F1CB3"/>
    <w:rsid w:val="745B03E0"/>
    <w:rsid w:val="745D0318"/>
    <w:rsid w:val="745F5036"/>
    <w:rsid w:val="746741B8"/>
    <w:rsid w:val="747A3B9F"/>
    <w:rsid w:val="747C108D"/>
    <w:rsid w:val="747C2A9D"/>
    <w:rsid w:val="747E1443"/>
    <w:rsid w:val="74816EB6"/>
    <w:rsid w:val="74842EFD"/>
    <w:rsid w:val="748841B8"/>
    <w:rsid w:val="748A1C7C"/>
    <w:rsid w:val="748B5C1B"/>
    <w:rsid w:val="748E2237"/>
    <w:rsid w:val="749018A2"/>
    <w:rsid w:val="749F1296"/>
    <w:rsid w:val="74AC4202"/>
    <w:rsid w:val="74B310ED"/>
    <w:rsid w:val="74BA691F"/>
    <w:rsid w:val="74D13C69"/>
    <w:rsid w:val="74D55507"/>
    <w:rsid w:val="74DA48CB"/>
    <w:rsid w:val="74DD77FD"/>
    <w:rsid w:val="74F14380"/>
    <w:rsid w:val="74FF2584"/>
    <w:rsid w:val="7505442E"/>
    <w:rsid w:val="75057A2C"/>
    <w:rsid w:val="750B5C92"/>
    <w:rsid w:val="750B67AC"/>
    <w:rsid w:val="750C2CAB"/>
    <w:rsid w:val="751029E3"/>
    <w:rsid w:val="751570FB"/>
    <w:rsid w:val="751A73BE"/>
    <w:rsid w:val="751F1541"/>
    <w:rsid w:val="752A552F"/>
    <w:rsid w:val="7530126D"/>
    <w:rsid w:val="75357F86"/>
    <w:rsid w:val="753C330D"/>
    <w:rsid w:val="753F3343"/>
    <w:rsid w:val="753F770E"/>
    <w:rsid w:val="75436F9D"/>
    <w:rsid w:val="75556682"/>
    <w:rsid w:val="755F74C6"/>
    <w:rsid w:val="756B19C7"/>
    <w:rsid w:val="757212AF"/>
    <w:rsid w:val="7574305E"/>
    <w:rsid w:val="757765BE"/>
    <w:rsid w:val="757816C1"/>
    <w:rsid w:val="757C4813"/>
    <w:rsid w:val="758111EB"/>
    <w:rsid w:val="75821FEC"/>
    <w:rsid w:val="75892781"/>
    <w:rsid w:val="758B68F4"/>
    <w:rsid w:val="759848D3"/>
    <w:rsid w:val="759F779B"/>
    <w:rsid w:val="759F78C3"/>
    <w:rsid w:val="75A7573F"/>
    <w:rsid w:val="75AE167A"/>
    <w:rsid w:val="75AF5B8D"/>
    <w:rsid w:val="75B5215B"/>
    <w:rsid w:val="75B557CB"/>
    <w:rsid w:val="75BC2223"/>
    <w:rsid w:val="75C303D4"/>
    <w:rsid w:val="75C8506C"/>
    <w:rsid w:val="75CC1658"/>
    <w:rsid w:val="75E33BC1"/>
    <w:rsid w:val="75E55C1E"/>
    <w:rsid w:val="75E66401"/>
    <w:rsid w:val="75ED685C"/>
    <w:rsid w:val="76086163"/>
    <w:rsid w:val="760B6D06"/>
    <w:rsid w:val="761C0F14"/>
    <w:rsid w:val="76275BF2"/>
    <w:rsid w:val="762A3A6C"/>
    <w:rsid w:val="7635208F"/>
    <w:rsid w:val="76352D46"/>
    <w:rsid w:val="763F0559"/>
    <w:rsid w:val="764D5571"/>
    <w:rsid w:val="76644686"/>
    <w:rsid w:val="76656DDD"/>
    <w:rsid w:val="76676633"/>
    <w:rsid w:val="766D176F"/>
    <w:rsid w:val="766F7295"/>
    <w:rsid w:val="76710DEB"/>
    <w:rsid w:val="76760624"/>
    <w:rsid w:val="76780840"/>
    <w:rsid w:val="769424B7"/>
    <w:rsid w:val="769B7A85"/>
    <w:rsid w:val="76AF7231"/>
    <w:rsid w:val="76B31878"/>
    <w:rsid w:val="76B64EC4"/>
    <w:rsid w:val="76B92C06"/>
    <w:rsid w:val="76B95977"/>
    <w:rsid w:val="76BA0E58"/>
    <w:rsid w:val="76BA605B"/>
    <w:rsid w:val="76BD44A5"/>
    <w:rsid w:val="76BE3220"/>
    <w:rsid w:val="76BE3C82"/>
    <w:rsid w:val="76C16F7D"/>
    <w:rsid w:val="76CA0970"/>
    <w:rsid w:val="76CB1BCC"/>
    <w:rsid w:val="76D13197"/>
    <w:rsid w:val="76DA38F8"/>
    <w:rsid w:val="76ED78FA"/>
    <w:rsid w:val="76F0487A"/>
    <w:rsid w:val="76F51E90"/>
    <w:rsid w:val="76F955EC"/>
    <w:rsid w:val="770B7394"/>
    <w:rsid w:val="77127695"/>
    <w:rsid w:val="771B11E6"/>
    <w:rsid w:val="771B1C48"/>
    <w:rsid w:val="771E63BB"/>
    <w:rsid w:val="771F0CBB"/>
    <w:rsid w:val="771F1E23"/>
    <w:rsid w:val="77277B70"/>
    <w:rsid w:val="77282423"/>
    <w:rsid w:val="77291B3A"/>
    <w:rsid w:val="772C162A"/>
    <w:rsid w:val="77360014"/>
    <w:rsid w:val="773C548C"/>
    <w:rsid w:val="77436329"/>
    <w:rsid w:val="77470FCD"/>
    <w:rsid w:val="77550B81"/>
    <w:rsid w:val="77552F03"/>
    <w:rsid w:val="77660698"/>
    <w:rsid w:val="77692CD8"/>
    <w:rsid w:val="77751648"/>
    <w:rsid w:val="777B7186"/>
    <w:rsid w:val="77831C50"/>
    <w:rsid w:val="778E7421"/>
    <w:rsid w:val="77A04A63"/>
    <w:rsid w:val="77A57D50"/>
    <w:rsid w:val="77A95B85"/>
    <w:rsid w:val="77B05C89"/>
    <w:rsid w:val="77BA4E88"/>
    <w:rsid w:val="77BF249E"/>
    <w:rsid w:val="77C5293D"/>
    <w:rsid w:val="77CB189D"/>
    <w:rsid w:val="77D3318F"/>
    <w:rsid w:val="77D4297A"/>
    <w:rsid w:val="77DB72D8"/>
    <w:rsid w:val="77F14711"/>
    <w:rsid w:val="77F92B91"/>
    <w:rsid w:val="77F934CC"/>
    <w:rsid w:val="77FE2FC7"/>
    <w:rsid w:val="77FF781C"/>
    <w:rsid w:val="78120820"/>
    <w:rsid w:val="78147E6C"/>
    <w:rsid w:val="78215070"/>
    <w:rsid w:val="78216CB5"/>
    <w:rsid w:val="782522F6"/>
    <w:rsid w:val="782C7B34"/>
    <w:rsid w:val="782E268E"/>
    <w:rsid w:val="78305FE5"/>
    <w:rsid w:val="784509BF"/>
    <w:rsid w:val="786641F5"/>
    <w:rsid w:val="786C195E"/>
    <w:rsid w:val="7872306D"/>
    <w:rsid w:val="78725DFC"/>
    <w:rsid w:val="7873513A"/>
    <w:rsid w:val="78760F2E"/>
    <w:rsid w:val="78782D79"/>
    <w:rsid w:val="787F3F82"/>
    <w:rsid w:val="78801C2E"/>
    <w:rsid w:val="788860C0"/>
    <w:rsid w:val="78962FCD"/>
    <w:rsid w:val="78A446D1"/>
    <w:rsid w:val="78AA02D9"/>
    <w:rsid w:val="78B0594A"/>
    <w:rsid w:val="78B44984"/>
    <w:rsid w:val="78BB0EB8"/>
    <w:rsid w:val="78BE62B2"/>
    <w:rsid w:val="78C81075"/>
    <w:rsid w:val="78C84BA6"/>
    <w:rsid w:val="78EF290F"/>
    <w:rsid w:val="79017592"/>
    <w:rsid w:val="790740FD"/>
    <w:rsid w:val="790E7239"/>
    <w:rsid w:val="79146C59"/>
    <w:rsid w:val="791955BF"/>
    <w:rsid w:val="791F7C53"/>
    <w:rsid w:val="7927404C"/>
    <w:rsid w:val="79296464"/>
    <w:rsid w:val="792D180A"/>
    <w:rsid w:val="793619D9"/>
    <w:rsid w:val="793A050B"/>
    <w:rsid w:val="793A22C7"/>
    <w:rsid w:val="79501600"/>
    <w:rsid w:val="79634C17"/>
    <w:rsid w:val="796C21B2"/>
    <w:rsid w:val="796C343B"/>
    <w:rsid w:val="796E5F2A"/>
    <w:rsid w:val="797026CD"/>
    <w:rsid w:val="79735CED"/>
    <w:rsid w:val="797C1D3C"/>
    <w:rsid w:val="798017B9"/>
    <w:rsid w:val="7980722C"/>
    <w:rsid w:val="79882B74"/>
    <w:rsid w:val="79882CF8"/>
    <w:rsid w:val="798B6FB4"/>
    <w:rsid w:val="79992F3A"/>
    <w:rsid w:val="799E27B4"/>
    <w:rsid w:val="79AA2D36"/>
    <w:rsid w:val="79AF4A7E"/>
    <w:rsid w:val="79B002F1"/>
    <w:rsid w:val="79B538DD"/>
    <w:rsid w:val="79B85ED4"/>
    <w:rsid w:val="79BA1199"/>
    <w:rsid w:val="79D20267"/>
    <w:rsid w:val="79D63CA4"/>
    <w:rsid w:val="79D7762B"/>
    <w:rsid w:val="79ED50A1"/>
    <w:rsid w:val="79ED6E4F"/>
    <w:rsid w:val="7A020420"/>
    <w:rsid w:val="7A024A94"/>
    <w:rsid w:val="7A0479F1"/>
    <w:rsid w:val="7A0B78FF"/>
    <w:rsid w:val="7A0C02A1"/>
    <w:rsid w:val="7A1109A0"/>
    <w:rsid w:val="7A13262E"/>
    <w:rsid w:val="7A140880"/>
    <w:rsid w:val="7A274CFC"/>
    <w:rsid w:val="7A2B0339"/>
    <w:rsid w:val="7A2D7EC8"/>
    <w:rsid w:val="7A35674B"/>
    <w:rsid w:val="7A3A0C52"/>
    <w:rsid w:val="7A456D1F"/>
    <w:rsid w:val="7A4F3315"/>
    <w:rsid w:val="7A513882"/>
    <w:rsid w:val="7A5C1F07"/>
    <w:rsid w:val="7A61783D"/>
    <w:rsid w:val="7A6220C1"/>
    <w:rsid w:val="7A6259E6"/>
    <w:rsid w:val="7A643B21"/>
    <w:rsid w:val="7A6716DC"/>
    <w:rsid w:val="7A676783"/>
    <w:rsid w:val="7A6F3F13"/>
    <w:rsid w:val="7A773FC6"/>
    <w:rsid w:val="7A7F4C51"/>
    <w:rsid w:val="7A821CB3"/>
    <w:rsid w:val="7A90279C"/>
    <w:rsid w:val="7A9B68AB"/>
    <w:rsid w:val="7AA8546C"/>
    <w:rsid w:val="7AB74C22"/>
    <w:rsid w:val="7ABC2824"/>
    <w:rsid w:val="7ABC784A"/>
    <w:rsid w:val="7ABE07EB"/>
    <w:rsid w:val="7AC8166A"/>
    <w:rsid w:val="7ACA08E1"/>
    <w:rsid w:val="7ACA5621"/>
    <w:rsid w:val="7ACD104A"/>
    <w:rsid w:val="7AF1471D"/>
    <w:rsid w:val="7AF62CB5"/>
    <w:rsid w:val="7AF661D7"/>
    <w:rsid w:val="7AFB052D"/>
    <w:rsid w:val="7B0F54EB"/>
    <w:rsid w:val="7B187EFC"/>
    <w:rsid w:val="7B3F7B7E"/>
    <w:rsid w:val="7B470F2D"/>
    <w:rsid w:val="7B4D2812"/>
    <w:rsid w:val="7B4E7FB3"/>
    <w:rsid w:val="7B590514"/>
    <w:rsid w:val="7B6273C9"/>
    <w:rsid w:val="7B6315C5"/>
    <w:rsid w:val="7B637EF6"/>
    <w:rsid w:val="7B672C31"/>
    <w:rsid w:val="7B6770D5"/>
    <w:rsid w:val="7B6F7F16"/>
    <w:rsid w:val="7B724062"/>
    <w:rsid w:val="7B786BDA"/>
    <w:rsid w:val="7B7F50B3"/>
    <w:rsid w:val="7B8E4662"/>
    <w:rsid w:val="7B9B28DB"/>
    <w:rsid w:val="7BAB19C9"/>
    <w:rsid w:val="7BB67714"/>
    <w:rsid w:val="7BB73BB8"/>
    <w:rsid w:val="7BBF631A"/>
    <w:rsid w:val="7BD217F3"/>
    <w:rsid w:val="7BE04254"/>
    <w:rsid w:val="7BE20509"/>
    <w:rsid w:val="7BEC31E9"/>
    <w:rsid w:val="7BEC7D13"/>
    <w:rsid w:val="7BFE17E7"/>
    <w:rsid w:val="7C190E27"/>
    <w:rsid w:val="7C2072C0"/>
    <w:rsid w:val="7C26489A"/>
    <w:rsid w:val="7C266648"/>
    <w:rsid w:val="7C295FFA"/>
    <w:rsid w:val="7C312752"/>
    <w:rsid w:val="7C336710"/>
    <w:rsid w:val="7C34246E"/>
    <w:rsid w:val="7C36706F"/>
    <w:rsid w:val="7C380B51"/>
    <w:rsid w:val="7C460A98"/>
    <w:rsid w:val="7C54489A"/>
    <w:rsid w:val="7C574A54"/>
    <w:rsid w:val="7C5C2039"/>
    <w:rsid w:val="7C61572E"/>
    <w:rsid w:val="7C6B014B"/>
    <w:rsid w:val="7C722152"/>
    <w:rsid w:val="7C752273"/>
    <w:rsid w:val="7C790974"/>
    <w:rsid w:val="7C7A1CC2"/>
    <w:rsid w:val="7C7D4DED"/>
    <w:rsid w:val="7C7E46D6"/>
    <w:rsid w:val="7C895EA4"/>
    <w:rsid w:val="7C8F243F"/>
    <w:rsid w:val="7C9A0DE4"/>
    <w:rsid w:val="7CA22801"/>
    <w:rsid w:val="7CA249B6"/>
    <w:rsid w:val="7CA375A8"/>
    <w:rsid w:val="7CA50FAF"/>
    <w:rsid w:val="7CAE27F5"/>
    <w:rsid w:val="7CB47637"/>
    <w:rsid w:val="7CB77BE8"/>
    <w:rsid w:val="7CBB76D8"/>
    <w:rsid w:val="7CC07A8E"/>
    <w:rsid w:val="7CC12815"/>
    <w:rsid w:val="7CC5564B"/>
    <w:rsid w:val="7CC77E2B"/>
    <w:rsid w:val="7CC822AC"/>
    <w:rsid w:val="7CCC1596"/>
    <w:rsid w:val="7CCF0A8E"/>
    <w:rsid w:val="7CDB7433"/>
    <w:rsid w:val="7CEA1D6C"/>
    <w:rsid w:val="7CF00834"/>
    <w:rsid w:val="7CF05DBE"/>
    <w:rsid w:val="7CF93A0F"/>
    <w:rsid w:val="7D1463FC"/>
    <w:rsid w:val="7D197209"/>
    <w:rsid w:val="7D2012E9"/>
    <w:rsid w:val="7D2821B7"/>
    <w:rsid w:val="7D2A1859"/>
    <w:rsid w:val="7D311748"/>
    <w:rsid w:val="7D3B627A"/>
    <w:rsid w:val="7D3E04FE"/>
    <w:rsid w:val="7D4674B3"/>
    <w:rsid w:val="7D47711A"/>
    <w:rsid w:val="7D4F7791"/>
    <w:rsid w:val="7D517048"/>
    <w:rsid w:val="7D5D078F"/>
    <w:rsid w:val="7D6A00DF"/>
    <w:rsid w:val="7D752734"/>
    <w:rsid w:val="7D85259A"/>
    <w:rsid w:val="7D8C138B"/>
    <w:rsid w:val="7D9A54E8"/>
    <w:rsid w:val="7D9E49CC"/>
    <w:rsid w:val="7DA4016C"/>
    <w:rsid w:val="7DA55C93"/>
    <w:rsid w:val="7DA63EE4"/>
    <w:rsid w:val="7DB25A67"/>
    <w:rsid w:val="7DB45869"/>
    <w:rsid w:val="7DBD7605"/>
    <w:rsid w:val="7DC023A5"/>
    <w:rsid w:val="7DC1598F"/>
    <w:rsid w:val="7DC30BF6"/>
    <w:rsid w:val="7DC66747"/>
    <w:rsid w:val="7DCF1E05"/>
    <w:rsid w:val="7DD20A59"/>
    <w:rsid w:val="7DD81752"/>
    <w:rsid w:val="7DD87E16"/>
    <w:rsid w:val="7DDF11A4"/>
    <w:rsid w:val="7DE36ABE"/>
    <w:rsid w:val="7DE94995"/>
    <w:rsid w:val="7DEA4080"/>
    <w:rsid w:val="7DF2712A"/>
    <w:rsid w:val="7DF5444F"/>
    <w:rsid w:val="7DF80F1E"/>
    <w:rsid w:val="7E152F02"/>
    <w:rsid w:val="7E16455B"/>
    <w:rsid w:val="7E3A63DB"/>
    <w:rsid w:val="7E3C7FA1"/>
    <w:rsid w:val="7E500DD2"/>
    <w:rsid w:val="7E570D17"/>
    <w:rsid w:val="7E5A082B"/>
    <w:rsid w:val="7E5F4093"/>
    <w:rsid w:val="7E62460F"/>
    <w:rsid w:val="7E7278BD"/>
    <w:rsid w:val="7E73248E"/>
    <w:rsid w:val="7E8458A8"/>
    <w:rsid w:val="7E851D4C"/>
    <w:rsid w:val="7E8E1E9A"/>
    <w:rsid w:val="7E923A58"/>
    <w:rsid w:val="7E9D4A01"/>
    <w:rsid w:val="7EA871AC"/>
    <w:rsid w:val="7EAD3051"/>
    <w:rsid w:val="7EBA5DBB"/>
    <w:rsid w:val="7ECD54A1"/>
    <w:rsid w:val="7EEF71C5"/>
    <w:rsid w:val="7EF26CB5"/>
    <w:rsid w:val="7F00043A"/>
    <w:rsid w:val="7F0F7867"/>
    <w:rsid w:val="7F160BF6"/>
    <w:rsid w:val="7F1B1771"/>
    <w:rsid w:val="7F1B7990"/>
    <w:rsid w:val="7F1D519F"/>
    <w:rsid w:val="7F24062F"/>
    <w:rsid w:val="7F250E39"/>
    <w:rsid w:val="7F450944"/>
    <w:rsid w:val="7F4769FE"/>
    <w:rsid w:val="7F482D79"/>
    <w:rsid w:val="7F5360D7"/>
    <w:rsid w:val="7F5A7857"/>
    <w:rsid w:val="7F5D4A77"/>
    <w:rsid w:val="7F6406A7"/>
    <w:rsid w:val="7F6D1564"/>
    <w:rsid w:val="7F713C31"/>
    <w:rsid w:val="7F735085"/>
    <w:rsid w:val="7F7C2418"/>
    <w:rsid w:val="7F842003"/>
    <w:rsid w:val="7F8D1C26"/>
    <w:rsid w:val="7F9D4E73"/>
    <w:rsid w:val="7FA322E5"/>
    <w:rsid w:val="7FA82817"/>
    <w:rsid w:val="7FAE0E2E"/>
    <w:rsid w:val="7FB2376C"/>
    <w:rsid w:val="7FB84310"/>
    <w:rsid w:val="7FC06DB4"/>
    <w:rsid w:val="7FC36E98"/>
    <w:rsid w:val="7FD028D1"/>
    <w:rsid w:val="7FD4157D"/>
    <w:rsid w:val="7FDE63E7"/>
    <w:rsid w:val="7FE05E6D"/>
    <w:rsid w:val="7FE554D2"/>
    <w:rsid w:val="7FE61D04"/>
    <w:rsid w:val="7FE72592"/>
    <w:rsid w:val="7FFA447F"/>
    <w:rsid w:val="DD7B8B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6">
    <w:name w:val="heading 1"/>
    <w:basedOn w:val="1"/>
    <w:next w:val="1"/>
    <w:qFormat/>
    <w:uiPriority w:val="99"/>
    <w:pPr>
      <w:keepNext/>
      <w:keepLines/>
      <w:spacing w:line="240" w:lineRule="auto"/>
      <w:jc w:val="center"/>
      <w:outlineLvl w:val="0"/>
    </w:pPr>
    <w:rPr>
      <w:rFonts w:eastAsia="仿宋"/>
      <w:b/>
      <w:bCs/>
      <w:color w:val="000000"/>
      <w:kern w:val="44"/>
      <w:sz w:val="36"/>
      <w:szCs w:val="36"/>
    </w:rPr>
  </w:style>
  <w:style w:type="paragraph" w:styleId="7">
    <w:name w:val="heading 2"/>
    <w:basedOn w:val="1"/>
    <w:next w:val="8"/>
    <w:link w:val="45"/>
    <w:qFormat/>
    <w:uiPriority w:val="99"/>
    <w:pPr>
      <w:keepNext/>
      <w:keepLines/>
      <w:spacing w:line="240" w:lineRule="auto"/>
      <w:outlineLvl w:val="1"/>
    </w:pPr>
    <w:rPr>
      <w:rFonts w:ascii="Calibri" w:hAnsi="Calibri" w:cs="Calibri"/>
      <w:b/>
      <w:bCs/>
      <w:sz w:val="32"/>
      <w:szCs w:val="32"/>
    </w:rPr>
  </w:style>
  <w:style w:type="paragraph" w:styleId="10">
    <w:name w:val="heading 3"/>
    <w:basedOn w:val="1"/>
    <w:next w:val="1"/>
    <w:qFormat/>
    <w:uiPriority w:val="99"/>
    <w:pPr>
      <w:keepNext/>
      <w:keepLines/>
      <w:spacing w:line="400" w:lineRule="atLeast"/>
      <w:jc w:val="center"/>
      <w:outlineLvl w:val="2"/>
    </w:pPr>
    <w:rPr>
      <w:b/>
      <w:bCs/>
      <w:sz w:val="32"/>
      <w:szCs w:val="32"/>
      <w:u w:val="double"/>
    </w:rPr>
  </w:style>
  <w:style w:type="paragraph" w:styleId="11">
    <w:name w:val="heading 4"/>
    <w:basedOn w:val="1"/>
    <w:next w:val="1"/>
    <w:qFormat/>
    <w:uiPriority w:val="99"/>
    <w:pPr>
      <w:keepNext/>
      <w:keepLines/>
      <w:spacing w:before="280" w:after="290" w:line="376" w:lineRule="atLeast"/>
      <w:outlineLvl w:val="3"/>
    </w:pPr>
    <w:rPr>
      <w:rFonts w:ascii="Calibri" w:hAnsi="Calibri" w:cs="Calibri"/>
      <w:b/>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afterLines="0" w:line="240" w:lineRule="auto"/>
      <w:ind w:firstLine="420" w:firstLineChars="100"/>
    </w:pPr>
    <w:rPr>
      <w:rFonts w:ascii="Times New Roman" w:hAnsi="Times New Roman" w:cs="Times New Roman"/>
      <w:color w:val="auto"/>
      <w:sz w:val="18"/>
      <w:szCs w:val="18"/>
    </w:rPr>
  </w:style>
  <w:style w:type="paragraph" w:styleId="3">
    <w:name w:val="Body Text"/>
    <w:basedOn w:val="1"/>
    <w:next w:val="1"/>
    <w:qFormat/>
    <w:uiPriority w:val="99"/>
    <w:pPr>
      <w:spacing w:afterLines="50" w:line="360" w:lineRule="auto"/>
    </w:pPr>
    <w:rPr>
      <w:rFonts w:ascii="宋体" w:hAnsi="宋体" w:cs="宋体"/>
      <w:color w:val="000000"/>
      <w:sz w:val="24"/>
      <w:szCs w:val="24"/>
    </w:rPr>
  </w:style>
  <w:style w:type="paragraph" w:styleId="4">
    <w:name w:val="Body Text First Indent 2"/>
    <w:basedOn w:val="5"/>
    <w:next w:val="1"/>
    <w:qFormat/>
    <w:uiPriority w:val="0"/>
    <w:pPr>
      <w:tabs>
        <w:tab w:val="left" w:pos="0"/>
      </w:tabs>
      <w:spacing w:line="240" w:lineRule="auto"/>
      <w:ind w:firstLine="420" w:firstLineChars="200"/>
    </w:pPr>
    <w:rPr>
      <w:rFonts w:eastAsia="楷体_GB2312"/>
      <w:b/>
      <w:szCs w:val="24"/>
    </w:rPr>
  </w:style>
  <w:style w:type="paragraph" w:styleId="5">
    <w:name w:val="Body Text Indent"/>
    <w:basedOn w:val="1"/>
    <w:unhideWhenUsed/>
    <w:qFormat/>
    <w:uiPriority w:val="99"/>
    <w:pPr>
      <w:spacing w:after="120"/>
      <w:ind w:left="420" w:leftChars="200"/>
    </w:pPr>
  </w:style>
  <w:style w:type="paragraph" w:styleId="8">
    <w:name w:val="Normal Indent"/>
    <w:basedOn w:val="1"/>
    <w:next w:val="9"/>
    <w:qFormat/>
    <w:uiPriority w:val="99"/>
    <w:pPr>
      <w:ind w:firstLine="420"/>
    </w:pPr>
  </w:style>
  <w:style w:type="paragraph" w:styleId="9">
    <w:name w:val="toc 4"/>
    <w:basedOn w:val="1"/>
    <w:next w:val="1"/>
    <w:unhideWhenUsed/>
    <w:qFormat/>
    <w:uiPriority w:val="39"/>
    <w:pPr>
      <w:spacing w:line="240" w:lineRule="auto"/>
      <w:ind w:left="1260" w:leftChars="600"/>
    </w:pPr>
  </w:style>
  <w:style w:type="paragraph" w:styleId="12">
    <w:name w:val="annotation text"/>
    <w:basedOn w:val="1"/>
    <w:link w:val="48"/>
    <w:qFormat/>
    <w:uiPriority w:val="0"/>
    <w:pPr>
      <w:jc w:val="left"/>
    </w:pPr>
  </w:style>
  <w:style w:type="paragraph" w:styleId="13">
    <w:name w:val="Block Text"/>
    <w:basedOn w:val="1"/>
    <w:qFormat/>
    <w:uiPriority w:val="0"/>
    <w:pPr>
      <w:ind w:left="2" w:right="25" w:rightChars="12" w:hanging="2"/>
    </w:pPr>
    <w:rPr>
      <w:rFonts w:ascii="楷体_GB2312" w:hAnsi="宋体" w:eastAsia="楷体_GB2312"/>
      <w:szCs w:val="24"/>
    </w:rPr>
  </w:style>
  <w:style w:type="paragraph" w:styleId="14">
    <w:name w:val="toc 3"/>
    <w:basedOn w:val="1"/>
    <w:next w:val="1"/>
    <w:qFormat/>
    <w:uiPriority w:val="0"/>
    <w:pPr>
      <w:ind w:left="840" w:leftChars="400"/>
    </w:pPr>
  </w:style>
  <w:style w:type="paragraph" w:styleId="15">
    <w:name w:val="Plain Text"/>
    <w:basedOn w:val="1"/>
    <w:qFormat/>
    <w:uiPriority w:val="0"/>
    <w:pPr>
      <w:spacing w:line="324" w:lineRule="auto"/>
    </w:pPr>
    <w:rPr>
      <w:rFonts w:ascii="宋体" w:hAnsi="Courier New" w:cs="Times New Roman"/>
      <w:kern w:val="0"/>
      <w:sz w:val="20"/>
    </w:rPr>
  </w:style>
  <w:style w:type="paragraph" w:styleId="16">
    <w:name w:val="Balloon Text"/>
    <w:basedOn w:val="1"/>
    <w:link w:val="50"/>
    <w:qFormat/>
    <w:uiPriority w:val="0"/>
    <w:pPr>
      <w:spacing w:line="240" w:lineRule="auto"/>
    </w:pPr>
    <w:rPr>
      <w:sz w:val="18"/>
      <w:szCs w:val="18"/>
    </w:rPr>
  </w:style>
  <w:style w:type="paragraph" w:styleId="17">
    <w:name w:val="footer"/>
    <w:basedOn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18"/>
    </w:rPr>
  </w:style>
  <w:style w:type="paragraph" w:styleId="18">
    <w:name w:val="envelope return"/>
    <w:basedOn w:val="1"/>
    <w:unhideWhenUsed/>
    <w:qFormat/>
    <w:uiPriority w:val="0"/>
    <w:pPr>
      <w:snapToGrid w:val="0"/>
    </w:pPr>
    <w:rPr>
      <w:rFonts w:ascii="Arial" w:hAnsi="Arial"/>
    </w:rPr>
  </w:style>
  <w:style w:type="paragraph" w:styleId="19">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paragraph" w:styleId="20">
    <w:name w:val="toc 1"/>
    <w:basedOn w:val="1"/>
    <w:next w:val="1"/>
    <w:semiHidden/>
    <w:qFormat/>
    <w:uiPriority w:val="99"/>
  </w:style>
  <w:style w:type="paragraph" w:styleId="21">
    <w:name w:val="toc 2"/>
    <w:basedOn w:val="1"/>
    <w:next w:val="1"/>
    <w:semiHidden/>
    <w:qFormat/>
    <w:uiPriority w:val="99"/>
    <w:pPr>
      <w:ind w:left="420" w:leftChars="200"/>
    </w:pPr>
  </w:style>
  <w:style w:type="paragraph" w:styleId="22">
    <w:name w:val="HTML Preformatted"/>
    <w:basedOn w:val="1"/>
    <w:qFormat/>
    <w:uiPriority w:val="99"/>
    <w:pPr>
      <w:jc w:val="left"/>
    </w:pPr>
    <w:rPr>
      <w:rFonts w:ascii="Arial" w:hAnsi="Arial" w:cs="Arial"/>
      <w:kern w:val="0"/>
      <w:sz w:val="24"/>
    </w:rPr>
  </w:style>
  <w:style w:type="paragraph" w:styleId="23">
    <w:name w:val="Normal (Web)"/>
    <w:basedOn w:val="1"/>
    <w:qFormat/>
    <w:uiPriority w:val="99"/>
    <w:pPr>
      <w:spacing w:beforeAutospacing="1" w:afterAutospacing="1"/>
      <w:jc w:val="left"/>
    </w:pPr>
    <w:rPr>
      <w:kern w:val="0"/>
      <w:sz w:val="24"/>
      <w:szCs w:val="24"/>
    </w:rPr>
  </w:style>
  <w:style w:type="paragraph" w:styleId="24">
    <w:name w:val="annotation subject"/>
    <w:basedOn w:val="12"/>
    <w:next w:val="12"/>
    <w:link w:val="49"/>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FollowedHyperlink"/>
    <w:basedOn w:val="27"/>
    <w:qFormat/>
    <w:uiPriority w:val="0"/>
    <w:rPr>
      <w:color w:val="800080"/>
      <w:u w:val="none"/>
    </w:rPr>
  </w:style>
  <w:style w:type="character" w:styleId="30">
    <w:name w:val="Emphasis"/>
    <w:basedOn w:val="27"/>
    <w:qFormat/>
    <w:uiPriority w:val="0"/>
    <w:rPr>
      <w:b/>
      <w:bCs/>
    </w:rPr>
  </w:style>
  <w:style w:type="character" w:styleId="31">
    <w:name w:val="HTML Definition"/>
    <w:basedOn w:val="27"/>
    <w:qFormat/>
    <w:uiPriority w:val="0"/>
  </w:style>
  <w:style w:type="character" w:styleId="32">
    <w:name w:val="HTML Typewriter"/>
    <w:basedOn w:val="27"/>
    <w:qFormat/>
    <w:uiPriority w:val="0"/>
    <w:rPr>
      <w:rFonts w:hint="default" w:ascii="monospace" w:hAnsi="monospace" w:eastAsia="monospace" w:cs="monospace"/>
      <w:sz w:val="20"/>
    </w:rPr>
  </w:style>
  <w:style w:type="character" w:styleId="33">
    <w:name w:val="HTML Acronym"/>
    <w:basedOn w:val="27"/>
    <w:qFormat/>
    <w:uiPriority w:val="0"/>
  </w:style>
  <w:style w:type="character" w:styleId="34">
    <w:name w:val="HTML Variable"/>
    <w:basedOn w:val="27"/>
    <w:qFormat/>
    <w:uiPriority w:val="0"/>
  </w:style>
  <w:style w:type="character" w:styleId="35">
    <w:name w:val="Hyperlink"/>
    <w:basedOn w:val="27"/>
    <w:qFormat/>
    <w:uiPriority w:val="99"/>
    <w:rPr>
      <w:color w:val="000000"/>
      <w:sz w:val="18"/>
      <w:szCs w:val="18"/>
      <w:u w:val="none"/>
    </w:rPr>
  </w:style>
  <w:style w:type="character" w:styleId="36">
    <w:name w:val="HTML Code"/>
    <w:basedOn w:val="27"/>
    <w:qFormat/>
    <w:uiPriority w:val="0"/>
    <w:rPr>
      <w:rFonts w:ascii="monospace" w:hAnsi="monospace" w:eastAsia="monospace" w:cs="monospace"/>
      <w:sz w:val="20"/>
    </w:rPr>
  </w:style>
  <w:style w:type="character" w:styleId="37">
    <w:name w:val="annotation reference"/>
    <w:basedOn w:val="27"/>
    <w:qFormat/>
    <w:uiPriority w:val="0"/>
    <w:rPr>
      <w:sz w:val="21"/>
      <w:szCs w:val="21"/>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2">
    <w:name w:val="正文（缩进 4 字符）"/>
    <w:basedOn w:val="1"/>
    <w:qFormat/>
    <w:uiPriority w:val="99"/>
    <w:pPr>
      <w:ind w:firstLine="1134" w:firstLineChars="400"/>
    </w:pPr>
  </w:style>
  <w:style w:type="paragraph" w:customStyle="1" w:styleId="43">
    <w:name w:val="无缩进格式"/>
    <w:basedOn w:val="1"/>
    <w:qFormat/>
    <w:uiPriority w:val="0"/>
    <w:pPr>
      <w:spacing w:line="360" w:lineRule="auto"/>
      <w:jc w:val="center"/>
    </w:pPr>
    <w:rPr>
      <w:sz w:val="24"/>
      <w:szCs w:val="24"/>
    </w:rPr>
  </w:style>
  <w:style w:type="paragraph" w:customStyle="1" w:styleId="44">
    <w:name w:val="正文（缩进 2 字符）"/>
    <w:basedOn w:val="1"/>
    <w:qFormat/>
    <w:uiPriority w:val="99"/>
    <w:pPr>
      <w:ind w:firstLine="200" w:firstLineChars="200"/>
    </w:pPr>
  </w:style>
  <w:style w:type="character" w:customStyle="1" w:styleId="45">
    <w:name w:val="标题 2 字符"/>
    <w:link w:val="7"/>
    <w:qFormat/>
    <w:uiPriority w:val="9"/>
    <w:rPr>
      <w:rFonts w:ascii="Calibri" w:hAnsi="Calibri" w:cs="Calibri"/>
      <w:b/>
      <w:bCs/>
      <w:sz w:val="32"/>
      <w:szCs w:val="32"/>
    </w:rPr>
  </w:style>
  <w:style w:type="paragraph" w:customStyle="1" w:styleId="46">
    <w:name w:val="标题 2（投标文件）"/>
    <w:basedOn w:val="7"/>
    <w:qFormat/>
    <w:uiPriority w:val="99"/>
    <w:pPr>
      <w:jc w:val="center"/>
    </w:pPr>
  </w:style>
  <w:style w:type="paragraph" w:customStyle="1" w:styleId="47">
    <w:name w:val="标题 3（投标文件）"/>
    <w:basedOn w:val="10"/>
    <w:qFormat/>
    <w:uiPriority w:val="99"/>
    <w:pPr>
      <w:jc w:val="left"/>
    </w:pPr>
    <w:rPr>
      <w:u w:val="none"/>
    </w:rPr>
  </w:style>
  <w:style w:type="character" w:customStyle="1" w:styleId="48">
    <w:name w:val="批注文字 字符"/>
    <w:basedOn w:val="27"/>
    <w:link w:val="12"/>
    <w:qFormat/>
    <w:uiPriority w:val="0"/>
    <w:rPr>
      <w:rFonts w:ascii="Calibri Light" w:hAnsi="Calibri Light" w:eastAsia="华文仿宋" w:cs="Calibri Light"/>
      <w:kern w:val="2"/>
      <w:sz w:val="28"/>
      <w:szCs w:val="28"/>
    </w:rPr>
  </w:style>
  <w:style w:type="character" w:customStyle="1" w:styleId="49">
    <w:name w:val="批注主题 字符"/>
    <w:basedOn w:val="48"/>
    <w:link w:val="24"/>
    <w:qFormat/>
    <w:uiPriority w:val="0"/>
    <w:rPr>
      <w:rFonts w:ascii="Calibri Light" w:hAnsi="Calibri Light" w:eastAsia="华文仿宋" w:cs="Calibri Light"/>
      <w:b/>
      <w:bCs/>
      <w:kern w:val="2"/>
      <w:sz w:val="28"/>
      <w:szCs w:val="28"/>
    </w:rPr>
  </w:style>
  <w:style w:type="character" w:customStyle="1" w:styleId="50">
    <w:name w:val="批注框文本 字符"/>
    <w:basedOn w:val="27"/>
    <w:link w:val="16"/>
    <w:qFormat/>
    <w:uiPriority w:val="0"/>
    <w:rPr>
      <w:rFonts w:ascii="Calibri Light" w:hAnsi="Calibri Light" w:eastAsia="华文仿宋" w:cs="Calibri Light"/>
      <w:kern w:val="2"/>
      <w:sz w:val="18"/>
      <w:szCs w:val="18"/>
    </w:rPr>
  </w:style>
  <w:style w:type="paragraph" w:customStyle="1" w:styleId="51">
    <w:name w:val="列表段落1"/>
    <w:basedOn w:val="1"/>
    <w:qFormat/>
    <w:uiPriority w:val="0"/>
    <w:pPr>
      <w:ind w:firstLine="420" w:firstLineChars="200"/>
    </w:pPr>
    <w:rPr>
      <w:rFonts w:ascii="Calibri" w:hAnsi="Calibri"/>
      <w:szCs w:val="22"/>
    </w:rPr>
  </w:style>
  <w:style w:type="paragraph" w:customStyle="1" w:styleId="52">
    <w:name w:val="修订1"/>
    <w:hidden/>
    <w:semiHidden/>
    <w:qFormat/>
    <w:uiPriority w:val="99"/>
    <w:rPr>
      <w:rFonts w:ascii="Calibri Light" w:hAnsi="Calibri Light" w:eastAsia="华文仿宋" w:cs="Calibri Light"/>
      <w:kern w:val="2"/>
      <w:sz w:val="28"/>
      <w:szCs w:val="28"/>
      <w:lang w:val="en-US" w:eastAsia="zh-CN" w:bidi="ar-SA"/>
    </w:rPr>
  </w:style>
  <w:style w:type="character" w:customStyle="1" w:styleId="53">
    <w:name w:val="font61"/>
    <w:basedOn w:val="27"/>
    <w:qFormat/>
    <w:uiPriority w:val="0"/>
    <w:rPr>
      <w:rFonts w:hint="eastAsia" w:ascii="宋体" w:hAnsi="宋体" w:eastAsia="宋体" w:cs="宋体"/>
      <w:color w:val="000000"/>
      <w:sz w:val="21"/>
      <w:szCs w:val="21"/>
      <w:u w:val="none"/>
    </w:rPr>
  </w:style>
  <w:style w:type="paragraph" w:customStyle="1" w:styleId="54">
    <w:name w:val="正文文本 31"/>
    <w:basedOn w:val="1"/>
    <w:qFormat/>
    <w:uiPriority w:val="0"/>
    <w:rPr>
      <w:sz w:val="16"/>
      <w:szCs w:val="16"/>
    </w:rPr>
  </w:style>
  <w:style w:type="paragraph" w:customStyle="1" w:styleId="55">
    <w:name w:val="列出段落1"/>
    <w:basedOn w:val="1"/>
    <w:qFormat/>
    <w:uiPriority w:val="0"/>
    <w:pPr>
      <w:ind w:firstLine="420" w:firstLineChars="200"/>
    </w:pPr>
    <w:rPr>
      <w:rFonts w:ascii="Calibri" w:hAnsi="Calibri"/>
      <w:szCs w:val="22"/>
    </w:rPr>
  </w:style>
  <w:style w:type="paragraph" w:customStyle="1" w:styleId="56">
    <w:name w:val="样式3"/>
    <w:basedOn w:val="15"/>
    <w:qFormat/>
    <w:uiPriority w:val="0"/>
    <w:pPr>
      <w:spacing w:line="640" w:lineRule="exact"/>
      <w:jc w:val="center"/>
      <w:outlineLvl w:val="0"/>
    </w:pPr>
    <w:rPr>
      <w:rFonts w:hAnsi="宋体" w:eastAsia="宋体"/>
      <w:b/>
      <w:sz w:val="36"/>
    </w:rPr>
  </w:style>
  <w:style w:type="paragraph" w:customStyle="1" w:styleId="57">
    <w:name w:val="BodyText1I"/>
    <w:basedOn w:val="58"/>
    <w:next w:val="59"/>
    <w:qFormat/>
    <w:uiPriority w:val="0"/>
    <w:pPr>
      <w:spacing w:line="240" w:lineRule="auto"/>
      <w:ind w:firstLine="420" w:firstLineChars="100"/>
    </w:pPr>
    <w:rPr>
      <w:rFonts w:ascii="Times New Roman" w:hAnsi="Times New Roman"/>
      <w:sz w:val="18"/>
      <w:szCs w:val="18"/>
    </w:rPr>
  </w:style>
  <w:style w:type="paragraph" w:customStyle="1" w:styleId="58">
    <w:name w:val="BodyText"/>
    <w:basedOn w:val="1"/>
    <w:next w:val="1"/>
    <w:qFormat/>
    <w:uiPriority w:val="0"/>
    <w:pPr>
      <w:spacing w:after="156" w:line="360" w:lineRule="auto"/>
      <w:textAlignment w:val="baseline"/>
    </w:pPr>
    <w:rPr>
      <w:rFonts w:ascii="宋体" w:hAnsi="宋体"/>
      <w:color w:val="000000"/>
      <w:sz w:val="24"/>
    </w:rPr>
  </w:style>
  <w:style w:type="paragraph" w:customStyle="1" w:styleId="59">
    <w:name w:val="BodyText1I2"/>
    <w:basedOn w:val="60"/>
    <w:next w:val="1"/>
    <w:qFormat/>
    <w:uiPriority w:val="0"/>
    <w:pPr>
      <w:tabs>
        <w:tab w:val="left" w:pos="0"/>
      </w:tabs>
      <w:spacing w:line="240" w:lineRule="auto"/>
      <w:ind w:firstLine="420" w:firstLineChars="200"/>
    </w:pPr>
    <w:rPr>
      <w:rFonts w:eastAsia="楷体_GB2312"/>
      <w:b/>
      <w:szCs w:val="24"/>
    </w:rPr>
  </w:style>
  <w:style w:type="paragraph" w:customStyle="1" w:styleId="60">
    <w:name w:val="BodyTextIndent"/>
    <w:basedOn w:val="1"/>
    <w:qFormat/>
    <w:uiPriority w:val="0"/>
    <w:pPr>
      <w:spacing w:after="120"/>
      <w:ind w:left="420" w:leftChars="200"/>
      <w:textAlignment w:val="baseline"/>
    </w:pPr>
  </w:style>
  <w:style w:type="paragraph" w:customStyle="1" w:styleId="61">
    <w:name w:val="Other|1"/>
    <w:basedOn w:val="1"/>
    <w:qFormat/>
    <w:uiPriority w:val="0"/>
    <w:pPr>
      <w:widowControl w:val="0"/>
      <w:spacing w:line="384" w:lineRule="auto"/>
      <w:ind w:firstLine="400"/>
    </w:pPr>
    <w:rPr>
      <w:rFonts w:ascii="宋体" w:hAnsi="宋体" w:eastAsia="宋体" w:cs="宋体"/>
      <w:lang w:val="zh-TW" w:eastAsia="zh-TW" w:bidi="zh-TW"/>
    </w:rPr>
  </w:style>
  <w:style w:type="table" w:customStyle="1" w:styleId="62">
    <w:name w:val="Table Normal"/>
    <w:unhideWhenUsed/>
    <w:qFormat/>
    <w:uiPriority w:val="2"/>
    <w:tblPr>
      <w:tblCellMar>
        <w:top w:w="0" w:type="dxa"/>
        <w:left w:w="0" w:type="dxa"/>
        <w:bottom w:w="0" w:type="dxa"/>
        <w:right w:w="0" w:type="dxa"/>
      </w:tblCellMar>
    </w:tblPr>
  </w:style>
  <w:style w:type="paragraph" w:styleId="63">
    <w:name w:val="List Paragraph"/>
    <w:basedOn w:val="1"/>
    <w:qFormat/>
    <w:uiPriority w:val="99"/>
    <w:pPr>
      <w:ind w:firstLine="420" w:firstLineChars="200"/>
    </w:pPr>
  </w:style>
  <w:style w:type="paragraph" w:customStyle="1" w:styleId="64">
    <w:name w:val="@正文"/>
    <w:basedOn w:val="65"/>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5">
    <w:name w:val="※正文"/>
    <w:basedOn w:val="1"/>
    <w:next w:val="1"/>
    <w:qFormat/>
    <w:uiPriority w:val="0"/>
    <w:pPr>
      <w:wordWrap w:val="0"/>
    </w:pPr>
  </w:style>
  <w:style w:type="paragraph" w:customStyle="1" w:styleId="6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18944</Words>
  <Characters>19805</Characters>
  <Lines>356</Lines>
  <Paragraphs>100</Paragraphs>
  <TotalTime>0</TotalTime>
  <ScaleCrop>false</ScaleCrop>
  <LinksUpToDate>false</LinksUpToDate>
  <CharactersWithSpaces>19872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2024-06-20T17:06:00Z</dcterms:created>
  <dc:creator>一颗糖豆</dc:creator>
  <cp:lastModifiedBy>x</cp:lastModifiedBy>
  <cp:lastPrinted>2023-05-25T09:28:00Z</cp:lastPrinted>
  <dcterms:modified xsi:type="dcterms:W3CDTF">2025-01-26T02:10:38Z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F73A83A1B6CF42A0800B68A98BFC1ED3_13</vt:lpwstr>
  </property>
  <property fmtid="{D5CDD505-2E9C-101B-9397-08002B2CF9AE}" pid="4" name="KSOTemplateDocerSaveRecord">
    <vt:lpwstr>eyJoZGlkIjoiOTNhMzNlMGZjMDIyZDc4MjhjNjk3OTJmNDJlMTM1MjIifQ==</vt:lpwstr>
  </property>
</Properties>
</file>